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outlineLvl w:val="0"/>
        <w:rPr>
          <w:rFonts w:hint="default" w:ascii="Times New Roman" w:hAnsi="Times New Roman" w:cs="Times New Roman"/>
          <w:b/>
          <w:bCs/>
          <w:color w:val="auto"/>
          <w:sz w:val="40"/>
          <w:szCs w:val="40"/>
          <w:highlight w:val="none"/>
        </w:rPr>
      </w:pPr>
      <w:bookmarkStart w:id="0" w:name="_Toc484865817"/>
      <w:bookmarkStart w:id="1" w:name="_Toc8050"/>
    </w:p>
    <w:p>
      <w:pPr>
        <w:keepNext w:val="0"/>
        <w:keepLines w:val="0"/>
        <w:pageBreakBefore w:val="0"/>
        <w:widowControl w:val="0"/>
        <w:kinsoku/>
        <w:wordWrap/>
        <w:topLinePunct w:val="0"/>
        <w:autoSpaceDE/>
        <w:autoSpaceDN/>
        <w:bidi w:val="0"/>
        <w:ind w:firstLine="0" w:firstLineChars="0"/>
        <w:jc w:val="center"/>
        <w:outlineLvl w:val="0"/>
        <w:rPr>
          <w:rFonts w:hint="eastAsia" w:cs="Times New Roman"/>
          <w:b/>
          <w:bCs/>
          <w:color w:val="auto"/>
          <w:sz w:val="40"/>
          <w:szCs w:val="40"/>
          <w:lang w:eastAsia="zh-CN"/>
        </w:rPr>
      </w:pPr>
      <w:bookmarkStart w:id="2" w:name="_Toc12118"/>
    </w:p>
    <w:p>
      <w:pPr>
        <w:keepNext w:val="0"/>
        <w:keepLines w:val="0"/>
        <w:pageBreakBefore w:val="0"/>
        <w:widowControl w:val="0"/>
        <w:kinsoku/>
        <w:wordWrap/>
        <w:topLinePunct w:val="0"/>
        <w:autoSpaceDE/>
        <w:autoSpaceDN/>
        <w:bidi w:val="0"/>
        <w:ind w:firstLine="0" w:firstLineChars="0"/>
        <w:jc w:val="center"/>
        <w:outlineLvl w:val="0"/>
        <w:rPr>
          <w:rFonts w:hint="eastAsia" w:cs="Times New Roman"/>
          <w:b/>
          <w:bCs/>
          <w:color w:val="auto"/>
          <w:sz w:val="40"/>
          <w:szCs w:val="40"/>
          <w:lang w:eastAsia="zh-CN"/>
        </w:rPr>
      </w:pPr>
    </w:p>
    <w:p>
      <w:pPr>
        <w:keepNext w:val="0"/>
        <w:keepLines w:val="0"/>
        <w:pageBreakBefore w:val="0"/>
        <w:widowControl w:val="0"/>
        <w:kinsoku/>
        <w:wordWrap/>
        <w:topLinePunct w:val="0"/>
        <w:autoSpaceDE/>
        <w:autoSpaceDN/>
        <w:bidi w:val="0"/>
        <w:ind w:firstLine="0" w:firstLineChars="0"/>
        <w:jc w:val="center"/>
        <w:outlineLvl w:val="0"/>
        <w:rPr>
          <w:rFonts w:hint="eastAsia" w:eastAsia="宋体" w:cs="Times New Roman"/>
          <w:b/>
          <w:bCs/>
          <w:color w:val="auto"/>
          <w:sz w:val="40"/>
          <w:szCs w:val="40"/>
          <w:lang w:eastAsia="zh-CN"/>
        </w:rPr>
      </w:pPr>
      <w:r>
        <w:rPr>
          <w:rFonts w:hint="eastAsia" w:cs="Times New Roman"/>
          <w:b/>
          <w:bCs/>
          <w:color w:val="auto"/>
          <w:sz w:val="40"/>
          <w:szCs w:val="40"/>
          <w:lang w:eastAsia="zh-CN"/>
        </w:rPr>
        <w:t>新疆昌吉国家农业高新技术产业示范区现代农业精深加工示范区污水处理厂改造扩容项目</w:t>
      </w:r>
    </w:p>
    <w:p>
      <w:pPr>
        <w:keepNext w:val="0"/>
        <w:keepLines w:val="0"/>
        <w:pageBreakBefore w:val="0"/>
        <w:widowControl w:val="0"/>
        <w:kinsoku/>
        <w:wordWrap/>
        <w:topLinePunct w:val="0"/>
        <w:autoSpaceDE/>
        <w:autoSpaceDN/>
        <w:bidi w:val="0"/>
        <w:ind w:firstLine="0" w:firstLineChars="0"/>
        <w:jc w:val="center"/>
        <w:outlineLvl w:val="0"/>
        <w:rPr>
          <w:rFonts w:cs="Times New Roman"/>
          <w:b/>
          <w:bCs/>
          <w:color w:val="auto"/>
          <w:sz w:val="52"/>
          <w:szCs w:val="52"/>
        </w:rPr>
      </w:pPr>
      <w:bookmarkStart w:id="3" w:name="_Toc10827"/>
      <w:r>
        <w:rPr>
          <w:rFonts w:cs="Times New Roman"/>
          <w:b/>
          <w:bCs/>
          <w:color w:val="auto"/>
          <w:sz w:val="52"/>
          <w:szCs w:val="52"/>
        </w:rPr>
        <w:t>环境影响报告书</w:t>
      </w:r>
      <w:bookmarkEnd w:id="3"/>
    </w:p>
    <w:p>
      <w:pPr>
        <w:jc w:val="center"/>
        <w:rPr>
          <w:rFonts w:cs="Times New Roman"/>
          <w:b/>
          <w:color w:val="auto"/>
          <w:sz w:val="32"/>
          <w:szCs w:val="32"/>
        </w:rPr>
      </w:pPr>
      <w:r>
        <w:rPr>
          <w:rFonts w:cs="Times New Roman"/>
          <w:b/>
          <w:color w:val="auto"/>
          <w:sz w:val="32"/>
          <w:szCs w:val="32"/>
        </w:rPr>
        <w:t>（</w:t>
      </w:r>
      <w:r>
        <w:rPr>
          <w:rFonts w:hint="eastAsia" w:cs="Times New Roman"/>
          <w:b/>
          <w:color w:val="auto"/>
          <w:sz w:val="32"/>
          <w:szCs w:val="32"/>
          <w:lang w:val="en-US" w:eastAsia="zh-CN"/>
        </w:rPr>
        <w:t>报批</w:t>
      </w:r>
      <w:r>
        <w:rPr>
          <w:rFonts w:cs="Times New Roman"/>
          <w:b/>
          <w:color w:val="auto"/>
          <w:sz w:val="32"/>
          <w:szCs w:val="32"/>
        </w:rPr>
        <w:t>稿）</w:t>
      </w:r>
    </w:p>
    <w:p>
      <w:pPr>
        <w:overflowPunct w:val="0"/>
        <w:adjustRightInd w:val="0"/>
        <w:snapToGrid w:val="0"/>
        <w:ind w:firstLine="640"/>
        <w:jc w:val="center"/>
        <w:textAlignment w:val="top"/>
        <w:rPr>
          <w:rFonts w:cs="Times New Roman"/>
          <w:snapToGrid w:val="0"/>
          <w:color w:val="auto"/>
          <w:kern w:val="0"/>
          <w:sz w:val="32"/>
          <w:szCs w:val="32"/>
        </w:rPr>
      </w:pPr>
    </w:p>
    <w:p>
      <w:pPr>
        <w:overflowPunct w:val="0"/>
        <w:adjustRightInd w:val="0"/>
        <w:snapToGrid w:val="0"/>
        <w:ind w:firstLine="640"/>
        <w:jc w:val="center"/>
        <w:textAlignment w:val="top"/>
        <w:rPr>
          <w:rFonts w:cs="Times New Roman"/>
          <w:snapToGrid w:val="0"/>
          <w:color w:val="auto"/>
          <w:kern w:val="0"/>
          <w:sz w:val="32"/>
          <w:szCs w:val="32"/>
        </w:rPr>
      </w:pPr>
    </w:p>
    <w:p>
      <w:pPr>
        <w:overflowPunct w:val="0"/>
        <w:adjustRightInd w:val="0"/>
        <w:snapToGrid w:val="0"/>
        <w:ind w:firstLine="640"/>
        <w:jc w:val="center"/>
        <w:textAlignment w:val="top"/>
        <w:rPr>
          <w:rFonts w:cs="Times New Roman"/>
          <w:snapToGrid w:val="0"/>
          <w:color w:val="auto"/>
          <w:kern w:val="0"/>
          <w:sz w:val="32"/>
          <w:szCs w:val="32"/>
        </w:rPr>
      </w:pPr>
    </w:p>
    <w:p>
      <w:pPr>
        <w:overflowPunct w:val="0"/>
        <w:adjustRightInd w:val="0"/>
        <w:snapToGrid w:val="0"/>
        <w:ind w:left="0" w:leftChars="0" w:firstLine="0" w:firstLineChars="0"/>
        <w:jc w:val="both"/>
        <w:textAlignment w:val="top"/>
        <w:rPr>
          <w:rFonts w:cs="Times New Roman"/>
          <w:snapToGrid w:val="0"/>
          <w:color w:val="auto"/>
          <w:kern w:val="0"/>
          <w:sz w:val="32"/>
          <w:szCs w:val="32"/>
        </w:rPr>
      </w:pPr>
    </w:p>
    <w:p>
      <w:pPr>
        <w:overflowPunct w:val="0"/>
        <w:adjustRightInd w:val="0"/>
        <w:snapToGrid w:val="0"/>
        <w:ind w:firstLine="640"/>
        <w:jc w:val="center"/>
        <w:textAlignment w:val="top"/>
        <w:rPr>
          <w:rFonts w:cs="Times New Roman"/>
          <w:snapToGrid w:val="0"/>
          <w:color w:val="auto"/>
          <w:kern w:val="0"/>
          <w:sz w:val="32"/>
          <w:szCs w:val="32"/>
        </w:rPr>
      </w:pPr>
    </w:p>
    <w:p>
      <w:pPr>
        <w:overflowPunct w:val="0"/>
        <w:adjustRightInd w:val="0"/>
        <w:snapToGrid w:val="0"/>
        <w:ind w:firstLine="640"/>
        <w:jc w:val="center"/>
        <w:textAlignment w:val="top"/>
        <w:rPr>
          <w:rFonts w:cs="Times New Roman"/>
          <w:snapToGrid w:val="0"/>
          <w:color w:val="auto"/>
          <w:kern w:val="0"/>
          <w:sz w:val="32"/>
          <w:szCs w:val="32"/>
        </w:rPr>
      </w:pPr>
    </w:p>
    <w:p>
      <w:pPr>
        <w:ind w:firstLine="480"/>
        <w:rPr>
          <w:rFonts w:cs="Times New Roman"/>
          <w:color w:val="auto"/>
        </w:rPr>
      </w:pPr>
    </w:p>
    <w:p>
      <w:pPr>
        <w:ind w:left="2527" w:leftChars="300" w:hanging="1807" w:hangingChars="500"/>
        <w:jc w:val="left"/>
        <w:outlineLvl w:val="0"/>
        <w:rPr>
          <w:rFonts w:hint="eastAsia" w:eastAsia="宋体" w:cs="Times New Roman"/>
          <w:b/>
          <w:color w:val="auto"/>
          <w:sz w:val="36"/>
          <w:szCs w:val="36"/>
          <w:lang w:eastAsia="zh-CN"/>
        </w:rPr>
      </w:pPr>
      <w:bookmarkStart w:id="4" w:name="_Toc10924"/>
      <w:r>
        <w:rPr>
          <w:rFonts w:cs="Times New Roman"/>
          <w:b/>
          <w:color w:val="auto"/>
          <w:sz w:val="36"/>
          <w:szCs w:val="36"/>
        </w:rPr>
        <w:t>建设单位：</w:t>
      </w:r>
      <w:bookmarkEnd w:id="4"/>
      <w:r>
        <w:rPr>
          <w:rFonts w:hint="eastAsia" w:cs="Times New Roman"/>
          <w:b/>
          <w:color w:val="auto"/>
          <w:sz w:val="36"/>
          <w:szCs w:val="36"/>
          <w:lang w:eastAsia="zh-CN"/>
        </w:rPr>
        <w:t>新疆昌吉国家农业高新技术产业示范区管理委员会</w:t>
      </w:r>
    </w:p>
    <w:p>
      <w:pPr>
        <w:ind w:firstLine="723"/>
        <w:jc w:val="both"/>
        <w:outlineLvl w:val="0"/>
        <w:rPr>
          <w:rFonts w:cs="Times New Roman"/>
          <w:b/>
          <w:color w:val="auto"/>
          <w:sz w:val="36"/>
          <w:szCs w:val="36"/>
        </w:rPr>
      </w:pPr>
      <w:bookmarkStart w:id="5" w:name="_Toc14241"/>
      <w:r>
        <w:rPr>
          <w:rFonts w:cs="Times New Roman"/>
          <w:b/>
          <w:color w:val="auto"/>
          <w:sz w:val="36"/>
          <w:szCs w:val="36"/>
        </w:rPr>
        <w:t>编制单位：</w:t>
      </w:r>
      <w:bookmarkEnd w:id="5"/>
      <w:r>
        <w:rPr>
          <w:rFonts w:hint="eastAsia" w:cs="Times New Roman"/>
          <w:b/>
          <w:color w:val="auto"/>
          <w:sz w:val="36"/>
          <w:szCs w:val="36"/>
        </w:rPr>
        <w:t>新疆润水环保技术有限公司</w:t>
      </w:r>
    </w:p>
    <w:p>
      <w:pPr>
        <w:ind w:firstLine="723"/>
        <w:jc w:val="center"/>
        <w:rPr>
          <w:rFonts w:cs="Times New Roman"/>
          <w:b/>
          <w:color w:val="auto"/>
          <w:sz w:val="36"/>
          <w:szCs w:val="36"/>
        </w:rPr>
      </w:pPr>
    </w:p>
    <w:p>
      <w:pPr>
        <w:ind w:firstLine="723"/>
        <w:jc w:val="center"/>
        <w:rPr>
          <w:rFonts w:cs="Times New Roman"/>
          <w:b/>
          <w:color w:val="auto"/>
          <w:sz w:val="36"/>
          <w:szCs w:val="36"/>
        </w:rPr>
      </w:pPr>
      <w:r>
        <w:rPr>
          <w:rFonts w:cs="Times New Roman"/>
          <w:b/>
          <w:color w:val="auto"/>
          <w:sz w:val="36"/>
          <w:szCs w:val="36"/>
        </w:rPr>
        <w:t>编制时间：二〇二</w:t>
      </w:r>
      <w:r>
        <w:rPr>
          <w:rFonts w:hint="eastAsia" w:cs="Times New Roman"/>
          <w:b/>
          <w:color w:val="auto"/>
          <w:sz w:val="36"/>
          <w:szCs w:val="36"/>
          <w:lang w:val="en-US" w:eastAsia="zh-CN"/>
        </w:rPr>
        <w:t>四</w:t>
      </w:r>
      <w:r>
        <w:rPr>
          <w:rFonts w:cs="Times New Roman"/>
          <w:b/>
          <w:color w:val="auto"/>
          <w:sz w:val="36"/>
          <w:szCs w:val="36"/>
        </w:rPr>
        <w:t>年</w:t>
      </w:r>
      <w:r>
        <w:rPr>
          <w:rFonts w:hint="eastAsia" w:cs="Times New Roman"/>
          <w:b/>
          <w:color w:val="auto"/>
          <w:sz w:val="36"/>
          <w:szCs w:val="36"/>
          <w:lang w:val="en-US" w:eastAsia="zh-CN"/>
        </w:rPr>
        <w:t>六</w:t>
      </w:r>
      <w:r>
        <w:rPr>
          <w:rFonts w:cs="Times New Roman"/>
          <w:b/>
          <w:color w:val="auto"/>
          <w:sz w:val="36"/>
          <w:szCs w:val="36"/>
        </w:rPr>
        <w:t>月</w:t>
      </w:r>
    </w:p>
    <w:bookmarkEnd w:id="2"/>
    <w:p>
      <w:pPr>
        <w:ind w:firstLine="0" w:firstLineChars="0"/>
        <w:jc w:val="center"/>
        <w:outlineLvl w:val="0"/>
        <w:rPr>
          <w:rFonts w:hint="eastAsia" w:ascii="Times New Roman" w:hAnsi="Times New Roman" w:eastAsia="宋体" w:cs="Times New Roman"/>
          <w:b/>
          <w:bCs/>
          <w:color w:val="auto"/>
          <w:sz w:val="40"/>
          <w:szCs w:val="40"/>
          <w:highlight w:val="none"/>
          <w:lang w:eastAsia="zh-CN"/>
        </w:rPr>
      </w:pPr>
    </w:p>
    <w:bookmarkEnd w:id="0"/>
    <w:bookmarkEnd w:id="1"/>
    <w:p>
      <w:pPr>
        <w:overflowPunct w:val="0"/>
        <w:adjustRightInd w:val="0"/>
        <w:snapToGrid w:val="0"/>
        <w:ind w:firstLine="640"/>
        <w:textAlignment w:val="top"/>
        <w:rPr>
          <w:rFonts w:hint="default" w:ascii="Times New Roman" w:hAnsi="Times New Roman" w:cs="Times New Roman"/>
          <w:snapToGrid w:val="0"/>
          <w:color w:val="auto"/>
          <w:kern w:val="0"/>
          <w:sz w:val="32"/>
          <w:szCs w:val="32"/>
          <w:highlight w:val="none"/>
        </w:rPr>
      </w:pPr>
    </w:p>
    <w:p>
      <w:pPr>
        <w:ind w:firstLine="723"/>
        <w:rPr>
          <w:rFonts w:hint="default" w:ascii="Times New Roman" w:hAnsi="Times New Roman" w:cs="Times New Roman"/>
          <w:b/>
          <w:color w:val="auto"/>
          <w:sz w:val="36"/>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627" w:bottom="1440" w:left="1627" w:header="851" w:footer="992" w:gutter="0"/>
          <w:pgBorders>
            <w:top w:val="none" w:sz="0" w:space="0"/>
            <w:left w:val="none" w:sz="0" w:space="0"/>
            <w:bottom w:val="none" w:sz="0" w:space="0"/>
            <w:right w:val="none" w:sz="0" w:space="0"/>
          </w:pgBorders>
          <w:cols w:space="720" w:num="1"/>
          <w:docGrid w:linePitch="498" w:charSpace="6933"/>
        </w:sectPr>
      </w:pPr>
    </w:p>
    <w:p>
      <w:pPr>
        <w:spacing w:line="240" w:lineRule="auto"/>
        <w:ind w:firstLine="0" w:firstLineChars="0"/>
        <w:jc w:val="center"/>
        <w:rPr>
          <w:rFonts w:hint="eastAsia" w:ascii="Times New Roman" w:hAnsi="Times New Roman" w:eastAsia="宋体" w:cs="Times New Roman"/>
          <w:color w:val="auto"/>
          <w:sz w:val="21"/>
          <w:highlight w:val="none"/>
          <w:lang w:eastAsia="zh-CN"/>
        </w:rPr>
        <w:sectPr>
          <w:headerReference r:id="rId11" w:type="default"/>
          <w:footerReference r:id="rId12" w:type="default"/>
          <w:pgSz w:w="11906" w:h="16838"/>
          <w:pgMar w:top="1440" w:right="1304" w:bottom="1440" w:left="1304" w:header="851" w:footer="992" w:gutter="0"/>
          <w:pgBorders>
            <w:top w:val="none" w:sz="0" w:space="0"/>
            <w:left w:val="none" w:sz="0" w:space="0"/>
            <w:bottom w:val="none" w:sz="0" w:space="0"/>
            <w:right w:val="none" w:sz="0" w:space="0"/>
          </w:pgBorders>
          <w:cols w:space="0" w:num="1"/>
          <w:docGrid w:type="lines" w:linePitch="312" w:charSpace="0"/>
        </w:sectPr>
      </w:pPr>
    </w:p>
    <w:p>
      <w:pPr>
        <w:rPr>
          <w:rFonts w:hint="eastAsia"/>
          <w:lang w:eastAsia="zh-CN"/>
        </w:rPr>
      </w:pPr>
    </w:p>
    <w:p>
      <w:pPr>
        <w:spacing w:line="240" w:lineRule="auto"/>
        <w:ind w:firstLine="0" w:firstLineChars="0"/>
        <w:jc w:val="center"/>
        <w:rPr>
          <w:rFonts w:hint="eastAsia" w:ascii="Times New Roman" w:hAnsi="Times New Roman" w:eastAsia="宋体" w:cs="Times New Roman"/>
          <w:color w:val="auto"/>
          <w:sz w:val="21"/>
          <w:highlight w:val="none"/>
          <w:lang w:eastAsia="zh-CN"/>
        </w:rPr>
      </w:pPr>
    </w:p>
    <w:p>
      <w:pPr>
        <w:spacing w:line="240" w:lineRule="auto"/>
        <w:ind w:firstLine="0" w:firstLineChars="0"/>
        <w:jc w:val="center"/>
        <w:rPr>
          <w:rFonts w:hint="eastAsia" w:ascii="Times New Roman" w:hAnsi="Times New Roman" w:eastAsia="宋体" w:cs="Times New Roman"/>
          <w:color w:val="auto"/>
          <w:sz w:val="21"/>
          <w:highlight w:val="none"/>
          <w:lang w:eastAsia="zh-CN"/>
        </w:rPr>
        <w:sectPr>
          <w:pgSz w:w="11906" w:h="16838"/>
          <w:pgMar w:top="1440" w:right="1304" w:bottom="1440" w:left="1304" w:header="851" w:footer="992" w:gutter="0"/>
          <w:pgBorders>
            <w:top w:val="none" w:sz="0" w:space="0"/>
            <w:left w:val="none" w:sz="0" w:space="0"/>
            <w:bottom w:val="none" w:sz="0" w:space="0"/>
            <w:right w:val="none" w:sz="0" w:space="0"/>
          </w:pgBorders>
          <w:cols w:space="0" w:num="1"/>
          <w:docGrid w:type="lines" w:linePitch="312" w:charSpace="0"/>
        </w:sectPr>
      </w:pPr>
    </w:p>
    <w:p>
      <w:pPr>
        <w:spacing w:line="240" w:lineRule="auto"/>
        <w:ind w:firstLine="0" w:firstLineChars="0"/>
        <w:jc w:val="center"/>
        <w:rPr>
          <w:rFonts w:hint="default" w:ascii="Times New Roman" w:hAnsi="Times New Roman" w:cs="Times New Roman"/>
          <w:b/>
          <w:bCs/>
          <w:color w:val="auto"/>
          <w:sz w:val="30"/>
          <w:szCs w:val="30"/>
          <w:highlight w:val="none"/>
        </w:rPr>
      </w:pPr>
      <w:r>
        <w:rPr>
          <w:rFonts w:hint="default" w:ascii="Times New Roman" w:hAnsi="Times New Roman" w:cs="Times New Roman"/>
          <w:b/>
          <w:bCs/>
          <w:color w:val="auto"/>
          <w:sz w:val="30"/>
          <w:szCs w:val="30"/>
          <w:highlight w:val="none"/>
        </w:rPr>
        <w:t>目录</w:t>
      </w:r>
    </w:p>
    <w:p>
      <w:pPr>
        <w:pStyle w:val="23"/>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TOC \o "1-2" \h \u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_Toc11813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w:t>
      </w:r>
      <w:r>
        <w:rPr>
          <w:rFonts w:hint="eastAsia"/>
          <w:color w:val="auto"/>
          <w:highlight w:val="none"/>
          <w:lang w:val="en-US" w:eastAsia="zh-CN"/>
        </w:rPr>
        <w:t>概述</w:t>
      </w:r>
      <w:r>
        <w:rPr>
          <w:color w:val="auto"/>
          <w:highlight w:val="none"/>
        </w:rPr>
        <w:tab/>
      </w:r>
      <w:r>
        <w:rPr>
          <w:color w:val="auto"/>
          <w:highlight w:val="none"/>
        </w:rPr>
        <w:fldChar w:fldCharType="begin"/>
      </w:r>
      <w:r>
        <w:rPr>
          <w:color w:val="auto"/>
          <w:highlight w:val="none"/>
        </w:rPr>
        <w:instrText xml:space="preserve"> PAGEREF _Toc11813 \h </w:instrText>
      </w:r>
      <w:r>
        <w:rPr>
          <w:color w:val="auto"/>
          <w:highlight w:val="none"/>
        </w:rPr>
        <w:fldChar w:fldCharType="separate"/>
      </w:r>
      <w:r>
        <w:rPr>
          <w:color w:val="auto"/>
          <w:highlight w:val="none"/>
        </w:rPr>
        <w:t>- 1 -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_Toc12613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1.1.项目由来</w:t>
      </w:r>
      <w:r>
        <w:rPr>
          <w:color w:val="auto"/>
          <w:highlight w:val="none"/>
        </w:rPr>
        <w:tab/>
      </w:r>
      <w:r>
        <w:rPr>
          <w:color w:val="auto"/>
          <w:highlight w:val="none"/>
        </w:rPr>
        <w:fldChar w:fldCharType="begin"/>
      </w:r>
      <w:r>
        <w:rPr>
          <w:color w:val="auto"/>
          <w:highlight w:val="none"/>
        </w:rPr>
        <w:instrText xml:space="preserve"> PAGEREF _Toc12613 \h </w:instrText>
      </w:r>
      <w:r>
        <w:rPr>
          <w:color w:val="auto"/>
          <w:highlight w:val="none"/>
        </w:rPr>
        <w:fldChar w:fldCharType="separate"/>
      </w:r>
      <w:r>
        <w:rPr>
          <w:color w:val="auto"/>
          <w:highlight w:val="none"/>
        </w:rPr>
        <w:t>- 1 -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_Toc20205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1.2.项目特点</w:t>
      </w:r>
      <w:r>
        <w:rPr>
          <w:color w:val="auto"/>
          <w:highlight w:val="none"/>
        </w:rPr>
        <w:tab/>
      </w:r>
      <w:r>
        <w:rPr>
          <w:color w:val="auto"/>
          <w:highlight w:val="none"/>
        </w:rPr>
        <w:fldChar w:fldCharType="begin"/>
      </w:r>
      <w:r>
        <w:rPr>
          <w:color w:val="auto"/>
          <w:highlight w:val="none"/>
        </w:rPr>
        <w:instrText xml:space="preserve"> PAGEREF _Toc20205 \h </w:instrText>
      </w:r>
      <w:r>
        <w:rPr>
          <w:color w:val="auto"/>
          <w:highlight w:val="none"/>
        </w:rPr>
        <w:fldChar w:fldCharType="separate"/>
      </w:r>
      <w:r>
        <w:rPr>
          <w:color w:val="auto"/>
          <w:highlight w:val="none"/>
        </w:rPr>
        <w:t>- 1 -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_Toc20432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1.3.环境影响评价的工作过程</w:t>
      </w:r>
      <w:r>
        <w:rPr>
          <w:color w:val="auto"/>
          <w:highlight w:val="none"/>
        </w:rPr>
        <w:tab/>
      </w:r>
      <w:r>
        <w:rPr>
          <w:color w:val="auto"/>
          <w:highlight w:val="none"/>
        </w:rPr>
        <w:fldChar w:fldCharType="begin"/>
      </w:r>
      <w:r>
        <w:rPr>
          <w:color w:val="auto"/>
          <w:highlight w:val="none"/>
        </w:rPr>
        <w:instrText xml:space="preserve"> PAGEREF _Toc20432 \h </w:instrText>
      </w:r>
      <w:r>
        <w:rPr>
          <w:color w:val="auto"/>
          <w:highlight w:val="none"/>
        </w:rPr>
        <w:fldChar w:fldCharType="separate"/>
      </w:r>
      <w:r>
        <w:rPr>
          <w:color w:val="auto"/>
          <w:highlight w:val="none"/>
        </w:rPr>
        <w:t>- 2 -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_Toc4804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1.4.分析判定相关情况</w:t>
      </w:r>
      <w:r>
        <w:rPr>
          <w:color w:val="auto"/>
          <w:highlight w:val="none"/>
        </w:rPr>
        <w:tab/>
      </w:r>
      <w:r>
        <w:rPr>
          <w:color w:val="auto"/>
          <w:highlight w:val="none"/>
        </w:rPr>
        <w:fldChar w:fldCharType="begin"/>
      </w:r>
      <w:r>
        <w:rPr>
          <w:color w:val="auto"/>
          <w:highlight w:val="none"/>
        </w:rPr>
        <w:instrText xml:space="preserve"> PAGEREF _Toc4804 \h </w:instrText>
      </w:r>
      <w:r>
        <w:rPr>
          <w:color w:val="auto"/>
          <w:highlight w:val="none"/>
        </w:rPr>
        <w:fldChar w:fldCharType="separate"/>
      </w:r>
      <w:r>
        <w:rPr>
          <w:color w:val="auto"/>
          <w:highlight w:val="none"/>
        </w:rPr>
        <w:t>- 5 -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_Toc16253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1.5.项目关注的主要环境问题及环境影响</w:t>
      </w:r>
      <w:r>
        <w:rPr>
          <w:color w:val="auto"/>
          <w:highlight w:val="none"/>
        </w:rPr>
        <w:tab/>
      </w:r>
      <w:r>
        <w:rPr>
          <w:color w:val="auto"/>
          <w:highlight w:val="none"/>
        </w:rPr>
        <w:fldChar w:fldCharType="begin"/>
      </w:r>
      <w:r>
        <w:rPr>
          <w:color w:val="auto"/>
          <w:highlight w:val="none"/>
        </w:rPr>
        <w:instrText xml:space="preserve"> PAGEREF _Toc16253 \h </w:instrText>
      </w:r>
      <w:r>
        <w:rPr>
          <w:color w:val="auto"/>
          <w:highlight w:val="none"/>
        </w:rPr>
        <w:fldChar w:fldCharType="separate"/>
      </w:r>
      <w:r>
        <w:rPr>
          <w:color w:val="auto"/>
          <w:highlight w:val="none"/>
        </w:rPr>
        <w:t>- 17 -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_Toc17736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1.6.环境影响报告书主要结论</w:t>
      </w:r>
      <w:r>
        <w:rPr>
          <w:color w:val="auto"/>
          <w:highlight w:val="none"/>
        </w:rPr>
        <w:tab/>
      </w:r>
      <w:r>
        <w:rPr>
          <w:color w:val="auto"/>
          <w:highlight w:val="none"/>
        </w:rPr>
        <w:fldChar w:fldCharType="begin"/>
      </w:r>
      <w:r>
        <w:rPr>
          <w:color w:val="auto"/>
          <w:highlight w:val="none"/>
        </w:rPr>
        <w:instrText xml:space="preserve"> PAGEREF _Toc17736 \h </w:instrText>
      </w:r>
      <w:r>
        <w:rPr>
          <w:color w:val="auto"/>
          <w:highlight w:val="none"/>
        </w:rPr>
        <w:fldChar w:fldCharType="separate"/>
      </w:r>
      <w:r>
        <w:rPr>
          <w:color w:val="auto"/>
          <w:highlight w:val="none"/>
        </w:rPr>
        <w:t>- 17 -</w:t>
      </w:r>
      <w:r>
        <w:rPr>
          <w:color w:val="auto"/>
          <w:highlight w:val="none"/>
        </w:rPr>
        <w:fldChar w:fldCharType="end"/>
      </w:r>
      <w:r>
        <w:rPr>
          <w:rFonts w:hint="default" w:ascii="Times New Roman" w:hAnsi="Times New Roman" w:cs="Times New Roman"/>
          <w:color w:val="auto"/>
          <w:highlight w:val="none"/>
        </w:rPr>
        <w:fldChar w:fldCharType="end"/>
      </w:r>
    </w:p>
    <w:p>
      <w:pPr>
        <w:pStyle w:val="23"/>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_Toc3061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2.总则</w:t>
      </w:r>
      <w:r>
        <w:rPr>
          <w:color w:val="auto"/>
          <w:highlight w:val="none"/>
        </w:rPr>
        <w:tab/>
      </w:r>
      <w:r>
        <w:rPr>
          <w:color w:val="auto"/>
          <w:highlight w:val="none"/>
        </w:rPr>
        <w:fldChar w:fldCharType="begin"/>
      </w:r>
      <w:r>
        <w:rPr>
          <w:color w:val="auto"/>
          <w:highlight w:val="none"/>
        </w:rPr>
        <w:instrText xml:space="preserve"> PAGEREF _Toc3061 \h </w:instrText>
      </w:r>
      <w:r>
        <w:rPr>
          <w:color w:val="auto"/>
          <w:highlight w:val="none"/>
        </w:rPr>
        <w:fldChar w:fldCharType="separate"/>
      </w:r>
      <w:r>
        <w:rPr>
          <w:color w:val="auto"/>
          <w:highlight w:val="none"/>
        </w:rPr>
        <w:t>- 20 -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_Toc24407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2.1.编制依据</w:t>
      </w:r>
      <w:r>
        <w:rPr>
          <w:color w:val="auto"/>
          <w:highlight w:val="none"/>
        </w:rPr>
        <w:tab/>
      </w:r>
      <w:r>
        <w:rPr>
          <w:color w:val="auto"/>
          <w:highlight w:val="none"/>
        </w:rPr>
        <w:fldChar w:fldCharType="begin"/>
      </w:r>
      <w:r>
        <w:rPr>
          <w:color w:val="auto"/>
          <w:highlight w:val="none"/>
        </w:rPr>
        <w:instrText xml:space="preserve"> PAGEREF _Toc24407 \h </w:instrText>
      </w:r>
      <w:r>
        <w:rPr>
          <w:color w:val="auto"/>
          <w:highlight w:val="none"/>
        </w:rPr>
        <w:fldChar w:fldCharType="separate"/>
      </w:r>
      <w:r>
        <w:rPr>
          <w:color w:val="auto"/>
          <w:highlight w:val="none"/>
        </w:rPr>
        <w:t>- 20 -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_Toc15536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2.2.评价目的及评价原则</w:t>
      </w:r>
      <w:r>
        <w:rPr>
          <w:color w:val="auto"/>
          <w:highlight w:val="none"/>
        </w:rPr>
        <w:tab/>
      </w:r>
      <w:r>
        <w:rPr>
          <w:color w:val="auto"/>
          <w:highlight w:val="none"/>
        </w:rPr>
        <w:fldChar w:fldCharType="begin"/>
      </w:r>
      <w:r>
        <w:rPr>
          <w:color w:val="auto"/>
          <w:highlight w:val="none"/>
        </w:rPr>
        <w:instrText xml:space="preserve"> PAGEREF _Toc15536 \h </w:instrText>
      </w:r>
      <w:r>
        <w:rPr>
          <w:color w:val="auto"/>
          <w:highlight w:val="none"/>
        </w:rPr>
        <w:fldChar w:fldCharType="separate"/>
      </w:r>
      <w:r>
        <w:rPr>
          <w:color w:val="auto"/>
          <w:highlight w:val="none"/>
        </w:rPr>
        <w:t>- 23 -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_Toc13076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2.3.评价标准</w:t>
      </w:r>
      <w:r>
        <w:rPr>
          <w:color w:val="auto"/>
          <w:highlight w:val="none"/>
        </w:rPr>
        <w:tab/>
      </w:r>
      <w:r>
        <w:rPr>
          <w:color w:val="auto"/>
          <w:highlight w:val="none"/>
        </w:rPr>
        <w:fldChar w:fldCharType="begin"/>
      </w:r>
      <w:r>
        <w:rPr>
          <w:color w:val="auto"/>
          <w:highlight w:val="none"/>
        </w:rPr>
        <w:instrText xml:space="preserve"> PAGEREF _Toc13076 \h </w:instrText>
      </w:r>
      <w:r>
        <w:rPr>
          <w:color w:val="auto"/>
          <w:highlight w:val="none"/>
        </w:rPr>
        <w:fldChar w:fldCharType="separate"/>
      </w:r>
      <w:r>
        <w:rPr>
          <w:color w:val="auto"/>
          <w:highlight w:val="none"/>
        </w:rPr>
        <w:t>- 25 -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_Toc9676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2.4.评价等级与评价范围</w:t>
      </w:r>
      <w:r>
        <w:rPr>
          <w:color w:val="auto"/>
          <w:highlight w:val="none"/>
        </w:rPr>
        <w:tab/>
      </w:r>
      <w:r>
        <w:rPr>
          <w:color w:val="auto"/>
          <w:highlight w:val="none"/>
        </w:rPr>
        <w:fldChar w:fldCharType="begin"/>
      </w:r>
      <w:r>
        <w:rPr>
          <w:color w:val="auto"/>
          <w:highlight w:val="none"/>
        </w:rPr>
        <w:instrText xml:space="preserve"> PAGEREF _Toc9676 \h </w:instrText>
      </w:r>
      <w:r>
        <w:rPr>
          <w:color w:val="auto"/>
          <w:highlight w:val="none"/>
        </w:rPr>
        <w:fldChar w:fldCharType="separate"/>
      </w:r>
      <w:r>
        <w:rPr>
          <w:color w:val="auto"/>
          <w:highlight w:val="none"/>
        </w:rPr>
        <w:t>- 30 -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_Toc2151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2.5.环境保护目标</w:t>
      </w:r>
      <w:r>
        <w:rPr>
          <w:color w:val="auto"/>
          <w:highlight w:val="none"/>
        </w:rPr>
        <w:tab/>
      </w:r>
      <w:r>
        <w:rPr>
          <w:color w:val="auto"/>
          <w:highlight w:val="none"/>
        </w:rPr>
        <w:fldChar w:fldCharType="begin"/>
      </w:r>
      <w:r>
        <w:rPr>
          <w:color w:val="auto"/>
          <w:highlight w:val="none"/>
        </w:rPr>
        <w:instrText xml:space="preserve"> PAGEREF _Toc2151 \h </w:instrText>
      </w:r>
      <w:r>
        <w:rPr>
          <w:color w:val="auto"/>
          <w:highlight w:val="none"/>
        </w:rPr>
        <w:fldChar w:fldCharType="separate"/>
      </w:r>
      <w:r>
        <w:rPr>
          <w:color w:val="auto"/>
          <w:highlight w:val="none"/>
        </w:rPr>
        <w:t>- 35 -</w:t>
      </w:r>
      <w:r>
        <w:rPr>
          <w:color w:val="auto"/>
          <w:highlight w:val="none"/>
        </w:rPr>
        <w:fldChar w:fldCharType="end"/>
      </w:r>
      <w:r>
        <w:rPr>
          <w:rFonts w:hint="default" w:ascii="Times New Roman" w:hAnsi="Times New Roman" w:cs="Times New Roman"/>
          <w:color w:val="auto"/>
          <w:highlight w:val="none"/>
        </w:rPr>
        <w:fldChar w:fldCharType="end"/>
      </w:r>
    </w:p>
    <w:p>
      <w:pPr>
        <w:pStyle w:val="23"/>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_Toc15102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3.建设项目工程分析</w:t>
      </w:r>
      <w:r>
        <w:rPr>
          <w:color w:val="auto"/>
          <w:highlight w:val="none"/>
        </w:rPr>
        <w:tab/>
      </w:r>
      <w:r>
        <w:rPr>
          <w:color w:val="auto"/>
          <w:highlight w:val="none"/>
        </w:rPr>
        <w:fldChar w:fldCharType="begin"/>
      </w:r>
      <w:r>
        <w:rPr>
          <w:color w:val="auto"/>
          <w:highlight w:val="none"/>
        </w:rPr>
        <w:instrText xml:space="preserve"> PAGEREF _Toc15102 \h </w:instrText>
      </w:r>
      <w:r>
        <w:rPr>
          <w:color w:val="auto"/>
          <w:highlight w:val="none"/>
        </w:rPr>
        <w:fldChar w:fldCharType="separate"/>
      </w:r>
      <w:r>
        <w:rPr>
          <w:color w:val="auto"/>
          <w:highlight w:val="none"/>
        </w:rPr>
        <w:t>- 38 -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_Toc13298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3.1.现有项目概况</w:t>
      </w:r>
      <w:r>
        <w:rPr>
          <w:color w:val="auto"/>
          <w:highlight w:val="none"/>
        </w:rPr>
        <w:tab/>
      </w:r>
      <w:r>
        <w:rPr>
          <w:color w:val="auto"/>
          <w:highlight w:val="none"/>
        </w:rPr>
        <w:fldChar w:fldCharType="begin"/>
      </w:r>
      <w:r>
        <w:rPr>
          <w:color w:val="auto"/>
          <w:highlight w:val="none"/>
        </w:rPr>
        <w:instrText xml:space="preserve"> PAGEREF _Toc13298 \h </w:instrText>
      </w:r>
      <w:r>
        <w:rPr>
          <w:color w:val="auto"/>
          <w:highlight w:val="none"/>
        </w:rPr>
        <w:fldChar w:fldCharType="separate"/>
      </w:r>
      <w:r>
        <w:rPr>
          <w:color w:val="auto"/>
          <w:highlight w:val="none"/>
        </w:rPr>
        <w:t>- 38 -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_Toc30488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3.2.拟建工程概况</w:t>
      </w:r>
      <w:r>
        <w:rPr>
          <w:color w:val="auto"/>
          <w:highlight w:val="none"/>
        </w:rPr>
        <w:tab/>
      </w:r>
      <w:r>
        <w:rPr>
          <w:color w:val="auto"/>
          <w:highlight w:val="none"/>
        </w:rPr>
        <w:fldChar w:fldCharType="begin"/>
      </w:r>
      <w:r>
        <w:rPr>
          <w:color w:val="auto"/>
          <w:highlight w:val="none"/>
        </w:rPr>
        <w:instrText xml:space="preserve"> PAGEREF _Toc30488 \h </w:instrText>
      </w:r>
      <w:r>
        <w:rPr>
          <w:color w:val="auto"/>
          <w:highlight w:val="none"/>
        </w:rPr>
        <w:fldChar w:fldCharType="separate"/>
      </w:r>
      <w:r>
        <w:rPr>
          <w:color w:val="auto"/>
          <w:highlight w:val="none"/>
        </w:rPr>
        <w:t>- 49 -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_Toc17173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3.3.工程分析</w:t>
      </w:r>
      <w:r>
        <w:rPr>
          <w:color w:val="auto"/>
          <w:highlight w:val="none"/>
        </w:rPr>
        <w:tab/>
      </w:r>
      <w:r>
        <w:rPr>
          <w:color w:val="auto"/>
          <w:highlight w:val="none"/>
        </w:rPr>
        <w:fldChar w:fldCharType="begin"/>
      </w:r>
      <w:r>
        <w:rPr>
          <w:color w:val="auto"/>
          <w:highlight w:val="none"/>
        </w:rPr>
        <w:instrText xml:space="preserve"> PAGEREF _Toc17173 \h </w:instrText>
      </w:r>
      <w:r>
        <w:rPr>
          <w:color w:val="auto"/>
          <w:highlight w:val="none"/>
        </w:rPr>
        <w:fldChar w:fldCharType="separate"/>
      </w:r>
      <w:r>
        <w:rPr>
          <w:color w:val="auto"/>
          <w:highlight w:val="none"/>
        </w:rPr>
        <w:t>- 63 -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3.4.工艺流程</w:t>
      </w:r>
      <w:r>
        <w:rPr>
          <w:color w:val="auto"/>
          <w:highlight w:val="none"/>
        </w:rPr>
        <w:tab/>
      </w:r>
      <w:r>
        <w:rPr>
          <w:color w:val="auto"/>
          <w:highlight w:val="none"/>
        </w:rPr>
        <w:fldChar w:fldCharType="begin"/>
      </w:r>
      <w:r>
        <w:rPr>
          <w:color w:val="auto"/>
          <w:highlight w:val="none"/>
        </w:rPr>
        <w:instrText xml:space="preserve"> PAGEREF _Toc136 \h </w:instrText>
      </w:r>
      <w:r>
        <w:rPr>
          <w:color w:val="auto"/>
          <w:highlight w:val="none"/>
        </w:rPr>
        <w:fldChar w:fldCharType="separate"/>
      </w:r>
      <w:r>
        <w:rPr>
          <w:color w:val="auto"/>
          <w:highlight w:val="none"/>
        </w:rPr>
        <w:t>- 73 -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_Toc32481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3.5.污染源分析</w:t>
      </w:r>
      <w:r>
        <w:rPr>
          <w:color w:val="auto"/>
          <w:highlight w:val="none"/>
        </w:rPr>
        <w:tab/>
      </w:r>
      <w:r>
        <w:rPr>
          <w:color w:val="auto"/>
          <w:highlight w:val="none"/>
        </w:rPr>
        <w:fldChar w:fldCharType="begin"/>
      </w:r>
      <w:r>
        <w:rPr>
          <w:color w:val="auto"/>
          <w:highlight w:val="none"/>
        </w:rPr>
        <w:instrText xml:space="preserve"> PAGEREF _Toc32481 \h </w:instrText>
      </w:r>
      <w:r>
        <w:rPr>
          <w:color w:val="auto"/>
          <w:highlight w:val="none"/>
        </w:rPr>
        <w:fldChar w:fldCharType="separate"/>
      </w:r>
      <w:r>
        <w:rPr>
          <w:color w:val="auto"/>
          <w:highlight w:val="none"/>
        </w:rPr>
        <w:t>- 79 -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_Toc5115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3.6.达标排放与总量控制</w:t>
      </w:r>
      <w:r>
        <w:rPr>
          <w:color w:val="auto"/>
          <w:highlight w:val="none"/>
        </w:rPr>
        <w:tab/>
      </w:r>
      <w:r>
        <w:rPr>
          <w:color w:val="auto"/>
          <w:highlight w:val="none"/>
        </w:rPr>
        <w:fldChar w:fldCharType="begin"/>
      </w:r>
      <w:r>
        <w:rPr>
          <w:color w:val="auto"/>
          <w:highlight w:val="none"/>
        </w:rPr>
        <w:instrText xml:space="preserve"> PAGEREF _Toc5115 \h </w:instrText>
      </w:r>
      <w:r>
        <w:rPr>
          <w:color w:val="auto"/>
          <w:highlight w:val="none"/>
        </w:rPr>
        <w:fldChar w:fldCharType="separate"/>
      </w:r>
      <w:r>
        <w:rPr>
          <w:color w:val="auto"/>
          <w:highlight w:val="none"/>
        </w:rPr>
        <w:t>- 94 -</w:t>
      </w:r>
      <w:r>
        <w:rPr>
          <w:color w:val="auto"/>
          <w:highlight w:val="none"/>
        </w:rPr>
        <w:fldChar w:fldCharType="end"/>
      </w:r>
      <w:r>
        <w:rPr>
          <w:rFonts w:hint="default" w:ascii="Times New Roman" w:hAnsi="Times New Roman" w:cs="Times New Roman"/>
          <w:color w:val="auto"/>
          <w:highlight w:val="none"/>
        </w:rPr>
        <w:fldChar w:fldCharType="end"/>
      </w:r>
    </w:p>
    <w:p>
      <w:pPr>
        <w:pStyle w:val="23"/>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_Toc21625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4.区域环境概况</w:t>
      </w:r>
      <w:r>
        <w:rPr>
          <w:color w:val="auto"/>
          <w:highlight w:val="none"/>
        </w:rPr>
        <w:tab/>
      </w:r>
      <w:r>
        <w:rPr>
          <w:color w:val="auto"/>
          <w:highlight w:val="none"/>
        </w:rPr>
        <w:fldChar w:fldCharType="begin"/>
      </w:r>
      <w:r>
        <w:rPr>
          <w:color w:val="auto"/>
          <w:highlight w:val="none"/>
        </w:rPr>
        <w:instrText xml:space="preserve"> PAGEREF _Toc21625 \h </w:instrText>
      </w:r>
      <w:r>
        <w:rPr>
          <w:color w:val="auto"/>
          <w:highlight w:val="none"/>
        </w:rPr>
        <w:fldChar w:fldCharType="separate"/>
      </w:r>
      <w:r>
        <w:rPr>
          <w:color w:val="auto"/>
          <w:highlight w:val="none"/>
        </w:rPr>
        <w:t>- 105 -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_Toc25508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4.1.自然环境概况</w:t>
      </w:r>
      <w:r>
        <w:rPr>
          <w:color w:val="auto"/>
          <w:highlight w:val="none"/>
        </w:rPr>
        <w:tab/>
      </w:r>
      <w:r>
        <w:rPr>
          <w:color w:val="auto"/>
          <w:highlight w:val="none"/>
        </w:rPr>
        <w:fldChar w:fldCharType="begin"/>
      </w:r>
      <w:r>
        <w:rPr>
          <w:color w:val="auto"/>
          <w:highlight w:val="none"/>
        </w:rPr>
        <w:instrText xml:space="preserve"> PAGEREF _Toc25508 \h </w:instrText>
      </w:r>
      <w:r>
        <w:rPr>
          <w:color w:val="auto"/>
          <w:highlight w:val="none"/>
        </w:rPr>
        <w:fldChar w:fldCharType="separate"/>
      </w:r>
      <w:r>
        <w:rPr>
          <w:color w:val="auto"/>
          <w:highlight w:val="none"/>
        </w:rPr>
        <w:t>- 105 -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_Toc24929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4.2.新疆昌吉国家农业高新技术产业示范区概况</w:t>
      </w:r>
      <w:r>
        <w:rPr>
          <w:color w:val="auto"/>
          <w:highlight w:val="none"/>
        </w:rPr>
        <w:tab/>
      </w:r>
      <w:r>
        <w:rPr>
          <w:color w:val="auto"/>
          <w:highlight w:val="none"/>
        </w:rPr>
        <w:fldChar w:fldCharType="begin"/>
      </w:r>
      <w:r>
        <w:rPr>
          <w:color w:val="auto"/>
          <w:highlight w:val="none"/>
        </w:rPr>
        <w:instrText xml:space="preserve"> PAGEREF _Toc24929 \h </w:instrText>
      </w:r>
      <w:r>
        <w:rPr>
          <w:color w:val="auto"/>
          <w:highlight w:val="none"/>
        </w:rPr>
        <w:fldChar w:fldCharType="separate"/>
      </w:r>
      <w:r>
        <w:rPr>
          <w:color w:val="auto"/>
          <w:highlight w:val="none"/>
        </w:rPr>
        <w:t>- 108 -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_Toc20190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4.3.区域环境现状调查与评价</w:t>
      </w:r>
      <w:r>
        <w:rPr>
          <w:color w:val="auto"/>
          <w:highlight w:val="none"/>
        </w:rPr>
        <w:tab/>
      </w:r>
      <w:r>
        <w:rPr>
          <w:color w:val="auto"/>
          <w:highlight w:val="none"/>
        </w:rPr>
        <w:fldChar w:fldCharType="begin"/>
      </w:r>
      <w:r>
        <w:rPr>
          <w:color w:val="auto"/>
          <w:highlight w:val="none"/>
        </w:rPr>
        <w:instrText xml:space="preserve"> PAGEREF _Toc20190 \h </w:instrText>
      </w:r>
      <w:r>
        <w:rPr>
          <w:color w:val="auto"/>
          <w:highlight w:val="none"/>
        </w:rPr>
        <w:fldChar w:fldCharType="separate"/>
      </w:r>
      <w:r>
        <w:rPr>
          <w:color w:val="auto"/>
          <w:highlight w:val="none"/>
        </w:rPr>
        <w:t>- 115 -</w:t>
      </w:r>
      <w:r>
        <w:rPr>
          <w:color w:val="auto"/>
          <w:highlight w:val="none"/>
        </w:rPr>
        <w:fldChar w:fldCharType="end"/>
      </w:r>
      <w:r>
        <w:rPr>
          <w:rFonts w:hint="default" w:ascii="Times New Roman" w:hAnsi="Times New Roman" w:cs="Times New Roman"/>
          <w:color w:val="auto"/>
          <w:highlight w:val="none"/>
        </w:rPr>
        <w:fldChar w:fldCharType="end"/>
      </w:r>
    </w:p>
    <w:p>
      <w:pPr>
        <w:pStyle w:val="23"/>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_Toc22785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5.环境影响预测与评价</w:t>
      </w:r>
      <w:r>
        <w:rPr>
          <w:color w:val="auto"/>
          <w:highlight w:val="none"/>
        </w:rPr>
        <w:tab/>
      </w:r>
      <w:r>
        <w:rPr>
          <w:color w:val="auto"/>
          <w:highlight w:val="none"/>
        </w:rPr>
        <w:fldChar w:fldCharType="begin"/>
      </w:r>
      <w:r>
        <w:rPr>
          <w:color w:val="auto"/>
          <w:highlight w:val="none"/>
        </w:rPr>
        <w:instrText xml:space="preserve"> PAGEREF _Toc22785 \h </w:instrText>
      </w:r>
      <w:r>
        <w:rPr>
          <w:color w:val="auto"/>
          <w:highlight w:val="none"/>
        </w:rPr>
        <w:fldChar w:fldCharType="separate"/>
      </w:r>
      <w:r>
        <w:rPr>
          <w:color w:val="auto"/>
          <w:highlight w:val="none"/>
        </w:rPr>
        <w:t>- 127 -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_Toc28345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5.1施工期环境影响分析</w:t>
      </w:r>
      <w:r>
        <w:rPr>
          <w:color w:val="auto"/>
          <w:highlight w:val="none"/>
        </w:rPr>
        <w:tab/>
      </w:r>
      <w:r>
        <w:rPr>
          <w:color w:val="auto"/>
          <w:highlight w:val="none"/>
        </w:rPr>
        <w:fldChar w:fldCharType="begin"/>
      </w:r>
      <w:r>
        <w:rPr>
          <w:color w:val="auto"/>
          <w:highlight w:val="none"/>
        </w:rPr>
        <w:instrText xml:space="preserve"> PAGEREF _Toc28345 \h </w:instrText>
      </w:r>
      <w:r>
        <w:rPr>
          <w:color w:val="auto"/>
          <w:highlight w:val="none"/>
        </w:rPr>
        <w:fldChar w:fldCharType="separate"/>
      </w:r>
      <w:r>
        <w:rPr>
          <w:color w:val="auto"/>
          <w:highlight w:val="none"/>
        </w:rPr>
        <w:t>- 132 -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_Toc19805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5.2.运营期环境影响分析</w:t>
      </w:r>
      <w:r>
        <w:rPr>
          <w:color w:val="auto"/>
          <w:highlight w:val="none"/>
        </w:rPr>
        <w:tab/>
      </w:r>
      <w:r>
        <w:rPr>
          <w:color w:val="auto"/>
          <w:highlight w:val="none"/>
        </w:rPr>
        <w:fldChar w:fldCharType="begin"/>
      </w:r>
      <w:r>
        <w:rPr>
          <w:color w:val="auto"/>
          <w:highlight w:val="none"/>
        </w:rPr>
        <w:instrText xml:space="preserve"> PAGEREF _Toc19805 \h </w:instrText>
      </w:r>
      <w:r>
        <w:rPr>
          <w:color w:val="auto"/>
          <w:highlight w:val="none"/>
        </w:rPr>
        <w:fldChar w:fldCharType="separate"/>
      </w:r>
      <w:r>
        <w:rPr>
          <w:color w:val="auto"/>
          <w:highlight w:val="none"/>
        </w:rPr>
        <w:t>- 137 -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_Toc9408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5.3.环境风险分析</w:t>
      </w:r>
      <w:r>
        <w:rPr>
          <w:color w:val="auto"/>
          <w:highlight w:val="none"/>
        </w:rPr>
        <w:tab/>
      </w:r>
      <w:r>
        <w:rPr>
          <w:color w:val="auto"/>
          <w:highlight w:val="none"/>
        </w:rPr>
        <w:fldChar w:fldCharType="begin"/>
      </w:r>
      <w:r>
        <w:rPr>
          <w:color w:val="auto"/>
          <w:highlight w:val="none"/>
        </w:rPr>
        <w:instrText xml:space="preserve"> PAGEREF _Toc9408 \h </w:instrText>
      </w:r>
      <w:r>
        <w:rPr>
          <w:color w:val="auto"/>
          <w:highlight w:val="none"/>
        </w:rPr>
        <w:fldChar w:fldCharType="separate"/>
      </w:r>
      <w:r>
        <w:rPr>
          <w:color w:val="auto"/>
          <w:highlight w:val="none"/>
        </w:rPr>
        <w:t>- 170 -</w:t>
      </w:r>
      <w:r>
        <w:rPr>
          <w:color w:val="auto"/>
          <w:highlight w:val="none"/>
        </w:rPr>
        <w:fldChar w:fldCharType="end"/>
      </w:r>
      <w:r>
        <w:rPr>
          <w:rFonts w:hint="default" w:ascii="Times New Roman" w:hAnsi="Times New Roman" w:cs="Times New Roman"/>
          <w:color w:val="auto"/>
          <w:highlight w:val="none"/>
        </w:rPr>
        <w:fldChar w:fldCharType="end"/>
      </w:r>
    </w:p>
    <w:p>
      <w:pPr>
        <w:pStyle w:val="23"/>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_Toc13947 </w:instrText>
      </w:r>
      <w:r>
        <w:rPr>
          <w:rFonts w:hint="default" w:ascii="Times New Roman" w:hAnsi="Times New Roman" w:cs="Times New Roman"/>
          <w:color w:val="auto"/>
          <w:highlight w:val="none"/>
        </w:rPr>
        <w:fldChar w:fldCharType="separate"/>
      </w:r>
      <w:r>
        <w:rPr>
          <w:rFonts w:hint="default"/>
          <w:color w:val="auto"/>
          <w:highlight w:val="none"/>
          <w:lang w:val="en-US" w:eastAsia="zh-CN"/>
        </w:rPr>
        <w:t>6.</w:t>
      </w:r>
      <w:r>
        <w:rPr>
          <w:rFonts w:hint="eastAsia"/>
          <w:color w:val="auto"/>
          <w:highlight w:val="none"/>
          <w:lang w:val="en-US" w:eastAsia="zh-CN"/>
        </w:rPr>
        <w:t>环境保护措施及其可行性论证</w:t>
      </w:r>
      <w:r>
        <w:rPr>
          <w:color w:val="auto"/>
          <w:highlight w:val="none"/>
        </w:rPr>
        <w:tab/>
      </w:r>
      <w:r>
        <w:rPr>
          <w:color w:val="auto"/>
          <w:highlight w:val="none"/>
        </w:rPr>
        <w:fldChar w:fldCharType="begin"/>
      </w:r>
      <w:r>
        <w:rPr>
          <w:color w:val="auto"/>
          <w:highlight w:val="none"/>
        </w:rPr>
        <w:instrText xml:space="preserve"> PAGEREF _Toc13947 \h </w:instrText>
      </w:r>
      <w:r>
        <w:rPr>
          <w:color w:val="auto"/>
          <w:highlight w:val="none"/>
        </w:rPr>
        <w:fldChar w:fldCharType="separate"/>
      </w:r>
      <w:r>
        <w:rPr>
          <w:color w:val="auto"/>
          <w:highlight w:val="none"/>
        </w:rPr>
        <w:t>- 179 -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_Toc28618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6.1施工期污染防治措施分析</w:t>
      </w:r>
      <w:r>
        <w:rPr>
          <w:color w:val="auto"/>
          <w:highlight w:val="none"/>
        </w:rPr>
        <w:tab/>
      </w:r>
      <w:r>
        <w:rPr>
          <w:color w:val="auto"/>
          <w:highlight w:val="none"/>
        </w:rPr>
        <w:fldChar w:fldCharType="begin"/>
      </w:r>
      <w:r>
        <w:rPr>
          <w:color w:val="auto"/>
          <w:highlight w:val="none"/>
        </w:rPr>
        <w:instrText xml:space="preserve"> PAGEREF _Toc28618 \h </w:instrText>
      </w:r>
      <w:r>
        <w:rPr>
          <w:color w:val="auto"/>
          <w:highlight w:val="none"/>
        </w:rPr>
        <w:fldChar w:fldCharType="separate"/>
      </w:r>
      <w:r>
        <w:rPr>
          <w:color w:val="auto"/>
          <w:highlight w:val="none"/>
        </w:rPr>
        <w:t>- 179 -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_Toc22794 </w:instrText>
      </w:r>
      <w:r>
        <w:rPr>
          <w:rFonts w:hint="default" w:ascii="Times New Roman" w:hAnsi="Times New Roman" w:cs="Times New Roman"/>
          <w:color w:val="auto"/>
          <w:highlight w:val="none"/>
        </w:rPr>
        <w:fldChar w:fldCharType="separate"/>
      </w:r>
      <w:r>
        <w:rPr>
          <w:rFonts w:hint="default"/>
          <w:color w:val="auto"/>
          <w:highlight w:val="none"/>
        </w:rPr>
        <w:t>6.2.运营期污染防治措施分析</w:t>
      </w:r>
      <w:r>
        <w:rPr>
          <w:color w:val="auto"/>
          <w:highlight w:val="none"/>
        </w:rPr>
        <w:tab/>
      </w:r>
      <w:r>
        <w:rPr>
          <w:color w:val="auto"/>
          <w:highlight w:val="none"/>
        </w:rPr>
        <w:fldChar w:fldCharType="begin"/>
      </w:r>
      <w:r>
        <w:rPr>
          <w:color w:val="auto"/>
          <w:highlight w:val="none"/>
        </w:rPr>
        <w:instrText xml:space="preserve"> PAGEREF _Toc22794 \h </w:instrText>
      </w:r>
      <w:r>
        <w:rPr>
          <w:color w:val="auto"/>
          <w:highlight w:val="none"/>
        </w:rPr>
        <w:fldChar w:fldCharType="separate"/>
      </w:r>
      <w:r>
        <w:rPr>
          <w:color w:val="auto"/>
          <w:highlight w:val="none"/>
        </w:rPr>
        <w:t>- 181 -</w:t>
      </w:r>
      <w:r>
        <w:rPr>
          <w:color w:val="auto"/>
          <w:highlight w:val="none"/>
        </w:rPr>
        <w:fldChar w:fldCharType="end"/>
      </w:r>
      <w:r>
        <w:rPr>
          <w:rFonts w:hint="default" w:ascii="Times New Roman" w:hAnsi="Times New Roman" w:cs="Times New Roman"/>
          <w:color w:val="auto"/>
          <w:highlight w:val="none"/>
        </w:rPr>
        <w:fldChar w:fldCharType="end"/>
      </w:r>
    </w:p>
    <w:p>
      <w:pPr>
        <w:pStyle w:val="23"/>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_Toc31662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7.环境影响经济损益分析</w:t>
      </w:r>
      <w:r>
        <w:rPr>
          <w:color w:val="auto"/>
          <w:highlight w:val="none"/>
        </w:rPr>
        <w:tab/>
      </w:r>
      <w:r>
        <w:rPr>
          <w:color w:val="auto"/>
          <w:highlight w:val="none"/>
        </w:rPr>
        <w:fldChar w:fldCharType="begin"/>
      </w:r>
      <w:r>
        <w:rPr>
          <w:color w:val="auto"/>
          <w:highlight w:val="none"/>
        </w:rPr>
        <w:instrText xml:space="preserve"> PAGEREF _Toc31662 \h </w:instrText>
      </w:r>
      <w:r>
        <w:rPr>
          <w:color w:val="auto"/>
          <w:highlight w:val="none"/>
        </w:rPr>
        <w:fldChar w:fldCharType="separate"/>
      </w:r>
      <w:r>
        <w:rPr>
          <w:color w:val="auto"/>
          <w:highlight w:val="none"/>
        </w:rPr>
        <w:t>- 200 -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_Toc24262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7.1.环保投资</w:t>
      </w:r>
      <w:r>
        <w:rPr>
          <w:color w:val="auto"/>
          <w:highlight w:val="none"/>
        </w:rPr>
        <w:tab/>
      </w:r>
      <w:r>
        <w:rPr>
          <w:color w:val="auto"/>
          <w:highlight w:val="none"/>
        </w:rPr>
        <w:fldChar w:fldCharType="begin"/>
      </w:r>
      <w:r>
        <w:rPr>
          <w:color w:val="auto"/>
          <w:highlight w:val="none"/>
        </w:rPr>
        <w:instrText xml:space="preserve"> PAGEREF _Toc24262 \h </w:instrText>
      </w:r>
      <w:r>
        <w:rPr>
          <w:color w:val="auto"/>
          <w:highlight w:val="none"/>
        </w:rPr>
        <w:fldChar w:fldCharType="separate"/>
      </w:r>
      <w:r>
        <w:rPr>
          <w:color w:val="auto"/>
          <w:highlight w:val="none"/>
        </w:rPr>
        <w:t>- 200 -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_Toc25058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7.2.环境效益分析</w:t>
      </w:r>
      <w:r>
        <w:rPr>
          <w:color w:val="auto"/>
          <w:highlight w:val="none"/>
        </w:rPr>
        <w:tab/>
      </w:r>
      <w:r>
        <w:rPr>
          <w:color w:val="auto"/>
          <w:highlight w:val="none"/>
        </w:rPr>
        <w:fldChar w:fldCharType="begin"/>
      </w:r>
      <w:r>
        <w:rPr>
          <w:color w:val="auto"/>
          <w:highlight w:val="none"/>
        </w:rPr>
        <w:instrText xml:space="preserve"> PAGEREF _Toc25058 \h </w:instrText>
      </w:r>
      <w:r>
        <w:rPr>
          <w:color w:val="auto"/>
          <w:highlight w:val="none"/>
        </w:rPr>
        <w:fldChar w:fldCharType="separate"/>
      </w:r>
      <w:r>
        <w:rPr>
          <w:color w:val="auto"/>
          <w:highlight w:val="none"/>
        </w:rPr>
        <w:t>- 201 -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_Toc27416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7.3.社会效益分析</w:t>
      </w:r>
      <w:r>
        <w:rPr>
          <w:color w:val="auto"/>
          <w:highlight w:val="none"/>
        </w:rPr>
        <w:tab/>
      </w:r>
      <w:r>
        <w:rPr>
          <w:color w:val="auto"/>
          <w:highlight w:val="none"/>
        </w:rPr>
        <w:fldChar w:fldCharType="begin"/>
      </w:r>
      <w:r>
        <w:rPr>
          <w:color w:val="auto"/>
          <w:highlight w:val="none"/>
        </w:rPr>
        <w:instrText xml:space="preserve"> PAGEREF _Toc27416 \h </w:instrText>
      </w:r>
      <w:r>
        <w:rPr>
          <w:color w:val="auto"/>
          <w:highlight w:val="none"/>
        </w:rPr>
        <w:fldChar w:fldCharType="separate"/>
      </w:r>
      <w:r>
        <w:rPr>
          <w:color w:val="auto"/>
          <w:highlight w:val="none"/>
        </w:rPr>
        <w:t>- 201 -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_Toc4297 </w:instrText>
      </w:r>
      <w:r>
        <w:rPr>
          <w:rFonts w:hint="default" w:ascii="Times New Roman" w:hAnsi="Times New Roman" w:cs="Times New Roman"/>
          <w:color w:val="auto"/>
          <w:highlight w:val="none"/>
        </w:rPr>
        <w:fldChar w:fldCharType="separate"/>
      </w:r>
      <w:r>
        <w:rPr>
          <w:rFonts w:hint="default" w:eastAsia="宋体"/>
          <w:color w:val="auto"/>
          <w:highlight w:val="none"/>
          <w:lang w:val="en-US" w:eastAsia="zh-CN"/>
        </w:rPr>
        <w:t>7.4.</w:t>
      </w:r>
      <w:r>
        <w:rPr>
          <w:rFonts w:hint="eastAsia"/>
          <w:color w:val="auto"/>
          <w:highlight w:val="none"/>
          <w:lang w:val="en-US" w:eastAsia="zh-CN"/>
        </w:rPr>
        <w:t>小结</w:t>
      </w:r>
      <w:r>
        <w:rPr>
          <w:color w:val="auto"/>
          <w:highlight w:val="none"/>
        </w:rPr>
        <w:tab/>
      </w:r>
      <w:r>
        <w:rPr>
          <w:color w:val="auto"/>
          <w:highlight w:val="none"/>
        </w:rPr>
        <w:fldChar w:fldCharType="begin"/>
      </w:r>
      <w:r>
        <w:rPr>
          <w:color w:val="auto"/>
          <w:highlight w:val="none"/>
        </w:rPr>
        <w:instrText xml:space="preserve"> PAGEREF _Toc4297 \h </w:instrText>
      </w:r>
      <w:r>
        <w:rPr>
          <w:color w:val="auto"/>
          <w:highlight w:val="none"/>
        </w:rPr>
        <w:fldChar w:fldCharType="separate"/>
      </w:r>
      <w:r>
        <w:rPr>
          <w:color w:val="auto"/>
          <w:highlight w:val="none"/>
        </w:rPr>
        <w:t>- 201 -</w:t>
      </w:r>
      <w:r>
        <w:rPr>
          <w:color w:val="auto"/>
          <w:highlight w:val="none"/>
        </w:rPr>
        <w:fldChar w:fldCharType="end"/>
      </w:r>
      <w:r>
        <w:rPr>
          <w:rFonts w:hint="default" w:ascii="Times New Roman" w:hAnsi="Times New Roman" w:cs="Times New Roman"/>
          <w:color w:val="auto"/>
          <w:highlight w:val="none"/>
        </w:rPr>
        <w:fldChar w:fldCharType="end"/>
      </w:r>
    </w:p>
    <w:p>
      <w:pPr>
        <w:pStyle w:val="23"/>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_Toc12524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8.环境管理与监测计划</w:t>
      </w:r>
      <w:r>
        <w:rPr>
          <w:color w:val="auto"/>
          <w:highlight w:val="none"/>
        </w:rPr>
        <w:tab/>
      </w:r>
      <w:r>
        <w:rPr>
          <w:color w:val="auto"/>
          <w:highlight w:val="none"/>
        </w:rPr>
        <w:fldChar w:fldCharType="begin"/>
      </w:r>
      <w:r>
        <w:rPr>
          <w:color w:val="auto"/>
          <w:highlight w:val="none"/>
        </w:rPr>
        <w:instrText xml:space="preserve"> PAGEREF _Toc12524 \h </w:instrText>
      </w:r>
      <w:r>
        <w:rPr>
          <w:color w:val="auto"/>
          <w:highlight w:val="none"/>
        </w:rPr>
        <w:fldChar w:fldCharType="separate"/>
      </w:r>
      <w:r>
        <w:rPr>
          <w:color w:val="auto"/>
          <w:highlight w:val="none"/>
        </w:rPr>
        <w:t>- 202 -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_Toc23890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8.1.环境管理</w:t>
      </w:r>
      <w:r>
        <w:rPr>
          <w:color w:val="auto"/>
          <w:highlight w:val="none"/>
        </w:rPr>
        <w:tab/>
      </w:r>
      <w:r>
        <w:rPr>
          <w:color w:val="auto"/>
          <w:highlight w:val="none"/>
        </w:rPr>
        <w:fldChar w:fldCharType="begin"/>
      </w:r>
      <w:r>
        <w:rPr>
          <w:color w:val="auto"/>
          <w:highlight w:val="none"/>
        </w:rPr>
        <w:instrText xml:space="preserve"> PAGEREF _Toc23890 \h </w:instrText>
      </w:r>
      <w:r>
        <w:rPr>
          <w:color w:val="auto"/>
          <w:highlight w:val="none"/>
        </w:rPr>
        <w:fldChar w:fldCharType="separate"/>
      </w:r>
      <w:r>
        <w:rPr>
          <w:color w:val="auto"/>
          <w:highlight w:val="none"/>
        </w:rPr>
        <w:t>- 202 -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_Toc12384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8.2.环境监测</w:t>
      </w:r>
      <w:r>
        <w:rPr>
          <w:color w:val="auto"/>
          <w:highlight w:val="none"/>
        </w:rPr>
        <w:tab/>
      </w:r>
      <w:r>
        <w:rPr>
          <w:color w:val="auto"/>
          <w:highlight w:val="none"/>
        </w:rPr>
        <w:fldChar w:fldCharType="begin"/>
      </w:r>
      <w:r>
        <w:rPr>
          <w:color w:val="auto"/>
          <w:highlight w:val="none"/>
        </w:rPr>
        <w:instrText xml:space="preserve"> PAGEREF _Toc12384 \h </w:instrText>
      </w:r>
      <w:r>
        <w:rPr>
          <w:color w:val="auto"/>
          <w:highlight w:val="none"/>
        </w:rPr>
        <w:fldChar w:fldCharType="separate"/>
      </w:r>
      <w:r>
        <w:rPr>
          <w:color w:val="auto"/>
          <w:highlight w:val="none"/>
        </w:rPr>
        <w:t>- 204 -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_Toc29286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8.3.营运期环境监测方案</w:t>
      </w:r>
      <w:r>
        <w:rPr>
          <w:color w:val="auto"/>
          <w:highlight w:val="none"/>
        </w:rPr>
        <w:tab/>
      </w:r>
      <w:r>
        <w:rPr>
          <w:color w:val="auto"/>
          <w:highlight w:val="none"/>
        </w:rPr>
        <w:fldChar w:fldCharType="begin"/>
      </w:r>
      <w:r>
        <w:rPr>
          <w:color w:val="auto"/>
          <w:highlight w:val="none"/>
        </w:rPr>
        <w:instrText xml:space="preserve"> PAGEREF _Toc29286 \h </w:instrText>
      </w:r>
      <w:r>
        <w:rPr>
          <w:color w:val="auto"/>
          <w:highlight w:val="none"/>
        </w:rPr>
        <w:fldChar w:fldCharType="separate"/>
      </w:r>
      <w:r>
        <w:rPr>
          <w:color w:val="auto"/>
          <w:highlight w:val="none"/>
        </w:rPr>
        <w:t>- 205 -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_Toc5332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8.4.排污口规范</w:t>
      </w:r>
      <w:r>
        <w:rPr>
          <w:color w:val="auto"/>
          <w:highlight w:val="none"/>
        </w:rPr>
        <w:tab/>
      </w:r>
      <w:r>
        <w:rPr>
          <w:color w:val="auto"/>
          <w:highlight w:val="none"/>
        </w:rPr>
        <w:fldChar w:fldCharType="begin"/>
      </w:r>
      <w:r>
        <w:rPr>
          <w:color w:val="auto"/>
          <w:highlight w:val="none"/>
        </w:rPr>
        <w:instrText xml:space="preserve"> PAGEREF _Toc5332 \h </w:instrText>
      </w:r>
      <w:r>
        <w:rPr>
          <w:color w:val="auto"/>
          <w:highlight w:val="none"/>
        </w:rPr>
        <w:fldChar w:fldCharType="separate"/>
      </w:r>
      <w:r>
        <w:rPr>
          <w:color w:val="auto"/>
          <w:highlight w:val="none"/>
        </w:rPr>
        <w:t>- 206 -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_Toc26185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8.5.竣工环境保护验收计划</w:t>
      </w:r>
      <w:r>
        <w:rPr>
          <w:color w:val="auto"/>
          <w:highlight w:val="none"/>
        </w:rPr>
        <w:tab/>
      </w:r>
      <w:r>
        <w:rPr>
          <w:color w:val="auto"/>
          <w:highlight w:val="none"/>
        </w:rPr>
        <w:fldChar w:fldCharType="begin"/>
      </w:r>
      <w:r>
        <w:rPr>
          <w:color w:val="auto"/>
          <w:highlight w:val="none"/>
        </w:rPr>
        <w:instrText xml:space="preserve"> PAGEREF _Toc26185 \h </w:instrText>
      </w:r>
      <w:r>
        <w:rPr>
          <w:color w:val="auto"/>
          <w:highlight w:val="none"/>
        </w:rPr>
        <w:fldChar w:fldCharType="separate"/>
      </w:r>
      <w:r>
        <w:rPr>
          <w:color w:val="auto"/>
          <w:highlight w:val="none"/>
        </w:rPr>
        <w:t>- 207 -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_Toc10145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8.6.三本账</w:t>
      </w:r>
      <w:r>
        <w:rPr>
          <w:color w:val="auto"/>
          <w:highlight w:val="none"/>
        </w:rPr>
        <w:tab/>
      </w:r>
      <w:r>
        <w:rPr>
          <w:color w:val="auto"/>
          <w:highlight w:val="none"/>
        </w:rPr>
        <w:fldChar w:fldCharType="begin"/>
      </w:r>
      <w:r>
        <w:rPr>
          <w:color w:val="auto"/>
          <w:highlight w:val="none"/>
        </w:rPr>
        <w:instrText xml:space="preserve"> PAGEREF _Toc10145 \h </w:instrText>
      </w:r>
      <w:r>
        <w:rPr>
          <w:color w:val="auto"/>
          <w:highlight w:val="none"/>
        </w:rPr>
        <w:fldChar w:fldCharType="separate"/>
      </w:r>
      <w:r>
        <w:rPr>
          <w:color w:val="auto"/>
          <w:highlight w:val="none"/>
        </w:rPr>
        <w:t>- 213 -</w:t>
      </w:r>
      <w:r>
        <w:rPr>
          <w:color w:val="auto"/>
          <w:highlight w:val="none"/>
        </w:rPr>
        <w:fldChar w:fldCharType="end"/>
      </w:r>
      <w:r>
        <w:rPr>
          <w:rFonts w:hint="default" w:ascii="Times New Roman" w:hAnsi="Times New Roman" w:cs="Times New Roman"/>
          <w:color w:val="auto"/>
          <w:highlight w:val="none"/>
        </w:rPr>
        <w:fldChar w:fldCharType="end"/>
      </w:r>
    </w:p>
    <w:p>
      <w:pPr>
        <w:pStyle w:val="23"/>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_Toc1444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9.环境影响评价结论</w:t>
      </w:r>
      <w:r>
        <w:rPr>
          <w:color w:val="auto"/>
          <w:highlight w:val="none"/>
        </w:rPr>
        <w:tab/>
      </w:r>
      <w:r>
        <w:rPr>
          <w:color w:val="auto"/>
          <w:highlight w:val="none"/>
        </w:rPr>
        <w:fldChar w:fldCharType="begin"/>
      </w:r>
      <w:r>
        <w:rPr>
          <w:color w:val="auto"/>
          <w:highlight w:val="none"/>
        </w:rPr>
        <w:instrText xml:space="preserve"> PAGEREF _Toc1444 \h </w:instrText>
      </w:r>
      <w:r>
        <w:rPr>
          <w:color w:val="auto"/>
          <w:highlight w:val="none"/>
        </w:rPr>
        <w:fldChar w:fldCharType="separate"/>
      </w:r>
      <w:r>
        <w:rPr>
          <w:color w:val="auto"/>
          <w:highlight w:val="none"/>
        </w:rPr>
        <w:t>- 217 -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_Toc31722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9.1.项目概况</w:t>
      </w:r>
      <w:r>
        <w:rPr>
          <w:color w:val="auto"/>
          <w:highlight w:val="none"/>
        </w:rPr>
        <w:tab/>
      </w:r>
      <w:r>
        <w:rPr>
          <w:color w:val="auto"/>
          <w:highlight w:val="none"/>
        </w:rPr>
        <w:fldChar w:fldCharType="begin"/>
      </w:r>
      <w:r>
        <w:rPr>
          <w:color w:val="auto"/>
          <w:highlight w:val="none"/>
        </w:rPr>
        <w:instrText xml:space="preserve"> PAGEREF _Toc31722 \h </w:instrText>
      </w:r>
      <w:r>
        <w:rPr>
          <w:color w:val="auto"/>
          <w:highlight w:val="none"/>
        </w:rPr>
        <w:fldChar w:fldCharType="separate"/>
      </w:r>
      <w:r>
        <w:rPr>
          <w:color w:val="auto"/>
          <w:highlight w:val="none"/>
        </w:rPr>
        <w:t>- 217 -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_Toc17625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9.2.产业政策相符性分析</w:t>
      </w:r>
      <w:r>
        <w:rPr>
          <w:color w:val="auto"/>
          <w:highlight w:val="none"/>
        </w:rPr>
        <w:tab/>
      </w:r>
      <w:r>
        <w:rPr>
          <w:color w:val="auto"/>
          <w:highlight w:val="none"/>
        </w:rPr>
        <w:fldChar w:fldCharType="begin"/>
      </w:r>
      <w:r>
        <w:rPr>
          <w:color w:val="auto"/>
          <w:highlight w:val="none"/>
        </w:rPr>
        <w:instrText xml:space="preserve"> PAGEREF _Toc17625 \h </w:instrText>
      </w:r>
      <w:r>
        <w:rPr>
          <w:color w:val="auto"/>
          <w:highlight w:val="none"/>
        </w:rPr>
        <w:fldChar w:fldCharType="separate"/>
      </w:r>
      <w:r>
        <w:rPr>
          <w:color w:val="auto"/>
          <w:highlight w:val="none"/>
        </w:rPr>
        <w:t>- 217 -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_Toc4278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9.3.环境质量现状结论</w:t>
      </w:r>
      <w:r>
        <w:rPr>
          <w:color w:val="auto"/>
          <w:highlight w:val="none"/>
        </w:rPr>
        <w:tab/>
      </w:r>
      <w:r>
        <w:rPr>
          <w:color w:val="auto"/>
          <w:highlight w:val="none"/>
        </w:rPr>
        <w:fldChar w:fldCharType="begin"/>
      </w:r>
      <w:r>
        <w:rPr>
          <w:color w:val="auto"/>
          <w:highlight w:val="none"/>
        </w:rPr>
        <w:instrText xml:space="preserve"> PAGEREF _Toc4278 \h </w:instrText>
      </w:r>
      <w:r>
        <w:rPr>
          <w:color w:val="auto"/>
          <w:highlight w:val="none"/>
        </w:rPr>
        <w:fldChar w:fldCharType="separate"/>
      </w:r>
      <w:r>
        <w:rPr>
          <w:color w:val="auto"/>
          <w:highlight w:val="none"/>
        </w:rPr>
        <w:t>- 218 -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_Toc31566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9.4.环境影响预测分析结论</w:t>
      </w:r>
      <w:r>
        <w:rPr>
          <w:color w:val="auto"/>
          <w:highlight w:val="none"/>
        </w:rPr>
        <w:tab/>
      </w:r>
      <w:r>
        <w:rPr>
          <w:color w:val="auto"/>
          <w:highlight w:val="none"/>
        </w:rPr>
        <w:fldChar w:fldCharType="begin"/>
      </w:r>
      <w:r>
        <w:rPr>
          <w:color w:val="auto"/>
          <w:highlight w:val="none"/>
        </w:rPr>
        <w:instrText xml:space="preserve"> PAGEREF _Toc31566 \h </w:instrText>
      </w:r>
      <w:r>
        <w:rPr>
          <w:color w:val="auto"/>
          <w:highlight w:val="none"/>
        </w:rPr>
        <w:fldChar w:fldCharType="separate"/>
      </w:r>
      <w:r>
        <w:rPr>
          <w:color w:val="auto"/>
          <w:highlight w:val="none"/>
        </w:rPr>
        <w:t>- 218 -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_Toc19047 </w:instrText>
      </w:r>
      <w:r>
        <w:rPr>
          <w:rFonts w:hint="default" w:ascii="Times New Roman" w:hAnsi="Times New Roman" w:cs="Times New Roman"/>
          <w:color w:val="auto"/>
          <w:highlight w:val="none"/>
        </w:rPr>
        <w:fldChar w:fldCharType="separate"/>
      </w:r>
      <w:r>
        <w:rPr>
          <w:rFonts w:hint="default"/>
          <w:color w:val="auto"/>
          <w:highlight w:val="none"/>
        </w:rPr>
        <w:t>9.5.环境风险分析</w:t>
      </w:r>
      <w:r>
        <w:rPr>
          <w:color w:val="auto"/>
          <w:highlight w:val="none"/>
        </w:rPr>
        <w:tab/>
      </w:r>
      <w:r>
        <w:rPr>
          <w:color w:val="auto"/>
          <w:highlight w:val="none"/>
        </w:rPr>
        <w:fldChar w:fldCharType="begin"/>
      </w:r>
      <w:r>
        <w:rPr>
          <w:color w:val="auto"/>
          <w:highlight w:val="none"/>
        </w:rPr>
        <w:instrText xml:space="preserve"> PAGEREF _Toc19047 \h </w:instrText>
      </w:r>
      <w:r>
        <w:rPr>
          <w:color w:val="auto"/>
          <w:highlight w:val="none"/>
        </w:rPr>
        <w:fldChar w:fldCharType="separate"/>
      </w:r>
      <w:r>
        <w:rPr>
          <w:color w:val="auto"/>
          <w:highlight w:val="none"/>
        </w:rPr>
        <w:t>- 220 -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_Toc1065 </w:instrText>
      </w:r>
      <w:r>
        <w:rPr>
          <w:rFonts w:hint="default" w:ascii="Times New Roman" w:hAnsi="Times New Roman" w:cs="Times New Roman"/>
          <w:color w:val="auto"/>
          <w:highlight w:val="none"/>
        </w:rPr>
        <w:fldChar w:fldCharType="separate"/>
      </w:r>
      <w:r>
        <w:rPr>
          <w:rFonts w:hint="default"/>
          <w:color w:val="auto"/>
          <w:highlight w:val="none"/>
        </w:rPr>
        <w:t>9.6.总结论</w:t>
      </w:r>
      <w:r>
        <w:rPr>
          <w:color w:val="auto"/>
          <w:highlight w:val="none"/>
        </w:rPr>
        <w:tab/>
      </w:r>
      <w:r>
        <w:rPr>
          <w:color w:val="auto"/>
          <w:highlight w:val="none"/>
        </w:rPr>
        <w:fldChar w:fldCharType="begin"/>
      </w:r>
      <w:r>
        <w:rPr>
          <w:color w:val="auto"/>
          <w:highlight w:val="none"/>
        </w:rPr>
        <w:instrText xml:space="preserve"> PAGEREF _Toc1065 \h </w:instrText>
      </w:r>
      <w:r>
        <w:rPr>
          <w:color w:val="auto"/>
          <w:highlight w:val="none"/>
        </w:rPr>
        <w:fldChar w:fldCharType="separate"/>
      </w:r>
      <w:r>
        <w:rPr>
          <w:color w:val="auto"/>
          <w:highlight w:val="none"/>
        </w:rPr>
        <w:t>- 220 -</w:t>
      </w:r>
      <w:r>
        <w:rPr>
          <w:color w:val="auto"/>
          <w:highlight w:val="none"/>
        </w:rPr>
        <w:fldChar w:fldCharType="end"/>
      </w:r>
      <w:r>
        <w:rPr>
          <w:rFonts w:hint="default" w:ascii="Times New Roman" w:hAnsi="Times New Roman" w:cs="Times New Roman"/>
          <w:color w:val="auto"/>
          <w:highlight w:val="none"/>
        </w:rPr>
        <w:fldChar w:fldCharType="end"/>
      </w:r>
    </w:p>
    <w:p>
      <w:pPr>
        <w:pStyle w:val="26"/>
        <w:tabs>
          <w:tab w:val="right" w:leader="dot" w:pos="9298"/>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_Toc9903 </w:instrText>
      </w:r>
      <w:r>
        <w:rPr>
          <w:rFonts w:hint="default" w:ascii="Times New Roman" w:hAnsi="Times New Roman" w:cs="Times New Roman"/>
          <w:color w:val="auto"/>
          <w:highlight w:val="none"/>
        </w:rPr>
        <w:fldChar w:fldCharType="separate"/>
      </w:r>
      <w:r>
        <w:rPr>
          <w:rFonts w:hint="default"/>
          <w:color w:val="auto"/>
          <w:highlight w:val="none"/>
        </w:rPr>
        <w:t>9.7.建议和要求</w:t>
      </w:r>
      <w:r>
        <w:rPr>
          <w:color w:val="auto"/>
          <w:highlight w:val="none"/>
        </w:rPr>
        <w:tab/>
      </w:r>
      <w:r>
        <w:rPr>
          <w:color w:val="auto"/>
          <w:highlight w:val="none"/>
        </w:rPr>
        <w:fldChar w:fldCharType="begin"/>
      </w:r>
      <w:r>
        <w:rPr>
          <w:color w:val="auto"/>
          <w:highlight w:val="none"/>
        </w:rPr>
        <w:instrText xml:space="preserve"> PAGEREF _Toc9903 \h </w:instrText>
      </w:r>
      <w:r>
        <w:rPr>
          <w:color w:val="auto"/>
          <w:highlight w:val="none"/>
        </w:rPr>
        <w:fldChar w:fldCharType="separate"/>
      </w:r>
      <w:r>
        <w:rPr>
          <w:color w:val="auto"/>
          <w:highlight w:val="none"/>
        </w:rPr>
        <w:t>- 220 -</w:t>
      </w:r>
      <w:r>
        <w:rPr>
          <w:color w:val="auto"/>
          <w:highlight w:val="none"/>
        </w:rPr>
        <w:fldChar w:fldCharType="end"/>
      </w:r>
      <w:r>
        <w:rPr>
          <w:rFonts w:hint="default" w:ascii="Times New Roman" w:hAnsi="Times New Roman" w:cs="Times New Roman"/>
          <w:color w:val="auto"/>
          <w:highlight w:val="none"/>
        </w:rPr>
        <w:fldChar w:fldCharType="end"/>
      </w:r>
    </w:p>
    <w:p>
      <w:pPr>
        <w:ind w:firstLine="482"/>
        <w:rPr>
          <w:rFonts w:hint="default" w:ascii="Times New Roman" w:hAnsi="Times New Roman" w:cs="Times New Roman"/>
          <w:color w:val="auto"/>
          <w:highlight w:val="none"/>
        </w:rPr>
        <w:sectPr>
          <w:pgSz w:w="11906" w:h="16838"/>
          <w:pgMar w:top="1440" w:right="1304" w:bottom="1440" w:left="1304" w:header="851" w:footer="992" w:gutter="0"/>
          <w:pgBorders>
            <w:top w:val="none" w:sz="0" w:space="0"/>
            <w:left w:val="none" w:sz="0" w:space="0"/>
            <w:bottom w:val="none" w:sz="0" w:space="0"/>
            <w:right w:val="none" w:sz="0" w:space="0"/>
          </w:pgBorders>
          <w:cols w:space="0" w:num="1"/>
          <w:docGrid w:type="lines" w:linePitch="312" w:charSpace="0"/>
        </w:sectPr>
      </w:pPr>
      <w:r>
        <w:rPr>
          <w:rFonts w:hint="default" w:ascii="Times New Roman" w:hAnsi="Times New Roman" w:cs="Times New Roman"/>
          <w:color w:val="auto"/>
          <w:highlight w:val="none"/>
        </w:rPr>
        <w:fldChar w:fldCharType="end"/>
      </w:r>
    </w:p>
    <w:p>
      <w:pPr>
        <w:pStyle w:val="3"/>
        <w:rPr>
          <w:rFonts w:hint="default" w:ascii="Times New Roman" w:hAnsi="Times New Roman" w:cs="Times New Roman"/>
          <w:color w:val="auto"/>
          <w:highlight w:val="none"/>
        </w:rPr>
      </w:pPr>
      <w:bookmarkStart w:id="6" w:name="_Toc1768"/>
      <w:bookmarkStart w:id="7" w:name="_Toc406772387"/>
      <w:bookmarkStart w:id="8" w:name="_Toc11813"/>
      <w:bookmarkStart w:id="9" w:name="_Toc495999928"/>
      <w:r>
        <w:rPr>
          <w:rFonts w:hint="eastAsia"/>
          <w:color w:val="auto"/>
          <w:highlight w:val="none"/>
          <w:lang w:val="en-US" w:eastAsia="zh-CN"/>
        </w:rPr>
        <w:t>概述</w:t>
      </w:r>
      <w:bookmarkEnd w:id="6"/>
      <w:bookmarkEnd w:id="7"/>
      <w:bookmarkEnd w:id="8"/>
      <w:bookmarkEnd w:id="9"/>
    </w:p>
    <w:p>
      <w:pPr>
        <w:pStyle w:val="4"/>
        <w:bidi w:val="0"/>
        <w:rPr>
          <w:rFonts w:hint="default"/>
          <w:color w:val="auto"/>
          <w:highlight w:val="none"/>
        </w:rPr>
      </w:pPr>
      <w:bookmarkStart w:id="10" w:name="_Toc12613"/>
      <w:r>
        <w:rPr>
          <w:rFonts w:hint="default"/>
          <w:color w:val="auto"/>
          <w:highlight w:val="none"/>
        </w:rPr>
        <w:t>项目由来</w:t>
      </w:r>
      <w:bookmarkEnd w:id="10"/>
    </w:p>
    <w:p>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近年来，国家对环境保护和可持续发展日益重视，发布了一系列相关政策和规划，鼓励各地建设环保基础设施，促进经济与环境的协调发展。</w:t>
      </w:r>
      <w:r>
        <w:rPr>
          <w:rFonts w:hint="eastAsia" w:cs="Times New Roman"/>
          <w:color w:val="auto"/>
          <w:highlight w:val="none"/>
          <w:lang w:eastAsia="zh-CN"/>
        </w:rPr>
        <w:t>新疆昌吉国家农业高新技术产业示范区现代农业精深加工示范区</w:t>
      </w:r>
      <w:r>
        <w:rPr>
          <w:rFonts w:hint="default" w:ascii="Times New Roman" w:hAnsi="Times New Roman" w:cs="Times New Roman"/>
          <w:color w:val="auto"/>
          <w:highlight w:val="none"/>
        </w:rPr>
        <w:t>的快速发展，加剧了</w:t>
      </w:r>
      <w:r>
        <w:rPr>
          <w:rFonts w:hint="eastAsia"/>
          <w:color w:val="auto"/>
          <w:highlight w:val="none"/>
          <w:lang w:val="en-US" w:eastAsia="zh-CN"/>
        </w:rPr>
        <w:t>该示范区</w:t>
      </w:r>
      <w:r>
        <w:rPr>
          <w:rFonts w:hint="default" w:ascii="Times New Roman" w:hAnsi="Times New Roman" w:cs="Times New Roman"/>
          <w:color w:val="auto"/>
          <w:highlight w:val="none"/>
        </w:rPr>
        <w:t>污水处理设施</w:t>
      </w:r>
      <w:r>
        <w:rPr>
          <w:rFonts w:hint="eastAsia" w:cs="Times New Roman"/>
          <w:color w:val="auto"/>
          <w:highlight w:val="none"/>
          <w:lang w:val="en-US" w:eastAsia="zh-CN"/>
        </w:rPr>
        <w:t>不匹配</w:t>
      </w:r>
      <w:r>
        <w:rPr>
          <w:rFonts w:hint="default" w:ascii="Times New Roman" w:hAnsi="Times New Roman" w:cs="Times New Roman"/>
          <w:color w:val="auto"/>
          <w:highlight w:val="none"/>
        </w:rPr>
        <w:t>的问题。随着该区域的不断扩张和生产能力的提升，工业和生活污水排放量不断增加，但由于缺乏完善的污水处理设施，污水得不到有效处理，严重影响了区域内的环境质量和可持续发展。因此，</w:t>
      </w:r>
      <w:r>
        <w:rPr>
          <w:rFonts w:hint="eastAsia"/>
          <w:color w:val="auto"/>
          <w:highlight w:val="none"/>
          <w:lang w:val="en-US" w:eastAsia="zh-CN"/>
        </w:rPr>
        <w:t>原有污水处理厂进行改扩建</w:t>
      </w:r>
      <w:r>
        <w:rPr>
          <w:rFonts w:hint="default" w:ascii="Times New Roman" w:hAnsi="Times New Roman" w:cs="Times New Roman"/>
          <w:color w:val="auto"/>
          <w:highlight w:val="none"/>
        </w:rPr>
        <w:t>，成为该区域亟待解决的问题。</w:t>
      </w:r>
    </w:p>
    <w:p>
      <w:pPr>
        <w:ind w:firstLine="480"/>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eastAsia" w:ascii="Times New Roman" w:hAnsi="Times New Roman" w:cs="Times New Roman"/>
          <w:color w:val="auto"/>
          <w:highlight w:val="none"/>
          <w:lang w:val="en-US" w:eastAsia="zh-CN"/>
        </w:rPr>
        <w:t>对原有污水处理厂进行改扩建，完善示范区基础配套</w:t>
      </w:r>
      <w:r>
        <w:rPr>
          <w:rFonts w:hint="default" w:ascii="Times New Roman" w:hAnsi="Times New Roman" w:cs="Times New Roman"/>
          <w:color w:val="auto"/>
          <w:highlight w:val="none"/>
        </w:rPr>
        <w:t>设施，以促进示范区的可持续发展。作为国家农业高新技术产业示范区的重要组成部分，</w:t>
      </w:r>
      <w:r>
        <w:rPr>
          <w:rFonts w:hint="eastAsia" w:cs="Times New Roman"/>
          <w:color w:val="auto"/>
          <w:highlight w:val="none"/>
          <w:lang w:eastAsia="zh-CN"/>
        </w:rPr>
        <w:t>新疆昌吉国家农业高新技术产业示范区现代农业精深加工示范区</w:t>
      </w:r>
      <w:r>
        <w:rPr>
          <w:rFonts w:hint="default" w:ascii="Times New Roman" w:hAnsi="Times New Roman" w:cs="Times New Roman"/>
          <w:color w:val="auto"/>
          <w:highlight w:val="none"/>
        </w:rPr>
        <w:t>承担着推动现代农业和精深加工产业发展的重任。</w:t>
      </w:r>
    </w:p>
    <w:p>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新疆昌吉国家农业高新技术产业示范区现代农业精深加工示范区现状污水处理厂设计处理规模5000m³/d，采用预处理＋CAS</w:t>
      </w:r>
      <w:r>
        <w:rPr>
          <w:rFonts w:hint="eastAsia" w:cs="Times New Roman"/>
          <w:color w:val="auto"/>
          <w:highlight w:val="none"/>
          <w:lang w:val="en-US" w:eastAsia="zh-CN"/>
        </w:rPr>
        <w:t>T</w:t>
      </w:r>
      <w:r>
        <w:rPr>
          <w:rFonts w:hint="default" w:ascii="Times New Roman" w:hAnsi="Times New Roman" w:cs="Times New Roman"/>
          <w:color w:val="auto"/>
          <w:highlight w:val="none"/>
        </w:rPr>
        <w:t>＋高效沉淀池＋纤维转盘滤池处理工艺。出水水质达到《城镇污水处理厂污染物排放标准》（GB18918-2002）中的一级A级标准。由于污水处理设施</w:t>
      </w:r>
      <w:r>
        <w:rPr>
          <w:rFonts w:hint="default" w:ascii="Times New Roman" w:hAnsi="Times New Roman" w:cs="Times New Roman"/>
          <w:color w:val="auto"/>
          <w:highlight w:val="none"/>
          <w:lang w:val="en-US" w:eastAsia="zh-CN"/>
        </w:rPr>
        <w:t>规模较小</w:t>
      </w:r>
      <w:r>
        <w:rPr>
          <w:rFonts w:hint="default" w:ascii="Times New Roman" w:hAnsi="Times New Roman" w:cs="Times New Roman"/>
          <w:color w:val="auto"/>
          <w:highlight w:val="none"/>
        </w:rPr>
        <w:t>，</w:t>
      </w:r>
      <w:r>
        <w:rPr>
          <w:rFonts w:hint="eastAsia"/>
          <w:color w:val="auto"/>
          <w:highlight w:val="none"/>
          <w:lang w:val="en-US" w:eastAsia="zh-CN"/>
        </w:rPr>
        <w:t>不能满足</w:t>
      </w:r>
      <w:r>
        <w:rPr>
          <w:rFonts w:hint="eastAsia" w:ascii="Times New Roman" w:hAnsi="Times New Roman" w:cs="Times New Roman"/>
          <w:color w:val="auto"/>
          <w:highlight w:val="none"/>
          <w:lang w:val="en-US" w:eastAsia="zh-CN"/>
        </w:rPr>
        <w:t>污水处理的需要，</w:t>
      </w:r>
      <w:r>
        <w:rPr>
          <w:rFonts w:hint="default" w:ascii="Times New Roman" w:hAnsi="Times New Roman" w:cs="Times New Roman"/>
          <w:color w:val="auto"/>
          <w:highlight w:val="none"/>
        </w:rPr>
        <w:t>该区域面临着环境污染和资源浪费等问题。</w:t>
      </w:r>
    </w:p>
    <w:p>
      <w:pPr>
        <w:pStyle w:val="15"/>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基于以上提出了本项目的建设，</w:t>
      </w:r>
      <w:r>
        <w:rPr>
          <w:rFonts w:hint="default" w:ascii="Times New Roman" w:hAnsi="Times New Roman" w:cs="Times New Roman"/>
          <w:b/>
          <w:bCs/>
          <w:color w:val="auto"/>
          <w:highlight w:val="none"/>
        </w:rPr>
        <w:t>现状污水厂规模为5000m</w:t>
      </w:r>
      <w:r>
        <w:rPr>
          <w:rFonts w:hint="default" w:ascii="Times New Roman" w:hAnsi="Times New Roman" w:cs="Times New Roman"/>
          <w:b/>
          <w:bCs/>
          <w:color w:val="auto"/>
          <w:highlight w:val="none"/>
          <w:vertAlign w:val="superscript"/>
        </w:rPr>
        <w:t>3</w:t>
      </w:r>
      <w:r>
        <w:rPr>
          <w:rFonts w:hint="default" w:ascii="Times New Roman" w:hAnsi="Times New Roman" w:cs="Times New Roman"/>
          <w:b/>
          <w:bCs/>
          <w:color w:val="auto"/>
          <w:highlight w:val="none"/>
        </w:rPr>
        <w:t>/d，本次扩建规模为2.5万m</w:t>
      </w:r>
      <w:r>
        <w:rPr>
          <w:rFonts w:hint="default" w:ascii="Times New Roman" w:hAnsi="Times New Roman" w:cs="Times New Roman"/>
          <w:b/>
          <w:bCs/>
          <w:color w:val="auto"/>
          <w:highlight w:val="none"/>
          <w:vertAlign w:val="superscript"/>
        </w:rPr>
        <w:t>3</w:t>
      </w:r>
      <w:r>
        <w:rPr>
          <w:rFonts w:hint="default" w:ascii="Times New Roman" w:hAnsi="Times New Roman" w:cs="Times New Roman"/>
          <w:b/>
          <w:bCs/>
          <w:color w:val="auto"/>
          <w:highlight w:val="none"/>
        </w:rPr>
        <w:t>/d，扩建完成后总规模达到3万m³/d</w:t>
      </w:r>
      <w:r>
        <w:rPr>
          <w:rFonts w:hint="eastAsia" w:cs="Times New Roman"/>
          <w:b/>
          <w:bCs/>
          <w:color w:val="auto"/>
          <w:highlight w:val="none"/>
          <w:lang w:eastAsia="zh-CN"/>
        </w:rPr>
        <w:t>，</w:t>
      </w:r>
      <w:r>
        <w:rPr>
          <w:rFonts w:hint="default" w:ascii="Times New Roman" w:hAnsi="Times New Roman" w:cs="Times New Roman"/>
          <w:color w:val="auto"/>
          <w:highlight w:val="none"/>
        </w:rPr>
        <w:t>有助于提升</w:t>
      </w:r>
      <w:r>
        <w:rPr>
          <w:rFonts w:hint="eastAsia" w:cs="Times New Roman"/>
          <w:color w:val="auto"/>
          <w:highlight w:val="none"/>
          <w:lang w:eastAsia="zh-CN"/>
        </w:rPr>
        <w:t>新疆昌吉国家农业高新技术产业示范区现代农业精深加工示范区</w:t>
      </w:r>
      <w:r>
        <w:rPr>
          <w:rFonts w:hint="default" w:ascii="Times New Roman" w:hAnsi="Times New Roman" w:cs="Times New Roman"/>
          <w:color w:val="auto"/>
          <w:highlight w:val="none"/>
        </w:rPr>
        <w:t>的环境质量和可持续发展水平</w:t>
      </w:r>
      <w:r>
        <w:rPr>
          <w:rFonts w:hint="default" w:ascii="Times New Roman" w:hAnsi="Times New Roman" w:cs="Times New Roman"/>
          <w:color w:val="auto"/>
          <w:highlight w:val="none"/>
          <w:lang w:eastAsia="zh-CN"/>
        </w:rPr>
        <w:t>。</w:t>
      </w:r>
    </w:p>
    <w:p>
      <w:pPr>
        <w:pStyle w:val="4"/>
        <w:bidi w:val="0"/>
        <w:rPr>
          <w:rFonts w:hint="default"/>
          <w:color w:val="auto"/>
          <w:highlight w:val="none"/>
        </w:rPr>
      </w:pPr>
      <w:bookmarkStart w:id="11" w:name="_Toc20205"/>
      <w:r>
        <w:rPr>
          <w:rFonts w:hint="default"/>
          <w:color w:val="auto"/>
          <w:highlight w:val="none"/>
        </w:rPr>
        <w:t>项目特点</w:t>
      </w:r>
      <w:bookmarkEnd w:id="11"/>
    </w:p>
    <w:p>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根据新疆昌吉国家农业高新技术产业示范区及周边的人口情况，本项目</w:t>
      </w:r>
      <w:r>
        <w:rPr>
          <w:rFonts w:hint="eastAsia" w:cs="Times New Roman"/>
          <w:color w:val="auto"/>
          <w:highlight w:val="none"/>
          <w:lang w:val="en-US" w:eastAsia="zh-CN"/>
        </w:rPr>
        <w:t>主要收集</w:t>
      </w:r>
      <w:r>
        <w:rPr>
          <w:rFonts w:hint="default" w:ascii="Times New Roman" w:hAnsi="Times New Roman" w:cs="Times New Roman"/>
          <w:color w:val="auto"/>
          <w:highlight w:val="none"/>
        </w:rPr>
        <w:t>新疆昌吉国家农业高新技术产业示范区内</w:t>
      </w:r>
      <w:r>
        <w:rPr>
          <w:rFonts w:hint="eastAsia" w:cs="Times New Roman"/>
          <w:color w:val="auto"/>
          <w:highlight w:val="none"/>
          <w:lang w:val="en-US" w:eastAsia="zh-CN"/>
        </w:rPr>
        <w:t>生活污水和</w:t>
      </w:r>
      <w:r>
        <w:rPr>
          <w:rFonts w:hint="default" w:ascii="Times New Roman" w:hAnsi="Times New Roman" w:cs="Times New Roman"/>
          <w:color w:val="auto"/>
          <w:highlight w:val="none"/>
        </w:rPr>
        <w:t>生产废水。本项目处理后的污水达到</w:t>
      </w:r>
      <w:r>
        <w:rPr>
          <w:rFonts w:hint="eastAsia" w:cs="Times New Roman"/>
          <w:color w:val="auto"/>
          <w:highlight w:val="none"/>
          <w:lang w:eastAsia="zh-CN"/>
        </w:rPr>
        <w:t>《城镇污水处理厂污染物排放标准》（GB18918-2002）及修改单的一级A标准</w:t>
      </w:r>
      <w:r>
        <w:rPr>
          <w:rFonts w:hint="default" w:ascii="Times New Roman" w:hAnsi="Times New Roman" w:cs="Times New Roman"/>
          <w:color w:val="auto"/>
          <w:highlight w:val="none"/>
          <w:lang w:eastAsia="zh-CN"/>
        </w:rPr>
        <w:t>，同时满足《</w:t>
      </w:r>
      <w:r>
        <w:rPr>
          <w:rFonts w:hint="eastAsia" w:cs="Times New Roman"/>
          <w:color w:val="auto"/>
          <w:highlight w:val="none"/>
          <w:lang w:eastAsia="zh-CN"/>
        </w:rPr>
        <w:t>城市污水再生利用城市杂用水水质》（GB/T18920-2020）</w:t>
      </w:r>
      <w:r>
        <w:rPr>
          <w:rFonts w:hint="default" w:ascii="Times New Roman" w:hAnsi="Times New Roman" w:cs="Times New Roman"/>
          <w:color w:val="auto"/>
          <w:highlight w:val="none"/>
          <w:lang w:eastAsia="zh-CN"/>
        </w:rPr>
        <w:t>和《城市污水再生利用绿地灌溉水质》（GB/T25499-2010）的绿化用水要求，</w:t>
      </w:r>
      <w:r>
        <w:rPr>
          <w:rFonts w:hint="eastAsia"/>
          <w:color w:val="auto"/>
          <w:highlight w:val="none"/>
          <w:lang w:val="en-US" w:eastAsia="zh-CN"/>
        </w:rPr>
        <w:t>尾水</w:t>
      </w:r>
      <w:r>
        <w:rPr>
          <w:rFonts w:hint="default" w:ascii="Times New Roman" w:hAnsi="Times New Roman" w:cs="Times New Roman"/>
          <w:color w:val="auto"/>
          <w:highlight w:val="none"/>
        </w:rPr>
        <w:t>夏季用于</w:t>
      </w:r>
      <w:r>
        <w:rPr>
          <w:rFonts w:hint="eastAsia" w:cs="Times New Roman"/>
          <w:color w:val="auto"/>
          <w:highlight w:val="none"/>
          <w:lang w:val="en-US" w:eastAsia="zh-CN"/>
        </w:rPr>
        <w:t>园区绿化及</w:t>
      </w:r>
      <w:r>
        <w:rPr>
          <w:rFonts w:hint="default" w:ascii="Times New Roman" w:hAnsi="Times New Roman" w:cs="Times New Roman"/>
          <w:color w:val="auto"/>
          <w:highlight w:val="none"/>
        </w:rPr>
        <w:t>灌溉示范区的林地，冬季储存于</w:t>
      </w:r>
      <w:r>
        <w:rPr>
          <w:rFonts w:hint="eastAsia" w:cs="Times New Roman"/>
          <w:color w:val="auto"/>
          <w:highlight w:val="none"/>
          <w:lang w:eastAsia="zh-CN"/>
        </w:rPr>
        <w:t>中水池</w:t>
      </w:r>
      <w:r>
        <w:rPr>
          <w:rFonts w:hint="default" w:ascii="Times New Roman" w:hAnsi="Times New Roman" w:cs="Times New Roman"/>
          <w:color w:val="auto"/>
          <w:highlight w:val="none"/>
        </w:rPr>
        <w:t>中，实现污水有效利用。</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本项目规划总用地面积49044.78</w:t>
      </w:r>
      <w:r>
        <w:rPr>
          <w:rFonts w:hint="eastAsia" w:cs="Times New Roman"/>
          <w:color w:val="auto"/>
          <w:highlight w:val="none"/>
          <w:lang w:eastAsia="zh-CN"/>
        </w:rPr>
        <w:t>m</w:t>
      </w:r>
      <w:r>
        <w:rPr>
          <w:rFonts w:hint="eastAsia" w:cs="Times New Roman"/>
          <w:color w:val="auto"/>
          <w:highlight w:val="none"/>
          <w:vertAlign w:val="superscript"/>
          <w:lang w:eastAsia="zh-CN"/>
        </w:rPr>
        <w:t>2</w:t>
      </w:r>
      <w:r>
        <w:rPr>
          <w:rFonts w:hint="default" w:ascii="Times New Roman" w:hAnsi="Times New Roman" w:cs="Times New Roman"/>
          <w:color w:val="auto"/>
          <w:highlight w:val="none"/>
        </w:rPr>
        <w:t>。主要收集新疆昌吉国家农业高新技术产业示范区内</w:t>
      </w:r>
      <w:r>
        <w:rPr>
          <w:rFonts w:hint="eastAsia" w:cs="Times New Roman"/>
          <w:color w:val="auto"/>
          <w:highlight w:val="none"/>
          <w:lang w:val="en-US" w:eastAsia="zh-CN"/>
        </w:rPr>
        <w:t>生活污水和</w:t>
      </w:r>
      <w:r>
        <w:rPr>
          <w:rFonts w:hint="default" w:ascii="Times New Roman" w:hAnsi="Times New Roman" w:cs="Times New Roman"/>
          <w:color w:val="auto"/>
          <w:highlight w:val="none"/>
        </w:rPr>
        <w:t>生产废水，现状污水厂规模为0.5万m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/d，本次</w:t>
      </w:r>
      <w:r>
        <w:rPr>
          <w:rFonts w:hint="eastAsia" w:cs="Times New Roman"/>
          <w:color w:val="auto"/>
          <w:highlight w:val="none"/>
          <w:lang w:val="en-US" w:eastAsia="zh-CN"/>
        </w:rPr>
        <w:t>改</w:t>
      </w:r>
      <w:r>
        <w:rPr>
          <w:rFonts w:hint="default" w:ascii="Times New Roman" w:hAnsi="Times New Roman" w:cs="Times New Roman"/>
          <w:color w:val="auto"/>
          <w:highlight w:val="none"/>
        </w:rPr>
        <w:t>扩建规模为2.5万m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s="Times New Roman"/>
          <w:color w:val="auto"/>
          <w:highlight w:val="none"/>
          <w:lang w:val="en-US" w:eastAsia="zh-CN"/>
        </w:rPr>
        <w:t>改</w:t>
      </w:r>
      <w:r>
        <w:rPr>
          <w:rFonts w:hint="default" w:ascii="Times New Roman" w:hAnsi="Times New Roman" w:cs="Times New Roman"/>
          <w:color w:val="auto"/>
          <w:highlight w:val="none"/>
        </w:rPr>
        <w:t>扩建</w:t>
      </w:r>
      <w:r>
        <w:rPr>
          <w:rFonts w:hint="eastAsia" w:cs="Times New Roman"/>
          <w:color w:val="auto"/>
          <w:highlight w:val="none"/>
          <w:lang w:val="en-US" w:eastAsia="zh-CN"/>
        </w:rPr>
        <w:t>后</w:t>
      </w:r>
      <w:r>
        <w:rPr>
          <w:rFonts w:hint="default" w:ascii="Times New Roman" w:hAnsi="Times New Roman" w:cs="Times New Roman"/>
          <w:color w:val="auto"/>
          <w:highlight w:val="none"/>
        </w:rPr>
        <w:t>总规模达到3万m³/d。建设内容主要包括</w:t>
      </w:r>
      <w:r>
        <w:rPr>
          <w:rFonts w:hint="eastAsia" w:cs="Times New Roman"/>
          <w:color w:val="auto"/>
          <w:highlight w:val="none"/>
          <w:lang w:val="en-US" w:eastAsia="zh-CN"/>
        </w:rPr>
        <w:t>:</w:t>
      </w:r>
      <w:r>
        <w:rPr>
          <w:rFonts w:hint="default" w:ascii="Times New Roman" w:hAnsi="Times New Roman" w:cs="Times New Roman"/>
          <w:color w:val="auto"/>
          <w:highlight w:val="none"/>
        </w:rPr>
        <w:t>对现状污水厂的部分建、构筑物进行改造，主要改造建（构）筑物有粗格栅及提升泵站、鼓风机房、加氯加药间和污泥脱水车间等；</w:t>
      </w:r>
      <w:r>
        <w:rPr>
          <w:rFonts w:hint="eastAsia" w:cs="Times New Roman"/>
          <w:color w:val="auto"/>
          <w:highlight w:val="none"/>
          <w:lang w:eastAsia="zh-CN"/>
        </w:rPr>
        <w:t>新建</w:t>
      </w:r>
      <w:r>
        <w:rPr>
          <w:rFonts w:hint="default" w:ascii="Times New Roman" w:hAnsi="Times New Roman" w:cs="Times New Roman"/>
          <w:color w:val="auto"/>
          <w:highlight w:val="none"/>
        </w:rPr>
        <w:t>（构）筑物有一体化提升泵站、细格栅及旋流沉砂池、配水井、一体化生化池、高效沉淀池车间、反硝化深床滤池车间、接触消毒池、排泥调节池、厂区废水池、变配电室等配套设施的建设。</w:t>
      </w:r>
    </w:p>
    <w:p>
      <w:pPr>
        <w:pStyle w:val="15"/>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对照《产业结构调整指导目录（2024年本）》，本项目为鼓励类建设项目。项目拟建地符合规划及土地利用规划要求。项目建成后，将对新疆昌吉国家农业高新技术产业示范区</w:t>
      </w:r>
      <w:r>
        <w:rPr>
          <w:rFonts w:hint="eastAsia" w:cs="Times New Roman"/>
          <w:color w:val="auto"/>
          <w:highlight w:val="none"/>
          <w:lang w:val="en-US" w:eastAsia="zh-CN"/>
        </w:rPr>
        <w:t>生产废水及生活污水</w:t>
      </w:r>
      <w:r>
        <w:rPr>
          <w:rFonts w:hint="default" w:ascii="Times New Roman" w:hAnsi="Times New Roman" w:cs="Times New Roman"/>
          <w:color w:val="auto"/>
          <w:highlight w:val="none"/>
        </w:rPr>
        <w:t>进行收集</w:t>
      </w:r>
      <w:r>
        <w:rPr>
          <w:rFonts w:hint="eastAsia"/>
          <w:color w:val="auto"/>
          <w:highlight w:val="none"/>
          <w:lang w:eastAsia="zh-CN"/>
        </w:rPr>
        <w:t>、</w:t>
      </w:r>
      <w:r>
        <w:rPr>
          <w:rFonts w:hint="eastAsia"/>
          <w:color w:val="auto"/>
          <w:highlight w:val="none"/>
          <w:lang w:val="en-US" w:eastAsia="zh-CN"/>
        </w:rPr>
        <w:t>处理和综合利用</w:t>
      </w:r>
      <w:r>
        <w:rPr>
          <w:rFonts w:hint="default" w:ascii="Times New Roman" w:hAnsi="Times New Roman" w:cs="Times New Roman"/>
          <w:color w:val="auto"/>
          <w:highlight w:val="none"/>
        </w:rPr>
        <w:t>，可以有效削减区域水污染物的排放，减轻对环境的影响，同时进一步完善园区基础设施建设，提高区域污水处理率，为新疆昌吉国家农业高新技术产业示范区的经济与社会发展奠定良好的基础。</w:t>
      </w:r>
    </w:p>
    <w:p>
      <w:pPr>
        <w:pStyle w:val="4"/>
        <w:bidi w:val="0"/>
        <w:rPr>
          <w:rFonts w:hint="default"/>
          <w:color w:val="auto"/>
          <w:highlight w:val="none"/>
        </w:rPr>
      </w:pPr>
      <w:bookmarkStart w:id="12" w:name="_Toc20432"/>
      <w:r>
        <w:rPr>
          <w:rFonts w:hint="default"/>
          <w:color w:val="auto"/>
          <w:highlight w:val="none"/>
        </w:rPr>
        <w:t>环境影响评价的工作过程</w:t>
      </w:r>
      <w:bookmarkEnd w:id="12"/>
    </w:p>
    <w:p>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根据《建设项目环境影响评价分类管理名录（2021年版）》，本项目属于四十三、水的生产和供应业-95.污水处理及其再生利用，新建、扩建</w:t>
      </w:r>
      <w:r>
        <w:rPr>
          <w:rFonts w:hint="eastAsia"/>
          <w:color w:val="auto"/>
          <w:highlight w:val="none"/>
          <w:lang w:val="en-US" w:eastAsia="zh-CN"/>
        </w:rPr>
        <w:t>工业废水集中处理的</w:t>
      </w:r>
      <w:r>
        <w:rPr>
          <w:rFonts w:hint="default" w:ascii="Times New Roman" w:hAnsi="Times New Roman" w:cs="Times New Roman"/>
          <w:color w:val="auto"/>
          <w:highlight w:val="none"/>
        </w:rPr>
        <w:t>，需编制环境影响报告书。根据《中华人民共和国环境保护法》《中华人民共和国环境影响评价法》，以及</w:t>
      </w:r>
      <w:r>
        <w:rPr>
          <w:rFonts w:ascii="Times New Roman" w:hAnsi="Times New Roman"/>
          <w:color w:val="auto"/>
          <w:highlight w:val="none"/>
        </w:rPr>
        <w:t>《建设项目环境保护管理条例》（国务院第682号令）</w:t>
      </w:r>
      <w:r>
        <w:rPr>
          <w:rFonts w:hint="default" w:ascii="Times New Roman" w:hAnsi="Times New Roman" w:cs="Times New Roman"/>
          <w:color w:val="auto"/>
          <w:highlight w:val="none"/>
        </w:rPr>
        <w:t>等有关文件的规定，新疆昌吉国家农业高新技术产业示范区管理委员会特委托我公司承担“新疆昌吉国家农业高新技术产业示范区现代农业精深加工示范区污水处理厂改造扩容项目”的环境影响评价工作。接受委托后，我公司组织各专业技术人员赴项目现场进行了实地踏勘和调查，收集了环评所需的资料及周边环境质量现状</w:t>
      </w:r>
      <w:r>
        <w:rPr>
          <w:rFonts w:hint="eastAsia"/>
          <w:color w:val="auto"/>
          <w:highlight w:val="none"/>
          <w:lang w:val="en-US" w:eastAsia="zh-CN"/>
        </w:rPr>
        <w:t>资料</w:t>
      </w:r>
      <w:r>
        <w:rPr>
          <w:rFonts w:hint="default" w:ascii="Times New Roman" w:hAnsi="Times New Roman" w:cs="Times New Roman"/>
          <w:color w:val="auto"/>
          <w:highlight w:val="none"/>
        </w:rPr>
        <w:t>。根据项目特点并结合工程所在区域的环境特征，按照国家及地方环境保护的有关规定以及环境影响评价技术导则，我公司编制完成了《新疆昌吉国家农业高新技术产业示范区现代农业精深加工示范区污水处理厂改造扩容项目环境影响报告书》，供建设单位提交</w:t>
      </w:r>
      <w:r>
        <w:rPr>
          <w:rFonts w:hint="eastAsia"/>
          <w:color w:val="auto"/>
          <w:highlight w:val="none"/>
          <w:lang w:val="en-US" w:eastAsia="zh-CN"/>
        </w:rPr>
        <w:t>生态环保</w:t>
      </w:r>
      <w:r>
        <w:rPr>
          <w:rFonts w:hint="default" w:ascii="Times New Roman" w:hAnsi="Times New Roman" w:cs="Times New Roman"/>
          <w:color w:val="auto"/>
          <w:highlight w:val="none"/>
        </w:rPr>
        <w:t>主管部门审批。</w:t>
      </w:r>
    </w:p>
    <w:p>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通过对项目所在区域大气、地表水、地下水、</w:t>
      </w:r>
      <w:r>
        <w:rPr>
          <w:rFonts w:hint="eastAsia"/>
          <w:color w:val="auto"/>
          <w:highlight w:val="none"/>
          <w:lang w:val="en-US" w:eastAsia="zh-CN"/>
        </w:rPr>
        <w:t>声环境、土壤环境要素的</w:t>
      </w:r>
      <w:r>
        <w:rPr>
          <w:rFonts w:hint="default" w:ascii="Times New Roman" w:hAnsi="Times New Roman" w:cs="Times New Roman"/>
          <w:color w:val="auto"/>
          <w:highlight w:val="none"/>
        </w:rPr>
        <w:t>等环境现状监测与评价，查明该区域内的环境质量现状；评价项目建设后对周围环境可能产生影响的范围和程度，尤其对敏感区的影响；分析项目选址的环境可行性，从技术、经济、环境损益分析角度，评价建设项目环保措施的可行性，提出切实可行的污染防治</w:t>
      </w:r>
      <w:r>
        <w:rPr>
          <w:rFonts w:hint="eastAsia" w:cs="Times New Roman"/>
          <w:color w:val="auto"/>
          <w:highlight w:val="none"/>
          <w:lang w:val="en-US" w:eastAsia="zh-CN"/>
        </w:rPr>
        <w:t>措施</w:t>
      </w:r>
      <w:r>
        <w:rPr>
          <w:rFonts w:hint="default" w:ascii="Times New Roman" w:hAnsi="Times New Roman" w:cs="Times New Roman"/>
          <w:color w:val="auto"/>
          <w:highlight w:val="none"/>
        </w:rPr>
        <w:t>，达到减少污染、保护环境目的，为项目环境管理和环保设计提供科学依据。</w:t>
      </w:r>
    </w:p>
    <w:p>
      <w:pPr>
        <w:spacing w:line="360" w:lineRule="auto"/>
        <w:ind w:firstLine="480" w:firstLineChars="20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eastAsia="zh-CN"/>
        </w:rPr>
        <w:t>202</w:t>
      </w:r>
      <w:r>
        <w:rPr>
          <w:rFonts w:hint="eastAsia" w:ascii="Times New Roman" w:hAnsi="Times New Roman" w:cs="Times New Roman"/>
          <w:color w:val="auto"/>
          <w:sz w:val="24"/>
          <w:highlight w:val="none"/>
          <w:lang w:val="en-US" w:eastAsia="zh-CN"/>
        </w:rPr>
        <w:t>3</w:t>
      </w:r>
      <w:r>
        <w:rPr>
          <w:rFonts w:hint="eastAsia" w:ascii="Times New Roman" w:hAnsi="Times New Roman" w:cs="Times New Roman"/>
          <w:color w:val="auto"/>
          <w:sz w:val="24"/>
          <w:highlight w:val="none"/>
          <w:lang w:eastAsia="zh-CN"/>
        </w:rPr>
        <w:t>年</w:t>
      </w:r>
      <w:r>
        <w:rPr>
          <w:rFonts w:hint="eastAsia" w:ascii="Times New Roman" w:hAnsi="Times New Roman" w:cs="Times New Roman"/>
          <w:color w:val="auto"/>
          <w:sz w:val="24"/>
          <w:highlight w:val="none"/>
          <w:lang w:val="en-US" w:eastAsia="zh-CN"/>
        </w:rPr>
        <w:t>10</w:t>
      </w:r>
      <w:r>
        <w:rPr>
          <w:rFonts w:hint="eastAsia" w:ascii="Times New Roman" w:hAnsi="Times New Roman" w:cs="Times New Roman"/>
          <w:color w:val="auto"/>
          <w:sz w:val="24"/>
          <w:highlight w:val="none"/>
          <w:lang w:eastAsia="zh-CN"/>
        </w:rPr>
        <w:t>月</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新疆昌吉国家农业高新技术产业示范区管理委员会</w:t>
      </w:r>
      <w:r>
        <w:rPr>
          <w:rFonts w:hint="default" w:ascii="Times New Roman" w:hAnsi="Times New Roman" w:cs="Times New Roman"/>
          <w:color w:val="auto"/>
          <w:sz w:val="24"/>
          <w:highlight w:val="none"/>
        </w:rPr>
        <w:t>委托我单位承担了《</w:t>
      </w:r>
      <w:r>
        <w:rPr>
          <w:rFonts w:hint="eastAsia" w:ascii="Times New Roman" w:hAnsi="Times New Roman" w:cs="Times New Roman"/>
          <w:color w:val="auto"/>
          <w:sz w:val="24"/>
          <w:highlight w:val="none"/>
          <w:lang w:eastAsia="zh-CN"/>
        </w:rPr>
        <w:t>新疆昌吉国家农业高新技术产业示范区现代农业精深加工示范区污水处理厂改造扩容项目</w:t>
      </w:r>
      <w:r>
        <w:rPr>
          <w:rFonts w:hint="default" w:ascii="Times New Roman" w:hAnsi="Times New Roman" w:cs="Times New Roman"/>
          <w:color w:val="auto"/>
          <w:sz w:val="24"/>
          <w:highlight w:val="none"/>
        </w:rPr>
        <w:t>》的环境影响评价工作。</w:t>
      </w:r>
      <w:r>
        <w:rPr>
          <w:rFonts w:hint="eastAsia" w:ascii="Times New Roman" w:hAnsi="Times New Roman" w:cs="Times New Roman"/>
          <w:color w:val="auto"/>
          <w:sz w:val="24"/>
          <w:highlight w:val="none"/>
          <w:lang w:eastAsia="zh-CN"/>
        </w:rPr>
        <w:t>2023年10月25日</w:t>
      </w:r>
      <w:r>
        <w:rPr>
          <w:rFonts w:hint="default" w:ascii="Times New Roman" w:hAnsi="Times New Roman" w:cs="Times New Roman"/>
          <w:color w:val="auto"/>
          <w:sz w:val="24"/>
          <w:highlight w:val="none"/>
        </w:rPr>
        <w:t>，该项目环境影响评价公众参与第一次信息公示在</w:t>
      </w:r>
      <w:r>
        <w:rPr>
          <w:rFonts w:hint="eastAsia" w:ascii="Times New Roman" w:hAnsi="Times New Roman" w:cs="Times New Roman"/>
          <w:color w:val="auto"/>
          <w:sz w:val="24"/>
          <w:highlight w:val="none"/>
          <w:lang w:eastAsia="zh-CN"/>
        </w:rPr>
        <w:t>环境影响评价信息公示平台</w:t>
      </w:r>
      <w:r>
        <w:rPr>
          <w:rFonts w:hint="default" w:ascii="Times New Roman" w:hAnsi="Times New Roman" w:cs="Times New Roman"/>
          <w:color w:val="auto"/>
          <w:sz w:val="24"/>
          <w:highlight w:val="none"/>
        </w:rPr>
        <w:t>进行公示，向公众告知本项目的建设情况，公示期为10个工作日；第一次公示期间未收到任何公众意见及反馈。</w:t>
      </w:r>
      <w:r>
        <w:rPr>
          <w:rFonts w:hint="eastAsia" w:ascii="Times New Roman" w:hAnsi="Times New Roman" w:cs="Times New Roman"/>
          <w:color w:val="auto"/>
          <w:sz w:val="24"/>
          <w:highlight w:val="none"/>
          <w:lang w:eastAsia="zh-CN"/>
        </w:rPr>
        <w:t>2024年2月15日</w:t>
      </w:r>
      <w:r>
        <w:rPr>
          <w:rFonts w:hint="default" w:ascii="Times New Roman" w:hAnsi="Times New Roman" w:cs="Times New Roman"/>
          <w:color w:val="auto"/>
          <w:sz w:val="24"/>
          <w:highlight w:val="none"/>
        </w:rPr>
        <w:t>在</w:t>
      </w:r>
      <w:r>
        <w:rPr>
          <w:rFonts w:hint="eastAsia" w:ascii="Times New Roman" w:hAnsi="Times New Roman" w:cs="Times New Roman"/>
          <w:color w:val="auto"/>
          <w:sz w:val="24"/>
          <w:highlight w:val="none"/>
          <w:lang w:eastAsia="zh-CN"/>
        </w:rPr>
        <w:t>环境影响评价信息公示平台</w:t>
      </w:r>
      <w:r>
        <w:rPr>
          <w:rFonts w:hint="default" w:ascii="Times New Roman" w:hAnsi="Times New Roman" w:cs="Times New Roman"/>
          <w:color w:val="auto"/>
          <w:sz w:val="24"/>
          <w:highlight w:val="none"/>
        </w:rPr>
        <w:t>发布了通知，进行了第二次网上公示，公示期为10个工作日；第二次公示期满未收到任何公众意见及反馈。</w:t>
      </w:r>
      <w:r>
        <w:rPr>
          <w:rFonts w:hint="eastAsia" w:ascii="Times New Roman" w:hAnsi="Times New Roman" w:cs="Times New Roman"/>
          <w:color w:val="auto"/>
          <w:sz w:val="24"/>
          <w:highlight w:val="none"/>
          <w:lang w:eastAsia="zh-CN"/>
        </w:rPr>
        <w:t>2024年2月15日</w:t>
      </w:r>
      <w:r>
        <w:rPr>
          <w:rFonts w:hint="default" w:ascii="Times New Roman" w:hAnsi="Times New Roman" w:cs="Times New Roman"/>
          <w:color w:val="auto"/>
          <w:sz w:val="24"/>
          <w:highlight w:val="none"/>
        </w:rPr>
        <w:t>在</w:t>
      </w:r>
      <w:r>
        <w:rPr>
          <w:rFonts w:hint="default" w:ascii="Times New Roman" w:hAnsi="Times New Roman" w:cs="Times New Roman"/>
          <w:color w:val="auto"/>
          <w:sz w:val="24"/>
          <w:highlight w:val="none"/>
          <w:lang w:eastAsia="zh-CN"/>
        </w:rPr>
        <w:t>新疆昌吉国家农业高新技术产业示范区管理委员会</w:t>
      </w:r>
      <w:r>
        <w:rPr>
          <w:rFonts w:hint="default" w:ascii="Times New Roman" w:hAnsi="Times New Roman" w:cs="Times New Roman"/>
          <w:color w:val="auto"/>
          <w:sz w:val="24"/>
          <w:highlight w:val="none"/>
        </w:rPr>
        <w:t>公示栏向公众告知本项目的建设情况。</w:t>
      </w:r>
      <w:r>
        <w:rPr>
          <w:rFonts w:hint="eastAsia" w:ascii="Times New Roman" w:hAnsi="Times New Roman" w:cs="Times New Roman"/>
          <w:color w:val="auto"/>
          <w:sz w:val="24"/>
          <w:highlight w:val="none"/>
          <w:lang w:eastAsia="zh-CN"/>
        </w:rPr>
        <w:t>2023年12月7日</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2024年4月26日</w:t>
      </w:r>
      <w:r>
        <w:rPr>
          <w:rFonts w:hint="default" w:ascii="Times New Roman" w:hAnsi="Times New Roman" w:cs="Times New Roman"/>
          <w:color w:val="auto"/>
          <w:sz w:val="24"/>
          <w:highlight w:val="none"/>
        </w:rPr>
        <w:t>在</w:t>
      </w:r>
      <w:r>
        <w:rPr>
          <w:rFonts w:hint="eastAsia" w:ascii="Times New Roman" w:hAnsi="Times New Roman" w:cs="Times New Roman"/>
          <w:color w:val="auto"/>
          <w:sz w:val="24"/>
          <w:highlight w:val="none"/>
          <w:lang w:eastAsia="zh-CN"/>
        </w:rPr>
        <w:t>昌吉日报</w:t>
      </w:r>
      <w:r>
        <w:rPr>
          <w:rFonts w:hint="default" w:ascii="Times New Roman" w:hAnsi="Times New Roman" w:cs="Times New Roman"/>
          <w:color w:val="auto"/>
          <w:sz w:val="24"/>
          <w:highlight w:val="none"/>
        </w:rPr>
        <w:t>对项目环境影响报告书的环境影响评价信息进行了两次公告。我单位向</w:t>
      </w:r>
      <w:r>
        <w:rPr>
          <w:rFonts w:hint="eastAsia" w:ascii="Times New Roman" w:hAnsi="Times New Roman" w:cs="Times New Roman"/>
          <w:color w:val="auto"/>
          <w:sz w:val="24"/>
          <w:highlight w:val="none"/>
          <w:lang w:eastAsia="zh-CN"/>
        </w:rPr>
        <w:t>昌吉州生态环境局</w:t>
      </w:r>
      <w:r>
        <w:rPr>
          <w:rFonts w:hint="default" w:ascii="Times New Roman" w:hAnsi="Times New Roman" w:cs="Times New Roman"/>
          <w:color w:val="auto"/>
          <w:sz w:val="24"/>
          <w:highlight w:val="none"/>
        </w:rPr>
        <w:t>报批环境影响报告书前，组织编写了本项目环境影响评价公众参与说明，并于</w:t>
      </w:r>
      <w:r>
        <w:rPr>
          <w:rFonts w:hint="eastAsia" w:ascii="Times New Roman" w:hAnsi="Times New Roman" w:cs="Times New Roman"/>
          <w:color w:val="auto"/>
          <w:sz w:val="24"/>
          <w:highlight w:val="none"/>
          <w:lang w:eastAsia="zh-CN"/>
        </w:rPr>
        <w:t>202</w:t>
      </w:r>
      <w:r>
        <w:rPr>
          <w:rFonts w:hint="eastAsia" w:ascii="Times New Roman" w:hAnsi="Times New Roman" w:cs="Times New Roman"/>
          <w:color w:val="auto"/>
          <w:sz w:val="24"/>
          <w:highlight w:val="none"/>
          <w:lang w:val="en-US" w:eastAsia="zh-CN"/>
        </w:rPr>
        <w:t>4</w:t>
      </w:r>
      <w:r>
        <w:rPr>
          <w:rFonts w:hint="eastAsia" w:ascii="Times New Roman" w:hAnsi="Times New Roman" w:cs="Times New Roman"/>
          <w:color w:val="auto"/>
          <w:sz w:val="24"/>
          <w:highlight w:val="none"/>
          <w:lang w:eastAsia="zh-CN"/>
        </w:rPr>
        <w:t>年</w:t>
      </w:r>
      <w:r>
        <w:rPr>
          <w:rFonts w:hint="eastAsia" w:ascii="Times New Roman" w:hAnsi="Times New Roman" w:cs="Times New Roman"/>
          <w:color w:val="auto"/>
          <w:sz w:val="24"/>
          <w:highlight w:val="none"/>
          <w:lang w:val="en-US" w:eastAsia="zh-CN"/>
        </w:rPr>
        <w:t>4</w:t>
      </w:r>
      <w:r>
        <w:rPr>
          <w:rFonts w:hint="eastAsia" w:ascii="Times New Roman" w:hAnsi="Times New Roman" w:cs="Times New Roman"/>
          <w:color w:val="auto"/>
          <w:sz w:val="24"/>
          <w:highlight w:val="none"/>
          <w:lang w:eastAsia="zh-CN"/>
        </w:rPr>
        <w:t>月</w:t>
      </w:r>
      <w:r>
        <w:rPr>
          <w:rFonts w:hint="eastAsia" w:ascii="Times New Roman" w:hAnsi="Times New Roman" w:cs="Times New Roman"/>
          <w:color w:val="auto"/>
          <w:sz w:val="24"/>
          <w:highlight w:val="none"/>
          <w:lang w:val="en-US" w:eastAsia="zh-CN"/>
        </w:rPr>
        <w:t>29</w:t>
      </w:r>
      <w:r>
        <w:rPr>
          <w:rFonts w:hint="eastAsia" w:ascii="Times New Roman" w:hAnsi="Times New Roman" w:cs="Times New Roman"/>
          <w:color w:val="auto"/>
          <w:sz w:val="24"/>
          <w:highlight w:val="none"/>
          <w:lang w:eastAsia="zh-CN"/>
        </w:rPr>
        <w:t>日</w:t>
      </w:r>
      <w:r>
        <w:rPr>
          <w:rFonts w:hint="default" w:ascii="Times New Roman" w:hAnsi="Times New Roman" w:cs="Times New Roman"/>
          <w:color w:val="auto"/>
          <w:sz w:val="24"/>
          <w:highlight w:val="none"/>
        </w:rPr>
        <w:t>通过</w:t>
      </w:r>
      <w:r>
        <w:rPr>
          <w:rFonts w:hint="eastAsia" w:ascii="Times New Roman" w:hAnsi="Times New Roman" w:cs="Times New Roman"/>
          <w:color w:val="auto"/>
          <w:sz w:val="24"/>
          <w:highlight w:val="none"/>
          <w:lang w:eastAsia="zh-CN"/>
        </w:rPr>
        <w:t>环境影响评价信息公示平台</w:t>
      </w:r>
      <w:r>
        <w:rPr>
          <w:rFonts w:hint="default" w:ascii="Times New Roman" w:hAnsi="Times New Roman" w:cs="Times New Roman"/>
          <w:color w:val="auto"/>
          <w:sz w:val="24"/>
          <w:highlight w:val="none"/>
        </w:rPr>
        <w:t>公开拟报批的环境影响报告书全文和公众参与说明。</w:t>
      </w:r>
    </w:p>
    <w:p>
      <w:pPr>
        <w:pStyle w:val="69"/>
        <w:ind w:firstLine="480"/>
        <w:rPr>
          <w:rFonts w:hint="default"/>
          <w:color w:val="auto"/>
          <w:highlight w:val="none"/>
        </w:rPr>
      </w:pPr>
      <w:r>
        <w:rPr>
          <w:bCs/>
          <w:color w:val="auto"/>
          <w:highlight w:val="none"/>
        </w:rPr>
        <w:t>本次</w:t>
      </w:r>
      <w:r>
        <w:rPr>
          <w:rFonts w:hint="eastAsia"/>
          <w:bCs/>
          <w:color w:val="auto"/>
          <w:highlight w:val="none"/>
        </w:rPr>
        <w:t>公示期间未收到反馈意见。公众同时要求切实加强各个环节的管理，特别是加强环保设施在项目投产后的运行、监督、管理，确保项目的建设对环境的积极影响</w:t>
      </w:r>
      <w:r>
        <w:rPr>
          <w:bCs/>
          <w:color w:val="auto"/>
          <w:highlight w:val="none"/>
        </w:rPr>
        <w:t>。</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本次环评采用的评价工作程序见图1。</w:t>
      </w:r>
    </w:p>
    <w:p>
      <w:pPr>
        <w:ind w:firstLine="48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0" distR="0">
            <wp:extent cx="5332095" cy="7136765"/>
            <wp:effectExtent l="19050" t="19050" r="20955" b="260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332095" cy="7136765"/>
                    </a:xfrm>
                    <a:prstGeom prst="rect">
                      <a:avLst/>
                    </a:prstGeom>
                    <a:noFill/>
                    <a:ln w="19050" cmpd="sng">
                      <a:solidFill>
                        <a:srgbClr val="000000"/>
                      </a:solidFill>
                      <a:miter lim="800000"/>
                      <a:headEnd/>
                      <a:tailEnd/>
                    </a:ln>
                    <a:effectLst/>
                  </pic:spPr>
                </pic:pic>
              </a:graphicData>
            </a:graphic>
          </wp:inline>
        </w:drawing>
      </w:r>
    </w:p>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rPr>
        <w:t>图1建设项目环境影响评价工作程序图</w:t>
      </w:r>
    </w:p>
    <w:p>
      <w:pPr>
        <w:bidi w:val="0"/>
        <w:rPr>
          <w:rFonts w:hint="default"/>
        </w:rPr>
      </w:pPr>
    </w:p>
    <w:p>
      <w:pPr>
        <w:ind w:firstLine="480"/>
        <w:rPr>
          <w:rFonts w:hint="default" w:ascii="Times New Roman" w:hAnsi="Times New Roman" w:cs="Times New Roman"/>
          <w:color w:val="auto"/>
          <w:highlight w:val="none"/>
        </w:rPr>
      </w:pPr>
    </w:p>
    <w:p>
      <w:pPr>
        <w:pStyle w:val="4"/>
        <w:bidi w:val="0"/>
        <w:rPr>
          <w:rFonts w:hint="default"/>
          <w:color w:val="auto"/>
          <w:highlight w:val="none"/>
        </w:rPr>
      </w:pPr>
      <w:bookmarkStart w:id="13" w:name="_Toc12530"/>
      <w:bookmarkStart w:id="14" w:name="_Toc484105081"/>
      <w:bookmarkStart w:id="15" w:name="_Toc4804"/>
      <w:bookmarkStart w:id="16" w:name="_Toc13999"/>
      <w:bookmarkStart w:id="17" w:name="_Toc493523085"/>
      <w:bookmarkStart w:id="18" w:name="_Toc1311"/>
      <w:bookmarkStart w:id="19" w:name="_Toc31778"/>
      <w:bookmarkStart w:id="20" w:name="_Toc11851"/>
      <w:bookmarkStart w:id="21" w:name="_Toc20254"/>
      <w:r>
        <w:rPr>
          <w:rFonts w:hint="default"/>
          <w:color w:val="auto"/>
          <w:highlight w:val="none"/>
        </w:rPr>
        <w:t>分析判定相关情况</w:t>
      </w:r>
      <w:bookmarkEnd w:id="13"/>
      <w:bookmarkEnd w:id="14"/>
      <w:bookmarkEnd w:id="15"/>
      <w:bookmarkEnd w:id="16"/>
      <w:bookmarkEnd w:id="17"/>
      <w:bookmarkEnd w:id="18"/>
      <w:bookmarkEnd w:id="19"/>
      <w:bookmarkEnd w:id="20"/>
      <w:bookmarkEnd w:id="21"/>
    </w:p>
    <w:p>
      <w:pPr>
        <w:pStyle w:val="5"/>
        <w:rPr>
          <w:rFonts w:hint="default" w:ascii="Times New Roman" w:hAnsi="Times New Roman" w:cs="Times New Roman"/>
          <w:color w:val="auto"/>
          <w:highlight w:val="none"/>
        </w:rPr>
      </w:pPr>
      <w:bookmarkStart w:id="22" w:name="_Toc26856"/>
      <w:bookmarkStart w:id="23" w:name="_Toc24035"/>
      <w:r>
        <w:rPr>
          <w:rFonts w:hint="default" w:ascii="Times New Roman" w:hAnsi="Times New Roman" w:cs="Times New Roman"/>
          <w:color w:val="auto"/>
          <w:highlight w:val="none"/>
        </w:rPr>
        <w:t>产业政策相符性分析</w:t>
      </w:r>
      <w:bookmarkEnd w:id="22"/>
      <w:bookmarkEnd w:id="23"/>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本项目污水处理厂为城市基础设施类工程，主要服务于新疆昌吉国家农业高新技术产业示范区。经查询《产业结构调整指导目录（2024年本）》，本项目属于目录鼓励类项目中第四十</w:t>
      </w:r>
      <w:r>
        <w:rPr>
          <w:rFonts w:hint="eastAsia" w:cs="Times New Roman"/>
          <w:color w:val="auto"/>
          <w:highlight w:val="none"/>
          <w:lang w:val="en-US" w:eastAsia="zh-CN"/>
        </w:rPr>
        <w:t>二</w:t>
      </w:r>
      <w:r>
        <w:rPr>
          <w:rFonts w:hint="default" w:ascii="Times New Roman" w:hAnsi="Times New Roman" w:cs="Times New Roman"/>
          <w:color w:val="auto"/>
          <w:highlight w:val="none"/>
        </w:rPr>
        <w:t>条“环境保护与资源节约综合利用</w:t>
      </w:r>
      <w:r>
        <w:rPr>
          <w:rFonts w:hint="eastAsia" w:cs="Times New Roman"/>
          <w:color w:val="auto"/>
          <w:highlight w:val="none"/>
          <w:lang w:val="en-US" w:eastAsia="zh-CN"/>
        </w:rPr>
        <w:t>-</w:t>
      </w:r>
      <w:r>
        <w:rPr>
          <w:rFonts w:hint="default" w:ascii="Times New Roman" w:hAnsi="Times New Roman" w:cs="Times New Roman"/>
          <w:color w:val="auto"/>
          <w:highlight w:val="none"/>
        </w:rPr>
        <w:t>“三废”综合利用及治理工程，因此本项目建设符合国家产业政策的要求。</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因此，本项目符合国家</w:t>
      </w:r>
      <w:r>
        <w:rPr>
          <w:rFonts w:hint="eastAsia"/>
          <w:color w:val="auto"/>
          <w:highlight w:val="none"/>
          <w:lang w:val="en-US" w:eastAsia="zh-CN"/>
        </w:rPr>
        <w:t>及地方</w:t>
      </w:r>
      <w:r>
        <w:rPr>
          <w:rFonts w:hint="default" w:ascii="Times New Roman" w:hAnsi="Times New Roman" w:cs="Times New Roman"/>
          <w:color w:val="auto"/>
          <w:highlight w:val="none"/>
        </w:rPr>
        <w:t>相关产业政策要求。</w:t>
      </w:r>
    </w:p>
    <w:p>
      <w:pPr>
        <w:pStyle w:val="5"/>
        <w:bidi w:val="0"/>
        <w:rPr>
          <w:rFonts w:hint="default"/>
          <w:color w:val="auto"/>
          <w:highlight w:val="none"/>
        </w:rPr>
      </w:pPr>
      <w:r>
        <w:rPr>
          <w:rFonts w:hint="default"/>
          <w:color w:val="auto"/>
          <w:highlight w:val="none"/>
        </w:rPr>
        <w:t>与《关于进一步规范城镇（园区）污水处理环境管理的通知》（环水体〔2020〕71号）的符合性分析</w:t>
      </w:r>
    </w:p>
    <w:p>
      <w:pPr>
        <w:pStyle w:val="13"/>
        <w:bidi w:val="0"/>
        <w:rPr>
          <w:rFonts w:hint="default"/>
          <w:b w:val="0"/>
          <w:bCs/>
          <w:color w:val="auto"/>
          <w:highlight w:val="none"/>
        </w:rPr>
      </w:pPr>
      <w:r>
        <w:rPr>
          <w:rFonts w:hint="default"/>
          <w:b w:val="0"/>
          <w:bCs/>
          <w:color w:val="auto"/>
          <w:highlight w:val="none"/>
        </w:rPr>
        <w:t>表</w:t>
      </w:r>
      <w:r>
        <w:rPr>
          <w:rFonts w:hint="eastAsia"/>
          <w:b w:val="0"/>
          <w:bCs/>
          <w:color w:val="auto"/>
          <w:highlight w:val="none"/>
          <w:lang w:val="en-US" w:eastAsia="zh-CN"/>
        </w:rPr>
        <w:t>1.4-1</w:t>
      </w:r>
      <w:r>
        <w:rPr>
          <w:rFonts w:hint="default"/>
          <w:b w:val="0"/>
          <w:bCs/>
          <w:color w:val="auto"/>
          <w:highlight w:val="none"/>
        </w:rPr>
        <w:t>与《关于进一步规范城镇（园区）污水处理环境管理的通知》（环水体〔2020〕71号）的符合性分析</w:t>
      </w:r>
    </w:p>
    <w:tbl>
      <w:tblPr>
        <w:tblStyle w:val="34"/>
        <w:tblW w:w="5000" w:type="pct"/>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171"/>
        <w:gridCol w:w="43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17"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要求</w:t>
            </w:r>
          </w:p>
        </w:tc>
        <w:tc>
          <w:tcPr>
            <w:tcW w:w="228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本项目实际情况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17" w:type="pct"/>
            <w:tcBorders>
              <w:tl2br w:val="nil"/>
              <w:tr2bl w:val="nil"/>
            </w:tcBorders>
            <w:vAlign w:val="center"/>
          </w:tcPr>
          <w:p>
            <w:pPr>
              <w:adjustRightInd w:val="0"/>
              <w:snapToGrid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三、规范环境监督管理</w:t>
            </w:r>
          </w:p>
          <w:p>
            <w:pPr>
              <w:adjustRightInd w:val="0"/>
              <w:snapToGrid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明确污染物排放管控要求。各地要根据受纳水体生态环境功能等需要，依法依规明确城镇（园区）污水处理厂污染物排放管控要求，既要避免管控要求一味加严，增加不必要的治污成本，又要防止管控要求过于宽松，无法满足水生态环境保护需求。污水处理厂出水用于绿化、农灌等用途的，可根据用途需要科学合理确定管控要求，并达到相应污水再生利用标准。相关管控要求要在排污许可证中载明并严格执行。水生态环境改善任务较重、生态用水缺乏的地区，可指导各地通过在污水处理厂排污口下游、河流入湖口等关键节点建设人工湿地水质净化工程等生态措施，与污水处理厂共同发挥作用，进一步改善水生态环境质量。</w:t>
            </w:r>
          </w:p>
        </w:tc>
        <w:tc>
          <w:tcPr>
            <w:tcW w:w="2282"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本项目</w:t>
            </w:r>
            <w:r>
              <w:rPr>
                <w:rFonts w:hint="eastAsia" w:cs="Times New Roman"/>
                <w:color w:val="auto"/>
                <w:sz w:val="21"/>
                <w:szCs w:val="21"/>
                <w:highlight w:val="none"/>
                <w:lang w:val="en-US" w:eastAsia="zh-CN"/>
              </w:rPr>
              <w:t>尾水</w:t>
            </w:r>
            <w:r>
              <w:rPr>
                <w:rFonts w:hint="default" w:ascii="Times New Roman" w:hAnsi="Times New Roman" w:cs="Times New Roman"/>
                <w:color w:val="auto"/>
                <w:sz w:val="21"/>
                <w:szCs w:val="21"/>
                <w:highlight w:val="none"/>
              </w:rPr>
              <w:t>用于</w:t>
            </w:r>
            <w:r>
              <w:rPr>
                <w:rFonts w:hint="eastAsia" w:cs="Times New Roman"/>
                <w:color w:val="auto"/>
                <w:sz w:val="21"/>
                <w:szCs w:val="21"/>
                <w:highlight w:val="none"/>
                <w:lang w:eastAsia="zh-CN"/>
              </w:rPr>
              <w:t>园区绿化及示范区林地</w:t>
            </w:r>
            <w:r>
              <w:rPr>
                <w:rFonts w:hint="default" w:ascii="Times New Roman" w:hAnsi="Times New Roman" w:cs="Times New Roman"/>
                <w:color w:val="auto"/>
                <w:sz w:val="21"/>
                <w:szCs w:val="21"/>
                <w:highlight w:val="none"/>
              </w:rPr>
              <w:t>灌溉。</w:t>
            </w:r>
            <w:r>
              <w:rPr>
                <w:rFonts w:hint="eastAsia" w:cs="Times New Roman"/>
                <w:color w:val="auto"/>
                <w:sz w:val="21"/>
                <w:szCs w:val="21"/>
                <w:highlight w:val="none"/>
                <w:lang w:eastAsia="zh-CN"/>
              </w:rPr>
              <w:t>本项目</w:t>
            </w:r>
            <w:r>
              <w:rPr>
                <w:rFonts w:hint="default" w:ascii="Times New Roman" w:hAnsi="Times New Roman" w:cs="Times New Roman"/>
                <w:color w:val="auto"/>
                <w:sz w:val="21"/>
                <w:szCs w:val="21"/>
                <w:highlight w:val="none"/>
              </w:rPr>
              <w:t>出水水质达到</w:t>
            </w:r>
            <w:r>
              <w:rPr>
                <w:rFonts w:hint="eastAsia" w:cs="Times New Roman"/>
                <w:color w:val="auto"/>
                <w:sz w:val="21"/>
                <w:szCs w:val="21"/>
                <w:highlight w:val="none"/>
                <w:lang w:eastAsia="zh-CN"/>
              </w:rPr>
              <w:t>《城镇污水处理厂污染物排放标准》（GB18918-2002）及修改单的一级A标准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城市污水再生利用城市杂用水水质》（</w:t>
            </w:r>
            <w:r>
              <w:rPr>
                <w:rFonts w:hint="default" w:ascii="Times New Roman" w:hAnsi="Times New Roman" w:cs="Times New Roman"/>
                <w:color w:val="auto"/>
                <w:sz w:val="21"/>
                <w:szCs w:val="21"/>
                <w:highlight w:val="none"/>
                <w:lang w:eastAsia="zh-CN"/>
              </w:rPr>
              <w:t>GB/T18920-2020</w:t>
            </w:r>
            <w:r>
              <w:rPr>
                <w:rFonts w:hint="default" w:ascii="Times New Roman" w:hAnsi="Times New Roman" w:cs="Times New Roman"/>
                <w:color w:val="auto"/>
                <w:sz w:val="21"/>
                <w:szCs w:val="21"/>
                <w:highlight w:val="none"/>
              </w:rPr>
              <w:t>）和《城市污水再生利用绿地灌溉水质》（GB/T25499-2010），符合要求。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17" w:type="pct"/>
            <w:tcBorders>
              <w:tl2br w:val="nil"/>
              <w:tr2bl w:val="nil"/>
            </w:tcBorders>
            <w:vAlign w:val="center"/>
          </w:tcPr>
          <w:p>
            <w:pPr>
              <w:adjustRightInd w:val="0"/>
              <w:snapToGrid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严格监管执法。地方各级生态环境部门应依据相关法律法规，加强对纳管企业、污水处理厂的监管执法，督促落实排污单位按证排污主体责任，对污染排放进行监测和管理，提高自行监测的规范性。严肃查处超标排放、偷排偷放、伪造或篡改监测数据、使用违规药剂或干扰剂、不正常使用污水处理设施等环境违法行为。对水污染事故发生后，未及时启动水污染事故应急方案、采取有关应急措施的，责令其限期采取治理措施消除污染；造成损失的，依法承担赔偿责任；构成犯罪的，依法追究刑事责任。</w:t>
            </w:r>
          </w:p>
        </w:tc>
        <w:tc>
          <w:tcPr>
            <w:tcW w:w="2282" w:type="pct"/>
            <w:tcBorders>
              <w:tl2br w:val="nil"/>
              <w:tr2bl w:val="nil"/>
            </w:tcBorders>
            <w:vAlign w:val="center"/>
          </w:tcPr>
          <w:p>
            <w:pPr>
              <w:pStyle w:val="2"/>
              <w:keepNext w:val="0"/>
              <w:keepLines w:val="0"/>
              <w:pageBreakBefore w:val="0"/>
              <w:widowControl w:val="0"/>
              <w:numPr>
                <w:ilvl w:val="3"/>
                <w:numId w:val="0"/>
              </w:numPr>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highlight w:val="none"/>
              </w:rPr>
            </w:pPr>
            <w:r>
              <w:rPr>
                <w:rFonts w:hint="default" w:ascii="Times New Roman" w:hAnsi="Times New Roman" w:eastAsia="宋体" w:cs="Times New Roman"/>
                <w:b w:val="0"/>
                <w:color w:val="auto"/>
                <w:kern w:val="2"/>
                <w:sz w:val="21"/>
                <w:szCs w:val="21"/>
                <w:highlight w:val="none"/>
                <w:lang w:val="en-US" w:eastAsia="zh-CN" w:bidi="ar-SA"/>
              </w:rPr>
              <w:t>本项目建成后按照排污许可管理办法要求开展日常管理和自行监测，并按照要求制定环境突发应急预案。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717" w:type="pct"/>
            <w:tcBorders>
              <w:tl2br w:val="nil"/>
              <w:tr2bl w:val="nil"/>
            </w:tcBorders>
            <w:vAlign w:val="center"/>
          </w:tcPr>
          <w:p>
            <w:pPr>
              <w:adjustRightInd w:val="0"/>
              <w:snapToGrid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合理认定处理超标责任。地方各级生态环境部门要建立突发环境事件应急预案备案管理和应急事项信息接收制度，在接到运营单位有关异常情况报告后，按规定启动响应机制。运营单位在已向生态环境部门报告的前提下，出于优化工艺、提升效能等考虑，根据实际情况暂停部分工艺单元运行且污水达标排放的，不认定为不正常使用水污染防治设施。对于污水处理厂出水超标，违法行为轻微并及时纠正，没有造成危害后果的，可以不予行政处罚。对由行业主管部门，或生态环境部门，或行业主管部门会同生态环境部门认定运营单位确因进水超出设计规定或实际处理能力导致出水超标的情形，主动报告且主动消除或者减轻环境违法行为危害后果的，依法从轻或减轻行政处罚。</w:t>
            </w:r>
          </w:p>
        </w:tc>
        <w:tc>
          <w:tcPr>
            <w:tcW w:w="2282" w:type="pct"/>
            <w:tcBorders>
              <w:tl2br w:val="nil"/>
              <w:tr2bl w:val="nil"/>
            </w:tcBorders>
            <w:vAlign w:val="center"/>
          </w:tcPr>
          <w:p>
            <w:pPr>
              <w:pStyle w:val="2"/>
              <w:keepNext w:val="0"/>
              <w:keepLines w:val="0"/>
              <w:pageBreakBefore w:val="0"/>
              <w:widowControl w:val="0"/>
              <w:numPr>
                <w:ilvl w:val="3"/>
                <w:numId w:val="0"/>
              </w:numPr>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highlight w:val="none"/>
              </w:rPr>
            </w:pPr>
            <w:r>
              <w:rPr>
                <w:rFonts w:hint="eastAsia" w:cs="Times New Roman"/>
                <w:b w:val="0"/>
                <w:color w:val="auto"/>
                <w:kern w:val="2"/>
                <w:sz w:val="21"/>
                <w:szCs w:val="21"/>
                <w:highlight w:val="none"/>
                <w:lang w:val="en-US" w:eastAsia="zh-CN" w:bidi="ar-SA"/>
              </w:rPr>
              <w:t>本项目建成后</w:t>
            </w:r>
            <w:r>
              <w:rPr>
                <w:rFonts w:hint="default" w:ascii="Times New Roman" w:hAnsi="Times New Roman" w:eastAsia="宋体" w:cs="Times New Roman"/>
                <w:b w:val="0"/>
                <w:color w:val="auto"/>
                <w:kern w:val="2"/>
                <w:sz w:val="21"/>
                <w:szCs w:val="21"/>
                <w:highlight w:val="none"/>
                <w:lang w:val="en-US" w:eastAsia="zh-CN" w:bidi="ar-SA"/>
              </w:rPr>
              <w:t>建立突发环境事件应急预案备案管理和应急事项信息接收制度，在接到有关异常情况报告后，按规定启动响应机制。</w:t>
            </w:r>
          </w:p>
        </w:tc>
      </w:tr>
    </w:tbl>
    <w:p>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《关于加强城镇污水处理厂污泥污染防治工作的通知》环保部《关于加强城镇污水处理厂污泥污染防治工作的通知》环办</w:t>
      </w:r>
      <w:r>
        <w:rPr>
          <w:rFonts w:hint="eastAsia" w:cs="Times New Roman"/>
          <w:color w:val="auto"/>
          <w:highlight w:val="none"/>
          <w:lang w:eastAsia="zh-CN"/>
        </w:rPr>
        <w:t>〔</w:t>
      </w:r>
      <w:r>
        <w:rPr>
          <w:rFonts w:hint="default" w:ascii="Times New Roman" w:hAnsi="Times New Roman" w:cs="Times New Roman"/>
          <w:color w:val="auto"/>
          <w:highlight w:val="none"/>
        </w:rPr>
        <w:t>2010]157号发布</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文件中规定：①强化污水处理厂主体责任。污水处理厂应对污水处理过程产生的污泥（含初沉污泥、剩余污泥和混合污泥）承担处理处置责任，其法定代表人或其主要负责人是污泥污染防治第一责任人。②加快污泥处理设施建设。污泥处理处置应遵循减量化、稳定化、无害化的原则。污水处理厂新建、改建和扩建时，污泥处理设施（浓缩脱水设施）应当与污水处理设施同时规划、同时建设、同时投入运行。不具备污泥处理能力的现有污水处理厂，应当在本通知发布之日起2年内建成并运行污泥处理设施。③加强污泥环境风险防范。鼓励在安全、环保和经济的前提下，回收和利用污泥中的能源和资源。污泥产生、运输、贮存、处理处置的全过程应当遵守国家和地方相关污染控制标准及技术规范。污水处理厂以贮存（即不处理处置）为目的将污泥运出厂界的，必须将污泥脱水至含水率</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0%以下。污水处理厂应当对污泥农用产生的环境影响负责；造成土壤和地下水污染的，应当进行修复和治理。禁止污泥处理处置单位超处理处置能力接收污泥。④建立污泥管理台账和转移联单制度。污水处理厂、污泥处理处置单位应当建立污泥管理台账，详细记录污泥产生量、转移量、处理处置量及其去向等情况，定期向所在地县级以上地方环保部门报告。</w:t>
      </w:r>
    </w:p>
    <w:p>
      <w:pPr>
        <w:pStyle w:val="15"/>
        <w:rPr>
          <w:rFonts w:hint="default" w:ascii="Times New Roman" w:hAnsi="Times New Roman" w:eastAsia="宋体" w:cs="Times New Roman"/>
          <w:color w:val="auto"/>
          <w:sz w:val="24"/>
          <w:szCs w:val="24"/>
          <w:highlight w:val="none"/>
        </w:rPr>
      </w:pPr>
      <w:r>
        <w:rPr>
          <w:rFonts w:hint="eastAsia" w:cs="Times New Roman"/>
          <w:color w:val="auto"/>
          <w:highlight w:val="none"/>
          <w:lang w:val="en-US" w:eastAsia="zh-CN"/>
        </w:rPr>
        <w:t>根据现有污水处理厂针对</w:t>
      </w:r>
      <w:r>
        <w:rPr>
          <w:rFonts w:hint="default" w:ascii="Times New Roman" w:hAnsi="Times New Roman" w:cs="Times New Roman"/>
          <w:color w:val="auto"/>
          <w:highlight w:val="none"/>
          <w:lang w:val="zh-CN"/>
        </w:rPr>
        <w:t>污泥危险废物鉴别实验，</w:t>
      </w:r>
      <w:r>
        <w:rPr>
          <w:rFonts w:hint="eastAsia" w:cs="Times New Roman"/>
          <w:color w:val="auto"/>
          <w:highlight w:val="none"/>
          <w:lang w:val="en-US" w:eastAsia="zh-CN"/>
        </w:rPr>
        <w:t>可知本项目污泥为一般固体废物（见附件污泥鉴别报告），</w:t>
      </w:r>
      <w:r>
        <w:rPr>
          <w:rFonts w:hint="eastAsia" w:cs="Times New Roman"/>
          <w:color w:val="auto"/>
          <w:highlight w:val="none"/>
          <w:lang w:val="zh-CN"/>
        </w:rPr>
        <w:t>污泥经脱水至含水率小于60%后，与栅渣、沉砂一起运至生活垃圾填埋场进行卫生填埋</w:t>
      </w:r>
      <w:r>
        <w:rPr>
          <w:rFonts w:hint="default" w:ascii="Times New Roman" w:hAnsi="Times New Roman" w:cs="Times New Roman"/>
          <w:color w:val="auto"/>
          <w:highlight w:val="none"/>
          <w:lang w:val="zh-CN"/>
        </w:rPr>
        <w:t>。</w:t>
      </w:r>
    </w:p>
    <w:p>
      <w:pPr>
        <w:pStyle w:val="5"/>
        <w:keepNext/>
        <w:keepLines/>
        <w:pageBreakBefore w:val="0"/>
        <w:widowControl w:val="0"/>
        <w:kinsoku/>
        <w:wordWrap/>
        <w:overflowPunct/>
        <w:topLinePunct w:val="0"/>
        <w:autoSpaceDE/>
        <w:autoSpaceDN/>
        <w:bidi w:val="0"/>
        <w:adjustRightInd/>
        <w:snapToGrid/>
        <w:ind w:left="0" w:firstLine="0"/>
        <w:textAlignment w:val="auto"/>
        <w:rPr>
          <w:rFonts w:hint="default"/>
          <w:color w:val="auto"/>
          <w:highlight w:val="none"/>
        </w:rPr>
      </w:pPr>
      <w:r>
        <w:rPr>
          <w:rFonts w:hint="default"/>
          <w:color w:val="auto"/>
          <w:highlight w:val="none"/>
        </w:rPr>
        <w:t>《城镇污水处理厂污泥处理处置及污染防治技术政策（试行）》</w:t>
      </w:r>
      <w:r>
        <w:rPr>
          <w:rFonts w:hint="default"/>
          <w:color w:val="auto"/>
          <w:highlight w:val="none"/>
          <w:lang w:val="en-US" w:eastAsia="zh-CN"/>
        </w:rPr>
        <w:t>和</w:t>
      </w:r>
      <w:r>
        <w:rPr>
          <w:rFonts w:hint="default"/>
          <w:color w:val="auto"/>
          <w:highlight w:val="none"/>
        </w:rPr>
        <w:t>《城镇污水处理厂污泥处理处置污染防治最佳可行技术指南（试行）》</w:t>
      </w:r>
      <w:r>
        <w:rPr>
          <w:rFonts w:hint="default"/>
          <w:color w:val="auto"/>
          <w:highlight w:val="none"/>
          <w:lang w:val="en-US" w:eastAsia="zh-CN"/>
        </w:rPr>
        <w:t>的符合性</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城镇污水处理厂污泥处理处置及污染防治技术政策（试行）》是由中华人民共和国住房和城乡建设部，中华人民共和国环境保护部，中华人民共和国科学技术部联合发布的建城[2009]23号文件，文件有如下管理性规定：城镇污水处理厂新建、改建和扩建时，污泥处理处置设施应与污水处理设施同时规划、同时建设、同时投入运行。严格控制污泥中的重金属和有毒有害物质。工业废水必须按规定在企业内进行预处理，去除重金属和其他有毒有害物质，达到国家、地方或者行业规定的排放标准。对于污泥的处置政策，该文件主要精神为：①鼓励符合标准的污泥进行土地利用。污泥土地利用应符合国家及地方的标准和规定。污泥土地利用主要包括土地改良和园林绿化等。鼓励符合标准的污泥用于土地改良和园林绿化，并列入政府采购名录。允许符合标准的污泥限制性农用。②污泥用于园林绿化时，泥质应满足《城镇污水处理厂污泥处置园林绿化用泥质》（</w:t>
      </w:r>
      <w:r>
        <w:rPr>
          <w:rFonts w:hint="eastAsia" w:cs="Times New Roman"/>
          <w:color w:val="auto"/>
          <w:sz w:val="24"/>
          <w:szCs w:val="24"/>
          <w:highlight w:val="none"/>
          <w:lang w:eastAsia="zh-CN"/>
        </w:rPr>
        <w:t>GB/T23486-2009</w:t>
      </w:r>
      <w:r>
        <w:rPr>
          <w:rFonts w:hint="default" w:ascii="Times New Roman" w:hAnsi="Times New Roman" w:eastAsia="宋体" w:cs="Times New Roman"/>
          <w:color w:val="auto"/>
          <w:sz w:val="24"/>
          <w:szCs w:val="24"/>
          <w:highlight w:val="none"/>
        </w:rPr>
        <w:t>）的规定和有关标准要求。污泥必须首先进行稳定化和无害化处理，并根据不同地域的土质和植物习性等，确定合理的施用范围、施用量、施用方法和施用时间。③污泥用于盐碱地、沙化地和废弃矿场等土地改良时，泥质应符合《</w:t>
      </w:r>
      <w:r>
        <w:rPr>
          <w:rFonts w:hint="eastAsia" w:cs="Times New Roman"/>
          <w:color w:val="auto"/>
          <w:sz w:val="24"/>
          <w:szCs w:val="24"/>
          <w:highlight w:val="none"/>
          <w:lang w:eastAsia="zh-CN"/>
        </w:rPr>
        <w:t>城镇污水处理厂污泥处置制砖用泥质</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eastAsia="zh-CN"/>
        </w:rPr>
        <w:t>GB/T25031-2010</w:t>
      </w:r>
      <w:r>
        <w:rPr>
          <w:rFonts w:hint="default" w:ascii="Times New Roman" w:hAnsi="Times New Roman" w:eastAsia="宋体" w:cs="Times New Roman"/>
          <w:color w:val="auto"/>
          <w:sz w:val="24"/>
          <w:szCs w:val="24"/>
          <w:highlight w:val="none"/>
        </w:rPr>
        <w:t>）的规定；并应根据当地实际，进行环境影响评价，经有关主管部门批准后实施。④污泥以园林绿化、农业利用为处置方式时，鼓励采用厌氧消化或高温好氧发酵（堆肥）等方式处理污泥。鼓励采用管道、密闭车辆和密闭驳船等方式；运输过程中应进行全过程监控和管理，防止因暴露、洒落或滴漏造成的环境二次污染；严禁随意倾倒、偷排污泥。</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城镇污水处理厂污泥处理处置污染防治最佳可行技术指南（试行）》，对污泥处置提出技术性指导意见。文件中规定，该指南可作为城镇污水处理厂污泥处理处置项目环境影响评价、工程设计、工程验收以及运营管理等环节的技术依据，是供各级环境管理保护部门、设计单位以及用户使用的指导性文件。该指南中对污泥处理处置技术提出了具体意见。即最佳处理技术为污泥厌氧消化（包括浓缩预处理）和污泥好氧发酵（包括脱水预处理）；处理后的污泥最佳处置技术方案为土地利用和污泥焚烧。根据国家有关文件精神，污泥处置的最佳方案是土地利用（包括土地改良和园林绿化）、建材综合利用（污泥干化或焚烧后），不具备土地利用和建筑材料综合利用条件的污泥，可采用填埋处置。同时处理设施产生的污泥，可能具有危险特性，应按《国家危险废物名录》、国家环境保护标准《危险废物鉴别技术规范》（</w:t>
      </w:r>
      <w:r>
        <w:rPr>
          <w:rFonts w:hint="default" w:ascii="Times New Roman" w:hAnsi="Times New Roman" w:cs="Times New Roman"/>
          <w:color w:val="auto"/>
          <w:sz w:val="24"/>
          <w:szCs w:val="24"/>
          <w:highlight w:val="none"/>
          <w:lang w:eastAsia="zh-CN"/>
        </w:rPr>
        <w:t>HJ298-2019</w:t>
      </w:r>
      <w:r>
        <w:rPr>
          <w:rFonts w:hint="default" w:ascii="Times New Roman" w:hAnsi="Times New Roman" w:eastAsia="宋体" w:cs="Times New Roman"/>
          <w:color w:val="auto"/>
          <w:sz w:val="24"/>
          <w:szCs w:val="24"/>
          <w:highlight w:val="none"/>
        </w:rPr>
        <w:t>）和危险废物鉴别标准的规定，对污泥进行危险特性鉴别。</w:t>
      </w:r>
    </w:p>
    <w:p>
      <w:pPr>
        <w:ind w:firstLine="480"/>
        <w:rPr>
          <w:rFonts w:hint="default" w:ascii="Times New Roman" w:hAnsi="Times New Roman" w:eastAsia="宋体" w:cs="Times New Roman"/>
          <w:color w:val="auto"/>
          <w:sz w:val="24"/>
          <w:szCs w:val="24"/>
          <w:highlight w:val="none"/>
        </w:rPr>
      </w:pPr>
      <w:r>
        <w:rPr>
          <w:rFonts w:hint="eastAsia" w:cs="Times New Roman"/>
          <w:color w:val="auto"/>
          <w:highlight w:val="none"/>
          <w:lang w:val="en-US" w:eastAsia="zh-CN"/>
        </w:rPr>
        <w:t>根据现有污水处理厂针对</w:t>
      </w:r>
      <w:r>
        <w:rPr>
          <w:rFonts w:hint="default" w:ascii="Times New Roman" w:hAnsi="Times New Roman" w:cs="Times New Roman"/>
          <w:color w:val="auto"/>
          <w:highlight w:val="none"/>
          <w:lang w:val="zh-CN"/>
        </w:rPr>
        <w:t>污泥危险废物鉴别实验，</w:t>
      </w:r>
      <w:r>
        <w:rPr>
          <w:rFonts w:hint="eastAsia" w:cs="Times New Roman"/>
          <w:color w:val="auto"/>
          <w:highlight w:val="none"/>
          <w:lang w:val="en-US" w:eastAsia="zh-CN"/>
        </w:rPr>
        <w:t>可知本项目污泥为一般固体废物（见附件污泥鉴别报告），</w:t>
      </w:r>
      <w:r>
        <w:rPr>
          <w:rFonts w:hint="eastAsia" w:cs="Times New Roman"/>
          <w:color w:val="auto"/>
          <w:highlight w:val="none"/>
          <w:lang w:val="zh-CN"/>
        </w:rPr>
        <w:t>污泥经脱水至含水率小于60%后，与栅渣、沉砂一起运至生活垃圾填埋场进行卫生填埋</w:t>
      </w:r>
      <w:r>
        <w:rPr>
          <w:rFonts w:hint="default" w:ascii="Times New Roman" w:hAnsi="Times New Roman" w:cs="Times New Roman"/>
          <w:color w:val="auto"/>
          <w:highlight w:val="none"/>
          <w:lang w:val="zh-CN"/>
        </w:rPr>
        <w:t>。</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为避免污泥落地、沿途散落以及恶臭气体污染大气造成二次污染，在设计与管理中应保证废物不落地，直接装入废物箱或装车外运，</w:t>
      </w:r>
      <w:r>
        <w:rPr>
          <w:rFonts w:hint="eastAsia" w:cs="Times New Roman"/>
          <w:color w:val="auto"/>
          <w:sz w:val="24"/>
          <w:szCs w:val="24"/>
          <w:highlight w:val="none"/>
          <w:lang w:val="en-US" w:eastAsia="zh-CN"/>
        </w:rPr>
        <w:t>污泥</w:t>
      </w:r>
      <w:r>
        <w:rPr>
          <w:rFonts w:hint="default" w:ascii="Times New Roman" w:hAnsi="Times New Roman" w:eastAsia="宋体" w:cs="Times New Roman"/>
          <w:color w:val="auto"/>
          <w:sz w:val="24"/>
          <w:szCs w:val="24"/>
          <w:highlight w:val="none"/>
        </w:rPr>
        <w:t>外运时采用封闭式自卸车。</w:t>
      </w:r>
    </w:p>
    <w:p>
      <w:pPr>
        <w:pStyle w:val="5"/>
        <w:keepNext/>
        <w:keepLines/>
        <w:pageBreakBefore w:val="0"/>
        <w:widowControl w:val="0"/>
        <w:kinsoku/>
        <w:wordWrap/>
        <w:overflowPunct/>
        <w:topLinePunct w:val="0"/>
        <w:autoSpaceDE/>
        <w:autoSpaceDN/>
        <w:bidi w:val="0"/>
        <w:adjustRightInd/>
        <w:snapToGrid/>
        <w:ind w:left="0" w:firstLine="0"/>
        <w:textAlignment w:val="auto"/>
        <w:rPr>
          <w:rFonts w:hint="default"/>
          <w:color w:val="auto"/>
          <w:highlight w:val="none"/>
          <w:lang w:val="en-US" w:eastAsia="zh-CN"/>
        </w:rPr>
      </w:pPr>
      <w:r>
        <w:rPr>
          <w:rFonts w:hint="eastAsia"/>
          <w:color w:val="auto"/>
          <w:highlight w:val="none"/>
          <w:lang w:val="en-US" w:eastAsia="zh-CN"/>
        </w:rPr>
        <w:t>与</w:t>
      </w:r>
      <w:r>
        <w:rPr>
          <w:rFonts w:hint="default"/>
          <w:color w:val="auto"/>
          <w:highlight w:val="none"/>
        </w:rPr>
        <w:t>《污泥无害化处理和资源化利用实施方案》</w:t>
      </w:r>
      <w:r>
        <w:rPr>
          <w:rFonts w:hint="eastAsia"/>
          <w:color w:val="auto"/>
          <w:highlight w:val="none"/>
          <w:lang w:eastAsia="zh-CN"/>
        </w:rPr>
        <w:t>（</w:t>
      </w:r>
      <w:r>
        <w:rPr>
          <w:rFonts w:hint="default"/>
          <w:color w:val="auto"/>
          <w:highlight w:val="none"/>
        </w:rPr>
        <w:t>发改环资〔2022〕1453号</w:t>
      </w:r>
      <w:r>
        <w:rPr>
          <w:rFonts w:hint="eastAsia"/>
          <w:color w:val="auto"/>
          <w:highlight w:val="none"/>
          <w:lang w:eastAsia="zh-CN"/>
        </w:rPr>
        <w:t>）</w:t>
      </w:r>
      <w:r>
        <w:rPr>
          <w:rFonts w:hint="eastAsia"/>
          <w:color w:val="auto"/>
          <w:highlight w:val="none"/>
          <w:lang w:val="en-US" w:eastAsia="zh-CN"/>
        </w:rPr>
        <w:t>的符合性分析</w:t>
      </w:r>
    </w:p>
    <w:p>
      <w:pPr>
        <w:bidi w:val="0"/>
        <w:jc w:val="center"/>
        <w:rPr>
          <w:rFonts w:hint="eastAsia" w:ascii="黑体" w:hAnsi="黑体" w:eastAsia="黑体" w:cs="黑体"/>
          <w:b/>
          <w:bCs/>
          <w:color w:val="auto"/>
          <w:sz w:val="24"/>
          <w:szCs w:val="24"/>
          <w:highlight w:val="none"/>
          <w:lang w:val="en-US" w:eastAsia="zh-CN"/>
        </w:rPr>
      </w:pPr>
      <w:r>
        <w:rPr>
          <w:rFonts w:hint="eastAsia" w:ascii="黑体" w:hAnsi="黑体" w:eastAsia="黑体" w:cs="黑体"/>
          <w:b/>
          <w:bCs/>
          <w:color w:val="auto"/>
          <w:sz w:val="24"/>
          <w:szCs w:val="24"/>
          <w:highlight w:val="none"/>
          <w:lang w:val="en-US" w:eastAsia="zh-CN"/>
        </w:rPr>
        <w:t>表1.4-2与《污泥无害化处理和资源化利用实施方案》的符合性分析</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8"/>
        <w:gridCol w:w="4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8" w:type="dxa"/>
          </w:tcPr>
          <w:p>
            <w:pPr>
              <w:pStyle w:val="18"/>
              <w:bidi w:val="0"/>
              <w:rPr>
                <w:rFonts w:hint="eastAsia"/>
                <w:color w:val="auto"/>
                <w:highlight w:val="none"/>
                <w:lang w:val="en-US" w:eastAsia="zh-CN"/>
              </w:rPr>
            </w:pPr>
            <w:r>
              <w:rPr>
                <w:rFonts w:hint="eastAsia"/>
                <w:color w:val="auto"/>
                <w:highlight w:val="none"/>
                <w:lang w:val="en-US" w:eastAsia="zh-CN"/>
              </w:rPr>
              <w:t>要求</w:t>
            </w:r>
          </w:p>
        </w:tc>
        <w:tc>
          <w:tcPr>
            <w:tcW w:w="4006" w:type="dxa"/>
          </w:tcPr>
          <w:p>
            <w:pPr>
              <w:pStyle w:val="18"/>
              <w:bidi w:val="0"/>
              <w:rPr>
                <w:rFonts w:hint="default"/>
                <w:color w:val="auto"/>
                <w:highlight w:val="none"/>
                <w:lang w:val="en-US" w:eastAsia="zh-CN"/>
              </w:rPr>
            </w:pPr>
            <w:r>
              <w:rPr>
                <w:rFonts w:hint="eastAsia"/>
                <w:color w:val="auto"/>
                <w:highlight w:val="none"/>
                <w:lang w:val="en-US" w:eastAsia="zh-CN"/>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8" w:type="dxa"/>
          </w:tcPr>
          <w:p>
            <w:pPr>
              <w:pStyle w:val="18"/>
              <w:bidi w:val="0"/>
              <w:rPr>
                <w:rFonts w:hint="default"/>
                <w:color w:val="auto"/>
                <w:highlight w:val="none"/>
              </w:rPr>
            </w:pPr>
            <w:r>
              <w:rPr>
                <w:color w:val="auto"/>
                <w:highlight w:val="none"/>
              </w:rPr>
              <w:t>（三）规范污泥处理方式。根据本地污泥来源、产量和泥质，综合考虑各地自然地理条件、用地条件、环境承载能力和经济发展水平等实际情况，因地制宜合理选择污泥处理路径和技术路线。鼓励采用厌氧消化、好氧发酵、干化焚烧、土地利用、建材利用等多元化组合方式处理污泥。除焚烧处理方式外，严禁将不符合泥质控制指标要求的工业污泥与城镇污水处理厂污泥混合处理</w:t>
            </w:r>
          </w:p>
        </w:tc>
        <w:tc>
          <w:tcPr>
            <w:tcW w:w="4006" w:type="dxa"/>
          </w:tcPr>
          <w:p>
            <w:pPr>
              <w:ind w:left="0" w:leftChars="0" w:firstLine="0" w:firstLineChars="0"/>
              <w:rPr>
                <w:rFonts w:hint="default" w:eastAsia="宋体"/>
                <w:color w:val="auto"/>
                <w:highlight w:val="none"/>
                <w:lang w:val="en-US" w:eastAsia="zh-CN"/>
              </w:rPr>
            </w:pPr>
            <w:r>
              <w:rPr>
                <w:rFonts w:hint="eastAsia" w:ascii="宋体" w:hAnsi="宋体" w:eastAsia="宋体" w:cstheme="minorBidi"/>
                <w:color w:val="auto"/>
                <w:kern w:val="2"/>
                <w:sz w:val="21"/>
                <w:szCs w:val="20"/>
                <w:highlight w:val="none"/>
                <w:lang w:val="en-US" w:eastAsia="zh-CN" w:bidi="ar-SA"/>
              </w:rPr>
              <w:t>根据现有污水处理厂针对</w:t>
            </w:r>
            <w:r>
              <w:rPr>
                <w:rFonts w:hint="default" w:ascii="宋体" w:hAnsi="宋体" w:eastAsia="宋体" w:cstheme="minorBidi"/>
                <w:color w:val="auto"/>
                <w:kern w:val="2"/>
                <w:sz w:val="21"/>
                <w:szCs w:val="20"/>
                <w:highlight w:val="none"/>
                <w:lang w:val="zh-CN" w:eastAsia="zh-CN" w:bidi="ar-SA"/>
              </w:rPr>
              <w:t>污泥危险废物鉴别实验，</w:t>
            </w:r>
            <w:r>
              <w:rPr>
                <w:rFonts w:hint="eastAsia" w:ascii="宋体" w:hAnsi="宋体" w:eastAsia="宋体" w:cstheme="minorBidi"/>
                <w:color w:val="auto"/>
                <w:kern w:val="2"/>
                <w:sz w:val="21"/>
                <w:szCs w:val="20"/>
                <w:highlight w:val="none"/>
                <w:lang w:val="en-US" w:eastAsia="zh-CN" w:bidi="ar-SA"/>
              </w:rPr>
              <w:t>可知本项目剩余污泥为一般固体废物（见附件污泥鉴别报告），</w:t>
            </w:r>
            <w:r>
              <w:rPr>
                <w:rFonts w:hint="eastAsia" w:ascii="宋体" w:hAnsi="宋体" w:eastAsia="宋体" w:cstheme="minorBidi"/>
                <w:color w:val="auto"/>
                <w:kern w:val="2"/>
                <w:sz w:val="21"/>
                <w:szCs w:val="20"/>
                <w:highlight w:val="none"/>
                <w:lang w:val="zh-CN" w:eastAsia="zh-CN" w:bidi="ar-SA"/>
              </w:rPr>
              <w:t>污泥经脱水至含水率小于60%后，与栅渣、沉砂一起运至生活垃圾填埋场进行卫生填埋</w:t>
            </w:r>
            <w:r>
              <w:rPr>
                <w:rFonts w:hint="default" w:ascii="宋体" w:hAnsi="宋体" w:eastAsia="宋体" w:cstheme="minorBidi"/>
                <w:color w:val="auto"/>
                <w:kern w:val="2"/>
                <w:sz w:val="21"/>
                <w:szCs w:val="20"/>
                <w:highlight w:val="none"/>
                <w:lang w:val="zh-CN"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8" w:type="dxa"/>
          </w:tcPr>
          <w:p>
            <w:pPr>
              <w:pStyle w:val="18"/>
              <w:bidi w:val="0"/>
              <w:rPr>
                <w:rFonts w:hint="eastAsia"/>
                <w:color w:val="auto"/>
                <w:highlight w:val="none"/>
                <w:lang w:eastAsia="zh-CN"/>
              </w:rPr>
            </w:pPr>
            <w:r>
              <w:rPr>
                <w:color w:val="auto"/>
                <w:highlight w:val="none"/>
              </w:rPr>
              <w:t>（四）积极推广污泥土地利用。鼓励将城镇生活污水处理厂产生的污泥经厌氧消化或好氧发酵处理后，作为肥料或土壤改良剂，用于国土绿化、园林建设、废弃矿场以及非农用的盐碱地和沙化地。污泥作为肥料或土壤改良剂时，应严格执行相关国家、行业和地方标准。用于林地、草地、国土绿化时，应根据不同地域的土质和植物习性等，确定合理的施用范围、施用量、施用方法和施用时间。对于含有毒有害水污染物的工业废水和生活污水混合处理的污水处理厂产生的污泥，不能采用土地利用方式。</w:t>
            </w:r>
          </w:p>
        </w:tc>
        <w:tc>
          <w:tcPr>
            <w:tcW w:w="4006" w:type="dxa"/>
          </w:tcPr>
          <w:p>
            <w:pPr>
              <w:pStyle w:val="18"/>
              <w:bidi w:val="0"/>
              <w:rPr>
                <w:rFonts w:hint="default"/>
                <w:color w:val="auto"/>
                <w:highlight w:val="none"/>
              </w:rPr>
            </w:pPr>
            <w:r>
              <w:rPr>
                <w:rFonts w:hint="eastAsia"/>
                <w:color w:val="auto"/>
                <w:highlight w:val="none"/>
                <w:lang w:val="en-US" w:eastAsia="zh-CN"/>
              </w:rPr>
              <w:t>本项目为</w:t>
            </w:r>
            <w:r>
              <w:rPr>
                <w:color w:val="auto"/>
                <w:highlight w:val="none"/>
              </w:rPr>
              <w:t>工业废水和生活污水混合处理的污水处理厂产生的污泥</w:t>
            </w:r>
            <w:r>
              <w:rPr>
                <w:rFonts w:hint="eastAsia"/>
                <w:color w:val="auto"/>
                <w:highlight w:val="none"/>
                <w:lang w:eastAsia="zh-CN"/>
              </w:rPr>
              <w:t>，</w:t>
            </w:r>
            <w:r>
              <w:rPr>
                <w:color w:val="auto"/>
                <w:highlight w:val="none"/>
              </w:rPr>
              <w:t>采用厌氧消化、好氧发酵方式处理污泥。</w:t>
            </w:r>
            <w:r>
              <w:rPr>
                <w:rFonts w:hint="eastAsia" w:cs="Times New Roman"/>
                <w:color w:val="auto"/>
                <w:highlight w:val="none"/>
                <w:lang w:val="en-US" w:eastAsia="zh-CN"/>
              </w:rPr>
              <w:t>根据现有污水处理厂针对</w:t>
            </w:r>
            <w:r>
              <w:rPr>
                <w:rFonts w:hint="default" w:ascii="Times New Roman" w:hAnsi="Times New Roman" w:cs="Times New Roman"/>
                <w:color w:val="auto"/>
                <w:highlight w:val="none"/>
                <w:lang w:val="zh-CN"/>
              </w:rPr>
              <w:t>污泥危险废物鉴别实验，</w:t>
            </w:r>
            <w:r>
              <w:rPr>
                <w:rFonts w:hint="eastAsia" w:cs="Times New Roman"/>
                <w:color w:val="auto"/>
                <w:highlight w:val="none"/>
                <w:lang w:val="en-US" w:eastAsia="zh-CN"/>
              </w:rPr>
              <w:t>可知本项目</w:t>
            </w:r>
            <w:r>
              <w:rPr>
                <w:rFonts w:hint="eastAsia"/>
                <w:color w:val="auto"/>
                <w:highlight w:val="none"/>
                <w:lang w:val="en-US" w:eastAsia="zh-CN"/>
              </w:rPr>
              <w:t>剩余污泥</w:t>
            </w:r>
            <w:r>
              <w:rPr>
                <w:rFonts w:hint="eastAsia" w:cs="Times New Roman"/>
                <w:color w:val="auto"/>
                <w:highlight w:val="none"/>
                <w:lang w:val="en-US" w:eastAsia="zh-CN"/>
              </w:rPr>
              <w:t>为一般固体废物（见附件污泥鉴别报告），</w:t>
            </w:r>
            <w:r>
              <w:rPr>
                <w:rFonts w:hint="eastAsia" w:cs="Times New Roman"/>
                <w:color w:val="auto"/>
                <w:highlight w:val="none"/>
                <w:lang w:val="zh-CN"/>
              </w:rPr>
              <w:t>污泥经脱水至含水率小于60%后，与栅渣、沉砂一起运至生活垃圾填埋场进行卫生填埋</w:t>
            </w:r>
            <w:r>
              <w:rPr>
                <w:rFonts w:hint="default" w:ascii="Times New Roman" w:hAnsi="Times New Roman" w:cs="Times New Roman"/>
                <w:color w:val="auto"/>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8" w:type="dxa"/>
          </w:tcPr>
          <w:p>
            <w:pPr>
              <w:pStyle w:val="18"/>
              <w:bidi w:val="0"/>
              <w:rPr>
                <w:rFonts w:hint="default"/>
                <w:color w:val="auto"/>
                <w:highlight w:val="none"/>
              </w:rPr>
            </w:pPr>
            <w:r>
              <w:rPr>
                <w:color w:val="auto"/>
                <w:highlight w:val="none"/>
              </w:rPr>
              <w:t>（五）合理压减污泥填埋规模。东部地区城市、中西部地区大中型城市以及其他地区有条件的城市，逐步限制污泥填埋处理，积极采用资源化利用等替代处理方案，明确时间表和路线图。暂不具备土地利用、焚烧处理和建材利用条件的地区，在污泥满足含水率小于60%的前提下，可采用卫生填埋处置。禁止未经脱水处理达标的污泥在垃圾填埋场填埋。采用污泥协同处置方式的，在满足《生活垃圾填埋场污染控制标准》的前提下，卫生填埋可作为协同处置设施故障或检修等情况时的应急处置措施。</w:t>
            </w:r>
          </w:p>
        </w:tc>
        <w:tc>
          <w:tcPr>
            <w:tcW w:w="4006" w:type="dxa"/>
          </w:tcPr>
          <w:p>
            <w:pPr>
              <w:pStyle w:val="18"/>
              <w:bidi w:val="0"/>
              <w:rPr>
                <w:rFonts w:hint="default"/>
                <w:color w:val="auto"/>
                <w:highlight w:val="none"/>
              </w:rPr>
            </w:pPr>
            <w:r>
              <w:rPr>
                <w:rFonts w:hint="eastAsia"/>
                <w:color w:val="auto"/>
                <w:highlight w:val="none"/>
                <w:lang w:val="en-US" w:eastAsia="zh-CN"/>
              </w:rPr>
              <w:t>本项目为</w:t>
            </w:r>
            <w:r>
              <w:rPr>
                <w:color w:val="auto"/>
                <w:highlight w:val="none"/>
              </w:rPr>
              <w:t>工业废水和生活污水混合处理的污水处理厂产生的污泥</w:t>
            </w:r>
            <w:r>
              <w:rPr>
                <w:rFonts w:hint="eastAsia"/>
                <w:color w:val="auto"/>
                <w:highlight w:val="none"/>
                <w:lang w:eastAsia="zh-CN"/>
              </w:rPr>
              <w:t>，</w:t>
            </w:r>
            <w:r>
              <w:rPr>
                <w:color w:val="auto"/>
                <w:highlight w:val="none"/>
              </w:rPr>
              <w:t>采用厌氧消化、好氧发酵方式处理污泥。</w:t>
            </w:r>
            <w:r>
              <w:rPr>
                <w:rFonts w:hint="eastAsia" w:cs="Times New Roman"/>
                <w:color w:val="auto"/>
                <w:highlight w:val="none"/>
                <w:lang w:val="en-US" w:eastAsia="zh-CN"/>
              </w:rPr>
              <w:t>根据现有污水处理厂针对</w:t>
            </w:r>
            <w:r>
              <w:rPr>
                <w:rFonts w:hint="default" w:ascii="Times New Roman" w:hAnsi="Times New Roman" w:cs="Times New Roman"/>
                <w:color w:val="auto"/>
                <w:highlight w:val="none"/>
                <w:lang w:val="zh-CN"/>
              </w:rPr>
              <w:t>污泥危险废物鉴别实验，</w:t>
            </w:r>
            <w:r>
              <w:rPr>
                <w:rFonts w:hint="eastAsia" w:cs="Times New Roman"/>
                <w:color w:val="auto"/>
                <w:highlight w:val="none"/>
                <w:lang w:val="en-US" w:eastAsia="zh-CN"/>
              </w:rPr>
              <w:t>可知本项目</w:t>
            </w:r>
            <w:r>
              <w:rPr>
                <w:rFonts w:hint="eastAsia"/>
                <w:color w:val="auto"/>
                <w:highlight w:val="none"/>
                <w:lang w:val="en-US" w:eastAsia="zh-CN"/>
              </w:rPr>
              <w:t>剩余污泥</w:t>
            </w:r>
            <w:r>
              <w:rPr>
                <w:rFonts w:hint="eastAsia" w:cs="Times New Roman"/>
                <w:color w:val="auto"/>
                <w:highlight w:val="none"/>
                <w:lang w:val="en-US" w:eastAsia="zh-CN"/>
              </w:rPr>
              <w:t>为一般固体废物（见附件污泥鉴别报告），</w:t>
            </w:r>
            <w:r>
              <w:rPr>
                <w:rFonts w:hint="eastAsia" w:cs="Times New Roman"/>
                <w:color w:val="auto"/>
                <w:highlight w:val="none"/>
                <w:lang w:val="zh-CN"/>
              </w:rPr>
              <w:t>污泥经脱水至含水率小于60%后，与栅渣、沉砂一起运至生活垃圾填埋场进行卫生填埋</w:t>
            </w:r>
            <w:r>
              <w:rPr>
                <w:rFonts w:hint="default" w:ascii="Times New Roman" w:hAnsi="Times New Roman" w:cs="Times New Roman"/>
                <w:color w:val="auto"/>
                <w:highlight w:val="none"/>
                <w:lang w:val="zh-CN"/>
              </w:rPr>
              <w:t>。</w:t>
            </w:r>
          </w:p>
        </w:tc>
      </w:tr>
    </w:tbl>
    <w:p>
      <w:pPr>
        <w:pStyle w:val="5"/>
        <w:rPr>
          <w:rFonts w:hint="default" w:ascii="Times New Roman" w:hAnsi="Times New Roman" w:cs="Times New Roman"/>
          <w:color w:val="auto"/>
          <w:highlight w:val="none"/>
        </w:rPr>
      </w:pPr>
      <w:bookmarkStart w:id="24" w:name="_Toc30812"/>
      <w:bookmarkStart w:id="25" w:name="_Toc26999"/>
      <w:bookmarkStart w:id="26" w:name="_Toc531100911"/>
      <w:bookmarkStart w:id="27" w:name="_Toc30773"/>
      <w:r>
        <w:rPr>
          <w:rFonts w:hint="default" w:ascii="Times New Roman" w:hAnsi="Times New Roman" w:cs="Times New Roman"/>
          <w:color w:val="auto"/>
          <w:highlight w:val="none"/>
        </w:rPr>
        <w:t>与规划的符合性分析</w:t>
      </w:r>
      <w:bookmarkEnd w:id="24"/>
      <w:bookmarkEnd w:id="25"/>
      <w:bookmarkEnd w:id="26"/>
      <w:bookmarkEnd w:id="27"/>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项目与《新疆昌吉国家农业科技园区高新农业产业园总体规划（2011—2030)》符合性分析</w:t>
      </w:r>
    </w:p>
    <w:p>
      <w:pPr>
        <w:spacing w:line="360" w:lineRule="auto"/>
        <w:ind w:firstLine="480" w:firstLineChars="200"/>
        <w:rPr>
          <w:rFonts w:hint="eastAsia"/>
          <w:color w:val="auto"/>
          <w:sz w:val="24"/>
          <w:highlight w:val="none"/>
        </w:rPr>
      </w:pPr>
      <w:r>
        <w:rPr>
          <w:rFonts w:hint="eastAsia" w:ascii="Times New Roman" w:hAnsi="Times New Roman" w:cs="Times New Roman"/>
          <w:color w:val="auto"/>
          <w:highlight w:val="none"/>
          <w:lang w:val="en-US" w:eastAsia="zh-CN"/>
        </w:rPr>
        <w:t>本项目位于</w:t>
      </w:r>
      <w:r>
        <w:rPr>
          <w:rFonts w:hint="default" w:ascii="Times New Roman" w:hAnsi="Times New Roman" w:cs="Times New Roman"/>
          <w:color w:val="auto"/>
          <w:highlight w:val="none"/>
        </w:rPr>
        <w:t>新疆昌吉国家农业科技园区高新农业产业园</w:t>
      </w:r>
      <w:r>
        <w:rPr>
          <w:rFonts w:hint="eastAsia" w:ascii="Times New Roman" w:hAnsi="Times New Roman" w:cs="Times New Roman"/>
          <w:color w:val="auto"/>
          <w:highlight w:val="none"/>
          <w:lang w:val="en-US" w:eastAsia="zh-CN"/>
        </w:rPr>
        <w:t>内，</w:t>
      </w:r>
      <w:r>
        <w:rPr>
          <w:rFonts w:hint="eastAsia"/>
          <w:color w:val="auto"/>
          <w:sz w:val="24"/>
          <w:highlight w:val="none"/>
        </w:rPr>
        <w:t>昌吉高新农业产业园进行产业定位通过使用波特五力分析模型、钻石体系定位模型、供应链定位模型与分析模型等，对行业进入壁垒、产业资源匹配度、产业链进入环节定位、区位商等进行分析。综合考量园区吸引力、产业经济社会效益，提出昌吉高新农业产业园产业定位为：</w:t>
      </w:r>
    </w:p>
    <w:p>
      <w:pPr>
        <w:spacing w:line="360" w:lineRule="auto"/>
        <w:ind w:firstLine="480" w:firstLineChars="200"/>
        <w:rPr>
          <w:rFonts w:hint="eastAsia"/>
          <w:color w:val="auto"/>
          <w:sz w:val="24"/>
          <w:highlight w:val="none"/>
        </w:rPr>
      </w:pPr>
      <w:r>
        <w:rPr>
          <w:rFonts w:hint="eastAsia"/>
          <w:color w:val="auto"/>
          <w:sz w:val="24"/>
          <w:highlight w:val="none"/>
        </w:rPr>
        <w:t>以特色农副产品加工、环保农资产业为基础，以现代农机装备、生物科技产业、节水灌溉设备为核心，以特色农资商贸物流为补充，节能环保、新能源、新材料为延伸的现代新型涉农产业集群示范基地。</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根据新疆昌吉国家农业科技园区高新农业产业园</w:t>
      </w:r>
      <w:r>
        <w:rPr>
          <w:rFonts w:hint="default" w:ascii="Times New Roman" w:hAnsi="Times New Roman" w:cs="Times New Roman"/>
          <w:color w:val="auto"/>
          <w:kern w:val="0"/>
          <w:highlight w:val="none"/>
        </w:rPr>
        <w:t>排水规划要求</w:t>
      </w:r>
      <w:r>
        <w:rPr>
          <w:rFonts w:hint="eastAsia" w:cs="Times New Roman"/>
          <w:color w:val="auto"/>
          <w:kern w:val="0"/>
          <w:highlight w:val="none"/>
          <w:lang w:eastAsia="zh-CN"/>
        </w:rPr>
        <w:t>：</w:t>
      </w:r>
      <w:r>
        <w:rPr>
          <w:rFonts w:hint="default" w:ascii="Times New Roman" w:hAnsi="Times New Roman" w:cs="Times New Roman"/>
          <w:color w:val="auto"/>
          <w:highlight w:val="none"/>
        </w:rPr>
        <w:t>工业区产生的污水应在厂区内部进行预处理，达到污水综合排放标准和污水排入下水道标准等相关标准后，才允许排入市政污水管网。本次规划远期工业区的污水量约为11.2万t/d，生活区的污水量约为3.8万t/d，总的污水量为15.0万t/d。</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规划在产业园西北部建设一座污水处理厂，规模为15万t/d。</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新建再生水厂一座，再生水量约为8万t/d。再生水厂位于污水处理厂附近，规划再生水处理设施与污水处理厂同步建设。回用于道路广场浇洒、绿化、工业辅助用水、部分公建用水、部分仓储及混合用地用水。</w:t>
      </w:r>
    </w:p>
    <w:p>
      <w:pPr>
        <w:ind w:firstLine="480"/>
        <w:rPr>
          <w:rFonts w:hint="default" w:ascii="Times New Roman" w:hAnsi="Times New Roman" w:eastAsia="宋体" w:cs="Times New Roman"/>
          <w:color w:val="auto"/>
          <w:spacing w:val="-6"/>
          <w:sz w:val="24"/>
          <w:highlight w:val="none"/>
          <w:lang w:val="en-US" w:eastAsia="zh-CN"/>
        </w:rPr>
      </w:pPr>
      <w:r>
        <w:rPr>
          <w:rFonts w:hint="default" w:ascii="Times New Roman" w:hAnsi="Times New Roman" w:cs="Times New Roman"/>
          <w:color w:val="auto"/>
          <w:spacing w:val="-6"/>
          <w:sz w:val="24"/>
          <w:highlight w:val="none"/>
          <w:lang w:val="en-US" w:eastAsia="zh-CN"/>
        </w:rPr>
        <w:t>现有污水处理厂处理规模为5000</w:t>
      </w:r>
      <w:r>
        <w:rPr>
          <w:rFonts w:hint="default" w:ascii="Times New Roman" w:hAnsi="Times New Roman" w:cs="Times New Roman"/>
          <w:color w:val="auto"/>
          <w:spacing w:val="-6"/>
          <w:sz w:val="24"/>
          <w:highlight w:val="none"/>
        </w:rPr>
        <w:t>m</w:t>
      </w:r>
      <w:r>
        <w:rPr>
          <w:rFonts w:hint="default" w:ascii="Times New Roman" w:hAnsi="Times New Roman" w:cs="Times New Roman"/>
          <w:color w:val="auto"/>
          <w:spacing w:val="-6"/>
          <w:sz w:val="24"/>
          <w:highlight w:val="none"/>
          <w:vertAlign w:val="superscript"/>
        </w:rPr>
        <w:t>3</w:t>
      </w:r>
      <w:r>
        <w:rPr>
          <w:rFonts w:hint="default" w:ascii="Times New Roman" w:hAnsi="Times New Roman" w:cs="Times New Roman"/>
          <w:color w:val="auto"/>
          <w:spacing w:val="-6"/>
          <w:sz w:val="24"/>
          <w:highlight w:val="none"/>
        </w:rPr>
        <w:t>/d</w:t>
      </w:r>
      <w:r>
        <w:rPr>
          <w:rFonts w:hint="default" w:ascii="Times New Roman" w:hAnsi="Times New Roman" w:cs="Times New Roman"/>
          <w:color w:val="auto"/>
          <w:spacing w:val="-6"/>
          <w:sz w:val="24"/>
          <w:highlight w:val="none"/>
          <w:lang w:eastAsia="zh-CN"/>
        </w:rPr>
        <w:t>，</w:t>
      </w:r>
      <w:r>
        <w:rPr>
          <w:rFonts w:hint="default" w:ascii="Times New Roman" w:hAnsi="Times New Roman" w:cs="Times New Roman"/>
          <w:color w:val="auto"/>
          <w:spacing w:val="-6"/>
          <w:sz w:val="24"/>
          <w:highlight w:val="none"/>
        </w:rPr>
        <w:t>本次扩建规模为2.5万m</w:t>
      </w:r>
      <w:r>
        <w:rPr>
          <w:rFonts w:hint="default" w:ascii="Times New Roman" w:hAnsi="Times New Roman" w:cs="Times New Roman"/>
          <w:color w:val="auto"/>
          <w:spacing w:val="-6"/>
          <w:sz w:val="24"/>
          <w:highlight w:val="none"/>
          <w:vertAlign w:val="superscript"/>
        </w:rPr>
        <w:t>3</w:t>
      </w:r>
      <w:r>
        <w:rPr>
          <w:rFonts w:hint="default" w:ascii="Times New Roman" w:hAnsi="Times New Roman" w:cs="Times New Roman"/>
          <w:color w:val="auto"/>
          <w:spacing w:val="-6"/>
          <w:sz w:val="24"/>
          <w:highlight w:val="none"/>
        </w:rPr>
        <w:t>/d，总规模达到3万m³/d，规划在产业园西北部建设一座污水处理厂，规模为15万t/d</w:t>
      </w:r>
      <w:r>
        <w:rPr>
          <w:rFonts w:hint="default" w:ascii="Times New Roman" w:hAnsi="Times New Roman" w:cs="Times New Roman"/>
          <w:color w:val="auto"/>
          <w:spacing w:val="-6"/>
          <w:sz w:val="24"/>
          <w:highlight w:val="none"/>
          <w:lang w:eastAsia="zh-CN"/>
        </w:rPr>
        <w:t>，</w:t>
      </w:r>
      <w:r>
        <w:rPr>
          <w:rFonts w:hint="eastAsia" w:cs="Times New Roman"/>
          <w:color w:val="auto"/>
          <w:spacing w:val="-6"/>
          <w:sz w:val="24"/>
          <w:highlight w:val="none"/>
          <w:lang w:val="en-US" w:eastAsia="zh-CN"/>
        </w:rPr>
        <w:t>因现有入驻企业较少，园区污水处理厂根据实际情况设计建设规模，故本项目</w:t>
      </w:r>
      <w:r>
        <w:rPr>
          <w:rFonts w:hint="default" w:ascii="Times New Roman" w:hAnsi="Times New Roman" w:cs="Times New Roman"/>
          <w:color w:val="auto"/>
          <w:spacing w:val="-6"/>
          <w:sz w:val="24"/>
          <w:highlight w:val="none"/>
          <w:lang w:val="en-US" w:eastAsia="zh-CN"/>
        </w:rPr>
        <w:t>未超过</w:t>
      </w:r>
      <w:r>
        <w:rPr>
          <w:rFonts w:hint="default" w:ascii="Times New Roman" w:hAnsi="Times New Roman" w:cs="Times New Roman"/>
          <w:color w:val="auto"/>
          <w:highlight w:val="none"/>
        </w:rPr>
        <w:t>新疆昌吉国家农业科技园区高新农业产业园</w:t>
      </w:r>
      <w:r>
        <w:rPr>
          <w:rFonts w:hint="default" w:ascii="Times New Roman" w:hAnsi="Times New Roman" w:cs="Times New Roman"/>
          <w:color w:val="auto"/>
          <w:spacing w:val="-6"/>
          <w:sz w:val="24"/>
          <w:highlight w:val="none"/>
          <w:lang w:val="en-US" w:eastAsia="zh-CN"/>
        </w:rPr>
        <w:t>规划的处理规模</w:t>
      </w:r>
      <w:r>
        <w:rPr>
          <w:rFonts w:hint="eastAsia" w:cs="Times New Roman"/>
          <w:color w:val="auto"/>
          <w:spacing w:val="-6"/>
          <w:sz w:val="24"/>
          <w:highlight w:val="none"/>
          <w:lang w:val="en-US" w:eastAsia="zh-CN"/>
        </w:rPr>
        <w:t>，符合</w:t>
      </w:r>
      <w:r>
        <w:rPr>
          <w:rFonts w:hint="default" w:ascii="Times New Roman" w:hAnsi="Times New Roman" w:cs="Times New Roman"/>
          <w:color w:val="auto"/>
          <w:highlight w:val="none"/>
        </w:rPr>
        <w:t>新疆昌吉国家农业科技园区高新农业产业园</w:t>
      </w:r>
      <w:r>
        <w:rPr>
          <w:rFonts w:hint="eastAsia" w:ascii="Times New Roman" w:hAnsi="Times New Roman" w:cs="Times New Roman"/>
          <w:color w:val="auto"/>
          <w:highlight w:val="none"/>
          <w:lang w:val="en-US" w:eastAsia="zh-CN"/>
        </w:rPr>
        <w:t>的规划要求。</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项目与</w:t>
      </w:r>
      <w:r>
        <w:rPr>
          <w:rFonts w:hint="eastAsia" w:cs="Times New Roman"/>
          <w:color w:val="auto"/>
          <w:highlight w:val="none"/>
          <w:lang w:eastAsia="zh-CN"/>
        </w:rPr>
        <w:t>《新疆昌吉国家农业科技园区高新农业产业园总体规划（2011—2030)》</w:t>
      </w:r>
      <w:r>
        <w:rPr>
          <w:rFonts w:hint="default" w:ascii="Times New Roman" w:hAnsi="Times New Roman" w:cs="Times New Roman"/>
          <w:color w:val="auto"/>
          <w:highlight w:val="none"/>
        </w:rPr>
        <w:t>的符合性分析</w:t>
      </w:r>
    </w:p>
    <w:p>
      <w:pPr>
        <w:spacing w:line="360" w:lineRule="auto"/>
        <w:ind w:firstLine="480" w:firstLineChars="200"/>
        <w:rPr>
          <w:color w:val="auto"/>
          <w:sz w:val="24"/>
          <w:highlight w:val="none"/>
        </w:rPr>
      </w:pPr>
      <w:r>
        <w:rPr>
          <w:rFonts w:hint="eastAsia" w:hAnsi="宋体"/>
          <w:color w:val="auto"/>
          <w:sz w:val="24"/>
          <w:highlight w:val="none"/>
        </w:rPr>
        <w:t>中国建筑设计研究院城镇规划设计研究院编制了《新疆昌吉国家农业科技园区高新农业产业园总体规划</w:t>
      </w:r>
      <w:r>
        <w:rPr>
          <w:rFonts w:hint="eastAsia" w:hAnsi="宋体"/>
          <w:color w:val="auto"/>
          <w:sz w:val="24"/>
          <w:highlight w:val="none"/>
          <w:lang w:eastAsia="zh-CN"/>
        </w:rPr>
        <w:t>（</w:t>
      </w:r>
      <w:r>
        <w:rPr>
          <w:rFonts w:hint="eastAsia" w:hAnsi="宋体"/>
          <w:color w:val="auto"/>
          <w:sz w:val="24"/>
          <w:highlight w:val="none"/>
        </w:rPr>
        <w:t>2011—2030)》</w:t>
      </w:r>
      <w:r>
        <w:rPr>
          <w:rFonts w:hint="eastAsia" w:hAnsi="宋体"/>
          <w:color w:val="auto"/>
          <w:sz w:val="24"/>
          <w:highlight w:val="none"/>
          <w:lang w:val="en-US" w:eastAsia="zh-CN"/>
        </w:rPr>
        <w:t>并取得了新疆维吾尔自治区环境保护厅出具的《关于新疆昌吉国家农业科技园区高新农业产业园总体规划（2011-2030）环境影响报告书的审查意见》（新环函〔2014〕1245号）</w:t>
      </w:r>
      <w:r>
        <w:rPr>
          <w:rFonts w:hint="eastAsia" w:hAnsi="宋体"/>
          <w:color w:val="auto"/>
          <w:sz w:val="24"/>
          <w:highlight w:val="none"/>
        </w:rPr>
        <w:t>。</w:t>
      </w:r>
    </w:p>
    <w:p>
      <w:pPr>
        <w:pStyle w:val="15"/>
        <w:rPr>
          <w:rFonts w:hint="default" w:ascii="Times New Roman" w:hAnsi="Times New Roman" w:cs="Times New Roman"/>
          <w:color w:val="auto"/>
          <w:kern w:val="0"/>
          <w:highlight w:val="none"/>
          <w:lang w:val="zh-CN"/>
        </w:rPr>
      </w:pPr>
      <w:r>
        <w:rPr>
          <w:rFonts w:hint="eastAsia" w:cs="Times New Roman"/>
          <w:color w:val="auto"/>
          <w:highlight w:val="none"/>
          <w:lang w:eastAsia="zh-CN"/>
        </w:rPr>
        <w:t>《新疆昌吉国家农业科技园区高新农业产业园总体规划（2011—2030)》</w:t>
      </w:r>
      <w:r>
        <w:rPr>
          <w:rFonts w:hint="default" w:ascii="Times New Roman" w:hAnsi="Times New Roman" w:cs="Times New Roman"/>
          <w:color w:val="auto"/>
          <w:highlight w:val="none"/>
        </w:rPr>
        <w:t>报</w:t>
      </w:r>
      <w:r>
        <w:rPr>
          <w:rFonts w:hint="default" w:ascii="Times New Roman" w:hAnsi="Times New Roman" w:cs="Times New Roman"/>
          <w:color w:val="auto"/>
          <w:kern w:val="0"/>
          <w:highlight w:val="none"/>
          <w:lang w:val="zh-CN"/>
        </w:rPr>
        <w:t>告书</w:t>
      </w:r>
      <w:r>
        <w:rPr>
          <w:rFonts w:hint="eastAsia"/>
          <w:color w:val="auto"/>
          <w:highlight w:val="none"/>
          <w:lang w:val="en-US" w:eastAsia="zh-CN"/>
        </w:rPr>
        <w:t>及审查意见</w:t>
      </w:r>
      <w:r>
        <w:rPr>
          <w:rFonts w:hint="default" w:ascii="Times New Roman" w:hAnsi="Times New Roman" w:cs="Times New Roman"/>
          <w:color w:val="auto"/>
          <w:kern w:val="0"/>
          <w:highlight w:val="none"/>
          <w:lang w:val="zh-CN"/>
        </w:rPr>
        <w:t>提出的各项预防或减缓不良环境影响对策，合理优化调整环境保护相关规划方案的基础上，不良环境影响可以得到有效的控制。</w:t>
      </w:r>
    </w:p>
    <w:p>
      <w:pPr>
        <w:spacing w:line="360" w:lineRule="auto"/>
        <w:ind w:firstLine="480" w:firstLineChars="200"/>
        <w:rPr>
          <w:rFonts w:hint="eastAsia"/>
          <w:color w:val="auto"/>
          <w:sz w:val="24"/>
          <w:highlight w:val="none"/>
        </w:rPr>
      </w:pPr>
      <w:r>
        <w:rPr>
          <w:rFonts w:hint="eastAsia"/>
          <w:color w:val="auto"/>
          <w:sz w:val="24"/>
          <w:highlight w:val="none"/>
        </w:rPr>
        <w:t>产业园进行产业定位通过使用波特五力分析模型、钻石体系定位模型、供应链定位模型与分析模型等，对行业进入壁垒、产业资源匹配度、产业链进入环节定位、区位商等进行分析。综合考量园区吸引力、产业经济社会效益，提出昌吉高新农业产业园产业定位为：</w:t>
      </w:r>
    </w:p>
    <w:p>
      <w:pPr>
        <w:spacing w:line="360" w:lineRule="auto"/>
        <w:ind w:firstLine="480" w:firstLineChars="200"/>
        <w:rPr>
          <w:rFonts w:hint="eastAsia"/>
          <w:color w:val="auto"/>
          <w:sz w:val="24"/>
          <w:highlight w:val="none"/>
        </w:rPr>
      </w:pPr>
      <w:r>
        <w:rPr>
          <w:rFonts w:hint="eastAsia"/>
          <w:color w:val="auto"/>
          <w:sz w:val="24"/>
          <w:highlight w:val="none"/>
        </w:rPr>
        <w:t>以特色农副产品加工、环保农资产业为基础，以现代农机装备、生物科技产业、节水灌溉设备为核心，以特色农资商贸物流为补充，节能环保、新能源、新材料为延伸的现代新型涉农产业集群示范基地。</w:t>
      </w:r>
    </w:p>
    <w:p>
      <w:pPr>
        <w:ind w:firstLine="480"/>
        <w:rPr>
          <w:rFonts w:hint="default" w:ascii="Times New Roman" w:hAnsi="Times New Roman" w:cs="Times New Roman"/>
          <w:color w:val="auto"/>
          <w:kern w:val="0"/>
          <w:highlight w:val="none"/>
          <w:lang w:val="zh-CN"/>
        </w:rPr>
      </w:pPr>
      <w:r>
        <w:rPr>
          <w:rFonts w:hint="eastAsia" w:cs="Times New Roman"/>
          <w:color w:val="auto"/>
          <w:kern w:val="0"/>
          <w:highlight w:val="none"/>
          <w:lang w:val="zh-CN"/>
        </w:rPr>
        <w:t>（</w:t>
      </w:r>
      <w:r>
        <w:rPr>
          <w:rFonts w:hint="eastAsia" w:cs="Times New Roman"/>
          <w:color w:val="auto"/>
          <w:kern w:val="0"/>
          <w:highlight w:val="none"/>
          <w:lang w:val="en-US" w:eastAsia="zh-CN"/>
        </w:rPr>
        <w:t>1</w:t>
      </w:r>
      <w:r>
        <w:rPr>
          <w:rFonts w:hint="eastAsia" w:cs="Times New Roman"/>
          <w:color w:val="auto"/>
          <w:kern w:val="0"/>
          <w:highlight w:val="none"/>
          <w:lang w:val="zh-CN"/>
        </w:rPr>
        <w:t>）</w:t>
      </w:r>
      <w:r>
        <w:rPr>
          <w:rFonts w:hint="default" w:ascii="Times New Roman" w:hAnsi="Times New Roman" w:cs="Times New Roman"/>
          <w:color w:val="auto"/>
          <w:kern w:val="0"/>
          <w:highlight w:val="none"/>
          <w:lang w:val="zh-CN"/>
        </w:rPr>
        <w:t>结合区域资源、能源和环境容量的承载力、国家相关</w:t>
      </w:r>
    </w:p>
    <w:p>
      <w:pPr>
        <w:ind w:firstLine="480"/>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lang w:val="zh-CN"/>
        </w:rPr>
        <w:t>产业政策等，进一步优化调整规划方案。加快园区水资源论证，并依据水资源论证报告的结论，结合环境生态承载力，优化调整园区的产业结构及土地利用合理性。</w:t>
      </w:r>
    </w:p>
    <w:p>
      <w:pPr>
        <w:ind w:firstLine="480"/>
        <w:rPr>
          <w:rFonts w:hint="default" w:ascii="Times New Roman" w:hAnsi="Times New Roman" w:cs="Times New Roman"/>
          <w:color w:val="auto"/>
          <w:kern w:val="0"/>
          <w:highlight w:val="none"/>
          <w:lang w:val="zh-CN"/>
        </w:rPr>
      </w:pPr>
      <w:r>
        <w:rPr>
          <w:rFonts w:hint="eastAsia" w:cs="Times New Roman"/>
          <w:color w:val="auto"/>
          <w:kern w:val="0"/>
          <w:highlight w:val="none"/>
          <w:lang w:val="zh-CN"/>
        </w:rPr>
        <w:t>（</w:t>
      </w:r>
      <w:r>
        <w:rPr>
          <w:rFonts w:hint="eastAsia" w:cs="Times New Roman"/>
          <w:color w:val="auto"/>
          <w:kern w:val="0"/>
          <w:highlight w:val="none"/>
          <w:lang w:val="en-US" w:eastAsia="zh-CN"/>
        </w:rPr>
        <w:t>2</w:t>
      </w:r>
      <w:r>
        <w:rPr>
          <w:rFonts w:hint="eastAsia" w:cs="Times New Roman"/>
          <w:color w:val="auto"/>
          <w:kern w:val="0"/>
          <w:highlight w:val="none"/>
          <w:lang w:val="zh-CN"/>
        </w:rPr>
        <w:t>）</w:t>
      </w:r>
      <w:r>
        <w:rPr>
          <w:rFonts w:hint="default" w:ascii="Times New Roman" w:hAnsi="Times New Roman" w:cs="Times New Roman"/>
          <w:color w:val="auto"/>
          <w:kern w:val="0"/>
          <w:highlight w:val="none"/>
          <w:lang w:val="zh-CN"/>
        </w:rPr>
        <w:t>统一规划园区的排水系统、污水处理系统和水资源综合利用系统，必须按照“清污分流</w:t>
      </w:r>
      <w:r>
        <w:rPr>
          <w:rFonts w:hint="eastAsia" w:cs="Times New Roman"/>
          <w:color w:val="auto"/>
          <w:kern w:val="0"/>
          <w:highlight w:val="none"/>
          <w:lang w:val="zh-CN"/>
        </w:rPr>
        <w:t>”“</w:t>
      </w:r>
      <w:r>
        <w:rPr>
          <w:rFonts w:hint="default" w:ascii="Times New Roman" w:hAnsi="Times New Roman" w:cs="Times New Roman"/>
          <w:color w:val="auto"/>
          <w:kern w:val="0"/>
          <w:highlight w:val="none"/>
          <w:lang w:val="zh-CN"/>
        </w:rPr>
        <w:t>污污分治”的原则规划、设计和建设，逐步建成完善的给排水设施及水资源综合利用体系。明确园区各基础设施建设进度要求，做好园区现有入驻企业的污染治理工作。</w:t>
      </w:r>
    </w:p>
    <w:p>
      <w:pPr>
        <w:ind w:firstLine="480"/>
        <w:rPr>
          <w:rFonts w:hint="default" w:ascii="Times New Roman" w:hAnsi="Times New Roman" w:cs="Times New Roman"/>
          <w:color w:val="auto"/>
          <w:kern w:val="0"/>
          <w:highlight w:val="none"/>
          <w:lang w:val="zh-CN"/>
        </w:rPr>
      </w:pPr>
      <w:r>
        <w:rPr>
          <w:rFonts w:hint="eastAsia" w:cs="Times New Roman"/>
          <w:color w:val="auto"/>
          <w:kern w:val="0"/>
          <w:highlight w:val="none"/>
          <w:lang w:val="zh-CN"/>
        </w:rPr>
        <w:t>（</w:t>
      </w:r>
      <w:r>
        <w:rPr>
          <w:rFonts w:hint="eastAsia" w:cs="Times New Roman"/>
          <w:color w:val="auto"/>
          <w:kern w:val="0"/>
          <w:highlight w:val="none"/>
          <w:lang w:val="en-US" w:eastAsia="zh-CN"/>
        </w:rPr>
        <w:t>3</w:t>
      </w:r>
      <w:r>
        <w:rPr>
          <w:rFonts w:hint="eastAsia" w:cs="Times New Roman"/>
          <w:color w:val="auto"/>
          <w:kern w:val="0"/>
          <w:highlight w:val="none"/>
          <w:lang w:val="zh-CN"/>
        </w:rPr>
        <w:t>）</w:t>
      </w:r>
      <w:r>
        <w:rPr>
          <w:rFonts w:hint="default" w:ascii="Times New Roman" w:hAnsi="Times New Roman" w:cs="Times New Roman"/>
          <w:color w:val="auto"/>
          <w:kern w:val="0"/>
          <w:highlight w:val="none"/>
          <w:lang w:val="zh-CN"/>
        </w:rPr>
        <w:t>园区引进项目应符合相应的行业准入要求及产业定位，入园企业的清洁生产水平必须达到国内先进水平。</w:t>
      </w:r>
    </w:p>
    <w:p>
      <w:pPr>
        <w:ind w:firstLine="480"/>
        <w:rPr>
          <w:rFonts w:hint="default" w:ascii="Times New Roman" w:hAnsi="Times New Roman" w:cs="Times New Roman"/>
          <w:color w:val="auto"/>
          <w:kern w:val="0"/>
          <w:highlight w:val="none"/>
          <w:lang w:val="zh-CN"/>
        </w:rPr>
      </w:pPr>
      <w:r>
        <w:rPr>
          <w:rFonts w:hint="eastAsia" w:cs="Times New Roman"/>
          <w:color w:val="auto"/>
          <w:kern w:val="0"/>
          <w:highlight w:val="none"/>
          <w:lang w:val="zh-CN"/>
        </w:rPr>
        <w:t>（</w:t>
      </w:r>
      <w:r>
        <w:rPr>
          <w:rFonts w:hint="eastAsia" w:cs="Times New Roman"/>
          <w:color w:val="auto"/>
          <w:kern w:val="0"/>
          <w:highlight w:val="none"/>
          <w:lang w:val="en-US" w:eastAsia="zh-CN"/>
        </w:rPr>
        <w:t>4</w:t>
      </w:r>
      <w:r>
        <w:rPr>
          <w:rFonts w:hint="eastAsia" w:cs="Times New Roman"/>
          <w:color w:val="auto"/>
          <w:kern w:val="0"/>
          <w:highlight w:val="none"/>
          <w:lang w:val="zh-CN"/>
        </w:rPr>
        <w:t>）</w:t>
      </w:r>
      <w:r>
        <w:rPr>
          <w:rFonts w:hint="default" w:ascii="Times New Roman" w:hAnsi="Times New Roman" w:cs="Times New Roman"/>
          <w:color w:val="auto"/>
          <w:kern w:val="0"/>
          <w:highlight w:val="none"/>
          <w:lang w:val="zh-CN"/>
        </w:rPr>
        <w:t>建立环境影响跟踪评价制度，定期对存在的潜在危害进行调查分析、跟踪评价，向环保部门及时反馈信息，以便调整总体发展布局和相关的环保对策措施，对园区实行动态管理，实现可持续发展。</w:t>
      </w:r>
    </w:p>
    <w:p>
      <w:pPr>
        <w:ind w:firstLine="480"/>
        <w:rPr>
          <w:rFonts w:hint="eastAsia" w:ascii="Times New Roman" w:hAnsi="Times New Roman" w:cs="Times New Roman"/>
          <w:color w:val="FF0000"/>
          <w:spacing w:val="-6"/>
          <w:sz w:val="24"/>
          <w:highlight w:val="none"/>
          <w:lang w:val="en-US" w:eastAsia="zh-CN"/>
        </w:rPr>
      </w:pPr>
      <w:r>
        <w:rPr>
          <w:rFonts w:hint="eastAsia" w:cs="Times New Roman"/>
          <w:color w:val="FF0000"/>
          <w:highlight w:val="none"/>
          <w:lang w:val="en-US" w:eastAsia="zh-CN"/>
        </w:rPr>
        <w:t>根据</w:t>
      </w:r>
      <w:r>
        <w:rPr>
          <w:rFonts w:hint="default" w:ascii="Times New Roman" w:hAnsi="Times New Roman" w:cs="Times New Roman"/>
          <w:color w:val="FF0000"/>
          <w:highlight w:val="none"/>
        </w:rPr>
        <w:t>2018年7月12日原新疆维吾尔自治区环境保护厅</w:t>
      </w:r>
      <w:r>
        <w:rPr>
          <w:rFonts w:hint="eastAsia" w:ascii="Times New Roman" w:hAnsi="Times New Roman" w:cs="Times New Roman"/>
          <w:color w:val="FF0000"/>
          <w:highlight w:val="none"/>
          <w:lang w:val="en-US" w:eastAsia="zh-CN"/>
        </w:rPr>
        <w:t>批复的</w:t>
      </w:r>
      <w:r>
        <w:rPr>
          <w:rFonts w:hint="default" w:ascii="Times New Roman" w:hAnsi="Times New Roman" w:cs="Times New Roman"/>
          <w:color w:val="FF0000"/>
          <w:highlight w:val="none"/>
        </w:rPr>
        <w:t>《</w:t>
      </w:r>
      <w:r>
        <w:rPr>
          <w:rFonts w:hint="eastAsia" w:ascii="Times New Roman" w:hAnsi="Times New Roman" w:cs="Times New Roman"/>
          <w:color w:val="FF0000"/>
          <w:highlight w:val="none"/>
          <w:lang w:val="en-US" w:eastAsia="zh-CN"/>
        </w:rPr>
        <w:t>关于</w:t>
      </w:r>
      <w:r>
        <w:rPr>
          <w:rFonts w:hint="default" w:ascii="Times New Roman" w:hAnsi="Times New Roman" w:cs="Times New Roman"/>
          <w:color w:val="FF0000"/>
          <w:highlight w:val="none"/>
        </w:rPr>
        <w:t>现代农业精深加工示范区污水处理厂建设项目环境影响报告书</w:t>
      </w:r>
      <w:r>
        <w:rPr>
          <w:rFonts w:hint="eastAsia" w:ascii="Times New Roman" w:hAnsi="Times New Roman" w:cs="Times New Roman"/>
          <w:color w:val="FF0000"/>
          <w:highlight w:val="none"/>
          <w:lang w:val="en-US" w:eastAsia="zh-CN"/>
        </w:rPr>
        <w:t>的批复</w:t>
      </w:r>
      <w:r>
        <w:rPr>
          <w:rFonts w:hint="default" w:ascii="Times New Roman" w:hAnsi="Times New Roman" w:cs="Times New Roman"/>
          <w:color w:val="FF0000"/>
          <w:highlight w:val="none"/>
        </w:rPr>
        <w:t>》</w:t>
      </w:r>
      <w:r>
        <w:rPr>
          <w:rFonts w:hint="eastAsia" w:ascii="Times New Roman" w:hAnsi="Times New Roman" w:cs="Times New Roman"/>
          <w:color w:val="FF0000"/>
          <w:highlight w:val="none"/>
          <w:lang w:eastAsia="zh-CN"/>
        </w:rPr>
        <w:t>（</w:t>
      </w:r>
      <w:r>
        <w:rPr>
          <w:rFonts w:hint="default" w:ascii="Times New Roman" w:hAnsi="Times New Roman" w:cs="Times New Roman"/>
          <w:color w:val="FF0000"/>
          <w:highlight w:val="none"/>
        </w:rPr>
        <w:t>新环函〔2018〕945号</w:t>
      </w:r>
      <w:r>
        <w:rPr>
          <w:rFonts w:hint="eastAsia" w:ascii="Times New Roman" w:hAnsi="Times New Roman" w:cs="Times New Roman"/>
          <w:color w:val="FF0000"/>
          <w:highlight w:val="none"/>
          <w:lang w:eastAsia="zh-CN"/>
        </w:rPr>
        <w:t>），</w:t>
      </w:r>
      <w:r>
        <w:rPr>
          <w:rFonts w:hint="default" w:ascii="Times New Roman" w:hAnsi="Times New Roman" w:cs="Times New Roman"/>
          <w:color w:val="FF0000"/>
          <w:highlight w:val="none"/>
          <w:lang w:val="en-US" w:eastAsia="zh-CN"/>
        </w:rPr>
        <w:t>现有污水处理厂</w:t>
      </w:r>
      <w:r>
        <w:rPr>
          <w:rFonts w:hint="eastAsia" w:cs="Times New Roman"/>
          <w:color w:val="FF0000"/>
          <w:highlight w:val="none"/>
          <w:lang w:val="en-US" w:eastAsia="zh-CN"/>
        </w:rPr>
        <w:t>位于</w:t>
      </w:r>
      <w:r>
        <w:rPr>
          <w:rFonts w:hint="eastAsia" w:cs="Times New Roman"/>
          <w:color w:val="FF0000"/>
          <w:highlight w:val="none"/>
          <w:lang w:eastAsia="zh-CN"/>
        </w:rPr>
        <w:t>新疆昌吉国家农业科技园区高新农业产业园，</w:t>
      </w:r>
      <w:r>
        <w:rPr>
          <w:rFonts w:hint="default" w:ascii="Times New Roman" w:hAnsi="Times New Roman" w:cs="Times New Roman"/>
          <w:color w:val="FF0000"/>
          <w:highlight w:val="none"/>
          <w:lang w:val="en-US" w:eastAsia="zh-CN"/>
        </w:rPr>
        <w:t>处理规模为5000</w:t>
      </w:r>
      <w:r>
        <w:rPr>
          <w:rFonts w:hint="default" w:ascii="Times New Roman" w:hAnsi="Times New Roman" w:cs="Times New Roman"/>
          <w:color w:val="FF0000"/>
          <w:highlight w:val="none"/>
        </w:rPr>
        <w:t>m</w:t>
      </w:r>
      <w:r>
        <w:rPr>
          <w:rFonts w:hint="default" w:ascii="Times New Roman" w:hAnsi="Times New Roman" w:cs="Times New Roman"/>
          <w:color w:val="FF0000"/>
          <w:highlight w:val="none"/>
          <w:vertAlign w:val="superscript"/>
        </w:rPr>
        <w:t>3</w:t>
      </w:r>
      <w:r>
        <w:rPr>
          <w:rFonts w:hint="default" w:ascii="Times New Roman" w:hAnsi="Times New Roman" w:cs="Times New Roman"/>
          <w:color w:val="FF0000"/>
          <w:highlight w:val="none"/>
        </w:rPr>
        <w:t>/d</w:t>
      </w:r>
      <w:r>
        <w:rPr>
          <w:rFonts w:hint="default" w:ascii="Times New Roman" w:hAnsi="Times New Roman" w:cs="Times New Roman"/>
          <w:color w:val="FF0000"/>
          <w:highlight w:val="none"/>
          <w:lang w:eastAsia="zh-CN"/>
        </w:rPr>
        <w:t>，</w:t>
      </w:r>
      <w:r>
        <w:rPr>
          <w:rFonts w:hint="default" w:ascii="Times New Roman" w:hAnsi="Times New Roman" w:cs="Times New Roman"/>
          <w:color w:val="FF0000"/>
          <w:highlight w:val="none"/>
        </w:rPr>
        <w:t>本次扩建规模为2.5万m</w:t>
      </w:r>
      <w:r>
        <w:rPr>
          <w:rFonts w:hint="default" w:ascii="Times New Roman" w:hAnsi="Times New Roman" w:cs="Times New Roman"/>
          <w:color w:val="FF0000"/>
          <w:highlight w:val="none"/>
          <w:vertAlign w:val="superscript"/>
        </w:rPr>
        <w:t>3</w:t>
      </w:r>
      <w:r>
        <w:rPr>
          <w:rFonts w:hint="default" w:ascii="Times New Roman" w:hAnsi="Times New Roman" w:cs="Times New Roman"/>
          <w:color w:val="FF0000"/>
          <w:highlight w:val="none"/>
        </w:rPr>
        <w:t>/d，总规模达到3万m³/d，规划在产业园西北部建设一座污水处理厂，规模为15万t/d</w:t>
      </w:r>
      <w:r>
        <w:rPr>
          <w:rFonts w:hint="default" w:ascii="Times New Roman" w:hAnsi="Times New Roman" w:cs="Times New Roman"/>
          <w:color w:val="FF0000"/>
          <w:highlight w:val="none"/>
          <w:lang w:eastAsia="zh-CN"/>
        </w:rPr>
        <w:t>，</w:t>
      </w:r>
      <w:r>
        <w:rPr>
          <w:rFonts w:hint="eastAsia" w:cs="Times New Roman"/>
          <w:color w:val="FF0000"/>
          <w:spacing w:val="-6"/>
          <w:sz w:val="24"/>
          <w:highlight w:val="none"/>
          <w:lang w:val="en-US" w:eastAsia="zh-CN"/>
        </w:rPr>
        <w:t>因现有入驻企业较少，园区污水处理厂根据实际情况设计建设规模，故本项目</w:t>
      </w:r>
      <w:r>
        <w:rPr>
          <w:rFonts w:hint="default" w:ascii="Times New Roman" w:hAnsi="Times New Roman" w:cs="Times New Roman"/>
          <w:color w:val="FF0000"/>
          <w:spacing w:val="-6"/>
          <w:sz w:val="24"/>
          <w:highlight w:val="none"/>
          <w:lang w:val="en-US" w:eastAsia="zh-CN"/>
        </w:rPr>
        <w:t>未超过</w:t>
      </w:r>
      <w:r>
        <w:rPr>
          <w:rFonts w:hint="default" w:ascii="Times New Roman" w:hAnsi="Times New Roman" w:cs="Times New Roman"/>
          <w:color w:val="FF0000"/>
          <w:highlight w:val="none"/>
        </w:rPr>
        <w:t>新疆昌吉国家农业科技园区高新农业产业园</w:t>
      </w:r>
      <w:r>
        <w:rPr>
          <w:rFonts w:hint="default" w:ascii="Times New Roman" w:hAnsi="Times New Roman" w:cs="Times New Roman"/>
          <w:color w:val="FF0000"/>
          <w:spacing w:val="-6"/>
          <w:sz w:val="24"/>
          <w:highlight w:val="none"/>
          <w:lang w:val="en-US" w:eastAsia="zh-CN"/>
        </w:rPr>
        <w:t>规划的处理规模</w:t>
      </w:r>
      <w:r>
        <w:rPr>
          <w:rFonts w:hint="eastAsia" w:ascii="Times New Roman" w:hAnsi="Times New Roman" w:cs="Times New Roman"/>
          <w:color w:val="FF0000"/>
          <w:spacing w:val="-6"/>
          <w:sz w:val="24"/>
          <w:highlight w:val="none"/>
          <w:lang w:val="en-US" w:eastAsia="zh-CN"/>
        </w:rPr>
        <w:t>。</w:t>
      </w:r>
    </w:p>
    <w:p>
      <w:pPr>
        <w:ind w:firstLine="480"/>
        <w:rPr>
          <w:rFonts w:hint="default" w:ascii="Times New Roman" w:hAnsi="Times New Roman" w:cs="Times New Roman"/>
          <w:color w:val="FF0000"/>
          <w:kern w:val="0"/>
          <w:highlight w:val="none"/>
        </w:rPr>
      </w:pPr>
      <w:r>
        <w:rPr>
          <w:rFonts w:hint="default" w:ascii="Times New Roman" w:hAnsi="Times New Roman" w:cs="Times New Roman"/>
          <w:color w:val="FF0000"/>
          <w:kern w:val="0"/>
          <w:highlight w:val="none"/>
          <w:lang w:val="zh-CN"/>
        </w:rPr>
        <w:t>本项目</w:t>
      </w:r>
      <w:r>
        <w:rPr>
          <w:rFonts w:hint="default" w:ascii="Times New Roman" w:hAnsi="Times New Roman" w:cs="Times New Roman"/>
          <w:color w:val="FF0000"/>
          <w:kern w:val="0"/>
          <w:highlight w:val="none"/>
          <w:lang w:val="en-US" w:eastAsia="zh-CN"/>
        </w:rPr>
        <w:t>有利于</w:t>
      </w:r>
      <w:r>
        <w:rPr>
          <w:rFonts w:hint="default" w:ascii="Times New Roman" w:hAnsi="Times New Roman" w:cs="Times New Roman"/>
          <w:color w:val="FF0000"/>
          <w:kern w:val="0"/>
          <w:highlight w:val="none"/>
          <w:lang w:val="zh-CN"/>
        </w:rPr>
        <w:t>完善的给排水设施及水资源综合利用体系，与规划环评及其批复</w:t>
      </w:r>
      <w:r>
        <w:rPr>
          <w:rFonts w:hint="default" w:ascii="Times New Roman" w:hAnsi="Times New Roman" w:cs="Times New Roman"/>
          <w:color w:val="FF0000"/>
          <w:kern w:val="0"/>
          <w:highlight w:val="none"/>
        </w:rPr>
        <w:t>相符。</w:t>
      </w:r>
    </w:p>
    <w:p>
      <w:pPr>
        <w:pStyle w:val="5"/>
        <w:bidi w:val="0"/>
        <w:rPr>
          <w:rFonts w:hint="default"/>
          <w:color w:val="auto"/>
          <w:highlight w:val="none"/>
        </w:rPr>
      </w:pPr>
      <w:bookmarkStart w:id="28" w:name="_Toc31141"/>
      <w:bookmarkStart w:id="29" w:name="_Toc30513"/>
      <w:r>
        <w:rPr>
          <w:rFonts w:hint="default"/>
          <w:color w:val="auto"/>
          <w:highlight w:val="none"/>
        </w:rPr>
        <w:t>三线一单符合性分析</w:t>
      </w:r>
      <w:bookmarkEnd w:id="28"/>
      <w:bookmarkEnd w:id="29"/>
    </w:p>
    <w:p>
      <w:pPr>
        <w:pStyle w:val="117"/>
        <w:ind w:firstLine="480"/>
        <w:rPr>
          <w:color w:val="auto"/>
          <w:highlight w:val="none"/>
        </w:rPr>
      </w:pPr>
      <w:r>
        <w:rPr>
          <w:color w:val="auto"/>
          <w:highlight w:val="none"/>
        </w:rPr>
        <w:t>2021年2月21日，新疆维吾尔自治区以“新政发</w:t>
      </w:r>
      <w:r>
        <w:rPr>
          <w:rFonts w:hint="eastAsia"/>
          <w:color w:val="auto"/>
          <w:highlight w:val="none"/>
          <w:lang w:eastAsia="zh-CN"/>
        </w:rPr>
        <w:t>〔</w:t>
      </w:r>
      <w:r>
        <w:rPr>
          <w:color w:val="auto"/>
          <w:highlight w:val="none"/>
        </w:rPr>
        <w:t>2021]18号”文印发了《新疆维吾尔自治区“三线一单”生态环境分区管控方案》；</w:t>
      </w:r>
      <w:r>
        <w:rPr>
          <w:rFonts w:hint="default" w:ascii="Times New Roman" w:hAnsi="Times New Roman" w:cs="Times New Roman"/>
          <w:bCs/>
          <w:color w:val="auto"/>
          <w:highlight w:val="none"/>
        </w:rPr>
        <w:t>本项目为新疆昌吉国家农业高新技术产业示范区现代农业精深加工示范区污水处理厂改造扩容项目，项目用地</w:t>
      </w:r>
      <w:r>
        <w:rPr>
          <w:rFonts w:hint="eastAsia"/>
          <w:color w:val="auto"/>
          <w:highlight w:val="none"/>
          <w:lang w:val="en-US" w:eastAsia="zh-CN"/>
        </w:rPr>
        <w:t>为示范区划拨的排水设施用地（详见附件3）</w:t>
      </w:r>
      <w:r>
        <w:rPr>
          <w:color w:val="auto"/>
          <w:highlight w:val="none"/>
        </w:rPr>
        <w:t>。本次环评根据“三线一单”成果，结合本项目的环境影响特征，从生态红线、环境质量底线和资源利用上限方面，分析其与</w:t>
      </w:r>
      <w:r>
        <w:rPr>
          <w:rFonts w:hint="eastAsia"/>
          <w:color w:val="auto"/>
          <w:highlight w:val="none"/>
          <w:lang w:val="en-US" w:eastAsia="zh-CN"/>
        </w:rPr>
        <w:t>昌吉州</w:t>
      </w:r>
      <w:r>
        <w:rPr>
          <w:color w:val="auto"/>
          <w:highlight w:val="none"/>
        </w:rPr>
        <w:t>“三线一单”生态环境分区管控方案及生态环境准入清单的符合性。</w:t>
      </w:r>
    </w:p>
    <w:p>
      <w:pPr>
        <w:pStyle w:val="117"/>
        <w:ind w:firstLine="480" w:firstLineChars="0"/>
        <w:rPr>
          <w:color w:val="auto"/>
          <w:highlight w:val="none"/>
        </w:rPr>
      </w:pPr>
      <w:r>
        <w:rPr>
          <w:color w:val="auto"/>
          <w:highlight w:val="none"/>
        </w:rPr>
        <w:t>（1）与生态空间及生态保护红线管控要求的符合性分析:</w:t>
      </w:r>
    </w:p>
    <w:p>
      <w:pPr>
        <w:pStyle w:val="117"/>
        <w:ind w:firstLine="480" w:firstLineChars="0"/>
        <w:rPr>
          <w:color w:val="auto"/>
          <w:highlight w:val="none"/>
        </w:rPr>
      </w:pPr>
      <w:r>
        <w:rPr>
          <w:color w:val="auto"/>
          <w:highlight w:val="none"/>
        </w:rPr>
        <w:t>根据《关于规划环境影响评价加强空间管制、总量管控和环境准入的指导意见（试行）》（环办环评〔2016〕14号）中禁止开发区域相关定义，禁止开发的区域包括：重点生态功能区、生态敏感区、生态脆弱区、生物多样性保护优先区和自然保护区等法定禁止开发区域，以及其他对于维持生态系统结构和功能具有重要意义的区域及规划区域已经划定的生态保护红线内区域。</w:t>
      </w:r>
    </w:p>
    <w:p>
      <w:pPr>
        <w:pStyle w:val="117"/>
        <w:ind w:firstLine="480"/>
        <w:rPr>
          <w:color w:val="auto"/>
          <w:highlight w:val="none"/>
        </w:rPr>
      </w:pPr>
      <w:r>
        <w:rPr>
          <w:color w:val="auto"/>
          <w:highlight w:val="none"/>
        </w:rPr>
        <w:t>本项目征占地不涉及以上禁止开发区域，不违背生态红线保护相关要求，项目建设不会影响所在区域内生态服务功能。</w:t>
      </w:r>
    </w:p>
    <w:p>
      <w:pPr>
        <w:pStyle w:val="117"/>
        <w:ind w:firstLine="480"/>
        <w:rPr>
          <w:color w:val="auto"/>
          <w:highlight w:val="none"/>
        </w:rPr>
      </w:pPr>
      <w:r>
        <w:rPr>
          <w:color w:val="auto"/>
          <w:highlight w:val="none"/>
        </w:rPr>
        <w:t>（2）与“水环境质量底线”管控要求的符合性</w:t>
      </w:r>
    </w:p>
    <w:p>
      <w:pPr>
        <w:pStyle w:val="117"/>
        <w:ind w:firstLine="480"/>
        <w:rPr>
          <w:color w:val="auto"/>
          <w:highlight w:val="none"/>
        </w:rPr>
      </w:pPr>
      <w:r>
        <w:rPr>
          <w:color w:val="auto"/>
          <w:highlight w:val="none"/>
        </w:rPr>
        <w:t>本项目为</w:t>
      </w:r>
      <w:r>
        <w:rPr>
          <w:rFonts w:hint="eastAsia"/>
          <w:color w:val="auto"/>
          <w:highlight w:val="none"/>
        </w:rPr>
        <w:t>园区污水处理</w:t>
      </w:r>
      <w:r>
        <w:rPr>
          <w:color w:val="auto"/>
          <w:highlight w:val="none"/>
        </w:rPr>
        <w:t>项目</w:t>
      </w:r>
      <w:r>
        <w:rPr>
          <w:rFonts w:hint="eastAsia"/>
          <w:color w:val="auto"/>
          <w:highlight w:val="none"/>
        </w:rPr>
        <w:t>，属于环保类项目</w:t>
      </w:r>
      <w:r>
        <w:rPr>
          <w:color w:val="auto"/>
          <w:highlight w:val="none"/>
        </w:rPr>
        <w:t>，项目产生“三废”</w:t>
      </w:r>
      <w:r>
        <w:rPr>
          <w:rFonts w:hint="eastAsia"/>
          <w:color w:val="auto"/>
          <w:highlight w:val="none"/>
        </w:rPr>
        <w:t>量很少且</w:t>
      </w:r>
      <w:r>
        <w:rPr>
          <w:color w:val="auto"/>
          <w:highlight w:val="none"/>
        </w:rPr>
        <w:t>均可妥善处理</w:t>
      </w:r>
      <w:r>
        <w:rPr>
          <w:rFonts w:hint="eastAsia"/>
          <w:color w:val="auto"/>
          <w:highlight w:val="none"/>
        </w:rPr>
        <w:t>，</w:t>
      </w:r>
      <w:r>
        <w:rPr>
          <w:color w:val="auto"/>
          <w:highlight w:val="none"/>
        </w:rPr>
        <w:t>对环境的影响</w:t>
      </w:r>
      <w:r>
        <w:rPr>
          <w:rFonts w:hint="eastAsia"/>
          <w:color w:val="auto"/>
          <w:highlight w:val="none"/>
        </w:rPr>
        <w:t>很小</w:t>
      </w:r>
      <w:r>
        <w:rPr>
          <w:color w:val="auto"/>
          <w:highlight w:val="none"/>
        </w:rPr>
        <w:t>。</w:t>
      </w:r>
      <w:r>
        <w:rPr>
          <w:rFonts w:hint="eastAsia"/>
          <w:color w:val="auto"/>
          <w:highlight w:val="none"/>
        </w:rPr>
        <w:t>本项目处理后的尾水不排入地表或地下水体，且处理后的尾水达到《城镇污水处理厂污染物排放标准》</w:t>
      </w:r>
      <w:r>
        <w:rPr>
          <w:rFonts w:hint="eastAsia"/>
          <w:color w:val="auto"/>
          <w:highlight w:val="none"/>
          <w:lang w:eastAsia="zh-CN"/>
        </w:rPr>
        <w:t>（</w:t>
      </w:r>
      <w:r>
        <w:rPr>
          <w:rFonts w:hint="eastAsia"/>
          <w:color w:val="auto"/>
          <w:highlight w:val="none"/>
        </w:rPr>
        <w:t>GB18918-2002）一级A标准，</w:t>
      </w:r>
      <w:r>
        <w:rPr>
          <w:rFonts w:hint="default" w:ascii="Times New Roman" w:hAnsi="Times New Roman" w:cs="Times New Roman"/>
          <w:color w:val="auto"/>
          <w:highlight w:val="none"/>
          <w:lang w:eastAsia="zh-CN"/>
        </w:rPr>
        <w:t>同时满足《</w:t>
      </w:r>
      <w:r>
        <w:rPr>
          <w:rFonts w:hint="eastAsia" w:cs="Times New Roman"/>
          <w:color w:val="auto"/>
          <w:highlight w:val="none"/>
          <w:lang w:eastAsia="zh-CN"/>
        </w:rPr>
        <w:t>城市污水再生利用城市杂用水水质》（GB/T18920-2020）</w:t>
      </w:r>
      <w:r>
        <w:rPr>
          <w:rFonts w:hint="default" w:ascii="Times New Roman" w:hAnsi="Times New Roman" w:cs="Times New Roman"/>
          <w:color w:val="auto"/>
          <w:highlight w:val="none"/>
          <w:lang w:eastAsia="zh-CN"/>
        </w:rPr>
        <w:t>和《城市污水再生利用绿地灌溉水质》（GB/T25499-2010）的绿化用水要求</w:t>
      </w:r>
      <w:r>
        <w:rPr>
          <w:rFonts w:hint="eastAsia" w:ascii="Times New Roman" w:hAnsi="Times New Roman" w:cs="Times New Roman"/>
          <w:color w:val="auto"/>
          <w:highlight w:val="none"/>
          <w:lang w:eastAsia="zh-CN"/>
        </w:rPr>
        <w:t>，</w:t>
      </w:r>
      <w:r>
        <w:rPr>
          <w:rFonts w:hint="eastAsia"/>
          <w:color w:val="auto"/>
          <w:highlight w:val="none"/>
        </w:rPr>
        <w:t>对周边水环境质量无影响</w:t>
      </w:r>
      <w:r>
        <w:rPr>
          <w:color w:val="auto"/>
          <w:highlight w:val="none"/>
        </w:rPr>
        <w:t>。</w:t>
      </w:r>
    </w:p>
    <w:p>
      <w:pPr>
        <w:pStyle w:val="117"/>
        <w:ind w:firstLine="480"/>
        <w:rPr>
          <w:color w:val="auto"/>
          <w:highlight w:val="none"/>
        </w:rPr>
      </w:pPr>
      <w:r>
        <w:rPr>
          <w:color w:val="auto"/>
          <w:highlight w:val="none"/>
        </w:rPr>
        <w:t>本工程建设符合</w:t>
      </w:r>
      <w:r>
        <w:rPr>
          <w:rFonts w:hint="default" w:ascii="Times New Roman" w:hAnsi="Times New Roman" w:cs="Times New Roman"/>
          <w:color w:val="auto"/>
          <w:highlight w:val="none"/>
        </w:rPr>
        <w:t>昌吉回族自治州“三线一单”生态环境分区管控方案</w:t>
      </w:r>
      <w:r>
        <w:rPr>
          <w:color w:val="auto"/>
          <w:highlight w:val="none"/>
        </w:rPr>
        <w:t>“三线一单”水环境质量底线管控要求。</w:t>
      </w:r>
    </w:p>
    <w:p>
      <w:pPr>
        <w:pStyle w:val="117"/>
        <w:ind w:firstLine="480"/>
        <w:rPr>
          <w:color w:val="auto"/>
          <w:highlight w:val="none"/>
        </w:rPr>
      </w:pPr>
      <w:r>
        <w:rPr>
          <w:color w:val="auto"/>
          <w:highlight w:val="none"/>
        </w:rPr>
        <w:t>（3）与“资源利用上线”管控要求符合性分析</w:t>
      </w:r>
    </w:p>
    <w:p>
      <w:pPr>
        <w:pStyle w:val="117"/>
        <w:ind w:firstLine="480"/>
        <w:rPr>
          <w:color w:val="auto"/>
          <w:highlight w:val="none"/>
        </w:rPr>
      </w:pPr>
      <w:r>
        <w:rPr>
          <w:rFonts w:hint="eastAsia"/>
          <w:color w:val="auto"/>
          <w:highlight w:val="none"/>
        </w:rPr>
        <w:t>本项目</w:t>
      </w:r>
      <w:r>
        <w:rPr>
          <w:color w:val="auto"/>
          <w:highlight w:val="none"/>
        </w:rPr>
        <w:t>为</w:t>
      </w:r>
      <w:r>
        <w:rPr>
          <w:rFonts w:hint="eastAsia"/>
          <w:color w:val="auto"/>
          <w:highlight w:val="none"/>
        </w:rPr>
        <w:t>产业园区污水处理</w:t>
      </w:r>
      <w:r>
        <w:rPr>
          <w:color w:val="auto"/>
          <w:highlight w:val="none"/>
        </w:rPr>
        <w:t>项目</w:t>
      </w:r>
      <w:r>
        <w:rPr>
          <w:rFonts w:hint="eastAsia"/>
          <w:color w:val="auto"/>
          <w:highlight w:val="none"/>
        </w:rPr>
        <w:t>，属于园区基础设施建设项目，不属于“三高”项目，资源利用较少。符合“资源利用上线”要求。</w:t>
      </w:r>
    </w:p>
    <w:p>
      <w:pPr>
        <w:pStyle w:val="15"/>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（4）与</w:t>
      </w:r>
      <w:r>
        <w:rPr>
          <w:rFonts w:hint="eastAsia"/>
          <w:color w:val="auto"/>
          <w:highlight w:val="none"/>
          <w:lang w:val="en-US" w:eastAsia="zh-CN"/>
        </w:rPr>
        <w:t>生态环境准入</w:t>
      </w:r>
      <w:r>
        <w:rPr>
          <w:rFonts w:hint="default" w:ascii="Times New Roman" w:hAnsi="Times New Roman" w:cs="Times New Roman"/>
          <w:bCs/>
          <w:color w:val="auto"/>
          <w:highlight w:val="none"/>
        </w:rPr>
        <w:t>清单分析</w:t>
      </w:r>
    </w:p>
    <w:p>
      <w:pPr>
        <w:pStyle w:val="15"/>
        <w:rPr>
          <w:rFonts w:hint="default" w:ascii="Times New Roman" w:hAnsi="Times New Roman" w:eastAsia="宋体" w:cs="Times New Roman"/>
          <w:bCs/>
          <w:color w:val="auto"/>
          <w:highlight w:val="none"/>
          <w:lang w:val="en-US" w:eastAsia="zh-CN"/>
        </w:rPr>
      </w:pPr>
      <w:r>
        <w:rPr>
          <w:rFonts w:hint="default" w:ascii="Times New Roman" w:hAnsi="Times New Roman" w:cs="Times New Roman"/>
          <w:color w:val="auto"/>
          <w:highlight w:val="none"/>
        </w:rPr>
        <w:t>本项目位于新疆维吾尔自治区昌吉回族自治州昌吉国家农业高新技术产业示范区，根据《昌吉回族自治州“三线一单”生态环境分区管控方案及生态环境准入清单》，位于昌吉州西部限采区，环境管控单元编码为</w:t>
      </w:r>
      <w:r>
        <w:rPr>
          <w:rFonts w:hint="eastAsia" w:cs="Times New Roman"/>
          <w:color w:val="auto"/>
          <w:highlight w:val="none"/>
          <w:lang w:eastAsia="zh-CN"/>
        </w:rPr>
        <w:t>ZH65230120008</w:t>
      </w:r>
      <w:r>
        <w:rPr>
          <w:rFonts w:hint="default" w:ascii="Times New Roman" w:hAnsi="Times New Roman" w:cs="Times New Roman"/>
          <w:color w:val="auto"/>
          <w:highlight w:val="none"/>
        </w:rPr>
        <w:t>。</w:t>
      </w:r>
      <w:r>
        <w:rPr>
          <w:rFonts w:hint="eastAsia" w:cs="Times New Roman"/>
          <w:color w:val="auto"/>
          <w:highlight w:val="none"/>
          <w:lang w:val="en-US" w:eastAsia="zh-CN"/>
        </w:rPr>
        <w:t>符合性分析详见下表。</w:t>
      </w:r>
    </w:p>
    <w:p>
      <w:pPr>
        <w:ind w:firstLine="480"/>
        <w:rPr>
          <w:rFonts w:hint="default" w:ascii="Times New Roman" w:hAnsi="Times New Roman" w:cs="Times New Roman"/>
          <w:bCs/>
          <w:color w:val="auto"/>
          <w:highlight w:val="none"/>
        </w:rPr>
        <w:sectPr>
          <w:footerReference r:id="rId13" w:type="default"/>
          <w:pgSz w:w="11906" w:h="16838"/>
          <w:pgMar w:top="1440" w:right="1304" w:bottom="1440" w:left="1304" w:header="851" w:footer="992" w:gutter="0"/>
          <w:pgBorders>
            <w:top w:val="none" w:sz="0" w:space="0"/>
            <w:left w:val="none" w:sz="0" w:space="0"/>
            <w:bottom w:val="none" w:sz="0" w:space="0"/>
            <w:right w:val="none" w:sz="0" w:space="0"/>
          </w:pgBorders>
          <w:pgNumType w:fmt="numberInDash" w:start="1"/>
          <w:cols w:space="0" w:num="1"/>
          <w:docGrid w:type="lines" w:linePitch="312" w:charSpace="0"/>
        </w:sectPr>
      </w:pPr>
    </w:p>
    <w:p>
      <w:pPr>
        <w:ind w:firstLine="480"/>
        <w:jc w:val="center"/>
        <w:rPr>
          <w:rFonts w:hint="default" w:ascii="Times New Roman" w:hAnsi="Times New Roman" w:eastAsia="宋体" w:cs="Times New Roman"/>
          <w:bCs/>
          <w:color w:val="auto"/>
          <w:highlight w:val="none"/>
          <w:lang w:val="en-US" w:eastAsia="zh-CN"/>
        </w:rPr>
      </w:pPr>
      <w:r>
        <w:rPr>
          <w:rFonts w:hint="eastAsia" w:ascii="黑体" w:hAnsi="黑体" w:eastAsia="黑体" w:cs="黑体"/>
          <w:b w:val="0"/>
          <w:bCs w:val="0"/>
          <w:color w:val="auto"/>
          <w:sz w:val="24"/>
          <w:szCs w:val="24"/>
          <w:highlight w:val="none"/>
          <w:lang w:val="en-US" w:eastAsia="zh-CN"/>
        </w:rPr>
        <w:t>表1.4-3与《</w:t>
      </w:r>
      <w:r>
        <w:rPr>
          <w:rFonts w:hint="eastAsia" w:ascii="黑体" w:hAnsi="黑体" w:eastAsia="黑体" w:cs="黑体"/>
          <w:b w:val="0"/>
          <w:bCs w:val="0"/>
          <w:color w:val="auto"/>
          <w:sz w:val="24"/>
          <w:szCs w:val="24"/>
          <w:highlight w:val="none"/>
        </w:rPr>
        <w:t>昌吉回族自治州“三线一单”生态环境分区管控方案及生态环境准入清单》</w:t>
      </w:r>
      <w:r>
        <w:rPr>
          <w:rFonts w:hint="eastAsia" w:ascii="黑体" w:hAnsi="黑体" w:eastAsia="黑体" w:cs="黑体"/>
          <w:b w:val="0"/>
          <w:bCs w:val="0"/>
          <w:color w:val="auto"/>
          <w:sz w:val="24"/>
          <w:szCs w:val="24"/>
          <w:highlight w:val="none"/>
          <w:lang w:val="en-US" w:eastAsia="zh-CN"/>
        </w:rPr>
        <w:t>符合性分析</w:t>
      </w:r>
    </w:p>
    <w:tbl>
      <w:tblPr>
        <w:tblStyle w:val="3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688"/>
        <w:gridCol w:w="675"/>
        <w:gridCol w:w="450"/>
        <w:gridCol w:w="7201"/>
        <w:gridCol w:w="4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68"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管控名称</w:t>
            </w:r>
          </w:p>
        </w:tc>
        <w:tc>
          <w:tcPr>
            <w:tcW w:w="2701" w:type="pct"/>
            <w:gridSpan w:val="2"/>
            <w:tcBorders>
              <w:top w:val="single" w:color="auto" w:sz="4" w:space="0"/>
              <w:left w:val="single" w:color="auto" w:sz="4" w:space="0"/>
              <w:bottom w:val="single" w:color="auto" w:sz="4" w:space="0"/>
              <w:right w:val="single" w:color="auto" w:sz="4" w:space="0"/>
            </w:tcBorders>
            <w:vAlign w:val="center"/>
          </w:tcPr>
          <w:p>
            <w:pPr>
              <w:pStyle w:val="96"/>
              <w:keepNext w:val="0"/>
              <w:keepLines w:val="0"/>
              <w:pageBreakBefore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管控要求</w:t>
            </w:r>
          </w:p>
        </w:tc>
        <w:tc>
          <w:tcPr>
            <w:tcW w:w="1530" w:type="pct"/>
            <w:tcBorders>
              <w:top w:val="single" w:color="auto" w:sz="4" w:space="0"/>
              <w:left w:val="single" w:color="auto" w:sz="4" w:space="0"/>
              <w:bottom w:val="single" w:color="auto" w:sz="4" w:space="0"/>
              <w:right w:val="single" w:color="auto" w:sz="4" w:space="0"/>
            </w:tcBorders>
            <w:vAlign w:val="center"/>
          </w:tcPr>
          <w:p>
            <w:pPr>
              <w:pStyle w:val="96"/>
              <w:keepNext w:val="0"/>
              <w:keepLines w:val="0"/>
              <w:pageBreakBefore w:val="0"/>
              <w:kinsoku/>
              <w:wordWrap/>
              <w:overflowPunct/>
              <w:topLinePunct w:val="0"/>
              <w:autoSpaceDE/>
              <w:autoSpaceDN/>
              <w:bidi w:val="0"/>
              <w:adjustRightInd/>
              <w:snapToGrid/>
              <w:spacing w:line="260" w:lineRule="exact"/>
              <w:ind w:left="0" w:firstLine="0" w:firstLineChars="0"/>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87"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ZH65230120008</w:t>
            </w:r>
          </w:p>
        </w:tc>
        <w:tc>
          <w:tcPr>
            <w:tcW w:w="24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昌吉州西部限采区</w:t>
            </w:r>
          </w:p>
        </w:tc>
        <w:tc>
          <w:tcPr>
            <w:tcW w:w="238"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重点管控单元</w:t>
            </w:r>
          </w:p>
        </w:tc>
        <w:tc>
          <w:tcPr>
            <w:tcW w:w="15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color w:val="auto"/>
                <w:kern w:val="0"/>
                <w:sz w:val="21"/>
                <w:szCs w:val="21"/>
                <w:highlight w:val="none"/>
              </w:rPr>
              <w:t>空间布局约束</w:t>
            </w:r>
          </w:p>
        </w:tc>
        <w:tc>
          <w:tcPr>
            <w:tcW w:w="2542" w:type="pct"/>
            <w:tcBorders>
              <w:top w:val="single" w:color="auto" w:sz="4" w:space="0"/>
              <w:left w:val="single" w:color="auto" w:sz="4" w:space="0"/>
              <w:bottom w:val="single" w:color="auto" w:sz="4" w:space="0"/>
              <w:right w:val="single" w:color="auto" w:sz="4" w:space="0"/>
            </w:tcBorders>
            <w:vAlign w:val="center"/>
          </w:tcPr>
          <w:p>
            <w:pPr>
              <w:pStyle w:val="96"/>
              <w:keepNext w:val="0"/>
              <w:keepLines w:val="0"/>
              <w:pageBreakBefore w:val="0"/>
              <w:kinsoku/>
              <w:wordWrap/>
              <w:overflowPunct/>
              <w:topLinePunct w:val="0"/>
              <w:autoSpaceDE/>
              <w:autoSpaceDN/>
              <w:bidi w:val="0"/>
              <w:adjustRightInd/>
              <w:snapToGrid/>
              <w:spacing w:line="260" w:lineRule="exact"/>
              <w:ind w:left="0"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r>
              <w:rPr>
                <w:rFonts w:hint="default" w:ascii="Times New Roman" w:hAnsi="Times New Roman" w:cs="Times New Roman"/>
                <w:color w:val="auto"/>
                <w:kern w:val="0"/>
                <w:sz w:val="21"/>
                <w:szCs w:val="21"/>
                <w:highlight w:val="none"/>
              </w:rPr>
              <w:t>、执行自治区、乌昌石片区总体准入要求中关于重点管控单元空间布局约束的准入要求（表2-3A6.1、表3.4-2B1）。</w:t>
            </w:r>
            <w:r>
              <w:rPr>
                <w:rFonts w:hint="default" w:ascii="Times New Roman" w:hAnsi="Times New Roman" w:cs="Times New Roman"/>
                <w:color w:val="auto"/>
                <w:sz w:val="21"/>
                <w:szCs w:val="21"/>
                <w:highlight w:val="none"/>
              </w:rPr>
              <w:t>【A6.1-1】根据产业集聚区块的功能定位，建立分区差别化的产业准入条件。严格控制重要水系源头地区和重要生态功能区“高污染、高环境风险产品”工业项目准入。优化完善区域产业布局，合理规划布局“高污染、高环境风险产品”工业项目，鼓励对“高污染、高环境风险产品”工业项目进行淘汰和提升改造。合理规划居住区与工业功能区，在居住区和工业区、工业企业之间设置防护绿化隔离带。【A6.1-2】大气环境重点管控区内：禁止引进国家和自治区明令禁止或淘汰的产业及工艺、园区规划的项目；引进符合国家产业政策和清洁生产要求的、采用先进生产工艺和设备的、自动化程度高的、具有可靠先进的污染治理技术的生产项目。【A6.1-3】水环境重点管控区内：①工业污染重点管控区：强化工业集聚区污染防治，加快推进工业集聚区（园区）污水集中处理设施建设，加强配套管网建设。推进生态园区建设和循环化改造，完善再生水回用系统，不断提高工业用水重复利用率。对污染排放不达标的企业责令停止超标排污，采取限期整改、停产治理等措施，确保全面稳定达标排放。②城镇生活污染重点管控区：加快城镇污水处理设施建设与改造；加强配套管网建设，全面提升城镇污水收集能力；推进城镇生活污水深度处理，提高中水回用率；安全处置污泥。③农业污染重点管控区：规范划定畜禽养殖禁养区，限期依法关闭或搬迁禁养区内的畜禽养殖场（小区），规模化畜禽养殖场（小区）须按规范配套建设粪便污水贮存、处理、利用设施，推进养殖废弃物资源化利用；控制化肥、农药使用量，推进农膜回收及加工再利用，农药、化肥等包装废弃物的安全收集处置设施建设，降低农业污染负荷。</w:t>
            </w:r>
          </w:p>
        </w:tc>
        <w:tc>
          <w:tcPr>
            <w:tcW w:w="1530" w:type="pct"/>
            <w:tcBorders>
              <w:top w:val="single" w:color="auto" w:sz="4" w:space="0"/>
              <w:left w:val="single" w:color="auto" w:sz="4" w:space="0"/>
              <w:bottom w:val="single" w:color="auto" w:sz="4" w:space="0"/>
              <w:right w:val="single" w:color="auto" w:sz="4" w:space="0"/>
            </w:tcBorders>
            <w:vAlign w:val="center"/>
          </w:tcPr>
          <w:p>
            <w:pPr>
              <w:pStyle w:val="96"/>
              <w:keepNext w:val="0"/>
              <w:keepLines w:val="0"/>
              <w:pageBreakBefore w:val="0"/>
              <w:kinsoku/>
              <w:wordWrap/>
              <w:overflowPunct/>
              <w:topLinePunct w:val="0"/>
              <w:autoSpaceDE/>
              <w:autoSpaceDN/>
              <w:bidi w:val="0"/>
              <w:adjustRightInd/>
              <w:snapToGrid/>
              <w:spacing w:line="260" w:lineRule="exact"/>
              <w:ind w:left="0"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1、本项目执行表2-3A6.1、表3.4-2B1中重点管控单元空间布局约束要求。2、本项目不属于“高污染、高环境风险产品”工业项目。3、本项目不在特殊保护区域的周边。4、本项目属于国家鼓励的产业和工艺，符合园区规划，符合国家产业政策和清洁生产要求；</w:t>
            </w:r>
            <w:r>
              <w:rPr>
                <w:rFonts w:hint="default" w:ascii="Times New Roman" w:hAnsi="Times New Roman" w:cs="Times New Roman"/>
                <w:color w:val="auto"/>
                <w:sz w:val="21"/>
                <w:szCs w:val="21"/>
                <w:highlight w:val="none"/>
                <w:lang w:val="en-US"/>
              </w:rPr>
              <w:t>5</w:t>
            </w:r>
            <w:r>
              <w:rPr>
                <w:rFonts w:hint="default" w:ascii="Times New Roman" w:hAnsi="Times New Roman" w:cs="Times New Roman"/>
                <w:color w:val="auto"/>
                <w:sz w:val="21"/>
                <w:szCs w:val="21"/>
                <w:highlight w:val="none"/>
              </w:rPr>
              <w:t>、本项目符合园区规划，不排放有毒有害物质。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8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hint="default" w:ascii="Times New Roman" w:hAnsi="Times New Roman" w:cs="Times New Roman"/>
                <w:color w:val="auto"/>
                <w:kern w:val="0"/>
                <w:sz w:val="21"/>
                <w:szCs w:val="21"/>
                <w:highlight w:val="none"/>
              </w:rPr>
            </w:pPr>
          </w:p>
        </w:tc>
        <w:tc>
          <w:tcPr>
            <w:tcW w:w="24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hint="default" w:ascii="Times New Roman" w:hAnsi="Times New Roman" w:cs="Times New Roman"/>
                <w:color w:val="auto"/>
                <w:sz w:val="21"/>
                <w:szCs w:val="21"/>
                <w:highlight w:val="none"/>
              </w:rPr>
            </w:pPr>
          </w:p>
        </w:tc>
        <w:tc>
          <w:tcPr>
            <w:tcW w:w="238"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hint="default" w:ascii="Times New Roman" w:hAnsi="Times New Roman" w:cs="Times New Roman"/>
                <w:color w:val="auto"/>
                <w:sz w:val="21"/>
                <w:szCs w:val="21"/>
                <w:highlight w:val="none"/>
              </w:rPr>
            </w:pPr>
          </w:p>
        </w:tc>
        <w:tc>
          <w:tcPr>
            <w:tcW w:w="15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污染物排放管控</w:t>
            </w:r>
          </w:p>
        </w:tc>
        <w:tc>
          <w:tcPr>
            <w:tcW w:w="2542" w:type="pct"/>
            <w:tcBorders>
              <w:top w:val="single" w:color="auto" w:sz="4" w:space="0"/>
              <w:left w:val="single" w:color="auto" w:sz="4" w:space="0"/>
              <w:bottom w:val="single" w:color="auto" w:sz="4" w:space="0"/>
              <w:right w:val="single" w:color="auto" w:sz="4" w:space="0"/>
            </w:tcBorders>
            <w:vAlign w:val="center"/>
          </w:tcPr>
          <w:p>
            <w:pPr>
              <w:pStyle w:val="96"/>
              <w:keepNext w:val="0"/>
              <w:keepLines w:val="0"/>
              <w:pageBreakBefore w:val="0"/>
              <w:kinsoku/>
              <w:wordWrap/>
              <w:overflowPunct/>
              <w:topLinePunct w:val="0"/>
              <w:autoSpaceDE/>
              <w:autoSpaceDN/>
              <w:bidi w:val="0"/>
              <w:adjustRightInd/>
              <w:snapToGrid/>
              <w:spacing w:line="260" w:lineRule="exact"/>
              <w:ind w:left="0" w:firstLine="0" w:firstLineChars="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bCs/>
                <w:color w:val="auto"/>
                <w:sz w:val="21"/>
                <w:szCs w:val="21"/>
                <w:highlight w:val="none"/>
              </w:rPr>
              <w:t>1</w:t>
            </w:r>
            <w:r>
              <w:rPr>
                <w:rFonts w:hint="default" w:ascii="Times New Roman" w:hAnsi="Times New Roman" w:cs="Times New Roman"/>
                <w:color w:val="auto"/>
                <w:kern w:val="0"/>
                <w:sz w:val="21"/>
                <w:szCs w:val="21"/>
                <w:highlight w:val="none"/>
              </w:rPr>
              <w:t>、执行自治区、乌昌石片区总体准入要求中关于重点管控单元污染物排放管控的准入要求（表2-3A6.2、表3.4-2B2）。</w:t>
            </w:r>
            <w:r>
              <w:rPr>
                <w:rFonts w:hint="default" w:ascii="Times New Roman" w:hAnsi="Times New Roman" w:cs="Times New Roman"/>
                <w:color w:val="auto"/>
                <w:sz w:val="21"/>
                <w:szCs w:val="21"/>
                <w:highlight w:val="none"/>
              </w:rPr>
              <w:t>【A6.2-1】严格实施污染物总量控制制度，根据区域环境质量改善目标，削减污染物排放总量。新建工业项目污染物排放水平要达到同行业国内先进水平。加快落实污水处理厂建设及提升改造，推进工业园区（工业企业）污水处理综合利用设施建设，所有企业实现稳定达标排放。加强土壤和地下水污染防治与修复。</w:t>
            </w:r>
          </w:p>
        </w:tc>
        <w:tc>
          <w:tcPr>
            <w:tcW w:w="1530" w:type="pct"/>
            <w:tcBorders>
              <w:top w:val="single" w:color="auto" w:sz="4" w:space="0"/>
              <w:left w:val="single" w:color="auto" w:sz="4" w:space="0"/>
              <w:bottom w:val="single" w:color="auto" w:sz="4" w:space="0"/>
              <w:right w:val="single" w:color="auto" w:sz="4" w:space="0"/>
            </w:tcBorders>
            <w:vAlign w:val="center"/>
          </w:tcPr>
          <w:p>
            <w:pPr>
              <w:pStyle w:val="96"/>
              <w:keepNext w:val="0"/>
              <w:keepLines w:val="0"/>
              <w:pageBreakBefore w:val="0"/>
              <w:kinsoku/>
              <w:wordWrap/>
              <w:overflowPunct/>
              <w:topLinePunct w:val="0"/>
              <w:autoSpaceDE/>
              <w:autoSpaceDN/>
              <w:bidi w:val="0"/>
              <w:adjustRightInd/>
              <w:snapToGrid/>
              <w:spacing w:line="260" w:lineRule="exact"/>
              <w:ind w:left="0"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1、本项目符合重点管控单元污染物排放管控的准入要求；本项目</w:t>
            </w:r>
            <w:r>
              <w:rPr>
                <w:rFonts w:hint="default" w:ascii="Times New Roman" w:hAnsi="Times New Roman" w:cs="Times New Roman"/>
                <w:color w:val="auto"/>
                <w:sz w:val="21"/>
                <w:szCs w:val="21"/>
                <w:highlight w:val="none"/>
                <w:lang w:val="en-US"/>
              </w:rPr>
              <w:t>氨氮和COD</w:t>
            </w:r>
            <w:r>
              <w:rPr>
                <w:rFonts w:hint="default" w:ascii="Times New Roman" w:hAnsi="Times New Roman" w:cs="Times New Roman"/>
                <w:color w:val="auto"/>
                <w:sz w:val="21"/>
                <w:szCs w:val="21"/>
                <w:highlight w:val="none"/>
              </w:rPr>
              <w:t>总量控制指标。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8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hint="default" w:ascii="Times New Roman" w:hAnsi="Times New Roman" w:cs="Times New Roman"/>
                <w:color w:val="auto"/>
                <w:kern w:val="0"/>
                <w:sz w:val="21"/>
                <w:szCs w:val="21"/>
                <w:highlight w:val="none"/>
              </w:rPr>
            </w:pPr>
          </w:p>
        </w:tc>
        <w:tc>
          <w:tcPr>
            <w:tcW w:w="24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hint="default" w:ascii="Times New Roman" w:hAnsi="Times New Roman" w:cs="Times New Roman"/>
                <w:color w:val="auto"/>
                <w:sz w:val="21"/>
                <w:szCs w:val="21"/>
                <w:highlight w:val="none"/>
              </w:rPr>
            </w:pPr>
          </w:p>
        </w:tc>
        <w:tc>
          <w:tcPr>
            <w:tcW w:w="238"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hint="default" w:ascii="Times New Roman" w:hAnsi="Times New Roman" w:cs="Times New Roman"/>
                <w:color w:val="auto"/>
                <w:sz w:val="21"/>
                <w:szCs w:val="21"/>
                <w:highlight w:val="none"/>
              </w:rPr>
            </w:pPr>
          </w:p>
        </w:tc>
        <w:tc>
          <w:tcPr>
            <w:tcW w:w="15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环境风险防控</w:t>
            </w:r>
          </w:p>
        </w:tc>
        <w:tc>
          <w:tcPr>
            <w:tcW w:w="2542" w:type="pct"/>
            <w:tcBorders>
              <w:top w:val="single" w:color="auto" w:sz="4" w:space="0"/>
              <w:left w:val="single" w:color="auto" w:sz="4" w:space="0"/>
              <w:bottom w:val="single" w:color="auto" w:sz="4" w:space="0"/>
              <w:right w:val="single" w:color="auto" w:sz="4" w:space="0"/>
            </w:tcBorders>
            <w:vAlign w:val="center"/>
          </w:tcPr>
          <w:p>
            <w:pPr>
              <w:pStyle w:val="96"/>
              <w:keepNext w:val="0"/>
              <w:keepLines w:val="0"/>
              <w:pageBreakBefore w:val="0"/>
              <w:kinsoku/>
              <w:wordWrap/>
              <w:overflowPunct/>
              <w:topLinePunct w:val="0"/>
              <w:autoSpaceDE/>
              <w:autoSpaceDN/>
              <w:bidi w:val="0"/>
              <w:adjustRightInd/>
              <w:snapToGrid/>
              <w:spacing w:line="260" w:lineRule="exact"/>
              <w:ind w:left="0" w:firstLine="0" w:firstLineChars="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bCs/>
                <w:color w:val="auto"/>
                <w:sz w:val="21"/>
                <w:szCs w:val="21"/>
                <w:highlight w:val="none"/>
              </w:rPr>
              <w:t>1</w:t>
            </w:r>
            <w:r>
              <w:rPr>
                <w:rFonts w:hint="default" w:ascii="Times New Roman" w:hAnsi="Times New Roman" w:cs="Times New Roman"/>
                <w:color w:val="auto"/>
                <w:kern w:val="0"/>
                <w:sz w:val="21"/>
                <w:szCs w:val="21"/>
                <w:highlight w:val="none"/>
              </w:rPr>
              <w:t>、执行自治区、乌昌石片区总体准入要求中关于重点管控单元环境风险防控的准入要求（表2-3A6.3、表3.4-2B3）。</w:t>
            </w:r>
            <w:r>
              <w:rPr>
                <w:rFonts w:hint="default" w:ascii="Times New Roman" w:hAnsi="Times New Roman" w:cs="Times New Roman"/>
                <w:color w:val="auto"/>
                <w:sz w:val="21"/>
                <w:szCs w:val="21"/>
                <w:highlight w:val="none"/>
              </w:rPr>
              <w:t>【A6.3-1】定期评估邻近环境敏感区的工业企业、工业集聚区环境和健康风险。强化工业集聚区企业环境风险防范设施设备建设和正常运行监管，加强重点环境风险管控企业应急预案制定，建立常态化的企业隐患排查整治监管机制，加强风险防控体系建设。</w:t>
            </w:r>
          </w:p>
        </w:tc>
        <w:tc>
          <w:tcPr>
            <w:tcW w:w="1530" w:type="pct"/>
            <w:tcBorders>
              <w:top w:val="single" w:color="auto" w:sz="4" w:space="0"/>
              <w:left w:val="single" w:color="auto" w:sz="4" w:space="0"/>
              <w:bottom w:val="single" w:color="auto" w:sz="4" w:space="0"/>
              <w:right w:val="single" w:color="auto" w:sz="4" w:space="0"/>
            </w:tcBorders>
            <w:vAlign w:val="center"/>
          </w:tcPr>
          <w:p>
            <w:pPr>
              <w:pStyle w:val="96"/>
              <w:keepNext w:val="0"/>
              <w:keepLines w:val="0"/>
              <w:pageBreakBefore w:val="0"/>
              <w:kinsoku/>
              <w:wordWrap/>
              <w:overflowPunct/>
              <w:topLinePunct w:val="0"/>
              <w:autoSpaceDE/>
              <w:autoSpaceDN/>
              <w:bidi w:val="0"/>
              <w:adjustRightInd/>
              <w:snapToGrid/>
              <w:spacing w:line="260" w:lineRule="exact"/>
              <w:ind w:left="0" w:firstLine="0" w:firstLineChars="0"/>
              <w:jc w:val="left"/>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lang w:val="en-US"/>
              </w:rPr>
              <w:t>1</w:t>
            </w:r>
            <w:r>
              <w:rPr>
                <w:rFonts w:hint="default" w:ascii="Times New Roman" w:hAnsi="Times New Roman" w:cs="Times New Roman"/>
                <w:color w:val="auto"/>
                <w:sz w:val="21"/>
                <w:szCs w:val="21"/>
                <w:highlight w:val="none"/>
              </w:rPr>
              <w:t>、项目执行表2-3A6.3中关于重点管控单元环境风险防控限制内容。2、本项目不在人口密集区3、本项目不涉及危险化学品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87"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hint="default" w:ascii="Times New Roman" w:hAnsi="Times New Roman" w:cs="Times New Roman"/>
                <w:color w:val="auto"/>
                <w:kern w:val="0"/>
                <w:sz w:val="21"/>
                <w:szCs w:val="21"/>
                <w:highlight w:val="none"/>
              </w:rPr>
            </w:pPr>
          </w:p>
        </w:tc>
        <w:tc>
          <w:tcPr>
            <w:tcW w:w="24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hint="default" w:ascii="Times New Roman" w:hAnsi="Times New Roman" w:cs="Times New Roman"/>
                <w:color w:val="auto"/>
                <w:sz w:val="21"/>
                <w:szCs w:val="21"/>
                <w:highlight w:val="none"/>
              </w:rPr>
            </w:pPr>
          </w:p>
        </w:tc>
        <w:tc>
          <w:tcPr>
            <w:tcW w:w="238"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hint="default" w:ascii="Times New Roman" w:hAnsi="Times New Roman" w:cs="Times New Roman"/>
                <w:color w:val="auto"/>
                <w:sz w:val="21"/>
                <w:szCs w:val="21"/>
                <w:highlight w:val="none"/>
              </w:rPr>
            </w:pPr>
          </w:p>
        </w:tc>
        <w:tc>
          <w:tcPr>
            <w:tcW w:w="15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60" w:lineRule="exact"/>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资源利用效率</w:t>
            </w:r>
          </w:p>
        </w:tc>
        <w:tc>
          <w:tcPr>
            <w:tcW w:w="2542" w:type="pct"/>
            <w:tcBorders>
              <w:top w:val="single" w:color="auto" w:sz="4" w:space="0"/>
              <w:left w:val="single" w:color="auto" w:sz="4" w:space="0"/>
              <w:bottom w:val="single" w:color="auto" w:sz="4" w:space="0"/>
              <w:right w:val="single" w:color="auto" w:sz="4" w:space="0"/>
            </w:tcBorders>
            <w:vAlign w:val="center"/>
          </w:tcPr>
          <w:p>
            <w:pPr>
              <w:pStyle w:val="76"/>
              <w:keepNext w:val="0"/>
              <w:keepLines w:val="0"/>
              <w:pageBreakBefore w:val="0"/>
              <w:kinsoku/>
              <w:wordWrap/>
              <w:overflowPunct/>
              <w:topLinePunct w:val="0"/>
              <w:autoSpaceDE/>
              <w:autoSpaceDN/>
              <w:bidi w:val="0"/>
              <w:adjustRightInd/>
              <w:snapToGrid/>
              <w:spacing w:line="260" w:lineRule="exact"/>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执行自治区、乌昌石片区总体准入要求中关于重点管控单元资源利用效率的准入要求（表2-3A6.4、表3.4-2B4）。【A6.4-1】推进工业集聚区生态化改造，强化企业清洁生产改造，推进节水型企业、节水型工业园区建设，提高资源能源利用效率。</w:t>
            </w:r>
          </w:p>
          <w:p>
            <w:pPr>
              <w:pStyle w:val="96"/>
              <w:keepNext w:val="0"/>
              <w:keepLines w:val="0"/>
              <w:pageBreakBefore w:val="0"/>
              <w:kinsoku/>
              <w:wordWrap/>
              <w:overflowPunct/>
              <w:topLinePunct w:val="0"/>
              <w:autoSpaceDE/>
              <w:autoSpaceDN/>
              <w:bidi w:val="0"/>
              <w:adjustRightInd/>
              <w:snapToGrid/>
              <w:spacing w:line="260" w:lineRule="exact"/>
              <w:ind w:left="0" w:firstLine="0" w:firstLineChars="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2、合理配置地表水、地下水，从严控制地下水取水总量。</w:t>
            </w:r>
          </w:p>
        </w:tc>
        <w:tc>
          <w:tcPr>
            <w:tcW w:w="1530" w:type="pct"/>
            <w:tcBorders>
              <w:top w:val="single" w:color="auto" w:sz="4" w:space="0"/>
              <w:left w:val="single" w:color="auto" w:sz="4" w:space="0"/>
              <w:bottom w:val="single" w:color="auto" w:sz="4" w:space="0"/>
              <w:right w:val="single" w:color="auto" w:sz="4" w:space="0"/>
            </w:tcBorders>
            <w:vAlign w:val="center"/>
          </w:tcPr>
          <w:p>
            <w:pPr>
              <w:pStyle w:val="96"/>
              <w:keepNext w:val="0"/>
              <w:keepLines w:val="0"/>
              <w:pageBreakBefore w:val="0"/>
              <w:kinsoku/>
              <w:wordWrap/>
              <w:overflowPunct/>
              <w:topLinePunct w:val="0"/>
              <w:autoSpaceDE/>
              <w:autoSpaceDN/>
              <w:bidi w:val="0"/>
              <w:adjustRightInd/>
              <w:snapToGrid/>
              <w:spacing w:line="260" w:lineRule="exact"/>
              <w:ind w:left="0" w:firstLine="0" w:firstLineChars="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1、本项目符合自治区总体准入要求中关于重点管控单元资源利用要求的准入要求。2、本项目</w:t>
            </w:r>
            <w:r>
              <w:rPr>
                <w:rFonts w:hint="default" w:ascii="Times New Roman" w:hAnsi="Times New Roman" w:cs="Times New Roman"/>
                <w:color w:val="auto"/>
                <w:sz w:val="21"/>
                <w:szCs w:val="21"/>
                <w:highlight w:val="none"/>
                <w:lang w:val="en-US"/>
              </w:rPr>
              <w:t>不涉及地下水开采</w:t>
            </w:r>
            <w:r>
              <w:rPr>
                <w:rFonts w:hint="default" w:ascii="Times New Roman" w:hAnsi="Times New Roman" w:cs="Times New Roman"/>
                <w:color w:val="auto"/>
                <w:sz w:val="21"/>
                <w:szCs w:val="21"/>
                <w:highlight w:val="none"/>
              </w:rPr>
              <w:t>。</w:t>
            </w:r>
          </w:p>
        </w:tc>
      </w:tr>
    </w:tbl>
    <w:p>
      <w:pPr>
        <w:pStyle w:val="15"/>
        <w:rPr>
          <w:rFonts w:hint="default" w:ascii="Times New Roman" w:hAnsi="Times New Roman" w:cs="Times New Roman"/>
          <w:color w:val="auto"/>
          <w:highlight w:val="none"/>
        </w:rPr>
      </w:pPr>
      <w:r>
        <w:rPr>
          <w:rFonts w:hint="default" w:ascii="Times New Roman" w:hAnsi="Times New Roman" w:cs="Times New Roman"/>
          <w:bCs/>
          <w:color w:val="auto"/>
          <w:highlight w:val="none"/>
        </w:rPr>
        <w:t>综上，经与</w:t>
      </w:r>
      <w:r>
        <w:rPr>
          <w:rFonts w:hint="default" w:ascii="Times New Roman" w:hAnsi="Times New Roman" w:cs="Times New Roman"/>
          <w:color w:val="auto"/>
          <w:highlight w:val="none"/>
        </w:rPr>
        <w:t>《昌吉回族自治州“三线一单”生态环境分区管控方案及生态环境准入清单》</w:t>
      </w:r>
      <w:r>
        <w:rPr>
          <w:rFonts w:hint="default" w:ascii="Times New Roman" w:hAnsi="Times New Roman" w:cs="Times New Roman"/>
          <w:bCs/>
          <w:color w:val="auto"/>
          <w:highlight w:val="none"/>
        </w:rPr>
        <w:t>进行对照后，本项目不在生态保护红线内，项目建设不会超出环境质量底线及资源利用上线，项目</w:t>
      </w:r>
      <w:r>
        <w:rPr>
          <w:rFonts w:hint="eastAsia" w:cs="Times New Roman"/>
          <w:bCs/>
          <w:color w:val="auto"/>
          <w:highlight w:val="none"/>
          <w:lang w:val="en-US" w:eastAsia="zh-CN"/>
        </w:rPr>
        <w:t>符合</w:t>
      </w:r>
      <w:r>
        <w:rPr>
          <w:rFonts w:hint="default" w:ascii="Times New Roman" w:hAnsi="Times New Roman" w:cs="Times New Roman"/>
          <w:bCs/>
          <w:color w:val="auto"/>
          <w:highlight w:val="none"/>
        </w:rPr>
        <w:t>环境准入。</w:t>
      </w:r>
    </w:p>
    <w:p>
      <w:pPr>
        <w:keepNext w:val="0"/>
        <w:keepLines w:val="0"/>
        <w:widowControl/>
        <w:suppressLineNumbers w:val="0"/>
        <w:jc w:val="left"/>
        <w:rPr>
          <w:rFonts w:hint="default" w:ascii="Times New Roman" w:hAnsi="Times New Roman" w:cs="Times New Roman"/>
          <w:color w:val="auto"/>
          <w:highlight w:val="none"/>
        </w:rPr>
      </w:pPr>
    </w:p>
    <w:p>
      <w:pPr>
        <w:ind w:firstLine="480"/>
        <w:rPr>
          <w:rFonts w:hint="default" w:ascii="Times New Roman" w:hAnsi="Times New Roman" w:cs="Times New Roman"/>
          <w:bCs/>
          <w:color w:val="auto"/>
          <w:highlight w:val="none"/>
        </w:rPr>
        <w:sectPr>
          <w:pgSz w:w="16838" w:h="11906" w:orient="landscape"/>
          <w:pgMar w:top="1304" w:right="1440" w:bottom="1304" w:left="1440" w:header="851" w:footer="992" w:gutter="0"/>
          <w:pgBorders>
            <w:top w:val="none" w:sz="0" w:space="0"/>
            <w:left w:val="none" w:sz="0" w:space="0"/>
            <w:bottom w:val="none" w:sz="0" w:space="0"/>
            <w:right w:val="none" w:sz="0" w:space="0"/>
          </w:pgBorders>
          <w:pgNumType w:fmt="numberInDash"/>
          <w:cols w:space="0" w:num="1"/>
          <w:docGrid w:type="lines" w:linePitch="312" w:charSpace="0"/>
        </w:sectPr>
      </w:pPr>
    </w:p>
    <w:p>
      <w:pPr>
        <w:pStyle w:val="5"/>
        <w:bidi w:val="0"/>
        <w:rPr>
          <w:rFonts w:hint="default" w:ascii="Times New Roman" w:hAnsi="Times New Roman" w:cs="Times New Roman"/>
          <w:color w:val="auto"/>
          <w:highlight w:val="none"/>
        </w:rPr>
      </w:pPr>
      <w:bookmarkStart w:id="30" w:name="_Toc2882"/>
      <w:bookmarkStart w:id="31" w:name="_Toc8115"/>
      <w:bookmarkStart w:id="32" w:name="_Toc24954"/>
      <w:r>
        <w:rPr>
          <w:rFonts w:hint="default" w:ascii="Times New Roman" w:hAnsi="Times New Roman" w:eastAsia="宋体" w:cs="Times New Roman"/>
          <w:b/>
          <w:bCs/>
          <w:color w:val="auto"/>
          <w:kern w:val="0"/>
          <w:sz w:val="24"/>
          <w:szCs w:val="24"/>
          <w:highlight w:val="none"/>
          <w:lang w:val="en-US" w:eastAsia="zh-CN" w:bidi="ar"/>
        </w:rPr>
        <w:t>与《</w:t>
      </w:r>
      <w:r>
        <w:rPr>
          <w:rFonts w:hint="default" w:ascii="Times New Roman" w:hAnsi="Times New Roman" w:eastAsia="宋体" w:cs="Times New Roman"/>
          <w:color w:val="auto"/>
          <w:kern w:val="0"/>
          <w:sz w:val="24"/>
          <w:szCs w:val="24"/>
          <w:highlight w:val="none"/>
          <w:lang w:val="en-US" w:eastAsia="zh-CN" w:bidi="ar"/>
        </w:rPr>
        <w:t>新疆维吾尔自治区七大片区“三线一单”生态环境分区管控要求</w:t>
      </w:r>
      <w:r>
        <w:rPr>
          <w:rFonts w:hint="default" w:ascii="Times New Roman" w:hAnsi="Times New Roman" w:eastAsia="宋体" w:cs="Times New Roman"/>
          <w:b/>
          <w:bCs/>
          <w:color w:val="auto"/>
          <w:kern w:val="0"/>
          <w:sz w:val="24"/>
          <w:szCs w:val="24"/>
          <w:highlight w:val="none"/>
          <w:lang w:val="en-US" w:eastAsia="zh-CN" w:bidi="ar"/>
        </w:rPr>
        <w:t>》符合性分析</w:t>
      </w:r>
    </w:p>
    <w:p>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按照《新疆维吾尔自治区“三线一单”生态环境分区管控方案》，全区划分为七大片区，包括北疆北部</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塔城地区、阿勒泰地区</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、伊犁河谷、克奎乌-博州、乌昌石、吐哈、天山南坡</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巴州、阿克苏地区</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和南疆三地州片区，新疆维吾尔自治区生态环境厅制定《新疆维吾尔自治区七大片区“三线一单”生态环境分区管控要求》。</w:t>
      </w:r>
    </w:p>
    <w:p>
      <w:pPr>
        <w:bidi w:val="0"/>
        <w:rPr>
          <w:rFonts w:hint="eastAsia" w:ascii="黑体" w:hAnsi="黑体" w:eastAsia="黑体" w:cs="黑体"/>
          <w:sz w:val="24"/>
          <w:szCs w:val="24"/>
          <w:lang w:val="en-US" w:eastAsia="zh-CN"/>
        </w:rPr>
      </w:pPr>
      <w:r>
        <w:rPr>
          <w:rFonts w:hint="eastAsia" w:ascii="黑体" w:hAnsi="黑体" w:eastAsia="黑体" w:cs="黑体"/>
          <w:b w:val="0"/>
          <w:bCs w:val="0"/>
          <w:sz w:val="24"/>
          <w:szCs w:val="24"/>
          <w:lang w:val="en-US" w:eastAsia="zh-CN"/>
        </w:rPr>
        <w:t>表1.4-4与《新疆维吾尔自治区七大片区“三线一单”生态环境分区管控要求》</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要求</w:t>
            </w:r>
          </w:p>
        </w:tc>
        <w:tc>
          <w:tcPr>
            <w:tcW w:w="475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①乌昌石片区包括乌鲁木齐市、昌吉回族自治州和沙湾市。除国家规划项目外，乌鲁木齐市七区一县、昌吉市、阜康市、玛纳斯县、呼图壁县、沙湾市建成区及周边敏感区域内不再布局建设煤化工、电解铝、燃煤纯发电机组、金属硅、碳化硅、聚氯乙烯（电石法）、焦炭（含半焦）等新增产能项目，具备风光电清洁供暖建设条件的区域原则上不新批热电联产项目。</w:t>
            </w:r>
          </w:p>
        </w:tc>
        <w:tc>
          <w:tcPr>
            <w:tcW w:w="475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本项目位于七大片区中乌昌石片区，</w:t>
            </w:r>
            <w:r>
              <w:rPr>
                <w:rFonts w:hint="eastAsia" w:ascii="Times New Roman" w:hAnsi="Times New Roman" w:eastAsia="宋体" w:cs="Times New Roman"/>
                <w:color w:val="auto"/>
                <w:kern w:val="0"/>
                <w:sz w:val="21"/>
                <w:szCs w:val="21"/>
                <w:highlight w:val="none"/>
                <w:lang w:val="en-US" w:eastAsia="zh-CN" w:bidi="ar"/>
              </w:rPr>
              <w:t>不涉及</w:t>
            </w:r>
            <w:r>
              <w:rPr>
                <w:rFonts w:hint="default" w:ascii="Times New Roman" w:hAnsi="Times New Roman" w:eastAsia="宋体" w:cs="Times New Roman"/>
                <w:color w:val="auto"/>
                <w:kern w:val="0"/>
                <w:sz w:val="21"/>
                <w:szCs w:val="21"/>
                <w:highlight w:val="none"/>
                <w:lang w:val="en-US" w:eastAsia="zh-CN" w:bidi="ar"/>
              </w:rPr>
              <w:t>煤化工、电解铝、燃煤纯发电机组、金属硅、碳化硅、聚氯乙烯（电石法）、焦炭（含半焦）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②坚持属地负责与区域大气污染联防联控相结合，以明显降低细颗粒物浓度为重点，协同推进“乌-昌-石”区域大气环境治理，强化与生产建设兵团第六师、第八师、第十一师、第十二师的同防同治，确保区域环境空气质量持续改善。所有新建、改建、扩建工业项目执行最严格的大气污染物排放标准。强化氮氧化物深度治理。强化挥发性有机物污染防治措施。推广使用低挥发性有机物原辅料，推动有条件的园区（工业集聚区）建设集中喷涂工程中心，配备高效治污设施，替代企业独立喷涂工序。</w:t>
            </w:r>
          </w:p>
        </w:tc>
        <w:tc>
          <w:tcPr>
            <w:tcW w:w="475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cs="Times New Roman"/>
                <w:color w:val="auto"/>
                <w:sz w:val="21"/>
                <w:szCs w:val="21"/>
                <w:highlight w:val="none"/>
              </w:rPr>
              <w:t>本项目</w:t>
            </w:r>
            <w:r>
              <w:rPr>
                <w:rFonts w:hint="eastAsia" w:ascii="Times New Roman" w:hAnsi="Times New Roman" w:cs="Times New Roman"/>
                <w:color w:val="auto"/>
                <w:sz w:val="21"/>
                <w:szCs w:val="21"/>
                <w:highlight w:val="none"/>
                <w:lang w:val="en-US" w:eastAsia="zh-CN"/>
              </w:rPr>
              <w:t>污染物为氨和硫化氢经生物滤池处理后满足相关要求。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③强化企业清洁生产改造，推进节水型企业、节水型工业园区建设，提高资源集约节约利用水平。积极推进地下水超采治理，逐步压减地下水超采量，实现地下水采补平衡。</w:t>
            </w:r>
          </w:p>
        </w:tc>
        <w:tc>
          <w:tcPr>
            <w:tcW w:w="475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cs="Times New Roman"/>
                <w:color w:val="auto"/>
                <w:sz w:val="21"/>
                <w:szCs w:val="21"/>
                <w:highlight w:val="none"/>
              </w:rPr>
              <w:t>本项目符合自治区总体准入要求中关于重点管控单元资源利用要求的准入要求。2、本项目</w:t>
            </w:r>
            <w:r>
              <w:rPr>
                <w:rFonts w:hint="default" w:ascii="Times New Roman" w:hAnsi="Times New Roman" w:cs="Times New Roman"/>
                <w:color w:val="auto"/>
                <w:sz w:val="21"/>
                <w:szCs w:val="21"/>
                <w:highlight w:val="none"/>
                <w:lang w:val="en-US"/>
              </w:rPr>
              <w:t>不涉及地下水开采</w:t>
            </w:r>
            <w:r>
              <w:rPr>
                <w:rFonts w:hint="default" w:ascii="Times New Roman" w:hAnsi="Times New Roman"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④强化油（气）资源开发区土壤环境污染综合整治。加强涉重金属行业污染防控与工业废物处理处置。</w:t>
            </w:r>
          </w:p>
        </w:tc>
        <w:tc>
          <w:tcPr>
            <w:tcW w:w="475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olor w:val="auto"/>
                <w:sz w:val="21"/>
                <w:szCs w:val="21"/>
                <w:highlight w:val="none"/>
                <w:lang w:val="en-US" w:eastAsia="zh-CN"/>
              </w:rPr>
              <w:t>本项目为</w:t>
            </w:r>
            <w:r>
              <w:rPr>
                <w:color w:val="auto"/>
                <w:sz w:val="21"/>
                <w:szCs w:val="21"/>
                <w:highlight w:val="none"/>
              </w:rPr>
              <w:t>工业废水和生活污水混合处理的污水处理厂产生的污泥</w:t>
            </w:r>
            <w:r>
              <w:rPr>
                <w:rFonts w:hint="eastAsia"/>
                <w:color w:val="auto"/>
                <w:sz w:val="21"/>
                <w:szCs w:val="21"/>
                <w:highlight w:val="none"/>
                <w:lang w:eastAsia="zh-CN"/>
              </w:rPr>
              <w:t>，</w:t>
            </w:r>
            <w:r>
              <w:rPr>
                <w:color w:val="auto"/>
                <w:sz w:val="21"/>
                <w:szCs w:val="21"/>
                <w:highlight w:val="none"/>
              </w:rPr>
              <w:t>采用厌氧消化、好氧发酵方式处理污泥。</w:t>
            </w:r>
            <w:r>
              <w:rPr>
                <w:rFonts w:hint="eastAsia" w:cs="Times New Roman"/>
                <w:color w:val="auto"/>
                <w:sz w:val="21"/>
                <w:szCs w:val="21"/>
                <w:highlight w:val="none"/>
                <w:lang w:val="en-US" w:eastAsia="zh-CN"/>
              </w:rPr>
              <w:t>根据现有污水处理厂针对</w:t>
            </w:r>
            <w:r>
              <w:rPr>
                <w:rFonts w:hint="default" w:ascii="Times New Roman" w:hAnsi="Times New Roman" w:cs="Times New Roman"/>
                <w:color w:val="auto"/>
                <w:sz w:val="21"/>
                <w:szCs w:val="21"/>
                <w:highlight w:val="none"/>
                <w:lang w:val="zh-CN"/>
              </w:rPr>
              <w:t>污泥危险废物鉴别实验，</w:t>
            </w:r>
            <w:r>
              <w:rPr>
                <w:rFonts w:hint="eastAsia" w:cs="Times New Roman"/>
                <w:color w:val="auto"/>
                <w:sz w:val="21"/>
                <w:szCs w:val="21"/>
                <w:highlight w:val="none"/>
                <w:lang w:val="en-US" w:eastAsia="zh-CN"/>
              </w:rPr>
              <w:t>可知本项目</w:t>
            </w:r>
            <w:r>
              <w:rPr>
                <w:rFonts w:hint="eastAsia"/>
                <w:color w:val="auto"/>
                <w:sz w:val="21"/>
                <w:szCs w:val="21"/>
                <w:highlight w:val="none"/>
                <w:lang w:val="en-US" w:eastAsia="zh-CN"/>
              </w:rPr>
              <w:t>剩余污泥</w:t>
            </w:r>
            <w:r>
              <w:rPr>
                <w:rFonts w:hint="eastAsia" w:cs="Times New Roman"/>
                <w:color w:val="auto"/>
                <w:sz w:val="21"/>
                <w:szCs w:val="21"/>
                <w:highlight w:val="none"/>
                <w:lang w:val="en-US" w:eastAsia="zh-CN"/>
              </w:rPr>
              <w:t>为一般固体废物（见附件污泥鉴别报告），</w:t>
            </w:r>
            <w:r>
              <w:rPr>
                <w:rFonts w:hint="eastAsia" w:cs="Times New Roman"/>
                <w:color w:val="auto"/>
                <w:sz w:val="21"/>
                <w:szCs w:val="21"/>
                <w:highlight w:val="none"/>
                <w:lang w:val="zh-CN"/>
              </w:rPr>
              <w:t>污泥经脱水至含水率小于60%后，与栅渣、沉砂一起运至生活垃圾填埋场进行卫生填埋</w:t>
            </w:r>
            <w:r>
              <w:rPr>
                <w:rFonts w:hint="default" w:ascii="Times New Roman" w:hAnsi="Times New Roman" w:cs="Times New Roman"/>
                <w:color w:val="auto"/>
                <w:sz w:val="21"/>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⑤煤炭、石油、天然气开发单位应当制定生态保护和恢复治理方案，并予以实施。生态保护和恢复治理方案内容应当向社会公布，接受社会监督</w:t>
            </w:r>
            <w:r>
              <w:rPr>
                <w:rFonts w:hint="eastAsia" w:cs="Times New Roman"/>
                <w:color w:val="auto"/>
                <w:kern w:val="0"/>
                <w:sz w:val="21"/>
                <w:szCs w:val="21"/>
                <w:highlight w:val="none"/>
                <w:lang w:val="en-US" w:eastAsia="zh-CN" w:bidi="ar"/>
              </w:rPr>
              <w:t>。</w:t>
            </w:r>
          </w:p>
        </w:tc>
        <w:tc>
          <w:tcPr>
            <w:tcW w:w="475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不涉及</w:t>
            </w:r>
          </w:p>
        </w:tc>
      </w:tr>
    </w:tbl>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选址合理性分析</w:t>
      </w:r>
      <w:bookmarkEnd w:id="30"/>
      <w:bookmarkEnd w:id="31"/>
      <w:bookmarkEnd w:id="32"/>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厂址情况</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污水处理厂厂址的选择要求，既要服从城市总体规划和远期发展规划，又要兼顾考虑建厂条件、地理和气候条件、城市布局、建设投资、社会影响、生态影响等各方面因素，做到合理布局；同时还应考虑到与配套管线的近、远期结合，以便于实施。</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下面对污水处理厂的选址合理性做出分析，详见</w:t>
      </w:r>
      <w:r>
        <w:rPr>
          <w:rFonts w:hint="eastAsia" w:cs="Times New Roman"/>
          <w:color w:val="auto"/>
          <w:highlight w:val="none"/>
          <w:lang w:val="en-US" w:eastAsia="zh-CN"/>
        </w:rPr>
        <w:t>下</w:t>
      </w:r>
      <w:r>
        <w:rPr>
          <w:rFonts w:hint="default" w:ascii="Times New Roman" w:hAnsi="Times New Roman" w:cs="Times New Roman"/>
          <w:color w:val="auto"/>
          <w:highlight w:val="none"/>
        </w:rPr>
        <w:t>表。</w:t>
      </w:r>
    </w:p>
    <w:p>
      <w:pPr>
        <w:spacing w:line="240" w:lineRule="auto"/>
        <w:ind w:firstLine="0" w:firstLineChars="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表1.</w:t>
      </w:r>
      <w:r>
        <w:rPr>
          <w:rFonts w:hint="eastAsia" w:eastAsia="黑体" w:cs="Times New Roman"/>
          <w:color w:val="auto"/>
          <w:highlight w:val="none"/>
          <w:lang w:val="en-US" w:eastAsia="zh-CN"/>
        </w:rPr>
        <w:t>4</w:t>
      </w:r>
      <w:r>
        <w:rPr>
          <w:rFonts w:hint="default" w:ascii="Times New Roman" w:hAnsi="Times New Roman" w:eastAsia="黑体" w:cs="Times New Roman"/>
          <w:color w:val="auto"/>
          <w:highlight w:val="none"/>
        </w:rPr>
        <w:t>-</w:t>
      </w:r>
      <w:r>
        <w:rPr>
          <w:rFonts w:hint="eastAsia" w:eastAsia="黑体" w:cs="Times New Roman"/>
          <w:color w:val="auto"/>
          <w:highlight w:val="none"/>
          <w:lang w:val="en-US" w:eastAsia="zh-CN"/>
        </w:rPr>
        <w:t>5</w:t>
      </w:r>
      <w:r>
        <w:rPr>
          <w:rFonts w:hint="default" w:ascii="Times New Roman" w:hAnsi="Times New Roman" w:eastAsia="黑体" w:cs="Times New Roman"/>
          <w:color w:val="auto"/>
          <w:highlight w:val="none"/>
        </w:rPr>
        <w:t>本项目选址合理性分析表</w:t>
      </w:r>
    </w:p>
    <w:tbl>
      <w:tblPr>
        <w:tblStyle w:val="33"/>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3168"/>
        <w:gridCol w:w="5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dxa"/>
            <w:tcBorders>
              <w:tl2br w:val="nil"/>
              <w:tr2bl w:val="nil"/>
            </w:tcBorders>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序号</w:t>
            </w:r>
          </w:p>
        </w:tc>
        <w:tc>
          <w:tcPr>
            <w:tcW w:w="3168" w:type="dxa"/>
            <w:tcBorders>
              <w:tl2br w:val="nil"/>
              <w:tr2bl w:val="nil"/>
            </w:tcBorders>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选址原则</w:t>
            </w:r>
          </w:p>
        </w:tc>
        <w:tc>
          <w:tcPr>
            <w:tcW w:w="5600" w:type="dxa"/>
            <w:tcBorders>
              <w:tl2br w:val="nil"/>
              <w:tr2bl w:val="nil"/>
            </w:tcBorders>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厂址合理性分析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dxa"/>
            <w:tcBorders>
              <w:tl2br w:val="nil"/>
              <w:tr2bl w:val="nil"/>
            </w:tcBorders>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1</w:t>
            </w:r>
          </w:p>
        </w:tc>
        <w:tc>
          <w:tcPr>
            <w:tcW w:w="3168" w:type="dxa"/>
            <w:tcBorders>
              <w:tl2br w:val="nil"/>
              <w:tr2bl w:val="nil"/>
            </w:tcBorders>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与所采用的污水处理工艺相适应</w:t>
            </w:r>
          </w:p>
        </w:tc>
        <w:tc>
          <w:tcPr>
            <w:tcW w:w="5600" w:type="dxa"/>
            <w:tcBorders>
              <w:tl2br w:val="nil"/>
              <w:tr2bl w:val="nil"/>
            </w:tcBorders>
            <w:vAlign w:val="center"/>
          </w:tcPr>
          <w:p>
            <w:pPr>
              <w:pStyle w:val="74"/>
              <w:rPr>
                <w:rFonts w:hint="default" w:ascii="Times New Roman" w:hAnsi="Times New Roman" w:cs="Times New Roman"/>
                <w:color w:val="auto"/>
                <w:kern w:val="2"/>
                <w:highlight w:val="none"/>
              </w:rPr>
            </w:pPr>
            <w:r>
              <w:rPr>
                <w:rFonts w:hint="eastAsia"/>
                <w:color w:val="auto"/>
                <w:highlight w:val="none"/>
              </w:rPr>
              <w:t>本项目</w:t>
            </w:r>
            <w:r>
              <w:rPr>
                <w:rFonts w:hint="default" w:ascii="Times New Roman" w:hAnsi="Times New Roman" w:cs="Times New Roman"/>
                <w:color w:val="auto"/>
                <w:kern w:val="2"/>
                <w:highlight w:val="none"/>
              </w:rPr>
              <w:t>采用</w:t>
            </w:r>
            <w:r>
              <w:rPr>
                <w:rFonts w:hint="eastAsia" w:cs="Times New Roman"/>
                <w:color w:val="auto"/>
                <w:kern w:val="2"/>
                <w:highlight w:val="none"/>
                <w:lang w:eastAsia="zh-CN"/>
              </w:rPr>
              <w:t>“预处理+调节池+AAO生物池＋高效沉淀池+反硝化深床滤池+接触消毒池”</w:t>
            </w:r>
            <w:r>
              <w:rPr>
                <w:rFonts w:hint="default" w:ascii="Times New Roman" w:hAnsi="Times New Roman" w:cs="Times New Roman"/>
                <w:color w:val="auto"/>
                <w:kern w:val="2"/>
                <w:highlight w:val="none"/>
              </w:rPr>
              <w:t>处理工艺。废水处理达到（GB18918-2002）一级A标准后</w:t>
            </w:r>
            <w:r>
              <w:rPr>
                <w:rStyle w:val="45"/>
                <w:rFonts w:hint="eastAsia" w:cs="Times New Roman"/>
                <w:snapToGrid/>
                <w:color w:val="auto"/>
                <w:kern w:val="2"/>
                <w:highlight w:val="none"/>
                <w:lang w:eastAsia="zh-CN"/>
              </w:rPr>
              <w:t>，</w:t>
            </w:r>
            <w:r>
              <w:rPr>
                <w:rFonts w:hint="default" w:ascii="Times New Roman" w:hAnsi="Times New Roman" w:cs="Times New Roman"/>
                <w:color w:val="auto"/>
                <w:highlight w:val="none"/>
              </w:rPr>
              <w:t>同时满足《</w:t>
            </w:r>
            <w:r>
              <w:rPr>
                <w:rFonts w:hint="eastAsia" w:cs="Times New Roman"/>
                <w:color w:val="auto"/>
                <w:highlight w:val="none"/>
                <w:lang w:eastAsia="zh-CN"/>
              </w:rPr>
              <w:t>城市污水再生利用城市杂用水水质》（GB/T18920-2020）</w:t>
            </w:r>
            <w:r>
              <w:rPr>
                <w:rFonts w:hint="default" w:ascii="Times New Roman" w:hAnsi="Times New Roman" w:cs="Times New Roman"/>
                <w:color w:val="auto"/>
                <w:highlight w:val="none"/>
              </w:rPr>
              <w:t>和《城市污水再生利用绿地灌溉水质》（GB/T25499-2010）</w:t>
            </w:r>
            <w:r>
              <w:rPr>
                <w:rFonts w:hint="default" w:ascii="Times New Roman" w:hAnsi="Times New Roman" w:cs="Times New Roman"/>
                <w:color w:val="auto"/>
                <w:highlight w:val="none"/>
                <w:lang w:val="en-US" w:eastAsia="zh-CN"/>
              </w:rPr>
              <w:t>要求</w:t>
            </w:r>
            <w:r>
              <w:rPr>
                <w:rFonts w:hint="default" w:ascii="Times New Roman" w:hAnsi="Times New Roman" w:cs="Times New Roman"/>
                <w:color w:val="auto"/>
                <w:kern w:val="2"/>
                <w:highlight w:val="none"/>
              </w:rPr>
              <w:t>，尾水夏季用于灌溉示范区的林地，冬季储存于</w:t>
            </w:r>
            <w:r>
              <w:rPr>
                <w:rFonts w:hint="eastAsia" w:cs="Times New Roman"/>
                <w:color w:val="auto"/>
                <w:kern w:val="2"/>
                <w:highlight w:val="none"/>
                <w:lang w:eastAsia="zh-CN"/>
              </w:rPr>
              <w:t>中水池</w:t>
            </w:r>
            <w:r>
              <w:rPr>
                <w:rFonts w:hint="default" w:ascii="Times New Roman" w:hAnsi="Times New Roman" w:cs="Times New Roman"/>
                <w:color w:val="auto"/>
                <w:kern w:val="2"/>
                <w:highlight w:val="none"/>
              </w:rPr>
              <w:t>中，所选工艺能够分别适应生活污水和工业废水处理要求。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dxa"/>
            <w:tcBorders>
              <w:tl2br w:val="nil"/>
              <w:tr2bl w:val="nil"/>
            </w:tcBorders>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2</w:t>
            </w:r>
          </w:p>
        </w:tc>
        <w:tc>
          <w:tcPr>
            <w:tcW w:w="3168" w:type="dxa"/>
            <w:tcBorders>
              <w:tl2br w:val="nil"/>
              <w:tr2bl w:val="nil"/>
            </w:tcBorders>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少拆迁，少占农田，有一定的卫生防护距离</w:t>
            </w:r>
          </w:p>
        </w:tc>
        <w:tc>
          <w:tcPr>
            <w:tcW w:w="5600" w:type="dxa"/>
            <w:tcBorders>
              <w:tl2br w:val="nil"/>
              <w:tr2bl w:val="nil"/>
            </w:tcBorders>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项目周边无需拆迁，不占用农田，设置</w:t>
            </w:r>
            <w:r>
              <w:rPr>
                <w:rFonts w:hint="eastAsia" w:cs="Times New Roman"/>
                <w:color w:val="auto"/>
                <w:kern w:val="2"/>
                <w:highlight w:val="none"/>
                <w:lang w:val="en-US" w:eastAsia="zh-CN"/>
              </w:rPr>
              <w:t>300m</w:t>
            </w:r>
            <w:r>
              <w:rPr>
                <w:rFonts w:hint="default" w:ascii="Times New Roman" w:hAnsi="Times New Roman" w:cs="Times New Roman"/>
                <w:color w:val="auto"/>
                <w:kern w:val="2"/>
                <w:highlight w:val="none"/>
              </w:rPr>
              <w:t>环境防护距离，后期不得建设学校、医院、居民区等环境敏感点。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dxa"/>
            <w:tcBorders>
              <w:tl2br w:val="nil"/>
              <w:tr2bl w:val="nil"/>
            </w:tcBorders>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3</w:t>
            </w:r>
          </w:p>
        </w:tc>
        <w:tc>
          <w:tcPr>
            <w:tcW w:w="3168" w:type="dxa"/>
            <w:tcBorders>
              <w:tl2br w:val="nil"/>
              <w:tr2bl w:val="nil"/>
            </w:tcBorders>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厂址位于集中给水水源下游，且应设在城镇、工厂厂区及生活区的下游和夏季主风向的下风向；</w:t>
            </w:r>
          </w:p>
        </w:tc>
        <w:tc>
          <w:tcPr>
            <w:tcW w:w="5600" w:type="dxa"/>
            <w:tcBorders>
              <w:tl2br w:val="nil"/>
              <w:tr2bl w:val="nil"/>
            </w:tcBorders>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1、拟建地位于昌吉市水源地下游，对水源的影响很小；</w:t>
            </w:r>
          </w:p>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2、设在昌吉市城镇、新疆昌吉国家农业高新技术产业示范区及生活区的下游，夏季主导风向为N，项目位于夏季主风向的下风向。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dxa"/>
            <w:tcBorders>
              <w:tl2br w:val="nil"/>
              <w:tr2bl w:val="nil"/>
            </w:tcBorders>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4</w:t>
            </w:r>
          </w:p>
        </w:tc>
        <w:tc>
          <w:tcPr>
            <w:tcW w:w="3168" w:type="dxa"/>
            <w:tcBorders>
              <w:tl2br w:val="nil"/>
              <w:tr2bl w:val="nil"/>
            </w:tcBorders>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处理后的污水或污泥用于农业、工业或市政时，厂址应考虑与用户靠近，以便于运输。当处理水排放时，则应与受纳水体靠近</w:t>
            </w:r>
          </w:p>
        </w:tc>
        <w:tc>
          <w:tcPr>
            <w:tcW w:w="5600" w:type="dxa"/>
            <w:tcBorders>
              <w:tl2br w:val="nil"/>
              <w:tr2bl w:val="nil"/>
            </w:tcBorders>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本项目位于园区东南侧800m，距离较近，方便污水输送。</w:t>
            </w:r>
          </w:p>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通过专用排水管夏季用于</w:t>
            </w:r>
            <w:r>
              <w:rPr>
                <w:rFonts w:hint="eastAsia" w:cs="Times New Roman"/>
                <w:color w:val="auto"/>
                <w:kern w:val="2"/>
                <w:highlight w:val="none"/>
                <w:lang w:val="en-US" w:eastAsia="zh-CN"/>
              </w:rPr>
              <w:t>园区绿化及</w:t>
            </w:r>
            <w:r>
              <w:rPr>
                <w:rFonts w:hint="default" w:ascii="Times New Roman" w:hAnsi="Times New Roman" w:cs="Times New Roman"/>
                <w:color w:val="auto"/>
                <w:kern w:val="2"/>
                <w:highlight w:val="none"/>
              </w:rPr>
              <w:t>灌溉示范区的林地，冬季储存于</w:t>
            </w:r>
            <w:r>
              <w:rPr>
                <w:rFonts w:hint="eastAsia" w:cs="Times New Roman"/>
                <w:color w:val="auto"/>
                <w:kern w:val="2"/>
                <w:highlight w:val="none"/>
                <w:lang w:eastAsia="zh-CN"/>
              </w:rPr>
              <w:t>中水池</w:t>
            </w:r>
            <w:r>
              <w:rPr>
                <w:rFonts w:hint="default" w:ascii="Times New Roman" w:hAnsi="Times New Roman" w:cs="Times New Roman"/>
                <w:color w:val="auto"/>
                <w:kern w:val="2"/>
                <w:highlight w:val="none"/>
              </w:rPr>
              <w:t>中，实现污水有效利用。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dxa"/>
            <w:tcBorders>
              <w:tl2br w:val="nil"/>
              <w:tr2bl w:val="nil"/>
            </w:tcBorders>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5</w:t>
            </w:r>
          </w:p>
        </w:tc>
        <w:tc>
          <w:tcPr>
            <w:tcW w:w="3168" w:type="dxa"/>
            <w:tcBorders>
              <w:tl2br w:val="nil"/>
              <w:tr2bl w:val="nil"/>
            </w:tcBorders>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要充分利用地形，如有条件可选择有适当坡度的地区，以满足污水处理构筑物高程布置的需要，减少工程土方量</w:t>
            </w:r>
          </w:p>
        </w:tc>
        <w:tc>
          <w:tcPr>
            <w:tcW w:w="5600" w:type="dxa"/>
            <w:tcBorders>
              <w:tl2br w:val="nil"/>
              <w:tr2bl w:val="nil"/>
            </w:tcBorders>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场地原始地形为地势较为平坦，现时地面标高可满足污水处理构筑物高程布置需要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dxa"/>
            <w:tcBorders>
              <w:tl2br w:val="nil"/>
              <w:tr2bl w:val="nil"/>
            </w:tcBorders>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6</w:t>
            </w:r>
          </w:p>
        </w:tc>
        <w:tc>
          <w:tcPr>
            <w:tcW w:w="3168" w:type="dxa"/>
            <w:tcBorders>
              <w:tl2br w:val="nil"/>
              <w:tr2bl w:val="nil"/>
            </w:tcBorders>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有良好的工程地质条件及方便的交通、运输、水电条件</w:t>
            </w:r>
          </w:p>
        </w:tc>
        <w:tc>
          <w:tcPr>
            <w:tcW w:w="5600" w:type="dxa"/>
            <w:tcBorders>
              <w:tl2br w:val="nil"/>
              <w:tr2bl w:val="nil"/>
            </w:tcBorders>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spacing w:val="-6"/>
                <w:kern w:val="2"/>
                <w:sz w:val="21"/>
                <w:highlight w:val="none"/>
              </w:rPr>
              <w:t>本项目地勘报告可知，拟建地无不良地质现象和地质灾害存在，工程地质条件良好，项目所在地有方便的交通、运输、水电条件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dxa"/>
            <w:tcBorders>
              <w:tl2br w:val="nil"/>
              <w:tr2bl w:val="nil"/>
            </w:tcBorders>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7</w:t>
            </w:r>
          </w:p>
        </w:tc>
        <w:tc>
          <w:tcPr>
            <w:tcW w:w="3168" w:type="dxa"/>
            <w:tcBorders>
              <w:tl2br w:val="nil"/>
              <w:tr2bl w:val="nil"/>
            </w:tcBorders>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厂址不应设在雨季易受水淹的低洼处，靠近水体的处理厂，要考虑不受洪水威胁，厂址应尽量设在地形条件好的地方</w:t>
            </w:r>
          </w:p>
        </w:tc>
        <w:tc>
          <w:tcPr>
            <w:tcW w:w="5600" w:type="dxa"/>
            <w:tcBorders>
              <w:tl2br w:val="nil"/>
              <w:tr2bl w:val="nil"/>
            </w:tcBorders>
            <w:vAlign w:val="center"/>
          </w:tcPr>
          <w:p>
            <w:pPr>
              <w:pStyle w:val="74"/>
              <w:rPr>
                <w:rFonts w:hint="eastAsia"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rPr>
              <w:t>厂址位于规划防洪堤保护范围以内，不需考虑防洪</w:t>
            </w:r>
            <w:r>
              <w:rPr>
                <w:rFonts w:hint="eastAsia"/>
                <w:color w:val="auto"/>
                <w:highlight w:val="none"/>
                <w:lang w:eastAsia="zh-CN"/>
              </w:rPr>
              <w:t>，厂址所在区域地形条件好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6" w:type="dxa"/>
            <w:tcBorders>
              <w:tl2br w:val="nil"/>
              <w:tr2bl w:val="nil"/>
            </w:tcBorders>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8</w:t>
            </w:r>
          </w:p>
        </w:tc>
        <w:tc>
          <w:tcPr>
            <w:tcW w:w="3168" w:type="dxa"/>
            <w:tcBorders>
              <w:tl2br w:val="nil"/>
              <w:tr2bl w:val="nil"/>
            </w:tcBorders>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厂址的选择应考虑远期发展的可能性，有扩建的余地</w:t>
            </w:r>
          </w:p>
        </w:tc>
        <w:tc>
          <w:tcPr>
            <w:tcW w:w="5600" w:type="dxa"/>
            <w:tcBorders>
              <w:tl2br w:val="nil"/>
              <w:tr2bl w:val="nil"/>
            </w:tcBorders>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拟建地完全具有扩建的余地，利于远景污水处理的建设</w:t>
            </w:r>
          </w:p>
        </w:tc>
      </w:tr>
    </w:tbl>
    <w:p>
      <w:pPr>
        <w:spacing w:before="180" w:line="346" w:lineRule="auto"/>
        <w:ind w:left="13" w:right="77" w:firstLine="479"/>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污水处理厂厂址的选定必须使污水处理厂在日常运行中给周边环境带来的影响</w:t>
      </w:r>
      <w:r>
        <w:rPr>
          <w:rFonts w:ascii="宋体" w:hAnsi="宋体" w:eastAsia="宋体" w:cs="宋体"/>
          <w:color w:val="auto"/>
          <w:sz w:val="24"/>
          <w:szCs w:val="24"/>
          <w:highlight w:val="none"/>
        </w:rPr>
        <w:t>最小，根据污水处理厂选址原则，本项目厂</w:t>
      </w:r>
      <w:r>
        <w:rPr>
          <w:rFonts w:ascii="宋体" w:hAnsi="宋体" w:eastAsia="宋体" w:cs="宋体"/>
          <w:color w:val="auto"/>
          <w:spacing w:val="-1"/>
          <w:sz w:val="24"/>
          <w:szCs w:val="24"/>
          <w:highlight w:val="none"/>
        </w:rPr>
        <w:t>址适宜性从以下几个方面分析：</w:t>
      </w:r>
    </w:p>
    <w:p>
      <w:pPr>
        <w:pStyle w:val="2"/>
        <w:bidi w:val="0"/>
        <w:rPr>
          <w:color w:val="auto"/>
          <w:highlight w:val="none"/>
        </w:rPr>
      </w:pPr>
      <w:r>
        <w:rPr>
          <w:color w:val="auto"/>
          <w:highlight w:val="none"/>
        </w:rPr>
        <w:t>规划符合性分析</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根据新疆昌吉国家农业高新技术产业示范区</w:t>
      </w:r>
      <w:r>
        <w:rPr>
          <w:rFonts w:hint="default" w:ascii="Times New Roman" w:hAnsi="Times New Roman" w:cs="Times New Roman"/>
          <w:color w:val="auto"/>
          <w:kern w:val="0"/>
          <w:highlight w:val="none"/>
        </w:rPr>
        <w:t>排水规划要求</w:t>
      </w:r>
      <w:r>
        <w:rPr>
          <w:rFonts w:hint="eastAsia" w:cs="Times New Roman"/>
          <w:color w:val="auto"/>
          <w:kern w:val="0"/>
          <w:highlight w:val="none"/>
          <w:lang w:eastAsia="zh-CN"/>
        </w:rPr>
        <w:t>：</w:t>
      </w:r>
      <w:r>
        <w:rPr>
          <w:rFonts w:hint="default" w:ascii="Times New Roman" w:hAnsi="Times New Roman" w:cs="Times New Roman"/>
          <w:color w:val="auto"/>
          <w:highlight w:val="none"/>
        </w:rPr>
        <w:t>工业区产生的污水应在厂区内部进行预处理，达到污水综合排放标准和污水排入下水道标准等相关标准后，才允许排入市政污水管网。本次规划远期工业区的污水量约为11.2万t/d，生活区的污水量约为3.8万t/d，总的污水量为15.0万t/d。规划在产业园西北部建设一座污水处理厂，规模为15万t/d。</w:t>
      </w:r>
    </w:p>
    <w:p>
      <w:pPr>
        <w:pStyle w:val="15"/>
        <w:rPr>
          <w:rFonts w:ascii="宋体" w:hAnsi="宋体" w:eastAsia="宋体" w:cs="宋体"/>
          <w:color w:val="auto"/>
          <w:spacing w:val="4"/>
          <w:sz w:val="24"/>
          <w:szCs w:val="24"/>
          <w:highlight w:val="none"/>
        </w:rPr>
      </w:pPr>
      <w:r>
        <w:rPr>
          <w:rFonts w:hint="default" w:ascii="Times New Roman" w:hAnsi="Times New Roman" w:cs="Times New Roman"/>
          <w:color w:val="auto"/>
          <w:highlight w:val="none"/>
          <w:lang w:val="en-US" w:eastAsia="zh-CN"/>
        </w:rPr>
        <w:t>现有污水处理厂处理规模为5000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本次扩建规模为2.5万m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s="Times New Roman"/>
          <w:color w:val="auto"/>
          <w:highlight w:val="none"/>
          <w:lang w:val="en-US" w:eastAsia="zh-CN"/>
        </w:rPr>
        <w:t>扩建后</w:t>
      </w:r>
      <w:r>
        <w:rPr>
          <w:rFonts w:hint="default" w:ascii="Times New Roman" w:hAnsi="Times New Roman" w:cs="Times New Roman"/>
          <w:color w:val="auto"/>
          <w:highlight w:val="none"/>
        </w:rPr>
        <w:t>总规模达到3万m³/d，</w:t>
      </w:r>
      <w:r>
        <w:rPr>
          <w:rFonts w:hint="eastAsia"/>
          <w:color w:val="auto"/>
          <w:highlight w:val="none"/>
          <w:lang w:val="en-US" w:eastAsia="zh-CN"/>
        </w:rPr>
        <w:t>本项目规模</w:t>
      </w:r>
      <w:r>
        <w:rPr>
          <w:rFonts w:hint="default" w:ascii="Times New Roman" w:hAnsi="Times New Roman" w:cs="Times New Roman"/>
          <w:color w:val="auto"/>
          <w:highlight w:val="none"/>
          <w:lang w:val="en-US" w:eastAsia="zh-CN"/>
        </w:rPr>
        <w:t>未超过规划的处理规</w:t>
      </w:r>
      <w:r>
        <w:rPr>
          <w:rFonts w:hint="default" w:ascii="宋体" w:hAnsi="宋体" w:eastAsia="宋体" w:cs="宋体"/>
          <w:color w:val="auto"/>
          <w:spacing w:val="4"/>
          <w:sz w:val="24"/>
          <w:szCs w:val="24"/>
          <w:highlight w:val="none"/>
          <w:lang w:val="en-US" w:eastAsia="zh-CN"/>
        </w:rPr>
        <w:t>模</w:t>
      </w:r>
      <w:r>
        <w:rPr>
          <w:rFonts w:ascii="宋体" w:hAnsi="宋体" w:eastAsia="宋体" w:cs="宋体"/>
          <w:color w:val="auto"/>
          <w:spacing w:val="4"/>
          <w:sz w:val="24"/>
          <w:szCs w:val="24"/>
          <w:highlight w:val="none"/>
        </w:rPr>
        <w:t>，</w:t>
      </w:r>
      <w:r>
        <w:rPr>
          <w:rFonts w:hint="eastAsia"/>
          <w:color w:val="auto"/>
          <w:highlight w:val="none"/>
          <w:lang w:val="en-US" w:eastAsia="zh-CN"/>
        </w:rPr>
        <w:t>为划拨的</w:t>
      </w:r>
      <w:r>
        <w:rPr>
          <w:rFonts w:hint="eastAsia" w:ascii="宋体" w:hAnsi="宋体" w:eastAsia="宋体" w:cs="宋体"/>
          <w:color w:val="auto"/>
          <w:spacing w:val="4"/>
          <w:sz w:val="24"/>
          <w:szCs w:val="24"/>
          <w:highlight w:val="none"/>
          <w:lang w:val="en-US" w:eastAsia="zh-CN"/>
        </w:rPr>
        <w:t>排水</w:t>
      </w:r>
      <w:r>
        <w:rPr>
          <w:rFonts w:ascii="宋体" w:hAnsi="宋体" w:eastAsia="宋体" w:cs="宋体"/>
          <w:color w:val="auto"/>
          <w:spacing w:val="4"/>
          <w:sz w:val="24"/>
          <w:szCs w:val="24"/>
          <w:highlight w:val="none"/>
        </w:rPr>
        <w:t>设施用地</w:t>
      </w:r>
      <w:r>
        <w:rPr>
          <w:rFonts w:hint="eastAsia"/>
          <w:color w:val="auto"/>
          <w:highlight w:val="none"/>
          <w:lang w:eastAsia="zh-CN"/>
        </w:rPr>
        <w:t>（</w:t>
      </w:r>
      <w:r>
        <w:rPr>
          <w:rFonts w:hint="eastAsia"/>
          <w:color w:val="auto"/>
          <w:highlight w:val="none"/>
          <w:lang w:val="en-US" w:eastAsia="zh-CN"/>
        </w:rPr>
        <w:t>详见附件3</w:t>
      </w:r>
      <w:r>
        <w:rPr>
          <w:rFonts w:hint="eastAsia"/>
          <w:color w:val="auto"/>
          <w:highlight w:val="none"/>
          <w:lang w:eastAsia="zh-CN"/>
        </w:rPr>
        <w:t>）</w:t>
      </w:r>
      <w:r>
        <w:rPr>
          <w:rFonts w:ascii="宋体" w:hAnsi="宋体" w:eastAsia="宋体" w:cs="宋体"/>
          <w:color w:val="auto"/>
          <w:spacing w:val="4"/>
          <w:sz w:val="24"/>
          <w:szCs w:val="24"/>
          <w:highlight w:val="none"/>
        </w:rPr>
        <w:t>，本污水处理厂选址与规划位置一致，选址符合片区规划要求。</w:t>
      </w:r>
    </w:p>
    <w:p>
      <w:pPr>
        <w:pStyle w:val="2"/>
        <w:bidi w:val="0"/>
        <w:rPr>
          <w:color w:val="auto"/>
          <w:highlight w:val="none"/>
        </w:rPr>
      </w:pPr>
      <w:r>
        <w:rPr>
          <w:color w:val="auto"/>
          <w:highlight w:val="none"/>
        </w:rPr>
        <w:t>地形地貌、气象条件及周边环境敏感点分析</w:t>
      </w:r>
    </w:p>
    <w:p>
      <w:pPr>
        <w:ind w:firstLine="480"/>
        <w:rPr>
          <w:rFonts w:ascii="宋体" w:hAnsi="宋体" w:eastAsia="宋体" w:cs="宋体"/>
          <w:color w:val="auto"/>
          <w:spacing w:val="4"/>
          <w:sz w:val="24"/>
          <w:szCs w:val="24"/>
          <w:highlight w:val="none"/>
        </w:rPr>
      </w:pPr>
      <w:r>
        <w:rPr>
          <w:rFonts w:ascii="宋体" w:hAnsi="宋体" w:eastAsia="宋体" w:cs="宋体"/>
          <w:color w:val="auto"/>
          <w:spacing w:val="4"/>
          <w:sz w:val="24"/>
          <w:szCs w:val="24"/>
          <w:highlight w:val="none"/>
        </w:rPr>
        <w:t>项目选址位于</w:t>
      </w:r>
      <w:r>
        <w:rPr>
          <w:rFonts w:hint="default" w:ascii="Times New Roman" w:hAnsi="Times New Roman" w:cs="Times New Roman"/>
          <w:color w:val="auto"/>
          <w:highlight w:val="none"/>
        </w:rPr>
        <w:t>新疆昌吉国家农业高新技术产业示范区</w:t>
      </w:r>
      <w:r>
        <w:rPr>
          <w:rFonts w:hint="eastAsia" w:cs="Times New Roman"/>
          <w:color w:val="auto"/>
          <w:highlight w:val="none"/>
          <w:lang w:eastAsia="zh-CN"/>
        </w:rPr>
        <w:t>，</w:t>
      </w:r>
      <w:r>
        <w:rPr>
          <w:rFonts w:ascii="宋体" w:hAnsi="宋体" w:eastAsia="宋体" w:cs="宋体"/>
          <w:color w:val="auto"/>
          <w:spacing w:val="4"/>
          <w:sz w:val="24"/>
          <w:szCs w:val="24"/>
          <w:highlight w:val="none"/>
        </w:rPr>
        <w:t>地势低处，可减少排水管道的口径，便于污水自流进入污水处理厂。此外，从北到南地形自然坡降，降低了管道埋深和日常维护管理费用。</w:t>
      </w:r>
    </w:p>
    <w:p>
      <w:pPr>
        <w:ind w:firstLine="480"/>
        <w:rPr>
          <w:rFonts w:ascii="宋体" w:hAnsi="宋体" w:eastAsia="宋体" w:cs="宋体"/>
          <w:color w:val="auto"/>
          <w:spacing w:val="4"/>
          <w:sz w:val="24"/>
          <w:szCs w:val="24"/>
          <w:highlight w:val="none"/>
        </w:rPr>
      </w:pPr>
      <w:r>
        <w:rPr>
          <w:rFonts w:ascii="宋体" w:hAnsi="宋体" w:eastAsia="宋体" w:cs="宋体"/>
          <w:color w:val="auto"/>
          <w:spacing w:val="4"/>
          <w:sz w:val="24"/>
          <w:szCs w:val="24"/>
          <w:highlight w:val="none"/>
        </w:rPr>
        <w:t>根据调查，项目全年主导风向为</w:t>
      </w:r>
      <w:r>
        <w:rPr>
          <w:rFonts w:hint="eastAsia" w:ascii="宋体" w:hAnsi="宋体" w:cs="宋体"/>
          <w:color w:val="auto"/>
          <w:spacing w:val="4"/>
          <w:sz w:val="24"/>
          <w:szCs w:val="24"/>
          <w:highlight w:val="none"/>
          <w:lang w:val="en-US" w:eastAsia="zh-CN"/>
        </w:rPr>
        <w:t>西南</w:t>
      </w:r>
      <w:r>
        <w:rPr>
          <w:rFonts w:ascii="宋体" w:hAnsi="宋体" w:eastAsia="宋体" w:cs="宋体"/>
          <w:color w:val="auto"/>
          <w:spacing w:val="4"/>
          <w:sz w:val="24"/>
          <w:szCs w:val="24"/>
          <w:highlight w:val="none"/>
        </w:rPr>
        <w:t>风，污水处理厂位于</w:t>
      </w:r>
      <w:r>
        <w:rPr>
          <w:rFonts w:hint="default" w:ascii="Times New Roman" w:hAnsi="Times New Roman" w:cs="Times New Roman"/>
          <w:color w:val="auto"/>
          <w:highlight w:val="none"/>
        </w:rPr>
        <w:t>产业园</w:t>
      </w:r>
      <w:r>
        <w:rPr>
          <w:rFonts w:hint="eastAsia" w:cs="Times New Roman"/>
          <w:color w:val="auto"/>
          <w:highlight w:val="none"/>
          <w:lang w:val="en-US" w:eastAsia="zh-CN"/>
        </w:rPr>
        <w:t>东南侧800m</w:t>
      </w:r>
      <w:r>
        <w:rPr>
          <w:rFonts w:ascii="宋体" w:hAnsi="宋体" w:eastAsia="宋体" w:cs="宋体"/>
          <w:color w:val="auto"/>
          <w:spacing w:val="4"/>
          <w:sz w:val="24"/>
          <w:szCs w:val="24"/>
          <w:highlight w:val="none"/>
        </w:rPr>
        <w:t>，根据规划，污水处理厂卫生防护距离为</w:t>
      </w:r>
      <w:r>
        <w:rPr>
          <w:rFonts w:hint="eastAsia" w:ascii="宋体" w:hAnsi="宋体" w:cs="宋体"/>
          <w:color w:val="auto"/>
          <w:spacing w:val="4"/>
          <w:sz w:val="24"/>
          <w:szCs w:val="24"/>
          <w:highlight w:val="none"/>
          <w:lang w:val="en-US" w:eastAsia="zh-CN"/>
        </w:rPr>
        <w:t>300m</w:t>
      </w:r>
      <w:r>
        <w:rPr>
          <w:rFonts w:ascii="宋体" w:hAnsi="宋体" w:eastAsia="宋体" w:cs="宋体"/>
          <w:color w:val="auto"/>
          <w:spacing w:val="4"/>
          <w:sz w:val="24"/>
          <w:szCs w:val="24"/>
          <w:highlight w:val="none"/>
        </w:rPr>
        <w:t>，四周</w:t>
      </w:r>
      <w:r>
        <w:rPr>
          <w:rFonts w:hint="eastAsia" w:ascii="宋体" w:hAnsi="宋体" w:cs="宋体"/>
          <w:color w:val="auto"/>
          <w:spacing w:val="4"/>
          <w:sz w:val="24"/>
          <w:szCs w:val="24"/>
          <w:highlight w:val="none"/>
          <w:lang w:val="en-US" w:eastAsia="zh-CN"/>
        </w:rPr>
        <w:t>300m</w:t>
      </w:r>
      <w:r>
        <w:rPr>
          <w:rFonts w:ascii="宋体" w:hAnsi="宋体" w:eastAsia="宋体" w:cs="宋体"/>
          <w:color w:val="auto"/>
          <w:spacing w:val="4"/>
          <w:sz w:val="24"/>
          <w:szCs w:val="24"/>
          <w:highlight w:val="none"/>
        </w:rPr>
        <w:t>范围内无居住用地等敏感目标。污水处理厂应加强恶臭收集和处理，避免区域污染。加强污水处理厂构筑物防渗措施，避免污染区域地下水环境。</w:t>
      </w:r>
    </w:p>
    <w:p>
      <w:pPr>
        <w:pStyle w:val="2"/>
        <w:bidi w:val="0"/>
        <w:rPr>
          <w:color w:val="auto"/>
          <w:highlight w:val="none"/>
        </w:rPr>
      </w:pPr>
      <w:r>
        <w:rPr>
          <w:color w:val="auto"/>
          <w:highlight w:val="none"/>
        </w:rPr>
        <w:t>环境质量现状和环境影响分析</w:t>
      </w:r>
    </w:p>
    <w:p>
      <w:pPr>
        <w:ind w:firstLine="480"/>
        <w:rPr>
          <w:rFonts w:ascii="宋体" w:hAnsi="宋体" w:eastAsia="宋体" w:cs="宋体"/>
          <w:color w:val="auto"/>
          <w:spacing w:val="4"/>
          <w:sz w:val="24"/>
          <w:szCs w:val="24"/>
          <w:highlight w:val="none"/>
        </w:rPr>
      </w:pPr>
      <w:r>
        <w:rPr>
          <w:rFonts w:ascii="宋体" w:hAnsi="宋体" w:eastAsia="宋体" w:cs="宋体"/>
          <w:color w:val="auto"/>
          <w:spacing w:val="4"/>
          <w:sz w:val="24"/>
          <w:szCs w:val="24"/>
          <w:highlight w:val="none"/>
        </w:rPr>
        <w:t>本项目建成后，废气经收集和处理后达标排放，对区域环境空气质量影响很小；本项目处理达标的尾水</w:t>
      </w:r>
      <w:r>
        <w:rPr>
          <w:rFonts w:hint="default" w:ascii="Times New Roman" w:hAnsi="Times New Roman" w:cs="Times New Roman"/>
          <w:color w:val="auto"/>
          <w:kern w:val="2"/>
          <w:highlight w:val="none"/>
        </w:rPr>
        <w:t>处理达到（GB18918-2002）一级A标准后</w:t>
      </w:r>
      <w:r>
        <w:rPr>
          <w:rFonts w:hint="eastAsia" w:ascii="Times New Roman" w:hAnsi="Times New Roman" w:cs="Times New Roman"/>
          <w:color w:val="auto"/>
          <w:kern w:val="2"/>
          <w:highlight w:val="none"/>
          <w:lang w:eastAsia="zh-CN"/>
        </w:rPr>
        <w:t>，</w:t>
      </w:r>
      <w:r>
        <w:rPr>
          <w:rFonts w:hint="default" w:ascii="Times New Roman" w:hAnsi="Times New Roman" w:cs="Times New Roman"/>
          <w:color w:val="auto"/>
          <w:kern w:val="2"/>
          <w:highlight w:val="none"/>
        </w:rPr>
        <w:t>同时满足《</w:t>
      </w:r>
      <w:r>
        <w:rPr>
          <w:rFonts w:hint="eastAsia" w:cs="Times New Roman"/>
          <w:color w:val="auto"/>
          <w:kern w:val="2"/>
          <w:highlight w:val="none"/>
          <w:lang w:eastAsia="zh-CN"/>
        </w:rPr>
        <w:t>城市污水再生利用城市杂用水水质》（GB/T18920-2020）</w:t>
      </w:r>
      <w:r>
        <w:rPr>
          <w:rFonts w:hint="default" w:ascii="Times New Roman" w:hAnsi="Times New Roman" w:cs="Times New Roman"/>
          <w:color w:val="auto"/>
          <w:kern w:val="2"/>
          <w:highlight w:val="none"/>
        </w:rPr>
        <w:t>和《城市污水再生利用绿地灌溉水质》（GB/T25499-2010）</w:t>
      </w:r>
      <w:r>
        <w:rPr>
          <w:rFonts w:hint="default" w:ascii="Times New Roman" w:hAnsi="Times New Roman" w:cs="Times New Roman"/>
          <w:color w:val="auto"/>
          <w:kern w:val="2"/>
          <w:highlight w:val="none"/>
          <w:lang w:val="en-US" w:eastAsia="zh-CN"/>
        </w:rPr>
        <w:t>要求</w:t>
      </w:r>
      <w:r>
        <w:rPr>
          <w:rFonts w:hint="default" w:ascii="Times New Roman" w:hAnsi="Times New Roman" w:cs="Times New Roman"/>
          <w:color w:val="auto"/>
          <w:kern w:val="2"/>
          <w:highlight w:val="none"/>
        </w:rPr>
        <w:t>，尾水夏季用于</w:t>
      </w:r>
      <w:r>
        <w:rPr>
          <w:rFonts w:hint="eastAsia" w:cs="Times New Roman"/>
          <w:color w:val="auto"/>
          <w:kern w:val="2"/>
          <w:highlight w:val="none"/>
          <w:lang w:val="en-US" w:eastAsia="zh-CN"/>
        </w:rPr>
        <w:t>园区绿化及</w:t>
      </w:r>
      <w:r>
        <w:rPr>
          <w:rFonts w:hint="default" w:ascii="Times New Roman" w:hAnsi="Times New Roman" w:cs="Times New Roman"/>
          <w:color w:val="auto"/>
          <w:kern w:val="2"/>
          <w:highlight w:val="none"/>
        </w:rPr>
        <w:t>灌溉示范区的林地，冬季储存于</w:t>
      </w:r>
      <w:r>
        <w:rPr>
          <w:rFonts w:hint="eastAsia" w:cs="Times New Roman"/>
          <w:color w:val="auto"/>
          <w:kern w:val="2"/>
          <w:highlight w:val="none"/>
          <w:lang w:eastAsia="zh-CN"/>
        </w:rPr>
        <w:t>中水池</w:t>
      </w:r>
      <w:r>
        <w:rPr>
          <w:rFonts w:hint="default" w:ascii="Times New Roman" w:hAnsi="Times New Roman" w:cs="Times New Roman"/>
          <w:color w:val="auto"/>
          <w:kern w:val="2"/>
          <w:highlight w:val="none"/>
        </w:rPr>
        <w:t>中，实现污水有效利用</w:t>
      </w:r>
      <w:r>
        <w:rPr>
          <w:rFonts w:ascii="宋体" w:hAnsi="宋体" w:eastAsia="宋体" w:cs="宋体"/>
          <w:color w:val="auto"/>
          <w:spacing w:val="4"/>
          <w:sz w:val="24"/>
          <w:szCs w:val="24"/>
          <w:highlight w:val="none"/>
        </w:rPr>
        <w:t>，不会改变水环境质量现状；厂界噪声贡献值满足《</w:t>
      </w:r>
      <w:r>
        <w:rPr>
          <w:rFonts w:hint="eastAsia" w:ascii="宋体" w:hAnsi="宋体" w:cs="宋体"/>
          <w:color w:val="auto"/>
          <w:spacing w:val="4"/>
          <w:sz w:val="24"/>
          <w:szCs w:val="24"/>
          <w:highlight w:val="none"/>
          <w:lang w:eastAsia="zh-CN"/>
        </w:rPr>
        <w:t>工业企业厂界环境噪声排放标准</w:t>
      </w:r>
      <w:r>
        <w:rPr>
          <w:rFonts w:ascii="宋体" w:hAnsi="宋体" w:eastAsia="宋体" w:cs="宋体"/>
          <w:color w:val="auto"/>
          <w:spacing w:val="4"/>
          <w:sz w:val="24"/>
          <w:szCs w:val="24"/>
          <w:highlight w:val="none"/>
        </w:rPr>
        <w:t>》（GB12348-2008）3类限值要求；项目建成投产后，环境风险水平控制在可接受范围。项目区卫生防护距离内无敏感目标，企业在制定严格的风险防范措施的前提下，完全可以控制风险事故的发生，投运后对</w:t>
      </w:r>
      <w:r>
        <w:rPr>
          <w:rFonts w:hint="eastAsia" w:ascii="宋体" w:hAnsi="宋体" w:cs="宋体"/>
          <w:color w:val="auto"/>
          <w:spacing w:val="4"/>
          <w:sz w:val="24"/>
          <w:szCs w:val="24"/>
          <w:highlight w:val="none"/>
          <w:lang w:val="en-US" w:eastAsia="zh-CN"/>
        </w:rPr>
        <w:t>区域环境</w:t>
      </w:r>
      <w:r>
        <w:rPr>
          <w:rFonts w:ascii="宋体" w:hAnsi="宋体" w:eastAsia="宋体" w:cs="宋体"/>
          <w:color w:val="auto"/>
          <w:spacing w:val="4"/>
          <w:sz w:val="24"/>
          <w:szCs w:val="24"/>
          <w:highlight w:val="none"/>
        </w:rPr>
        <w:t>影响较小。</w:t>
      </w:r>
    </w:p>
    <w:p>
      <w:pPr>
        <w:ind w:firstLine="480"/>
        <w:rPr>
          <w:rFonts w:ascii="宋体" w:hAnsi="宋体" w:eastAsia="宋体" w:cs="宋体"/>
          <w:color w:val="auto"/>
          <w:spacing w:val="4"/>
          <w:sz w:val="24"/>
          <w:szCs w:val="24"/>
          <w:highlight w:val="none"/>
        </w:rPr>
      </w:pPr>
      <w:r>
        <w:rPr>
          <w:rFonts w:ascii="宋体" w:hAnsi="宋体" w:eastAsia="宋体" w:cs="宋体"/>
          <w:color w:val="auto"/>
          <w:spacing w:val="4"/>
          <w:sz w:val="24"/>
          <w:szCs w:val="24"/>
          <w:highlight w:val="none"/>
        </w:rPr>
        <w:t>（4）卫生防护距离要求</w:t>
      </w:r>
    </w:p>
    <w:p>
      <w:pPr>
        <w:ind w:firstLine="480"/>
        <w:rPr>
          <w:rFonts w:ascii="宋体" w:hAnsi="宋体" w:eastAsia="宋体" w:cs="宋体"/>
          <w:color w:val="auto"/>
          <w:spacing w:val="4"/>
          <w:sz w:val="24"/>
          <w:szCs w:val="24"/>
          <w:highlight w:val="none"/>
        </w:rPr>
      </w:pPr>
      <w:r>
        <w:rPr>
          <w:rFonts w:ascii="宋体" w:hAnsi="宋体" w:eastAsia="宋体" w:cs="宋体"/>
          <w:color w:val="auto"/>
          <w:spacing w:val="4"/>
          <w:sz w:val="24"/>
          <w:szCs w:val="24"/>
          <w:highlight w:val="none"/>
        </w:rPr>
        <w:t>本污水处理厂卫生防护距离为</w:t>
      </w:r>
      <w:r>
        <w:rPr>
          <w:rFonts w:hint="eastAsia" w:ascii="宋体" w:hAnsi="宋体" w:cs="宋体"/>
          <w:color w:val="auto"/>
          <w:spacing w:val="4"/>
          <w:sz w:val="24"/>
          <w:szCs w:val="24"/>
          <w:highlight w:val="none"/>
          <w:lang w:val="en-US" w:eastAsia="zh-CN"/>
        </w:rPr>
        <w:t>300m</w:t>
      </w:r>
      <w:r>
        <w:rPr>
          <w:rFonts w:ascii="宋体" w:hAnsi="宋体" w:eastAsia="宋体" w:cs="宋体"/>
          <w:color w:val="auto"/>
          <w:spacing w:val="4"/>
          <w:sz w:val="24"/>
          <w:szCs w:val="24"/>
          <w:highlight w:val="none"/>
        </w:rPr>
        <w:t>，要求该范围内禁止建设学校、医院、居民区等环境敏感目标。</w:t>
      </w:r>
    </w:p>
    <w:p>
      <w:pPr>
        <w:ind w:firstLine="480"/>
        <w:rPr>
          <w:rFonts w:ascii="宋体" w:hAnsi="宋体" w:eastAsia="宋体" w:cs="宋体"/>
          <w:color w:val="auto"/>
          <w:spacing w:val="4"/>
          <w:sz w:val="24"/>
          <w:szCs w:val="24"/>
          <w:highlight w:val="none"/>
        </w:rPr>
      </w:pPr>
      <w:r>
        <w:rPr>
          <w:rFonts w:ascii="宋体" w:hAnsi="宋体" w:eastAsia="宋体" w:cs="宋体"/>
          <w:color w:val="auto"/>
          <w:spacing w:val="4"/>
          <w:sz w:val="24"/>
          <w:szCs w:val="24"/>
          <w:highlight w:val="none"/>
        </w:rPr>
        <w:t>综上所述，从片区规划、地形地貌、环境基础条件、气象条件及污水排放状况等环境经济因素综合考虑，项目厂址选择较为合理。</w:t>
      </w:r>
    </w:p>
    <w:p>
      <w:pPr>
        <w:pStyle w:val="4"/>
        <w:bidi w:val="0"/>
        <w:rPr>
          <w:rFonts w:hint="default"/>
          <w:color w:val="auto"/>
          <w:highlight w:val="none"/>
        </w:rPr>
      </w:pPr>
      <w:bookmarkStart w:id="33" w:name="_Toc16253"/>
      <w:r>
        <w:rPr>
          <w:rFonts w:hint="default"/>
          <w:color w:val="auto"/>
          <w:highlight w:val="none"/>
        </w:rPr>
        <w:t>项目关注的主要环境问题及环境影响</w:t>
      </w:r>
      <w:bookmarkEnd w:id="33"/>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本项目关注的主要环境问题是运营过程中各工序产生的恶臭废气对环境的影响。此外，关注工程环境保护措施的有效性、与国家产业政策和当地相关规划的相符性。</w:t>
      </w:r>
    </w:p>
    <w:p>
      <w:pPr>
        <w:pStyle w:val="4"/>
        <w:bidi w:val="0"/>
        <w:rPr>
          <w:rFonts w:hint="default"/>
          <w:color w:val="auto"/>
          <w:highlight w:val="none"/>
        </w:rPr>
      </w:pPr>
      <w:bookmarkStart w:id="34" w:name="_Toc17736"/>
      <w:r>
        <w:rPr>
          <w:rFonts w:hint="default"/>
          <w:color w:val="auto"/>
          <w:highlight w:val="none"/>
        </w:rPr>
        <w:t>环境影响报告书主要结论</w:t>
      </w:r>
      <w:bookmarkEnd w:id="34"/>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新疆昌吉国家农业高新技术产业示范区现代农业精深加工示范区污水处理厂改造扩容项目，项目规划总用地面积49044.78</w:t>
      </w:r>
      <w:r>
        <w:rPr>
          <w:rFonts w:hint="eastAsia" w:cs="Times New Roman"/>
          <w:color w:val="auto"/>
          <w:highlight w:val="none"/>
          <w:lang w:eastAsia="zh-CN"/>
        </w:rPr>
        <w:t>m</w:t>
      </w:r>
      <w:r>
        <w:rPr>
          <w:rFonts w:hint="eastAsia" w:cs="Times New Roman"/>
          <w:color w:val="auto"/>
          <w:highlight w:val="none"/>
          <w:vertAlign w:val="superscript"/>
          <w:lang w:eastAsia="zh-CN"/>
        </w:rPr>
        <w:t>2</w:t>
      </w:r>
      <w:r>
        <w:rPr>
          <w:rFonts w:hint="default" w:ascii="Times New Roman" w:hAnsi="Times New Roman" w:cs="Times New Roman"/>
          <w:color w:val="auto"/>
          <w:highlight w:val="none"/>
        </w:rPr>
        <w:t>，本次扩建规模为2.5万m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/d，总规模达到3万m³/d。主要建设内容包括</w:t>
      </w:r>
      <w:r>
        <w:rPr>
          <w:rFonts w:hint="eastAsia" w:cs="Times New Roman"/>
          <w:color w:val="auto"/>
          <w:highlight w:val="none"/>
          <w:lang w:eastAsia="zh-CN"/>
        </w:rPr>
        <w:t>：</w:t>
      </w:r>
      <w:r>
        <w:rPr>
          <w:rFonts w:hint="default" w:ascii="Times New Roman" w:hAnsi="Times New Roman" w:cs="Times New Roman"/>
          <w:color w:val="auto"/>
          <w:highlight w:val="none"/>
        </w:rPr>
        <w:t>对现状污水厂的部分建、构筑物进行改造，主要改造建（构）筑物有粗格栅及提升泵站、鼓风机房、加氯加药间和污泥脱水车间等；</w:t>
      </w:r>
      <w:r>
        <w:rPr>
          <w:rFonts w:hint="eastAsia" w:cs="Times New Roman"/>
          <w:color w:val="auto"/>
          <w:highlight w:val="none"/>
          <w:lang w:eastAsia="zh-CN"/>
        </w:rPr>
        <w:t>新建</w:t>
      </w:r>
      <w:r>
        <w:rPr>
          <w:rFonts w:hint="default" w:ascii="Times New Roman" w:hAnsi="Times New Roman" w:cs="Times New Roman"/>
          <w:color w:val="auto"/>
          <w:highlight w:val="none"/>
        </w:rPr>
        <w:t>（构）筑物有一体化提升泵站、细格栅及旋流沉砂池车间、配水井、一体化生化池、高效沉淀池车间、反硝化深床滤池车间、接触消毒池、排泥调节池、厂区废水池、变配电室等</w:t>
      </w:r>
      <w:r>
        <w:rPr>
          <w:rFonts w:hint="eastAsia" w:cs="Times New Roman"/>
          <w:color w:val="auto"/>
          <w:highlight w:val="none"/>
          <w:lang w:val="en-US" w:eastAsia="zh-CN"/>
        </w:rPr>
        <w:t>配套设施的建设</w:t>
      </w:r>
      <w:r>
        <w:rPr>
          <w:rFonts w:hint="default" w:ascii="Times New Roman" w:hAnsi="Times New Roman" w:cs="Times New Roman"/>
          <w:color w:val="auto"/>
          <w:highlight w:val="none"/>
        </w:rPr>
        <w:t>。</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项目主要收集新疆昌吉国家农业高新技术产业示范区内</w:t>
      </w:r>
      <w:r>
        <w:rPr>
          <w:rFonts w:hint="eastAsia" w:cs="Times New Roman"/>
          <w:color w:val="auto"/>
          <w:highlight w:val="none"/>
          <w:lang w:eastAsia="zh-CN"/>
        </w:rPr>
        <w:t>生产废水及生活污水</w:t>
      </w:r>
      <w:r>
        <w:rPr>
          <w:rFonts w:hint="default" w:ascii="Times New Roman" w:hAnsi="Times New Roman" w:cs="Times New Roman"/>
          <w:color w:val="auto"/>
          <w:highlight w:val="none"/>
        </w:rPr>
        <w:t>，采用</w:t>
      </w:r>
      <w:r>
        <w:rPr>
          <w:rFonts w:hint="eastAsia" w:cs="Times New Roman"/>
          <w:color w:val="auto"/>
          <w:highlight w:val="none"/>
          <w:lang w:eastAsia="zh-CN"/>
        </w:rPr>
        <w:t>“预处理+调节池+AAO生物池＋高效沉淀池+反硝化深床滤池+接触消毒池”</w:t>
      </w:r>
      <w:r>
        <w:rPr>
          <w:rFonts w:hint="default" w:ascii="Times New Roman" w:hAnsi="Times New Roman" w:cs="Times New Roman"/>
          <w:color w:val="auto"/>
          <w:highlight w:val="none"/>
        </w:rPr>
        <w:t>处理工艺，生活污水和工业废水合并处理达到（GB18918-2002）一级A标准后</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同时满足《</w:t>
      </w:r>
      <w:r>
        <w:rPr>
          <w:rFonts w:hint="eastAsia" w:cs="Times New Roman"/>
          <w:color w:val="auto"/>
          <w:highlight w:val="none"/>
          <w:lang w:eastAsia="zh-CN"/>
        </w:rPr>
        <w:t>城市污水再生利用城市杂用水水质》（GB/T18920-2020）</w:t>
      </w:r>
      <w:r>
        <w:rPr>
          <w:rFonts w:hint="default" w:ascii="Times New Roman" w:hAnsi="Times New Roman" w:cs="Times New Roman"/>
          <w:color w:val="auto"/>
          <w:highlight w:val="none"/>
        </w:rPr>
        <w:t>和《城市污水再生利用绿地灌溉水质》（GB/T25499-2010）</w:t>
      </w:r>
      <w:r>
        <w:rPr>
          <w:rFonts w:hint="default" w:ascii="Times New Roman" w:hAnsi="Times New Roman" w:cs="Times New Roman"/>
          <w:color w:val="auto"/>
          <w:highlight w:val="none"/>
          <w:lang w:val="en-US" w:eastAsia="zh-CN"/>
        </w:rPr>
        <w:t>的绿化用水要求</w:t>
      </w:r>
      <w:r>
        <w:rPr>
          <w:rFonts w:hint="default" w:ascii="Times New Roman" w:hAnsi="Times New Roman" w:cs="Times New Roman"/>
          <w:color w:val="auto"/>
          <w:highlight w:val="none"/>
        </w:rPr>
        <w:t>，尾水夏季用于</w:t>
      </w:r>
      <w:r>
        <w:rPr>
          <w:rFonts w:hint="eastAsia" w:cs="Times New Roman"/>
          <w:color w:val="auto"/>
          <w:highlight w:val="none"/>
          <w:lang w:val="en-US" w:eastAsia="zh-CN"/>
        </w:rPr>
        <w:t>园区绿化及</w:t>
      </w:r>
      <w:r>
        <w:rPr>
          <w:rFonts w:hint="default" w:ascii="Times New Roman" w:hAnsi="Times New Roman" w:cs="Times New Roman"/>
          <w:color w:val="auto"/>
          <w:highlight w:val="none"/>
        </w:rPr>
        <w:t>灌溉示范区的林地，冬季储存于</w:t>
      </w:r>
      <w:r>
        <w:rPr>
          <w:rFonts w:hint="eastAsia" w:cs="Times New Roman"/>
          <w:color w:val="auto"/>
          <w:highlight w:val="none"/>
          <w:lang w:eastAsia="zh-CN"/>
        </w:rPr>
        <w:t>中水池</w:t>
      </w:r>
      <w:r>
        <w:rPr>
          <w:rFonts w:hint="default" w:ascii="Times New Roman" w:hAnsi="Times New Roman" w:cs="Times New Roman"/>
          <w:color w:val="auto"/>
          <w:highlight w:val="none"/>
        </w:rPr>
        <w:t>。项目符合产业政策及新疆昌吉国家农业高新技术产业示范区战略规划要求。在落实本环评报告提出的各项污染防治措施和风险防范措施后，污染物均能实现达标排放和妥善处置，主要污染物的排放可满足总量控制要求。从环境保护的角度分析，项目建设可行。</w:t>
      </w:r>
    </w:p>
    <w:p>
      <w:pPr>
        <w:pStyle w:val="3"/>
        <w:rPr>
          <w:rFonts w:hint="default" w:ascii="Times New Roman" w:hAnsi="Times New Roman" w:cs="Times New Roman"/>
          <w:color w:val="auto"/>
          <w:highlight w:val="none"/>
        </w:rPr>
        <w:sectPr>
          <w:footerReference r:id="rId14" w:type="default"/>
          <w:pgSz w:w="11906" w:h="16838"/>
          <w:pgMar w:top="1440" w:right="1304" w:bottom="1440" w:left="1304" w:header="851" w:footer="992" w:gutter="0"/>
          <w:pgBorders>
            <w:top w:val="none" w:sz="0" w:space="0"/>
            <w:left w:val="none" w:sz="0" w:space="0"/>
            <w:bottom w:val="none" w:sz="0" w:space="0"/>
            <w:right w:val="none" w:sz="0" w:space="0"/>
          </w:pgBorders>
          <w:pgNumType w:fmt="numberInDash"/>
          <w:cols w:space="0" w:num="1"/>
          <w:docGrid w:type="lines" w:linePitch="312" w:charSpace="0"/>
        </w:sectPr>
      </w:pPr>
    </w:p>
    <w:p>
      <w:pPr>
        <w:pStyle w:val="3"/>
        <w:rPr>
          <w:rFonts w:hint="default" w:ascii="Times New Roman" w:hAnsi="Times New Roman" w:cs="Times New Roman"/>
          <w:color w:val="auto"/>
          <w:highlight w:val="none"/>
        </w:rPr>
      </w:pPr>
      <w:bookmarkStart w:id="35" w:name="_Toc3007"/>
      <w:bookmarkStart w:id="36" w:name="_Toc3061"/>
      <w:r>
        <w:rPr>
          <w:rFonts w:hint="default" w:ascii="Times New Roman" w:hAnsi="Times New Roman" w:cs="Times New Roman"/>
          <w:color w:val="auto"/>
          <w:highlight w:val="none"/>
        </w:rPr>
        <w:t>总则</w:t>
      </w:r>
      <w:bookmarkEnd w:id="35"/>
      <w:bookmarkEnd w:id="36"/>
      <w:bookmarkStart w:id="37" w:name="_Toc29904"/>
    </w:p>
    <w:p>
      <w:pPr>
        <w:pStyle w:val="4"/>
        <w:bidi w:val="0"/>
        <w:rPr>
          <w:rFonts w:hint="default"/>
          <w:color w:val="auto"/>
          <w:highlight w:val="none"/>
        </w:rPr>
      </w:pPr>
      <w:bookmarkStart w:id="38" w:name="_Toc24407"/>
      <w:r>
        <w:rPr>
          <w:rFonts w:hint="default"/>
          <w:color w:val="auto"/>
          <w:highlight w:val="none"/>
        </w:rPr>
        <w:t>编制依据</w:t>
      </w:r>
      <w:bookmarkEnd w:id="37"/>
      <w:bookmarkEnd w:id="38"/>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国家</w:t>
      </w:r>
      <w:r>
        <w:rPr>
          <w:rFonts w:hint="eastAsia" w:cs="Times New Roman"/>
          <w:color w:val="auto"/>
          <w:highlight w:val="none"/>
          <w:lang w:eastAsia="zh-CN"/>
        </w:rPr>
        <w:t>法律法规</w:t>
      </w:r>
    </w:p>
    <w:p>
      <w:pPr>
        <w:pStyle w:val="75"/>
        <w:rPr>
          <w:rFonts w:hint="default" w:ascii="Times New Roman" w:hAnsi="Times New Roman" w:cs="Times New Roman"/>
          <w:color w:val="auto"/>
          <w:spacing w:val="-6"/>
          <w:sz w:val="24"/>
          <w:highlight w:val="none"/>
        </w:rPr>
      </w:pPr>
      <w:r>
        <w:rPr>
          <w:rFonts w:hint="default" w:ascii="Times New Roman" w:hAnsi="Times New Roman" w:cs="Times New Roman"/>
          <w:color w:val="auto"/>
          <w:spacing w:val="-6"/>
          <w:sz w:val="24"/>
          <w:highlight w:val="none"/>
        </w:rPr>
        <w:t>（1）《中华人民共和国环境保护法》，2014年4月24日修订，2015年1月1日施行；</w:t>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（2）《中华人民共和国环境影响评价法》，201</w:t>
      </w:r>
      <w:r>
        <w:rPr>
          <w:rFonts w:hint="eastAsia" w:cs="Times New Roman"/>
          <w:color w:val="auto"/>
          <w:highlight w:val="none"/>
          <w:lang w:val="en-US" w:eastAsia="zh-CN"/>
        </w:rPr>
        <w:t>8</w:t>
      </w:r>
      <w:r>
        <w:rPr>
          <w:rFonts w:hint="default" w:ascii="Times New Roman" w:hAnsi="Times New Roman" w:cs="Times New Roman"/>
          <w:color w:val="auto"/>
          <w:highlight w:val="none"/>
        </w:rPr>
        <w:t>年</w:t>
      </w:r>
      <w:r>
        <w:rPr>
          <w:rFonts w:hint="eastAsia" w:cs="Times New Roman"/>
          <w:color w:val="auto"/>
          <w:highlight w:val="none"/>
          <w:lang w:val="en-US" w:eastAsia="zh-CN"/>
        </w:rPr>
        <w:t>12</w:t>
      </w:r>
      <w:r>
        <w:rPr>
          <w:rFonts w:hint="default" w:ascii="Times New Roman" w:hAnsi="Times New Roman" w:cs="Times New Roman"/>
          <w:color w:val="auto"/>
          <w:highlight w:val="none"/>
        </w:rPr>
        <w:t>月</w:t>
      </w:r>
      <w:r>
        <w:rPr>
          <w:rFonts w:hint="eastAsia" w:cs="Times New Roman"/>
          <w:color w:val="auto"/>
          <w:highlight w:val="none"/>
          <w:lang w:val="en-US" w:eastAsia="zh-CN"/>
        </w:rPr>
        <w:t>29</w:t>
      </w:r>
      <w:r>
        <w:rPr>
          <w:rFonts w:hint="default" w:ascii="Times New Roman" w:hAnsi="Times New Roman" w:cs="Times New Roman"/>
          <w:color w:val="auto"/>
          <w:highlight w:val="none"/>
        </w:rPr>
        <w:t>日施行；</w:t>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（3）《中华人民共和国大气污染防治法》，2015年8月29日修订，2016年1月1日施行；</w:t>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（4）《中华人民共和国水污染防治法》，2017年6月27日修正，2018年1月1日施行；</w:t>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（5）《中华人民共和国噪声污染防治法》，2021年施行；</w:t>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（6）《中华人民共和国固体废物污染环境防治法》，（2020年9月1日实施）；</w:t>
      </w:r>
    </w:p>
    <w:p>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（7）《中华人民共和国水法》（</w:t>
      </w:r>
      <w:r>
        <w:rPr>
          <w:rFonts w:hint="default" w:ascii="Times New Roman" w:hAnsi="Times New Roman" w:cs="Times New Roman"/>
          <w:color w:val="auto"/>
          <w:spacing w:val="-6"/>
          <w:sz w:val="24"/>
          <w:highlight w:val="none"/>
        </w:rPr>
        <w:t>20</w:t>
      </w:r>
      <w:r>
        <w:rPr>
          <w:rFonts w:hint="eastAsia" w:cs="Times New Roman"/>
          <w:color w:val="auto"/>
          <w:spacing w:val="-6"/>
          <w:sz w:val="24"/>
          <w:highlight w:val="none"/>
          <w:lang w:val="en-US" w:eastAsia="zh-CN"/>
        </w:rPr>
        <w:t>20</w:t>
      </w:r>
      <w:r>
        <w:rPr>
          <w:rFonts w:hint="default" w:ascii="Times New Roman" w:hAnsi="Times New Roman" w:cs="Times New Roman"/>
          <w:color w:val="auto"/>
          <w:spacing w:val="-6"/>
          <w:sz w:val="24"/>
          <w:highlight w:val="none"/>
        </w:rPr>
        <w:t>年4月2</w:t>
      </w:r>
      <w:r>
        <w:rPr>
          <w:rFonts w:hint="eastAsia" w:cs="Times New Roman"/>
          <w:color w:val="auto"/>
          <w:spacing w:val="-6"/>
          <w:sz w:val="24"/>
          <w:highlight w:val="none"/>
          <w:lang w:val="en-US" w:eastAsia="zh-CN"/>
        </w:rPr>
        <w:t>9</w:t>
      </w:r>
      <w:r>
        <w:rPr>
          <w:rFonts w:hint="default" w:ascii="Times New Roman" w:hAnsi="Times New Roman" w:cs="Times New Roman"/>
          <w:color w:val="auto"/>
          <w:spacing w:val="-6"/>
          <w:sz w:val="24"/>
          <w:highlight w:val="none"/>
        </w:rPr>
        <w:t>日修订，20</w:t>
      </w:r>
      <w:r>
        <w:rPr>
          <w:rFonts w:hint="eastAsia" w:cs="Times New Roman"/>
          <w:color w:val="auto"/>
          <w:spacing w:val="-6"/>
          <w:sz w:val="24"/>
          <w:highlight w:val="none"/>
          <w:lang w:val="en-US" w:eastAsia="zh-CN"/>
        </w:rPr>
        <w:t>20</w:t>
      </w:r>
      <w:r>
        <w:rPr>
          <w:rFonts w:hint="default" w:ascii="Times New Roman" w:hAnsi="Times New Roman" w:cs="Times New Roman"/>
          <w:color w:val="auto"/>
          <w:spacing w:val="-6"/>
          <w:sz w:val="24"/>
          <w:highlight w:val="none"/>
        </w:rPr>
        <w:t>年</w:t>
      </w:r>
      <w:r>
        <w:rPr>
          <w:rFonts w:hint="eastAsia" w:cs="Times New Roman"/>
          <w:color w:val="auto"/>
          <w:spacing w:val="-6"/>
          <w:sz w:val="24"/>
          <w:highlight w:val="none"/>
          <w:lang w:val="en-US" w:eastAsia="zh-CN"/>
        </w:rPr>
        <w:t>9</w:t>
      </w:r>
      <w:r>
        <w:rPr>
          <w:rFonts w:hint="default" w:ascii="Times New Roman" w:hAnsi="Times New Roman" w:cs="Times New Roman"/>
          <w:color w:val="auto"/>
          <w:spacing w:val="-6"/>
          <w:sz w:val="24"/>
          <w:highlight w:val="none"/>
        </w:rPr>
        <w:t>月1日施行</w:t>
      </w:r>
      <w:r>
        <w:rPr>
          <w:rFonts w:hint="default" w:ascii="Times New Roman" w:hAnsi="Times New Roman" w:cs="Times New Roman"/>
          <w:color w:val="auto"/>
          <w:highlight w:val="none"/>
        </w:rPr>
        <w:t>）；</w:t>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（8）《中华人民共和国城乡规划法》（</w:t>
      </w:r>
      <w:r>
        <w:rPr>
          <w:rFonts w:hint="default" w:ascii="Times New Roman" w:hAnsi="Times New Roman" w:eastAsia="Times New Roman" w:cs="Times New Roman"/>
          <w:color w:val="auto"/>
          <w:spacing w:val="-1"/>
          <w:highlight w:val="none"/>
        </w:rPr>
        <w:t>201</w:t>
      </w:r>
      <w:r>
        <w:rPr>
          <w:rFonts w:hint="eastAsia" w:eastAsia="宋体" w:cs="Times New Roman"/>
          <w:color w:val="auto"/>
          <w:spacing w:val="-1"/>
          <w:highlight w:val="none"/>
          <w:lang w:val="en-US" w:eastAsia="zh-CN"/>
        </w:rPr>
        <w:t>9</w:t>
      </w:r>
      <w:r>
        <w:rPr>
          <w:rFonts w:hint="default" w:ascii="Times New Roman" w:hAnsi="Times New Roman" w:cs="Times New Roman"/>
          <w:color w:val="auto"/>
          <w:spacing w:val="-1"/>
          <w:highlight w:val="none"/>
        </w:rPr>
        <w:t>年</w:t>
      </w:r>
      <w:r>
        <w:rPr>
          <w:rFonts w:hint="default" w:ascii="Times New Roman" w:hAnsi="Times New Roman" w:eastAsia="Times New Roman" w:cs="Times New Roman"/>
          <w:color w:val="auto"/>
          <w:spacing w:val="-1"/>
          <w:highlight w:val="none"/>
        </w:rPr>
        <w:t>4</w:t>
      </w:r>
      <w:r>
        <w:rPr>
          <w:rFonts w:hint="default" w:ascii="Times New Roman" w:hAnsi="Times New Roman" w:cs="Times New Roman"/>
          <w:color w:val="auto"/>
          <w:spacing w:val="-1"/>
          <w:highlight w:val="none"/>
        </w:rPr>
        <w:t>月</w:t>
      </w:r>
      <w:r>
        <w:rPr>
          <w:rFonts w:hint="default" w:ascii="Times New Roman" w:hAnsi="Times New Roman" w:eastAsia="Times New Roman" w:cs="Times New Roman"/>
          <w:color w:val="auto"/>
          <w:spacing w:val="-1"/>
          <w:highlight w:val="none"/>
        </w:rPr>
        <w:t>24</w:t>
      </w:r>
      <w:r>
        <w:rPr>
          <w:rFonts w:hint="default" w:ascii="Times New Roman" w:hAnsi="Times New Roman" w:cs="Times New Roman"/>
          <w:color w:val="auto"/>
          <w:spacing w:val="-1"/>
          <w:highlight w:val="none"/>
        </w:rPr>
        <w:t>日</w:t>
      </w:r>
      <w:r>
        <w:rPr>
          <w:rFonts w:hint="default" w:ascii="Times New Roman" w:hAnsi="Times New Roman" w:cs="Times New Roman"/>
          <w:color w:val="auto"/>
          <w:highlight w:val="none"/>
        </w:rPr>
        <w:t>修正）；</w:t>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（9）《中华人民共和国土壤污染防治法》（2019年1月1日实施）；</w:t>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（10）《建设项目环境保护管理条例》，国务院令第682号，2017年10月1日施行；</w:t>
      </w:r>
    </w:p>
    <w:p>
      <w:pPr>
        <w:pStyle w:val="75"/>
        <w:rPr>
          <w:rFonts w:hint="default" w:ascii="Times New Roman" w:hAnsi="Times New Roman" w:cs="Times New Roman"/>
          <w:color w:val="auto"/>
          <w:highlight w:val="none"/>
        </w:rPr>
      </w:pP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（11）《建设项目环境影响评价分类管理名录》（2021年版）；</w:t>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（12）《产业结构调整指导目录（2024年本）》；</w:t>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（13）《关于进一步加强环境影响评价管理防范环境风险的通知》，环发〔2012〕77号，2012年7月3日；</w:t>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（14）《关于切实加强风险防范严格环境影响评价管理的通知》，环发〔2012〕98号，2012年8月7日；</w:t>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（15）《危险化学品重大危险源辨识》（</w:t>
      </w:r>
      <w:r>
        <w:rPr>
          <w:rFonts w:hint="default" w:ascii="Times New Roman" w:hAnsi="Times New Roman" w:cs="Times New Roman"/>
          <w:color w:val="auto"/>
          <w:highlight w:val="none"/>
          <w:lang w:eastAsia="zh-CN"/>
        </w:rPr>
        <w:t>GB18218-2018</w:t>
      </w:r>
      <w:r>
        <w:rPr>
          <w:rFonts w:hint="default" w:ascii="Times New Roman" w:hAnsi="Times New Roman" w:cs="Times New Roman"/>
          <w:color w:val="auto"/>
          <w:highlight w:val="none"/>
        </w:rPr>
        <w:t>），2009年12月1日实施；</w:t>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（16）《危险化学品安全管理条例》，国务院令第591号，2011年12月1日；</w:t>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（17）《国家危险废物名录（2021年版）》；</w:t>
      </w:r>
    </w:p>
    <w:p>
      <w:pPr>
        <w:pStyle w:val="75"/>
        <w:rPr>
          <w:rFonts w:hint="default" w:ascii="Times New Roman" w:hAnsi="Times New Roman" w:cs="Times New Roman"/>
          <w:color w:val="auto"/>
          <w:highlight w:val="none"/>
        </w:rPr>
      </w:pPr>
      <w:r>
        <w:rPr>
          <w:rFonts w:hint="default" w:ascii="Times New Roman" w:hAnsi="Times New Roman" w:cs="Times New Roman"/>
          <w:color w:val="auto"/>
          <w:highlight w:val="none"/>
        </w:rPr>
        <w:t>（18）《危险废物污染防治技术政策》，环发〔2001〕119号；</w:t>
      </w:r>
    </w:p>
    <w:p>
      <w:pPr>
        <w:pStyle w:val="75"/>
        <w:rPr>
          <w:rFonts w:hint="default" w:ascii="Times New Roman" w:hAnsi="Times New Roman" w:cs="Times New Roman"/>
          <w:color w:val="auto"/>
          <w:spacing w:val="-6"/>
          <w:sz w:val="24"/>
          <w:highlight w:val="none"/>
        </w:rPr>
      </w:pPr>
      <w:r>
        <w:rPr>
          <w:rFonts w:hint="default" w:ascii="Times New Roman" w:hAnsi="Times New Roman" w:cs="Times New Roman"/>
          <w:color w:val="auto"/>
          <w:spacing w:val="-6"/>
          <w:sz w:val="24"/>
          <w:highlight w:val="none"/>
        </w:rPr>
        <w:t>（19）《环境影响评价公众参与办法》（生态环境部令第4号，2019年1月1日实施）；</w:t>
      </w:r>
    </w:p>
    <w:p>
      <w:pPr>
        <w:pStyle w:val="75"/>
        <w:widowControl/>
        <w:rPr>
          <w:rFonts w:hint="default" w:ascii="Times New Roman" w:hAnsi="Times New Roman" w:cs="Times New Roman"/>
          <w:color w:val="auto"/>
          <w:highlight w:val="none"/>
        </w:rPr>
      </w:pPr>
      <w:r>
        <w:rPr>
          <w:rFonts w:hint="default" w:ascii="Times New Roman" w:hAnsi="Times New Roman" w:cs="Times New Roman"/>
          <w:color w:val="auto"/>
          <w:highlight w:val="none"/>
        </w:rPr>
        <w:t>（20）《城市排水许可管理办法》（建设部令第152号）；</w:t>
      </w:r>
    </w:p>
    <w:p>
      <w:pPr>
        <w:pStyle w:val="75"/>
        <w:widowControl/>
        <w:rPr>
          <w:rFonts w:hint="default" w:ascii="Times New Roman" w:hAnsi="Times New Roman" w:cs="Times New Roman"/>
          <w:color w:val="auto"/>
          <w:highlight w:val="none"/>
        </w:rPr>
      </w:pPr>
      <w:r>
        <w:rPr>
          <w:rFonts w:hint="default" w:ascii="Times New Roman" w:hAnsi="Times New Roman" w:cs="Times New Roman"/>
          <w:color w:val="auto"/>
          <w:highlight w:val="none"/>
        </w:rPr>
        <w:t>（21）《国务院关于印发水污染防治行动计划的通知》（国发〔2015〕17号）；</w:t>
      </w:r>
    </w:p>
    <w:p>
      <w:pPr>
        <w:pStyle w:val="75"/>
        <w:widowControl/>
        <w:rPr>
          <w:rFonts w:hint="default" w:ascii="Times New Roman" w:hAnsi="Times New Roman" w:cs="Times New Roman"/>
          <w:color w:val="auto"/>
          <w:highlight w:val="none"/>
        </w:rPr>
      </w:pPr>
      <w:r>
        <w:rPr>
          <w:rFonts w:hint="default" w:ascii="Times New Roman" w:hAnsi="Times New Roman" w:cs="Times New Roman"/>
          <w:color w:val="auto"/>
          <w:highlight w:val="none"/>
        </w:rPr>
        <w:t>（22）《关于加强城镇污水处理厂污泥污染防治工作的通知》（环办〔2010〕157号）；</w:t>
      </w:r>
    </w:p>
    <w:p>
      <w:pPr>
        <w:pStyle w:val="75"/>
        <w:widowControl/>
        <w:rPr>
          <w:rFonts w:hint="eastAsia" w:cs="Times New Roman"/>
          <w:color w:val="auto"/>
          <w:highlight w:val="none"/>
          <w:lang w:eastAsia="zh-CN"/>
        </w:rPr>
      </w:pPr>
      <w:r>
        <w:rPr>
          <w:rFonts w:hint="default" w:ascii="Times New Roman" w:hAnsi="Times New Roman" w:cs="Times New Roman"/>
          <w:color w:val="auto"/>
          <w:highlight w:val="none"/>
        </w:rPr>
        <w:t>《地下水管理条例》</w:t>
      </w:r>
      <w:r>
        <w:rPr>
          <w:rFonts w:hint="eastAsia" w:cs="Times New Roman"/>
          <w:color w:val="auto"/>
          <w:highlight w:val="none"/>
          <w:lang w:eastAsia="zh-CN"/>
        </w:rPr>
        <w:t>（</w:t>
      </w:r>
      <w:r>
        <w:rPr>
          <w:rFonts w:hint="default" w:ascii="Times New Roman" w:hAnsi="Times New Roman" w:cs="Times New Roman"/>
          <w:color w:val="auto"/>
          <w:highlight w:val="none"/>
        </w:rPr>
        <w:t>中华人民共和国国务院令第748号</w:t>
      </w:r>
      <w:r>
        <w:rPr>
          <w:rFonts w:hint="eastAsia" w:cs="Times New Roman"/>
          <w:color w:val="auto"/>
          <w:highlight w:val="none"/>
          <w:lang w:eastAsia="zh-CN"/>
        </w:rPr>
        <w:t>）；</w:t>
      </w:r>
    </w:p>
    <w:p>
      <w:pPr>
        <w:pStyle w:val="75"/>
        <w:widowControl/>
        <w:rPr>
          <w:rFonts w:hint="default" w:ascii="Times New Roman" w:hAnsi="Times New Roman" w:cs="Times New Roman"/>
          <w:color w:val="auto"/>
          <w:highlight w:val="none"/>
        </w:rPr>
      </w:pPr>
      <w:r>
        <w:rPr>
          <w:rFonts w:hint="default" w:ascii="Times New Roman" w:hAnsi="Times New Roman" w:cs="Times New Roman"/>
          <w:color w:val="auto"/>
          <w:highlight w:val="none"/>
        </w:rPr>
        <w:t>《城镇排水与污水处理条例》</w:t>
      </w:r>
    </w:p>
    <w:p>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地方环保法规及</w:t>
      </w:r>
      <w:r>
        <w:rPr>
          <w:rFonts w:hint="eastAsia"/>
          <w:color w:val="auto"/>
          <w:highlight w:val="none"/>
          <w:lang w:val="en-US" w:eastAsia="zh-CN"/>
        </w:rPr>
        <w:t>规范性文件</w:t>
      </w:r>
    </w:p>
    <w:p>
      <w:pPr>
        <w:numPr>
          <w:ilvl w:val="0"/>
          <w:numId w:val="3"/>
        </w:num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《新疆维吾尔自治区环境保护条例》（2018年9月21修正）；</w:t>
      </w:r>
    </w:p>
    <w:p>
      <w:pPr>
        <w:numPr>
          <w:ilvl w:val="0"/>
          <w:numId w:val="3"/>
        </w:num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《新疆维吾尔自治区大气污染防治条例》（2018年第15号）；</w:t>
      </w:r>
    </w:p>
    <w:p>
      <w:pPr>
        <w:numPr>
          <w:ilvl w:val="0"/>
          <w:numId w:val="3"/>
        </w:num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《关于印发新疆维吾尔自治区土壤污染防治工作方案的通知》（新政发〔2017〕25号，2017年3月1日）；</w:t>
      </w:r>
    </w:p>
    <w:p>
      <w:pPr>
        <w:numPr>
          <w:ilvl w:val="0"/>
          <w:numId w:val="3"/>
        </w:num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《新疆维吾尔自治区重点行业环境准入条件（修订）》（2017年1月）；</w:t>
      </w:r>
    </w:p>
    <w:p>
      <w:pPr>
        <w:numPr>
          <w:ilvl w:val="0"/>
          <w:numId w:val="3"/>
        </w:num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《关于贯彻落实环境保护部＜突发环境事件应急预案管理办法＞有关工作的通知》（新环监发〔2011〕696号，新疆维吾尔自治区环境保护厅，2011年12月16日印发）；</w:t>
      </w:r>
    </w:p>
    <w:p>
      <w:pPr>
        <w:numPr>
          <w:ilvl w:val="0"/>
          <w:numId w:val="3"/>
        </w:num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《中国新疆水环境功能区划》（</w:t>
      </w:r>
      <w:r>
        <w:rPr>
          <w:rFonts w:hint="eastAsia" w:cs="Times New Roman"/>
          <w:color w:val="auto"/>
          <w:highlight w:val="none"/>
          <w:lang w:eastAsia="zh-CN"/>
        </w:rPr>
        <w:t>新疆维吾尔自治区</w:t>
      </w:r>
      <w:r>
        <w:rPr>
          <w:rFonts w:hint="default" w:ascii="Times New Roman" w:hAnsi="Times New Roman" w:cs="Times New Roman"/>
          <w:color w:val="auto"/>
          <w:highlight w:val="none"/>
        </w:rPr>
        <w:t>人民政府，新政函〔2002〕194号文，2002年11月16日）；</w:t>
      </w:r>
    </w:p>
    <w:p>
      <w:pPr>
        <w:numPr>
          <w:ilvl w:val="0"/>
          <w:numId w:val="3"/>
        </w:num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《新疆生态环境保护“十四五”规划》（环土壤〔2021〕120号）；</w:t>
      </w:r>
    </w:p>
    <w:p>
      <w:pPr>
        <w:numPr>
          <w:ilvl w:val="0"/>
          <w:numId w:val="3"/>
        </w:num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《新疆维吾尔自治区重金属污染防控工作方案》（新环固体发〔2022〕88号）</w:t>
      </w:r>
      <w:r>
        <w:rPr>
          <w:rFonts w:hint="eastAsia" w:cs="Times New Roman"/>
          <w:color w:val="auto"/>
          <w:highlight w:val="none"/>
          <w:lang w:eastAsia="zh-CN"/>
        </w:rPr>
        <w:t>；</w:t>
      </w:r>
    </w:p>
    <w:p>
      <w:pPr>
        <w:numPr>
          <w:ilvl w:val="0"/>
          <w:numId w:val="3"/>
        </w:num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《新疆维吾尔自治区实施〈中华人民共和国水污染防治法〉办法》（新疆维吾尔自治区第十四届人民代表大会常务委员会公告（第1号））</w:t>
      </w:r>
      <w:r>
        <w:rPr>
          <w:rFonts w:hint="eastAsia" w:cs="Times New Roman"/>
          <w:color w:val="auto"/>
          <w:highlight w:val="none"/>
          <w:lang w:eastAsia="zh-CN"/>
        </w:rPr>
        <w:t>；</w:t>
      </w:r>
    </w:p>
    <w:p>
      <w:pPr>
        <w:numPr>
          <w:ilvl w:val="0"/>
          <w:numId w:val="3"/>
        </w:num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《关于印发新疆维吾尔自治区水污染防治工作方案的通知》（新政发〔2016〕21号）</w:t>
      </w:r>
      <w:r>
        <w:rPr>
          <w:rFonts w:hint="eastAsia"/>
          <w:color w:val="auto"/>
          <w:highlight w:val="none"/>
          <w:lang w:eastAsia="zh-CN"/>
        </w:rPr>
        <w:t>；</w:t>
      </w:r>
    </w:p>
    <w:p>
      <w:pPr>
        <w:numPr>
          <w:ilvl w:val="0"/>
          <w:numId w:val="3"/>
        </w:num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《昌吉回族自治州“三线一单”生态环境分区管控方案及生态环境准入清单》</w:t>
      </w:r>
      <w:r>
        <w:rPr>
          <w:rFonts w:hint="eastAsia" w:cs="Times New Roman"/>
          <w:color w:val="auto"/>
          <w:highlight w:val="none"/>
          <w:lang w:eastAsia="zh-CN"/>
        </w:rPr>
        <w:t>；</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t>（10）《城市污水处理及污染防治技术政策》建设部、国家环境保护总局、科技部（建城〔2000〕124号）；</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t>（11）《城镇污水处理厂污泥处理处置技术指南（试行）》中华人民共和国国家发展和改革委员会2011.3；</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t>（12）《城镇污水处理厂污泥处理处置及污染防治技术政策（试行）》建城〔2009〕23号2009.2.18；</w:t>
      </w:r>
    </w:p>
    <w:p>
      <w:pPr>
        <w:rPr>
          <w:rFonts w:hint="default"/>
          <w:color w:val="auto"/>
          <w:highlight w:val="none"/>
        </w:rPr>
      </w:pPr>
      <w:r>
        <w:rPr>
          <w:rFonts w:hint="default" w:ascii="Times New Roman" w:hAnsi="Times New Roman" w:cs="Times New Roman"/>
          <w:color w:val="auto"/>
          <w:highlight w:val="none"/>
        </w:rPr>
        <w:t>（13）《城镇污水处理厂污泥处理处置污染防治最佳可行技术指南（试行）》</w:t>
      </w:r>
      <w:r>
        <w:rPr>
          <w:rFonts w:hint="default" w:ascii="Times New Roman" w:hAnsi="Times New Roman" w:cs="Times New Roman"/>
          <w:color w:val="auto"/>
          <w:highlight w:val="none"/>
          <w:lang w:eastAsia="zh-CN"/>
        </w:rPr>
        <w:t>HJ-BAT-002-2010</w:t>
      </w:r>
      <w:r>
        <w:rPr>
          <w:rFonts w:hint="eastAsia" w:cs="Times New Roman"/>
          <w:color w:val="auto"/>
          <w:highlight w:val="none"/>
          <w:lang w:eastAsia="zh-CN"/>
        </w:rPr>
        <w:t>环境保护部</w:t>
      </w:r>
      <w:r>
        <w:rPr>
          <w:rFonts w:hint="default" w:ascii="Times New Roman" w:hAnsi="Times New Roman" w:cs="Times New Roman"/>
          <w:color w:val="auto"/>
          <w:highlight w:val="none"/>
        </w:rPr>
        <w:t>，2010.2</w:t>
      </w:r>
      <w:r>
        <w:rPr>
          <w:rFonts w:hint="eastAsia" w:cs="Times New Roman"/>
          <w:color w:val="auto"/>
          <w:highlight w:val="none"/>
          <w:lang w:eastAsia="zh-CN"/>
        </w:rPr>
        <w:t>。</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技术规范与导则</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（1）《建设项目环境影响评价技术导则总纲》(HJ2.1-2016)；</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（2）《环境影响评价技术导则大气环境》(HJ2.2-2018)；</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（3）《环境影响评价技术导则地表水环境》（HJ2.3-2018）；</w:t>
      </w:r>
    </w:p>
    <w:p>
      <w:pPr>
        <w:ind w:left="480" w:leftChars="20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（4）《环境影响评价技术导则地下水环境》（HJ610-2016）；</w:t>
      </w:r>
    </w:p>
    <w:p>
      <w:pPr>
        <w:ind w:left="480" w:leftChars="20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（5）《环境影响评价技术导则声环境》(HJ2.4-2021)；</w:t>
      </w:r>
    </w:p>
    <w:p>
      <w:pPr>
        <w:ind w:left="480" w:leftChars="20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（6）《</w:t>
      </w:r>
      <w:r>
        <w:rPr>
          <w:rFonts w:hint="default" w:ascii="Times New Roman" w:hAnsi="Times New Roman" w:cs="Times New Roman"/>
          <w:color w:val="auto"/>
          <w:highlight w:val="none"/>
          <w:lang w:eastAsia="zh-CN"/>
        </w:rPr>
        <w:t>环境影响评价技术导则生态影响</w:t>
      </w:r>
      <w:r>
        <w:rPr>
          <w:rFonts w:hint="default" w:ascii="Times New Roman" w:hAnsi="Times New Roman" w:cs="Times New Roman"/>
          <w:color w:val="auto"/>
          <w:highlight w:val="none"/>
        </w:rPr>
        <w:t>》（HJ19-2022）；</w:t>
      </w:r>
    </w:p>
    <w:p>
      <w:pPr>
        <w:ind w:left="480" w:leftChars="20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（7）《环境影响评价技术导则土壤环境（试行）》（HJ964-2018）；</w:t>
      </w:r>
    </w:p>
    <w:p>
      <w:pPr>
        <w:ind w:left="480" w:leftChars="20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（8）《建设项目环境风险评价技术导则》（HJ169-2018）；</w:t>
      </w:r>
    </w:p>
    <w:p>
      <w:pPr>
        <w:ind w:left="480" w:leftChars="20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（9）《固体废物处理处置工程技术导则》（HJ2035-2013）；</w:t>
      </w:r>
    </w:p>
    <w:p>
      <w:pPr>
        <w:ind w:left="480" w:leftChars="20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（14）《排污许可证申请与核发技术规范水处理（试行）》(HJ978-2018)；</w:t>
      </w:r>
    </w:p>
    <w:p>
      <w:pPr>
        <w:widowControl/>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（15）《排污单位自行监测技术指南总则》（HJ819-2017）；</w:t>
      </w:r>
    </w:p>
    <w:p>
      <w:pPr>
        <w:widowControl/>
        <w:ind w:left="480" w:leftChars="20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（16）《排污单位自行监测技术指南水处理 》（HJ1083-2020）；</w:t>
      </w:r>
    </w:p>
    <w:p>
      <w:pPr>
        <w:widowControl/>
        <w:ind w:left="480" w:leftChars="20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（17）《关于污（废）水处理设施产生污泥危险特性鉴别有关意见的函》（环函〔2010〕129号）；</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（18）《危险废物鉴别技术规范》(HJ298-2019)；</w:t>
      </w:r>
    </w:p>
    <w:p>
      <w:pPr>
        <w:widowControl/>
        <w:ind w:left="480" w:leftChars="200" w:firstLine="0" w:firstLineChars="0"/>
        <w:rPr>
          <w:rFonts w:hint="eastAsia" w:cs="Times New Roman"/>
          <w:color w:val="auto"/>
          <w:highlight w:val="none"/>
          <w:lang w:eastAsia="zh-CN"/>
        </w:rPr>
      </w:pPr>
      <w:r>
        <w:rPr>
          <w:rFonts w:hint="default" w:ascii="Times New Roman" w:hAnsi="Times New Roman" w:cs="Times New Roman"/>
          <w:color w:val="auto"/>
          <w:highlight w:val="none"/>
        </w:rPr>
        <w:t>（19）《污泥无害化处理和资源化利用实施方案》（发改环资〔2022〕1453号）</w:t>
      </w:r>
      <w:r>
        <w:rPr>
          <w:rFonts w:hint="eastAsia" w:cs="Times New Roman"/>
          <w:color w:val="auto"/>
          <w:highlight w:val="none"/>
          <w:lang w:eastAsia="zh-CN"/>
        </w:rPr>
        <w:t>；</w:t>
      </w:r>
    </w:p>
    <w:p>
      <w:pPr>
        <w:widowControl/>
        <w:ind w:left="480" w:leftChars="200" w:firstLine="0" w:firstLineChars="0"/>
        <w:rPr>
          <w:rFonts w:hint="eastAsia" w:cs="Times New Roman"/>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20</w:t>
      </w:r>
      <w:r>
        <w:rPr>
          <w:rFonts w:hint="eastAsia" w:cs="Times New Roman"/>
          <w:color w:val="auto"/>
          <w:highlight w:val="none"/>
          <w:lang w:eastAsia="zh-CN"/>
        </w:rPr>
        <w:t>）</w:t>
      </w:r>
      <w:r>
        <w:rPr>
          <w:rFonts w:hint="eastAsia" w:ascii="Times New Roman" w:hAnsi="Times New Roman" w:cs="Times New Roman"/>
          <w:color w:val="auto"/>
          <w:highlight w:val="none"/>
          <w:lang w:val="en-US" w:eastAsia="zh-CN"/>
        </w:rPr>
        <w:t>《水污染治理工程技术导则》（</w:t>
      </w:r>
      <w:r>
        <w:rPr>
          <w:rFonts w:hint="default" w:ascii="Times New Roman" w:hAnsi="Times New Roman" w:cs="Times New Roman"/>
          <w:color w:val="auto"/>
          <w:highlight w:val="none"/>
          <w:lang w:val="en-US" w:eastAsia="zh-CN"/>
        </w:rPr>
        <w:t>HJ2015-2012</w:t>
      </w:r>
      <w:r>
        <w:rPr>
          <w:rFonts w:hint="eastAsia" w:ascii="Times New Roman" w:hAnsi="Times New Roman" w:cs="Times New Roman"/>
          <w:color w:val="auto"/>
          <w:highlight w:val="none"/>
          <w:lang w:val="en-US" w:eastAsia="zh-CN"/>
        </w:rPr>
        <w:t>）</w:t>
      </w:r>
      <w:r>
        <w:rPr>
          <w:rFonts w:hint="eastAsia" w:cs="Times New Roman"/>
          <w:color w:val="auto"/>
          <w:highlight w:val="none"/>
          <w:lang w:val="en-US" w:eastAsia="zh-CN"/>
        </w:rPr>
        <w:t>；</w:t>
      </w:r>
    </w:p>
    <w:p>
      <w:pPr>
        <w:widowControl/>
        <w:ind w:left="480" w:leftChars="200" w:firstLine="0" w:firstLineChars="0"/>
        <w:rPr>
          <w:rFonts w:hint="eastAsia" w:cs="Times New Roman"/>
          <w:color w:val="auto"/>
          <w:highlight w:val="none"/>
          <w:lang w:val="en-US" w:eastAsia="zh-CN"/>
        </w:rPr>
      </w:pPr>
      <w:r>
        <w:rPr>
          <w:rFonts w:hint="eastAsia" w:cs="Times New Roman"/>
          <w:color w:val="auto"/>
          <w:highlight w:val="none"/>
          <w:lang w:val="en-US" w:eastAsia="zh-CN"/>
        </w:rPr>
        <w:t>（21）</w:t>
      </w:r>
      <w:r>
        <w:rPr>
          <w:rFonts w:hint="eastAsia" w:ascii="Times New Roman" w:hAnsi="Times New Roman" w:cs="Times New Roman"/>
          <w:color w:val="auto"/>
          <w:highlight w:val="none"/>
          <w:lang w:val="en-US" w:eastAsia="zh-CN"/>
        </w:rPr>
        <w:t>《序批式活性污泥法污水处理工程技术规范》（</w:t>
      </w:r>
      <w:r>
        <w:rPr>
          <w:rFonts w:hint="default" w:ascii="Times New Roman" w:hAnsi="Times New Roman" w:cs="Times New Roman"/>
          <w:color w:val="auto"/>
          <w:highlight w:val="none"/>
          <w:lang w:val="en-US" w:eastAsia="zh-CN"/>
        </w:rPr>
        <w:t>HJ577</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2010</w:t>
      </w:r>
      <w:r>
        <w:rPr>
          <w:rFonts w:hint="eastAsia" w:ascii="Times New Roman" w:hAnsi="Times New Roman" w:cs="Times New Roman"/>
          <w:color w:val="auto"/>
          <w:highlight w:val="none"/>
          <w:lang w:val="en-US" w:eastAsia="zh-CN"/>
        </w:rPr>
        <w:t>）</w:t>
      </w:r>
      <w:r>
        <w:rPr>
          <w:rFonts w:hint="eastAsia" w:cs="Times New Roman"/>
          <w:color w:val="auto"/>
          <w:highlight w:val="none"/>
          <w:lang w:val="en-US" w:eastAsia="zh-CN"/>
        </w:rPr>
        <w:t>；</w:t>
      </w:r>
    </w:p>
    <w:p>
      <w:pPr>
        <w:widowControl/>
        <w:ind w:left="480" w:leftChars="200" w:firstLine="0" w:firstLineChars="0"/>
        <w:rPr>
          <w:rFonts w:hint="eastAsia" w:cs="Times New Roman"/>
          <w:color w:val="auto"/>
          <w:highlight w:val="none"/>
          <w:lang w:val="en-US" w:eastAsia="zh-CN"/>
        </w:rPr>
      </w:pPr>
      <w:r>
        <w:rPr>
          <w:rFonts w:hint="eastAsia" w:cs="Times New Roman"/>
          <w:color w:val="auto"/>
          <w:highlight w:val="none"/>
          <w:lang w:val="en-US" w:eastAsia="zh-CN"/>
        </w:rPr>
        <w:t>（22）</w:t>
      </w:r>
      <w:r>
        <w:rPr>
          <w:rFonts w:hint="eastAsia" w:ascii="Times New Roman" w:hAnsi="Times New Roman" w:cs="Times New Roman"/>
          <w:color w:val="auto"/>
          <w:highlight w:val="none"/>
          <w:lang w:val="en-US" w:eastAsia="zh-CN"/>
        </w:rPr>
        <w:t>《厌氧</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缺氧</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好氧活性污泥法污水处理工程技术规范》（</w:t>
      </w:r>
      <w:r>
        <w:rPr>
          <w:rFonts w:hint="default" w:ascii="Times New Roman" w:hAnsi="Times New Roman" w:cs="Times New Roman"/>
          <w:color w:val="auto"/>
          <w:highlight w:val="none"/>
          <w:lang w:val="en-US" w:eastAsia="zh-CN"/>
        </w:rPr>
        <w:t>HJ576</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2010</w:t>
      </w:r>
      <w:r>
        <w:rPr>
          <w:rFonts w:hint="eastAsia" w:ascii="Times New Roman" w:hAnsi="Times New Roman" w:cs="Times New Roman"/>
          <w:color w:val="auto"/>
          <w:highlight w:val="none"/>
          <w:lang w:val="en-US" w:eastAsia="zh-CN"/>
        </w:rPr>
        <w:t>）</w:t>
      </w:r>
      <w:r>
        <w:rPr>
          <w:rFonts w:hint="eastAsia" w:cs="Times New Roman"/>
          <w:color w:val="auto"/>
          <w:highlight w:val="none"/>
          <w:lang w:val="en-US" w:eastAsia="zh-CN"/>
        </w:rPr>
        <w:t>；</w:t>
      </w:r>
    </w:p>
    <w:p>
      <w:pPr>
        <w:widowControl/>
        <w:ind w:left="480" w:leftChars="200" w:firstLine="0" w:firstLineChars="0"/>
        <w:rPr>
          <w:rFonts w:hint="default" w:ascii="Times New Roman" w:hAnsi="Times New Roman" w:cs="Times New Roman"/>
          <w:color w:val="auto"/>
          <w:highlight w:val="none"/>
        </w:rPr>
      </w:pPr>
      <w:r>
        <w:rPr>
          <w:rFonts w:hint="eastAsia" w:cs="Times New Roman"/>
          <w:color w:val="auto"/>
          <w:highlight w:val="none"/>
          <w:lang w:val="en-US" w:eastAsia="zh-CN"/>
        </w:rPr>
        <w:t>（23）</w:t>
      </w:r>
      <w:r>
        <w:rPr>
          <w:rFonts w:hint="eastAsia" w:ascii="Times New Roman" w:hAnsi="Times New Roman" w:cs="Times New Roman"/>
          <w:color w:val="auto"/>
          <w:highlight w:val="none"/>
          <w:lang w:val="en-US" w:eastAsia="zh-CN"/>
        </w:rPr>
        <w:t>生物滤池法污水处理工程技术规范</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HJ2014－2012)</w:t>
      </w:r>
      <w:r>
        <w:rPr>
          <w:rFonts w:hint="eastAsia" w:cs="Times New Roman"/>
          <w:color w:val="auto"/>
          <w:highlight w:val="none"/>
          <w:lang w:val="en-US" w:eastAsia="zh-CN"/>
        </w:rPr>
        <w:t>。</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其他资料</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（1）《新疆昌吉国家农业高新技术产业示范区现代农业精深加工示范区污水处理厂改造扩容项目环境影响评价委托函》新疆昌吉国家农业高新技术产业示范区管理委员会，2023年10月；</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（2）《新疆昌吉国家农业高新技术产业示范区现代农业精深加工示范区污水处理厂改造扩容项目可行性研究报告》</w:t>
      </w:r>
      <w:r>
        <w:rPr>
          <w:rFonts w:hint="eastAsia" w:cs="Times New Roman"/>
          <w:color w:val="auto"/>
          <w:highlight w:val="none"/>
          <w:lang w:eastAsia="zh-CN"/>
        </w:rPr>
        <w:t>，</w:t>
      </w:r>
      <w:r>
        <w:rPr>
          <w:rFonts w:hint="default" w:ascii="Times New Roman" w:hAnsi="Times New Roman" w:cs="Times New Roman"/>
          <w:color w:val="auto"/>
          <w:highlight w:val="none"/>
        </w:rPr>
        <w:t>新疆农旅融合管理咨询有限公司，2023年9月；</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（3）《新疆昌吉国家农业高新技术产业示范区现代农业精深加工示范区污水处理厂改造扩容项目初步设计》中图设计有限公司，2024年1月；</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（4）建设方提供的其他相关资料。</w:t>
      </w:r>
    </w:p>
    <w:p>
      <w:pPr>
        <w:pStyle w:val="4"/>
        <w:bidi w:val="0"/>
        <w:rPr>
          <w:rFonts w:hint="default"/>
          <w:color w:val="auto"/>
          <w:highlight w:val="none"/>
        </w:rPr>
      </w:pPr>
      <w:bookmarkStart w:id="39" w:name="_Toc15536"/>
      <w:r>
        <w:rPr>
          <w:rFonts w:hint="default"/>
          <w:color w:val="auto"/>
          <w:highlight w:val="none"/>
        </w:rPr>
        <w:t>评价目的及评价原则</w:t>
      </w:r>
      <w:bookmarkEnd w:id="39"/>
    </w:p>
    <w:p>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评价目的</w:t>
      </w:r>
    </w:p>
    <w:p>
      <w:pPr>
        <w:numPr>
          <w:ilvl w:val="0"/>
          <w:numId w:val="4"/>
        </w:num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通过对区域环境现状调查了解，掌握拟建基地周围的自然环境概况和环境质量现状，为环境影响评价提供依据；</w:t>
      </w:r>
    </w:p>
    <w:p>
      <w:pPr>
        <w:numPr>
          <w:ilvl w:val="0"/>
          <w:numId w:val="4"/>
        </w:num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通过工程分析查清拟建项目的主要污染源和污染物排放节点及排放特征，确定主要污染因子和环境影响因素；</w:t>
      </w:r>
    </w:p>
    <w:p>
      <w:pPr>
        <w:numPr>
          <w:ilvl w:val="0"/>
          <w:numId w:val="4"/>
        </w:num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分析论证拟建工程采用工艺路线的先进性和选址的合理性；</w:t>
      </w:r>
    </w:p>
    <w:p>
      <w:pPr>
        <w:numPr>
          <w:ilvl w:val="0"/>
          <w:numId w:val="4"/>
        </w:num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分析拟建项目对当地环境可能造成影响的程度和范围；</w:t>
      </w:r>
    </w:p>
    <w:p>
      <w:pPr>
        <w:numPr>
          <w:ilvl w:val="0"/>
          <w:numId w:val="4"/>
        </w:num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从技术、经济角度分析拟采用治理措施的可行性，并提出避免和减少污染的对策和建议，进行清洁生产水平分析；</w:t>
      </w:r>
    </w:p>
    <w:p>
      <w:pPr>
        <w:numPr>
          <w:ilvl w:val="0"/>
          <w:numId w:val="4"/>
        </w:num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从环保角度对</w:t>
      </w:r>
      <w:r>
        <w:rPr>
          <w:rFonts w:hint="eastAsia" w:cs="Times New Roman"/>
          <w:color w:val="auto"/>
          <w:highlight w:val="none"/>
          <w:lang w:eastAsia="zh-CN"/>
        </w:rPr>
        <w:t>本项目</w:t>
      </w:r>
      <w:r>
        <w:rPr>
          <w:rFonts w:hint="default" w:ascii="Times New Roman" w:hAnsi="Times New Roman" w:cs="Times New Roman"/>
          <w:color w:val="auto"/>
          <w:highlight w:val="none"/>
        </w:rPr>
        <w:t>的可行性做出明确的结论，为管理部门决策</w:t>
      </w:r>
      <w:r>
        <w:rPr>
          <w:rFonts w:hint="eastAsia" w:cs="Times New Roman"/>
          <w:color w:val="auto"/>
          <w:highlight w:val="none"/>
          <w:lang w:eastAsia="zh-CN"/>
        </w:rPr>
        <w:t>、设</w:t>
      </w:r>
      <w:r>
        <w:rPr>
          <w:rFonts w:hint="default" w:ascii="Times New Roman" w:hAnsi="Times New Roman" w:eastAsia="宋体" w:cs="Times New Roman"/>
          <w:color w:val="auto"/>
          <w:sz w:val="24"/>
          <w:szCs w:val="24"/>
          <w:highlight w:val="none"/>
        </w:rPr>
        <w:t>计部门优化设计和建设单位的环境管理提供科学依据。</w:t>
      </w:r>
    </w:p>
    <w:p>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评价原则</w:t>
      </w:r>
    </w:p>
    <w:p>
      <w:pPr>
        <w:numPr>
          <w:ilvl w:val="0"/>
          <w:numId w:val="0"/>
        </w:numPr>
        <w:bidi w:val="0"/>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突出环境影响评价的源头预防作用，坚持保护和改善环境质量。</w:t>
      </w:r>
    </w:p>
    <w:p>
      <w:pPr>
        <w:numPr>
          <w:ilvl w:val="0"/>
          <w:numId w:val="0"/>
        </w:numPr>
        <w:bidi w:val="0"/>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a</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依法评价贯彻执行我国环境保护相关法律法规、标准、政策和规划等，优化项目建设，服务环境管理。</w:t>
      </w:r>
    </w:p>
    <w:p>
      <w:pPr>
        <w:numPr>
          <w:ilvl w:val="0"/>
          <w:numId w:val="0"/>
        </w:numPr>
        <w:bidi w:val="0"/>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b）科学评价规范环境影响评价方法，科学分析项目建设对环境质量的影响。</w:t>
      </w:r>
    </w:p>
    <w:p>
      <w:pPr>
        <w:numPr>
          <w:ilvl w:val="0"/>
          <w:numId w:val="0"/>
        </w:numPr>
        <w:bidi w:val="0"/>
        <w:ind w:firstLine="480" w:firstLineChars="200"/>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rPr>
        <w:t>c）突出重点根据建设项目的工程内容及其特点，明确与环境要素间的作用效应关系，根据规划环境影响评价结论和审查意见，充分利用符合时效的数据资料及成果，对建设项目主要环境影响予以重点分析和评价。</w:t>
      </w:r>
    </w:p>
    <w:p>
      <w:pPr>
        <w:pStyle w:val="5"/>
        <w:bidi w:val="0"/>
        <w:rPr>
          <w:rFonts w:hint="default" w:ascii="Times New Roman" w:hAnsi="Times New Roman" w:cs="Times New Roman"/>
          <w:color w:val="auto"/>
          <w:highlight w:val="none"/>
        </w:rPr>
      </w:pPr>
      <w:bookmarkStart w:id="40" w:name="_Toc4941"/>
      <w:bookmarkStart w:id="41" w:name="_Toc464226375"/>
      <w:bookmarkStart w:id="42" w:name="_Toc13974"/>
      <w:bookmarkStart w:id="43" w:name="_Toc464225224"/>
      <w:r>
        <w:rPr>
          <w:rFonts w:hint="default" w:ascii="Times New Roman" w:hAnsi="Times New Roman" w:cs="Times New Roman"/>
          <w:color w:val="auto"/>
          <w:highlight w:val="none"/>
        </w:rPr>
        <w:t>评价内容及评价重点</w:t>
      </w:r>
      <w:bookmarkEnd w:id="40"/>
    </w:p>
    <w:p>
      <w:pPr>
        <w:pStyle w:val="2"/>
        <w:bidi w:val="0"/>
        <w:rPr>
          <w:rFonts w:hint="default"/>
          <w:color w:val="auto"/>
          <w:highlight w:val="none"/>
        </w:rPr>
      </w:pPr>
      <w:bookmarkStart w:id="44" w:name="_Toc429398958"/>
      <w:r>
        <w:rPr>
          <w:rFonts w:hint="default"/>
          <w:color w:val="auto"/>
          <w:highlight w:val="none"/>
        </w:rPr>
        <w:t>评价内容</w:t>
      </w:r>
      <w:bookmarkEnd w:id="44"/>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调查和评价区域环境质量现状；对项目施工期及营运期的污染物排放情况与环境影响程度进行分析预测；论证污染防治措施的技术经济可行性，从环境保护方面提出建设工程可持续发展的策略。</w:t>
      </w:r>
    </w:p>
    <w:p>
      <w:pPr>
        <w:pStyle w:val="2"/>
        <w:bidi w:val="0"/>
        <w:rPr>
          <w:rFonts w:hint="default"/>
          <w:color w:val="auto"/>
          <w:highlight w:val="none"/>
        </w:rPr>
      </w:pPr>
      <w:bookmarkStart w:id="45" w:name="_Toc429398959"/>
      <w:r>
        <w:rPr>
          <w:rFonts w:hint="default"/>
          <w:color w:val="auto"/>
          <w:highlight w:val="none"/>
        </w:rPr>
        <w:t>评价重点</w:t>
      </w:r>
      <w:bookmarkEnd w:id="45"/>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根据区域环境特征及工程排污特点，本评价以工程分析、污染防治措施分析、环境影响分析、风险分析为评价重点。</w:t>
      </w:r>
    </w:p>
    <w:p>
      <w:pPr>
        <w:pStyle w:val="5"/>
        <w:bidi w:val="0"/>
        <w:rPr>
          <w:color w:val="auto"/>
          <w:highlight w:val="none"/>
        </w:rPr>
      </w:pPr>
      <w:bookmarkStart w:id="46" w:name="_Toc10614"/>
      <w:bookmarkStart w:id="47" w:name="_Toc456362771"/>
      <w:r>
        <w:rPr>
          <w:color w:val="auto"/>
          <w:highlight w:val="none"/>
        </w:rPr>
        <w:t>环境影响因素识别</w:t>
      </w:r>
    </w:p>
    <w:bookmarkEnd w:id="41"/>
    <w:bookmarkEnd w:id="42"/>
    <w:bookmarkEnd w:id="43"/>
    <w:bookmarkEnd w:id="46"/>
    <w:bookmarkEnd w:id="47"/>
    <w:p>
      <w:pPr>
        <w:pStyle w:val="2"/>
        <w:tabs>
          <w:tab w:val="left" w:pos="420"/>
        </w:tabs>
        <w:rPr>
          <w:color w:val="auto"/>
          <w:highlight w:val="none"/>
        </w:rPr>
      </w:pPr>
      <w:bookmarkStart w:id="48" w:name="_Toc288229166"/>
      <w:r>
        <w:rPr>
          <w:color w:val="auto"/>
          <w:highlight w:val="none"/>
        </w:rPr>
        <w:t>环境影响因素分析</w:t>
      </w:r>
    </w:p>
    <w:p>
      <w:pPr>
        <w:ind w:firstLine="480"/>
        <w:rPr>
          <w:color w:val="auto"/>
          <w:highlight w:val="none"/>
        </w:rPr>
      </w:pPr>
      <w:r>
        <w:rPr>
          <w:rFonts w:hint="eastAsia"/>
          <w:color w:val="auto"/>
          <w:highlight w:val="none"/>
          <w:lang w:val="en-US" w:eastAsia="zh-CN"/>
        </w:rPr>
        <w:t>本项目</w:t>
      </w:r>
      <w:r>
        <w:rPr>
          <w:color w:val="auto"/>
          <w:highlight w:val="none"/>
        </w:rPr>
        <w:t>主要环境影响因素见</w:t>
      </w:r>
      <w:r>
        <w:rPr>
          <w:rFonts w:hint="eastAsia"/>
          <w:color w:val="auto"/>
          <w:highlight w:val="none"/>
          <w:lang w:val="en-US" w:eastAsia="zh-CN"/>
        </w:rPr>
        <w:t>下</w:t>
      </w:r>
      <w:r>
        <w:rPr>
          <w:color w:val="auto"/>
          <w:highlight w:val="none"/>
        </w:rPr>
        <w:fldChar w:fldCharType="begin"/>
      </w:r>
      <w:r>
        <w:rPr>
          <w:color w:val="auto"/>
          <w:highlight w:val="none"/>
        </w:rPr>
        <w:instrText xml:space="preserve"> REF _Ref150363860 \h </w:instrText>
      </w:r>
      <w:r>
        <w:rPr>
          <w:color w:val="auto"/>
          <w:highlight w:val="none"/>
        </w:rPr>
        <w:fldChar w:fldCharType="separate"/>
      </w:r>
      <w:r>
        <w:rPr>
          <w:rFonts w:hint="eastAsia"/>
          <w:color w:val="auto"/>
          <w:highlight w:val="none"/>
        </w:rPr>
        <w:t>表</w:t>
      </w:r>
      <w:r>
        <w:rPr>
          <w:color w:val="auto"/>
          <w:highlight w:val="none"/>
        </w:rPr>
        <w:fldChar w:fldCharType="end"/>
      </w:r>
      <w:r>
        <w:rPr>
          <w:color w:val="auto"/>
          <w:highlight w:val="none"/>
        </w:rPr>
        <w:t>。</w:t>
      </w:r>
    </w:p>
    <w:p>
      <w:pPr>
        <w:pStyle w:val="13"/>
        <w:bidi w:val="0"/>
        <w:rPr>
          <w:rFonts w:hint="default" w:ascii="Times New Roman" w:hAnsi="Times New Roman" w:eastAsia="宋体" w:cs="Times New Roman"/>
          <w:color w:val="auto"/>
          <w:highlight w:val="none"/>
        </w:rPr>
      </w:pPr>
      <w:bookmarkStart w:id="49" w:name="_Ref150363860"/>
      <w:r>
        <w:rPr>
          <w:rFonts w:hint="eastAsia"/>
          <w:color w:val="auto"/>
          <w:highlight w:val="none"/>
        </w:rPr>
        <w:t>表</w:t>
      </w:r>
      <w:r>
        <w:rPr>
          <w:rFonts w:hint="eastAsia"/>
          <w:color w:val="auto"/>
          <w:highlight w:val="none"/>
          <w:lang w:val="en-US" w:eastAsia="zh-CN"/>
        </w:rPr>
        <w:t>2.2</w:t>
      </w:r>
      <w:r>
        <w:rPr>
          <w:color w:val="auto"/>
          <w:highlight w:val="none"/>
        </w:rPr>
        <w:noBreakHyphen/>
      </w:r>
      <w:r>
        <w:rPr>
          <w:color w:val="auto"/>
          <w:highlight w:val="none"/>
        </w:rPr>
        <w:fldChar w:fldCharType="begin"/>
      </w:r>
      <w:r>
        <w:rPr>
          <w:color w:val="auto"/>
          <w:highlight w:val="none"/>
        </w:rPr>
        <w:instrText xml:space="preserve"> </w:instrText>
      </w:r>
      <w:r>
        <w:rPr>
          <w:rFonts w:hint="eastAsia"/>
          <w:color w:val="auto"/>
          <w:highlight w:val="none"/>
        </w:rPr>
        <w:instrText xml:space="preserve">SEQ 表 \* ARABIC \s 3</w:instrText>
      </w:r>
      <w:r>
        <w:rPr>
          <w:color w:val="auto"/>
          <w:highlight w:val="none"/>
        </w:rPr>
        <w:instrText xml:space="preserve"> </w:instrText>
      </w:r>
      <w:r>
        <w:rPr>
          <w:color w:val="auto"/>
          <w:highlight w:val="none"/>
        </w:rPr>
        <w:fldChar w:fldCharType="separate"/>
      </w:r>
      <w:r>
        <w:rPr>
          <w:color w:val="auto"/>
          <w:highlight w:val="none"/>
        </w:rPr>
        <w:t>1</w:t>
      </w:r>
      <w:r>
        <w:rPr>
          <w:color w:val="auto"/>
          <w:highlight w:val="none"/>
        </w:rPr>
        <w:fldChar w:fldCharType="end"/>
      </w:r>
      <w:bookmarkEnd w:id="49"/>
      <w:r>
        <w:rPr>
          <w:color w:val="auto"/>
          <w:highlight w:val="none"/>
        </w:rPr>
        <w:t>主要环境影响因素识别表</w:t>
      </w:r>
    </w:p>
    <w:tbl>
      <w:tblPr>
        <w:tblStyle w:val="34"/>
        <w:tblW w:w="501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431"/>
        <w:gridCol w:w="2091"/>
        <w:gridCol w:w="1166"/>
        <w:gridCol w:w="884"/>
        <w:gridCol w:w="1063"/>
        <w:gridCol w:w="891"/>
        <w:gridCol w:w="885"/>
        <w:gridCol w:w="1063"/>
        <w:gridCol w:w="8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347" w:type="pct"/>
            <w:gridSpan w:val="2"/>
            <w:vMerge w:val="restart"/>
            <w:tcBorders>
              <w:tl2br w:val="single" w:color="auto" w:sz="4" w:space="0"/>
            </w:tcBorders>
            <w:vAlign w:val="center"/>
          </w:tcPr>
          <w:p>
            <w:pPr>
              <w:pStyle w:val="104"/>
              <w:rPr>
                <w:color w:val="auto"/>
                <w:sz w:val="21"/>
                <w:szCs w:val="21"/>
                <w:highlight w:val="none"/>
              </w:rPr>
            </w:pPr>
            <w:r>
              <w:rPr>
                <w:color w:val="auto"/>
                <w:sz w:val="21"/>
                <w:szCs w:val="21"/>
                <w:highlight w:val="none"/>
              </w:rPr>
              <w:t>环境要素</w:t>
            </w:r>
          </w:p>
          <w:p>
            <w:pPr>
              <w:pStyle w:val="104"/>
              <w:ind w:firstLine="210" w:firstLineChars="100"/>
              <w:jc w:val="both"/>
              <w:rPr>
                <w:color w:val="auto"/>
                <w:sz w:val="21"/>
                <w:szCs w:val="21"/>
                <w:highlight w:val="none"/>
              </w:rPr>
            </w:pPr>
            <w:r>
              <w:rPr>
                <w:color w:val="auto"/>
                <w:sz w:val="21"/>
                <w:szCs w:val="21"/>
                <w:highlight w:val="none"/>
              </w:rPr>
              <w:t>开发活动</w:t>
            </w:r>
          </w:p>
        </w:tc>
        <w:tc>
          <w:tcPr>
            <w:tcW w:w="1663" w:type="pct"/>
            <w:gridSpan w:val="3"/>
            <w:vAlign w:val="center"/>
          </w:tcPr>
          <w:p>
            <w:pPr>
              <w:pStyle w:val="104"/>
              <w:rPr>
                <w:color w:val="auto"/>
                <w:sz w:val="21"/>
                <w:szCs w:val="21"/>
                <w:highlight w:val="none"/>
              </w:rPr>
            </w:pPr>
            <w:r>
              <w:rPr>
                <w:color w:val="auto"/>
                <w:sz w:val="21"/>
                <w:szCs w:val="21"/>
                <w:highlight w:val="none"/>
              </w:rPr>
              <w:t>自然环境</w:t>
            </w:r>
          </w:p>
        </w:tc>
        <w:tc>
          <w:tcPr>
            <w:tcW w:w="1517" w:type="pct"/>
            <w:gridSpan w:val="3"/>
            <w:vAlign w:val="center"/>
          </w:tcPr>
          <w:p>
            <w:pPr>
              <w:pStyle w:val="104"/>
              <w:rPr>
                <w:color w:val="auto"/>
                <w:sz w:val="21"/>
                <w:szCs w:val="21"/>
                <w:highlight w:val="none"/>
              </w:rPr>
            </w:pPr>
            <w:r>
              <w:rPr>
                <w:color w:val="auto"/>
                <w:sz w:val="21"/>
                <w:szCs w:val="21"/>
                <w:highlight w:val="none"/>
              </w:rPr>
              <w:t>生态环境</w:t>
            </w:r>
          </w:p>
        </w:tc>
        <w:tc>
          <w:tcPr>
            <w:tcW w:w="471" w:type="pct"/>
            <w:vAlign w:val="center"/>
          </w:tcPr>
          <w:p>
            <w:pPr>
              <w:pStyle w:val="104"/>
              <w:rPr>
                <w:color w:val="auto"/>
                <w:sz w:val="21"/>
                <w:szCs w:val="21"/>
                <w:highlight w:val="none"/>
              </w:rPr>
            </w:pPr>
            <w:r>
              <w:rPr>
                <w:color w:val="auto"/>
                <w:sz w:val="21"/>
                <w:szCs w:val="21"/>
                <w:highlight w:val="none"/>
              </w:rPr>
              <w:t>土壤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347" w:type="pct"/>
            <w:gridSpan w:val="2"/>
            <w:vMerge w:val="continue"/>
            <w:vAlign w:val="center"/>
          </w:tcPr>
          <w:p>
            <w:pPr>
              <w:pStyle w:val="104"/>
              <w:rPr>
                <w:color w:val="auto"/>
                <w:sz w:val="21"/>
                <w:szCs w:val="21"/>
                <w:highlight w:val="none"/>
              </w:rPr>
            </w:pPr>
          </w:p>
        </w:tc>
        <w:tc>
          <w:tcPr>
            <w:tcW w:w="623" w:type="pct"/>
            <w:vAlign w:val="center"/>
          </w:tcPr>
          <w:p>
            <w:pPr>
              <w:pStyle w:val="104"/>
              <w:rPr>
                <w:color w:val="auto"/>
                <w:sz w:val="21"/>
                <w:szCs w:val="21"/>
                <w:highlight w:val="none"/>
              </w:rPr>
            </w:pPr>
            <w:r>
              <w:rPr>
                <w:color w:val="auto"/>
                <w:sz w:val="21"/>
                <w:szCs w:val="21"/>
                <w:highlight w:val="none"/>
              </w:rPr>
              <w:t>环境空气</w:t>
            </w:r>
          </w:p>
        </w:tc>
        <w:tc>
          <w:tcPr>
            <w:tcW w:w="472" w:type="pct"/>
            <w:vAlign w:val="center"/>
          </w:tcPr>
          <w:p>
            <w:pPr>
              <w:pStyle w:val="104"/>
              <w:rPr>
                <w:color w:val="auto"/>
                <w:sz w:val="21"/>
                <w:szCs w:val="21"/>
                <w:highlight w:val="none"/>
              </w:rPr>
            </w:pPr>
            <w:r>
              <w:rPr>
                <w:color w:val="auto"/>
                <w:sz w:val="21"/>
                <w:szCs w:val="21"/>
                <w:highlight w:val="none"/>
              </w:rPr>
              <w:t>地下水</w:t>
            </w:r>
          </w:p>
        </w:tc>
        <w:tc>
          <w:tcPr>
            <w:tcW w:w="567" w:type="pct"/>
            <w:vAlign w:val="center"/>
          </w:tcPr>
          <w:p>
            <w:pPr>
              <w:pStyle w:val="104"/>
              <w:rPr>
                <w:color w:val="auto"/>
                <w:sz w:val="21"/>
                <w:szCs w:val="21"/>
                <w:highlight w:val="none"/>
              </w:rPr>
            </w:pPr>
            <w:r>
              <w:rPr>
                <w:color w:val="auto"/>
                <w:sz w:val="21"/>
                <w:szCs w:val="21"/>
                <w:highlight w:val="none"/>
              </w:rPr>
              <w:t>声环境</w:t>
            </w:r>
          </w:p>
        </w:tc>
        <w:tc>
          <w:tcPr>
            <w:tcW w:w="476" w:type="pct"/>
            <w:vAlign w:val="center"/>
          </w:tcPr>
          <w:p>
            <w:pPr>
              <w:pStyle w:val="104"/>
              <w:rPr>
                <w:color w:val="auto"/>
                <w:sz w:val="21"/>
                <w:szCs w:val="21"/>
                <w:highlight w:val="none"/>
              </w:rPr>
            </w:pPr>
            <w:r>
              <w:rPr>
                <w:color w:val="auto"/>
                <w:sz w:val="21"/>
                <w:szCs w:val="21"/>
                <w:highlight w:val="none"/>
              </w:rPr>
              <w:t>植被</w:t>
            </w:r>
          </w:p>
        </w:tc>
        <w:tc>
          <w:tcPr>
            <w:tcW w:w="473" w:type="pct"/>
            <w:vAlign w:val="center"/>
          </w:tcPr>
          <w:p>
            <w:pPr>
              <w:pStyle w:val="104"/>
              <w:rPr>
                <w:color w:val="auto"/>
                <w:sz w:val="21"/>
                <w:szCs w:val="21"/>
                <w:highlight w:val="none"/>
              </w:rPr>
            </w:pPr>
            <w:r>
              <w:rPr>
                <w:color w:val="auto"/>
                <w:sz w:val="21"/>
                <w:szCs w:val="21"/>
                <w:highlight w:val="none"/>
              </w:rPr>
              <w:t>景观</w:t>
            </w:r>
          </w:p>
        </w:tc>
        <w:tc>
          <w:tcPr>
            <w:tcW w:w="568" w:type="pct"/>
            <w:vAlign w:val="center"/>
          </w:tcPr>
          <w:p>
            <w:pPr>
              <w:pStyle w:val="104"/>
              <w:rPr>
                <w:color w:val="auto"/>
                <w:sz w:val="21"/>
                <w:szCs w:val="21"/>
                <w:highlight w:val="none"/>
              </w:rPr>
            </w:pPr>
            <w:r>
              <w:rPr>
                <w:color w:val="auto"/>
                <w:sz w:val="21"/>
                <w:szCs w:val="21"/>
                <w:highlight w:val="none"/>
              </w:rPr>
              <w:t>水土流失</w:t>
            </w:r>
          </w:p>
        </w:tc>
        <w:tc>
          <w:tcPr>
            <w:tcW w:w="471" w:type="pct"/>
            <w:vAlign w:val="center"/>
          </w:tcPr>
          <w:p>
            <w:pPr>
              <w:pStyle w:val="104"/>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230" w:type="pct"/>
            <w:vMerge w:val="restart"/>
            <w:vAlign w:val="center"/>
          </w:tcPr>
          <w:p>
            <w:pPr>
              <w:pStyle w:val="104"/>
              <w:rPr>
                <w:color w:val="auto"/>
                <w:sz w:val="21"/>
                <w:szCs w:val="21"/>
                <w:highlight w:val="none"/>
              </w:rPr>
            </w:pPr>
            <w:r>
              <w:rPr>
                <w:color w:val="auto"/>
                <w:sz w:val="21"/>
                <w:szCs w:val="21"/>
                <w:highlight w:val="none"/>
              </w:rPr>
              <w:t>施</w:t>
            </w:r>
          </w:p>
          <w:p>
            <w:pPr>
              <w:pStyle w:val="104"/>
              <w:rPr>
                <w:color w:val="auto"/>
                <w:sz w:val="21"/>
                <w:szCs w:val="21"/>
                <w:highlight w:val="none"/>
              </w:rPr>
            </w:pPr>
            <w:r>
              <w:rPr>
                <w:color w:val="auto"/>
                <w:sz w:val="21"/>
                <w:szCs w:val="21"/>
                <w:highlight w:val="none"/>
              </w:rPr>
              <w:t>工</w:t>
            </w:r>
          </w:p>
          <w:p>
            <w:pPr>
              <w:pStyle w:val="104"/>
              <w:rPr>
                <w:color w:val="auto"/>
                <w:sz w:val="21"/>
                <w:szCs w:val="21"/>
                <w:highlight w:val="none"/>
              </w:rPr>
            </w:pPr>
            <w:r>
              <w:rPr>
                <w:color w:val="auto"/>
                <w:sz w:val="21"/>
                <w:szCs w:val="21"/>
                <w:highlight w:val="none"/>
              </w:rPr>
              <w:t>期</w:t>
            </w:r>
          </w:p>
        </w:tc>
        <w:tc>
          <w:tcPr>
            <w:tcW w:w="1117" w:type="pct"/>
            <w:vAlign w:val="center"/>
          </w:tcPr>
          <w:p>
            <w:pPr>
              <w:pStyle w:val="104"/>
              <w:rPr>
                <w:color w:val="auto"/>
                <w:sz w:val="21"/>
                <w:szCs w:val="21"/>
                <w:highlight w:val="none"/>
              </w:rPr>
            </w:pPr>
            <w:r>
              <w:rPr>
                <w:color w:val="auto"/>
                <w:sz w:val="21"/>
                <w:szCs w:val="21"/>
                <w:highlight w:val="none"/>
              </w:rPr>
              <w:t>土建工程</w:t>
            </w:r>
          </w:p>
        </w:tc>
        <w:tc>
          <w:tcPr>
            <w:tcW w:w="623" w:type="pct"/>
            <w:vAlign w:val="center"/>
          </w:tcPr>
          <w:p>
            <w:pPr>
              <w:pStyle w:val="104"/>
              <w:rPr>
                <w:color w:val="auto"/>
                <w:sz w:val="21"/>
                <w:szCs w:val="21"/>
                <w:highlight w:val="none"/>
              </w:rPr>
            </w:pPr>
            <w:r>
              <w:rPr>
                <w:color w:val="auto"/>
                <w:sz w:val="21"/>
                <w:szCs w:val="21"/>
                <w:highlight w:val="none"/>
              </w:rPr>
              <w:t>-1S</w:t>
            </w:r>
          </w:p>
        </w:tc>
        <w:tc>
          <w:tcPr>
            <w:tcW w:w="472" w:type="pct"/>
            <w:vAlign w:val="center"/>
          </w:tcPr>
          <w:p>
            <w:pPr>
              <w:pStyle w:val="104"/>
              <w:rPr>
                <w:color w:val="auto"/>
                <w:sz w:val="21"/>
                <w:szCs w:val="21"/>
                <w:highlight w:val="none"/>
              </w:rPr>
            </w:pPr>
          </w:p>
        </w:tc>
        <w:tc>
          <w:tcPr>
            <w:tcW w:w="567" w:type="pct"/>
            <w:vAlign w:val="center"/>
          </w:tcPr>
          <w:p>
            <w:pPr>
              <w:pStyle w:val="104"/>
              <w:rPr>
                <w:color w:val="auto"/>
                <w:sz w:val="21"/>
                <w:szCs w:val="21"/>
                <w:highlight w:val="none"/>
              </w:rPr>
            </w:pPr>
            <w:r>
              <w:rPr>
                <w:color w:val="auto"/>
                <w:sz w:val="21"/>
                <w:szCs w:val="21"/>
                <w:highlight w:val="none"/>
              </w:rPr>
              <w:t>-1S</w:t>
            </w:r>
          </w:p>
        </w:tc>
        <w:tc>
          <w:tcPr>
            <w:tcW w:w="476" w:type="pct"/>
            <w:vAlign w:val="center"/>
          </w:tcPr>
          <w:p>
            <w:pPr>
              <w:pStyle w:val="104"/>
              <w:rPr>
                <w:color w:val="auto"/>
                <w:sz w:val="21"/>
                <w:szCs w:val="21"/>
                <w:highlight w:val="none"/>
              </w:rPr>
            </w:pPr>
          </w:p>
        </w:tc>
        <w:tc>
          <w:tcPr>
            <w:tcW w:w="473" w:type="pct"/>
            <w:vAlign w:val="center"/>
          </w:tcPr>
          <w:p>
            <w:pPr>
              <w:pStyle w:val="104"/>
              <w:rPr>
                <w:color w:val="auto"/>
                <w:sz w:val="21"/>
                <w:szCs w:val="21"/>
                <w:highlight w:val="none"/>
              </w:rPr>
            </w:pPr>
          </w:p>
        </w:tc>
        <w:tc>
          <w:tcPr>
            <w:tcW w:w="568" w:type="pct"/>
            <w:vAlign w:val="center"/>
          </w:tcPr>
          <w:p>
            <w:pPr>
              <w:pStyle w:val="104"/>
              <w:rPr>
                <w:color w:val="auto"/>
                <w:sz w:val="21"/>
                <w:szCs w:val="21"/>
                <w:highlight w:val="none"/>
              </w:rPr>
            </w:pPr>
            <w:r>
              <w:rPr>
                <w:color w:val="auto"/>
                <w:sz w:val="21"/>
                <w:szCs w:val="21"/>
                <w:highlight w:val="none"/>
              </w:rPr>
              <w:t>-1S</w:t>
            </w:r>
          </w:p>
        </w:tc>
        <w:tc>
          <w:tcPr>
            <w:tcW w:w="471" w:type="pct"/>
            <w:vAlign w:val="center"/>
          </w:tcPr>
          <w:p>
            <w:pPr>
              <w:pStyle w:val="104"/>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230" w:type="pct"/>
            <w:vMerge w:val="continue"/>
            <w:vAlign w:val="center"/>
          </w:tcPr>
          <w:p>
            <w:pPr>
              <w:pStyle w:val="104"/>
              <w:rPr>
                <w:color w:val="auto"/>
                <w:sz w:val="21"/>
                <w:szCs w:val="21"/>
                <w:highlight w:val="none"/>
              </w:rPr>
            </w:pPr>
          </w:p>
        </w:tc>
        <w:tc>
          <w:tcPr>
            <w:tcW w:w="1117" w:type="pct"/>
            <w:vAlign w:val="center"/>
          </w:tcPr>
          <w:p>
            <w:pPr>
              <w:pStyle w:val="104"/>
              <w:rPr>
                <w:color w:val="auto"/>
                <w:sz w:val="21"/>
                <w:szCs w:val="21"/>
                <w:highlight w:val="none"/>
              </w:rPr>
            </w:pPr>
            <w:r>
              <w:rPr>
                <w:color w:val="auto"/>
                <w:sz w:val="21"/>
                <w:szCs w:val="21"/>
                <w:highlight w:val="none"/>
              </w:rPr>
              <w:t>运输</w:t>
            </w:r>
          </w:p>
        </w:tc>
        <w:tc>
          <w:tcPr>
            <w:tcW w:w="623" w:type="pct"/>
            <w:vAlign w:val="center"/>
          </w:tcPr>
          <w:p>
            <w:pPr>
              <w:pStyle w:val="104"/>
              <w:rPr>
                <w:color w:val="auto"/>
                <w:sz w:val="21"/>
                <w:szCs w:val="21"/>
                <w:highlight w:val="none"/>
              </w:rPr>
            </w:pPr>
            <w:r>
              <w:rPr>
                <w:color w:val="auto"/>
                <w:sz w:val="21"/>
                <w:szCs w:val="21"/>
                <w:highlight w:val="none"/>
              </w:rPr>
              <w:t>-1S</w:t>
            </w:r>
          </w:p>
        </w:tc>
        <w:tc>
          <w:tcPr>
            <w:tcW w:w="472" w:type="pct"/>
            <w:vAlign w:val="center"/>
          </w:tcPr>
          <w:p>
            <w:pPr>
              <w:pStyle w:val="104"/>
              <w:rPr>
                <w:color w:val="auto"/>
                <w:sz w:val="21"/>
                <w:szCs w:val="21"/>
                <w:highlight w:val="none"/>
              </w:rPr>
            </w:pPr>
          </w:p>
        </w:tc>
        <w:tc>
          <w:tcPr>
            <w:tcW w:w="567" w:type="pct"/>
            <w:vAlign w:val="center"/>
          </w:tcPr>
          <w:p>
            <w:pPr>
              <w:pStyle w:val="104"/>
              <w:rPr>
                <w:color w:val="auto"/>
                <w:sz w:val="21"/>
                <w:szCs w:val="21"/>
                <w:highlight w:val="none"/>
              </w:rPr>
            </w:pPr>
            <w:r>
              <w:rPr>
                <w:color w:val="auto"/>
                <w:sz w:val="21"/>
                <w:szCs w:val="21"/>
                <w:highlight w:val="none"/>
              </w:rPr>
              <w:t>-1S</w:t>
            </w:r>
          </w:p>
        </w:tc>
        <w:tc>
          <w:tcPr>
            <w:tcW w:w="476" w:type="pct"/>
            <w:vAlign w:val="center"/>
          </w:tcPr>
          <w:p>
            <w:pPr>
              <w:pStyle w:val="104"/>
              <w:rPr>
                <w:color w:val="auto"/>
                <w:sz w:val="21"/>
                <w:szCs w:val="21"/>
                <w:highlight w:val="none"/>
              </w:rPr>
            </w:pPr>
          </w:p>
        </w:tc>
        <w:tc>
          <w:tcPr>
            <w:tcW w:w="473" w:type="pct"/>
            <w:vAlign w:val="center"/>
          </w:tcPr>
          <w:p>
            <w:pPr>
              <w:pStyle w:val="104"/>
              <w:rPr>
                <w:color w:val="auto"/>
                <w:sz w:val="21"/>
                <w:szCs w:val="21"/>
                <w:highlight w:val="none"/>
              </w:rPr>
            </w:pPr>
          </w:p>
        </w:tc>
        <w:tc>
          <w:tcPr>
            <w:tcW w:w="568" w:type="pct"/>
            <w:vAlign w:val="center"/>
          </w:tcPr>
          <w:p>
            <w:pPr>
              <w:pStyle w:val="104"/>
              <w:rPr>
                <w:color w:val="auto"/>
                <w:sz w:val="21"/>
                <w:szCs w:val="21"/>
                <w:highlight w:val="none"/>
              </w:rPr>
            </w:pPr>
            <w:r>
              <w:rPr>
                <w:color w:val="auto"/>
                <w:sz w:val="21"/>
                <w:szCs w:val="21"/>
                <w:highlight w:val="none"/>
              </w:rPr>
              <w:t>-1S</w:t>
            </w:r>
          </w:p>
        </w:tc>
        <w:tc>
          <w:tcPr>
            <w:tcW w:w="471" w:type="pct"/>
            <w:vAlign w:val="center"/>
          </w:tcPr>
          <w:p>
            <w:pPr>
              <w:pStyle w:val="104"/>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230" w:type="pct"/>
            <w:vMerge w:val="continue"/>
            <w:vAlign w:val="center"/>
          </w:tcPr>
          <w:p>
            <w:pPr>
              <w:pStyle w:val="104"/>
              <w:rPr>
                <w:color w:val="auto"/>
                <w:sz w:val="21"/>
                <w:szCs w:val="21"/>
                <w:highlight w:val="none"/>
              </w:rPr>
            </w:pPr>
          </w:p>
        </w:tc>
        <w:tc>
          <w:tcPr>
            <w:tcW w:w="1117" w:type="pct"/>
            <w:vAlign w:val="center"/>
          </w:tcPr>
          <w:p>
            <w:pPr>
              <w:pStyle w:val="104"/>
              <w:rPr>
                <w:color w:val="auto"/>
                <w:sz w:val="21"/>
                <w:szCs w:val="21"/>
                <w:highlight w:val="none"/>
              </w:rPr>
            </w:pPr>
            <w:r>
              <w:rPr>
                <w:color w:val="auto"/>
                <w:sz w:val="21"/>
                <w:szCs w:val="21"/>
                <w:highlight w:val="none"/>
              </w:rPr>
              <w:t>施工机械使用</w:t>
            </w:r>
          </w:p>
        </w:tc>
        <w:tc>
          <w:tcPr>
            <w:tcW w:w="623" w:type="pct"/>
            <w:vAlign w:val="center"/>
          </w:tcPr>
          <w:p>
            <w:pPr>
              <w:pStyle w:val="104"/>
              <w:rPr>
                <w:color w:val="auto"/>
                <w:sz w:val="21"/>
                <w:szCs w:val="21"/>
                <w:highlight w:val="none"/>
              </w:rPr>
            </w:pPr>
            <w:r>
              <w:rPr>
                <w:color w:val="auto"/>
                <w:sz w:val="21"/>
                <w:szCs w:val="21"/>
                <w:highlight w:val="none"/>
              </w:rPr>
              <w:t>-1S</w:t>
            </w:r>
          </w:p>
        </w:tc>
        <w:tc>
          <w:tcPr>
            <w:tcW w:w="472" w:type="pct"/>
            <w:vAlign w:val="center"/>
          </w:tcPr>
          <w:p>
            <w:pPr>
              <w:pStyle w:val="104"/>
              <w:rPr>
                <w:color w:val="auto"/>
                <w:sz w:val="21"/>
                <w:szCs w:val="21"/>
                <w:highlight w:val="none"/>
              </w:rPr>
            </w:pPr>
          </w:p>
        </w:tc>
        <w:tc>
          <w:tcPr>
            <w:tcW w:w="567" w:type="pct"/>
            <w:vAlign w:val="center"/>
          </w:tcPr>
          <w:p>
            <w:pPr>
              <w:pStyle w:val="104"/>
              <w:rPr>
                <w:color w:val="auto"/>
                <w:sz w:val="21"/>
                <w:szCs w:val="21"/>
                <w:highlight w:val="none"/>
              </w:rPr>
            </w:pPr>
            <w:r>
              <w:rPr>
                <w:color w:val="auto"/>
                <w:sz w:val="21"/>
                <w:szCs w:val="21"/>
                <w:highlight w:val="none"/>
              </w:rPr>
              <w:t>-1S</w:t>
            </w:r>
          </w:p>
        </w:tc>
        <w:tc>
          <w:tcPr>
            <w:tcW w:w="476" w:type="pct"/>
            <w:vAlign w:val="center"/>
          </w:tcPr>
          <w:p>
            <w:pPr>
              <w:pStyle w:val="104"/>
              <w:rPr>
                <w:color w:val="auto"/>
                <w:sz w:val="21"/>
                <w:szCs w:val="21"/>
                <w:highlight w:val="none"/>
              </w:rPr>
            </w:pPr>
          </w:p>
        </w:tc>
        <w:tc>
          <w:tcPr>
            <w:tcW w:w="473" w:type="pct"/>
            <w:vAlign w:val="center"/>
          </w:tcPr>
          <w:p>
            <w:pPr>
              <w:pStyle w:val="104"/>
              <w:rPr>
                <w:color w:val="auto"/>
                <w:sz w:val="21"/>
                <w:szCs w:val="21"/>
                <w:highlight w:val="none"/>
              </w:rPr>
            </w:pPr>
          </w:p>
        </w:tc>
        <w:tc>
          <w:tcPr>
            <w:tcW w:w="568" w:type="pct"/>
            <w:vAlign w:val="center"/>
          </w:tcPr>
          <w:p>
            <w:pPr>
              <w:pStyle w:val="104"/>
              <w:rPr>
                <w:color w:val="auto"/>
                <w:sz w:val="21"/>
                <w:szCs w:val="21"/>
                <w:highlight w:val="none"/>
              </w:rPr>
            </w:pPr>
            <w:r>
              <w:rPr>
                <w:color w:val="auto"/>
                <w:sz w:val="21"/>
                <w:szCs w:val="21"/>
                <w:highlight w:val="none"/>
              </w:rPr>
              <w:t>-1S</w:t>
            </w:r>
          </w:p>
        </w:tc>
        <w:tc>
          <w:tcPr>
            <w:tcW w:w="471" w:type="pct"/>
            <w:vAlign w:val="center"/>
          </w:tcPr>
          <w:p>
            <w:pPr>
              <w:pStyle w:val="104"/>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230" w:type="pct"/>
            <w:vMerge w:val="restart"/>
            <w:vAlign w:val="center"/>
          </w:tcPr>
          <w:p>
            <w:pPr>
              <w:pStyle w:val="104"/>
              <w:rPr>
                <w:color w:val="auto"/>
                <w:sz w:val="21"/>
                <w:szCs w:val="21"/>
                <w:highlight w:val="none"/>
              </w:rPr>
            </w:pPr>
            <w:r>
              <w:rPr>
                <w:color w:val="auto"/>
                <w:sz w:val="21"/>
                <w:szCs w:val="21"/>
                <w:highlight w:val="none"/>
              </w:rPr>
              <w:t>运</w:t>
            </w:r>
          </w:p>
          <w:p>
            <w:pPr>
              <w:pStyle w:val="104"/>
              <w:rPr>
                <w:color w:val="auto"/>
                <w:sz w:val="21"/>
                <w:szCs w:val="21"/>
                <w:highlight w:val="none"/>
              </w:rPr>
            </w:pPr>
            <w:r>
              <w:rPr>
                <w:color w:val="auto"/>
                <w:sz w:val="21"/>
                <w:szCs w:val="21"/>
                <w:highlight w:val="none"/>
              </w:rPr>
              <w:t>行</w:t>
            </w:r>
          </w:p>
          <w:p>
            <w:pPr>
              <w:pStyle w:val="104"/>
              <w:rPr>
                <w:color w:val="auto"/>
                <w:sz w:val="21"/>
                <w:szCs w:val="21"/>
                <w:highlight w:val="none"/>
              </w:rPr>
            </w:pPr>
            <w:r>
              <w:rPr>
                <w:color w:val="auto"/>
                <w:sz w:val="21"/>
                <w:szCs w:val="21"/>
                <w:highlight w:val="none"/>
              </w:rPr>
              <w:t>期</w:t>
            </w:r>
          </w:p>
        </w:tc>
        <w:tc>
          <w:tcPr>
            <w:tcW w:w="1117" w:type="pct"/>
            <w:vAlign w:val="center"/>
          </w:tcPr>
          <w:p>
            <w:pPr>
              <w:pStyle w:val="104"/>
              <w:rPr>
                <w:color w:val="auto"/>
                <w:sz w:val="21"/>
                <w:szCs w:val="21"/>
                <w:highlight w:val="none"/>
              </w:rPr>
            </w:pPr>
            <w:r>
              <w:rPr>
                <w:color w:val="auto"/>
                <w:sz w:val="21"/>
                <w:szCs w:val="21"/>
                <w:highlight w:val="none"/>
              </w:rPr>
              <w:t>污水处理装置</w:t>
            </w:r>
          </w:p>
        </w:tc>
        <w:tc>
          <w:tcPr>
            <w:tcW w:w="623" w:type="pct"/>
            <w:vAlign w:val="center"/>
          </w:tcPr>
          <w:p>
            <w:pPr>
              <w:pStyle w:val="104"/>
              <w:rPr>
                <w:color w:val="auto"/>
                <w:sz w:val="21"/>
                <w:szCs w:val="21"/>
                <w:highlight w:val="none"/>
              </w:rPr>
            </w:pPr>
            <w:r>
              <w:rPr>
                <w:color w:val="auto"/>
                <w:sz w:val="21"/>
                <w:szCs w:val="21"/>
                <w:highlight w:val="none"/>
              </w:rPr>
              <w:t>-1L</w:t>
            </w:r>
          </w:p>
        </w:tc>
        <w:tc>
          <w:tcPr>
            <w:tcW w:w="472" w:type="pct"/>
            <w:vAlign w:val="center"/>
          </w:tcPr>
          <w:p>
            <w:pPr>
              <w:pStyle w:val="104"/>
              <w:rPr>
                <w:color w:val="auto"/>
                <w:sz w:val="21"/>
                <w:szCs w:val="21"/>
                <w:highlight w:val="none"/>
              </w:rPr>
            </w:pPr>
            <w:r>
              <w:rPr>
                <w:color w:val="auto"/>
                <w:sz w:val="21"/>
                <w:szCs w:val="21"/>
                <w:highlight w:val="none"/>
              </w:rPr>
              <w:t>-1L</w:t>
            </w:r>
          </w:p>
        </w:tc>
        <w:tc>
          <w:tcPr>
            <w:tcW w:w="567" w:type="pct"/>
            <w:vAlign w:val="center"/>
          </w:tcPr>
          <w:p>
            <w:pPr>
              <w:pStyle w:val="104"/>
              <w:rPr>
                <w:color w:val="auto"/>
                <w:sz w:val="21"/>
                <w:szCs w:val="21"/>
                <w:highlight w:val="none"/>
              </w:rPr>
            </w:pPr>
            <w:r>
              <w:rPr>
                <w:color w:val="auto"/>
                <w:sz w:val="21"/>
                <w:szCs w:val="21"/>
                <w:highlight w:val="none"/>
              </w:rPr>
              <w:t>-1L</w:t>
            </w:r>
          </w:p>
        </w:tc>
        <w:tc>
          <w:tcPr>
            <w:tcW w:w="476" w:type="pct"/>
            <w:vAlign w:val="center"/>
          </w:tcPr>
          <w:p>
            <w:pPr>
              <w:pStyle w:val="104"/>
              <w:rPr>
                <w:color w:val="auto"/>
                <w:sz w:val="21"/>
                <w:szCs w:val="21"/>
                <w:highlight w:val="none"/>
              </w:rPr>
            </w:pPr>
            <w:r>
              <w:rPr>
                <w:color w:val="auto"/>
                <w:sz w:val="21"/>
                <w:szCs w:val="21"/>
                <w:highlight w:val="none"/>
              </w:rPr>
              <w:t>+2S</w:t>
            </w:r>
          </w:p>
        </w:tc>
        <w:tc>
          <w:tcPr>
            <w:tcW w:w="473" w:type="pct"/>
            <w:vAlign w:val="center"/>
          </w:tcPr>
          <w:p>
            <w:pPr>
              <w:pStyle w:val="104"/>
              <w:rPr>
                <w:color w:val="auto"/>
                <w:sz w:val="21"/>
                <w:szCs w:val="21"/>
                <w:highlight w:val="none"/>
              </w:rPr>
            </w:pPr>
            <w:r>
              <w:rPr>
                <w:color w:val="auto"/>
                <w:sz w:val="21"/>
                <w:szCs w:val="21"/>
                <w:highlight w:val="none"/>
              </w:rPr>
              <w:t>-1L</w:t>
            </w:r>
          </w:p>
        </w:tc>
        <w:tc>
          <w:tcPr>
            <w:tcW w:w="568" w:type="pct"/>
            <w:vAlign w:val="center"/>
          </w:tcPr>
          <w:p>
            <w:pPr>
              <w:pStyle w:val="104"/>
              <w:rPr>
                <w:color w:val="auto"/>
                <w:sz w:val="21"/>
                <w:szCs w:val="21"/>
                <w:highlight w:val="none"/>
              </w:rPr>
            </w:pPr>
          </w:p>
        </w:tc>
        <w:tc>
          <w:tcPr>
            <w:tcW w:w="471" w:type="pct"/>
            <w:vAlign w:val="center"/>
          </w:tcPr>
          <w:p>
            <w:pPr>
              <w:pStyle w:val="104"/>
              <w:rPr>
                <w:color w:val="auto"/>
                <w:sz w:val="21"/>
                <w:szCs w:val="21"/>
                <w:highlight w:val="none"/>
              </w:rPr>
            </w:pPr>
            <w:r>
              <w:rPr>
                <w:color w:val="auto"/>
                <w:sz w:val="21"/>
                <w:szCs w:val="21"/>
                <w:highlight w:val="none"/>
              </w:rPr>
              <w:t>-1L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230" w:type="pct"/>
            <w:vMerge w:val="continue"/>
            <w:vAlign w:val="center"/>
          </w:tcPr>
          <w:p>
            <w:pPr>
              <w:pStyle w:val="104"/>
              <w:rPr>
                <w:color w:val="auto"/>
                <w:sz w:val="21"/>
                <w:szCs w:val="21"/>
                <w:highlight w:val="none"/>
              </w:rPr>
            </w:pPr>
          </w:p>
        </w:tc>
        <w:tc>
          <w:tcPr>
            <w:tcW w:w="1117" w:type="pct"/>
            <w:vAlign w:val="center"/>
          </w:tcPr>
          <w:p>
            <w:pPr>
              <w:pStyle w:val="104"/>
              <w:rPr>
                <w:color w:val="auto"/>
                <w:sz w:val="21"/>
                <w:szCs w:val="21"/>
                <w:highlight w:val="none"/>
              </w:rPr>
            </w:pPr>
            <w:r>
              <w:rPr>
                <w:color w:val="auto"/>
                <w:sz w:val="21"/>
                <w:szCs w:val="21"/>
                <w:highlight w:val="none"/>
              </w:rPr>
              <w:t>储运设施</w:t>
            </w:r>
          </w:p>
        </w:tc>
        <w:tc>
          <w:tcPr>
            <w:tcW w:w="623" w:type="pct"/>
            <w:vAlign w:val="center"/>
          </w:tcPr>
          <w:p>
            <w:pPr>
              <w:pStyle w:val="104"/>
              <w:rPr>
                <w:color w:val="auto"/>
                <w:sz w:val="21"/>
                <w:szCs w:val="21"/>
                <w:highlight w:val="none"/>
              </w:rPr>
            </w:pPr>
            <w:r>
              <w:rPr>
                <w:color w:val="auto"/>
                <w:sz w:val="21"/>
                <w:szCs w:val="21"/>
                <w:highlight w:val="none"/>
              </w:rPr>
              <w:t>-1S</w:t>
            </w:r>
          </w:p>
        </w:tc>
        <w:tc>
          <w:tcPr>
            <w:tcW w:w="472" w:type="pct"/>
            <w:vAlign w:val="center"/>
          </w:tcPr>
          <w:p>
            <w:pPr>
              <w:pStyle w:val="104"/>
              <w:rPr>
                <w:color w:val="auto"/>
                <w:sz w:val="21"/>
                <w:szCs w:val="21"/>
                <w:highlight w:val="none"/>
              </w:rPr>
            </w:pPr>
            <w:r>
              <w:rPr>
                <w:color w:val="auto"/>
                <w:sz w:val="21"/>
                <w:szCs w:val="21"/>
                <w:highlight w:val="none"/>
              </w:rPr>
              <w:t>-1L</w:t>
            </w:r>
          </w:p>
        </w:tc>
        <w:tc>
          <w:tcPr>
            <w:tcW w:w="567" w:type="pct"/>
            <w:vAlign w:val="center"/>
          </w:tcPr>
          <w:p>
            <w:pPr>
              <w:pStyle w:val="104"/>
              <w:rPr>
                <w:color w:val="auto"/>
                <w:sz w:val="21"/>
                <w:szCs w:val="21"/>
                <w:highlight w:val="none"/>
              </w:rPr>
            </w:pPr>
            <w:r>
              <w:rPr>
                <w:color w:val="auto"/>
                <w:sz w:val="21"/>
                <w:szCs w:val="21"/>
                <w:highlight w:val="none"/>
              </w:rPr>
              <w:t>-2S</w:t>
            </w:r>
          </w:p>
        </w:tc>
        <w:tc>
          <w:tcPr>
            <w:tcW w:w="476" w:type="pct"/>
            <w:vAlign w:val="center"/>
          </w:tcPr>
          <w:p>
            <w:pPr>
              <w:pStyle w:val="104"/>
              <w:rPr>
                <w:color w:val="auto"/>
                <w:sz w:val="21"/>
                <w:szCs w:val="21"/>
                <w:highlight w:val="none"/>
              </w:rPr>
            </w:pPr>
            <w:r>
              <w:rPr>
                <w:color w:val="auto"/>
                <w:sz w:val="21"/>
                <w:szCs w:val="21"/>
                <w:highlight w:val="none"/>
              </w:rPr>
              <w:t>-1L</w:t>
            </w:r>
          </w:p>
        </w:tc>
        <w:tc>
          <w:tcPr>
            <w:tcW w:w="473" w:type="pct"/>
            <w:vAlign w:val="center"/>
          </w:tcPr>
          <w:p>
            <w:pPr>
              <w:pStyle w:val="104"/>
              <w:rPr>
                <w:color w:val="auto"/>
                <w:sz w:val="21"/>
                <w:szCs w:val="21"/>
                <w:highlight w:val="none"/>
              </w:rPr>
            </w:pPr>
            <w:r>
              <w:rPr>
                <w:color w:val="auto"/>
                <w:sz w:val="21"/>
                <w:szCs w:val="21"/>
                <w:highlight w:val="none"/>
              </w:rPr>
              <w:t>-1L</w:t>
            </w:r>
          </w:p>
        </w:tc>
        <w:tc>
          <w:tcPr>
            <w:tcW w:w="568" w:type="pct"/>
            <w:vAlign w:val="center"/>
          </w:tcPr>
          <w:p>
            <w:pPr>
              <w:pStyle w:val="104"/>
              <w:rPr>
                <w:color w:val="auto"/>
                <w:sz w:val="21"/>
                <w:szCs w:val="21"/>
                <w:highlight w:val="none"/>
              </w:rPr>
            </w:pPr>
          </w:p>
        </w:tc>
        <w:tc>
          <w:tcPr>
            <w:tcW w:w="471" w:type="pct"/>
            <w:vAlign w:val="center"/>
          </w:tcPr>
          <w:p>
            <w:pPr>
              <w:pStyle w:val="104"/>
              <w:rPr>
                <w:color w:val="auto"/>
                <w:sz w:val="21"/>
                <w:szCs w:val="21"/>
                <w:highlight w:val="none"/>
              </w:rPr>
            </w:pPr>
            <w:r>
              <w:rPr>
                <w:color w:val="auto"/>
                <w:sz w:val="21"/>
                <w:szCs w:val="21"/>
                <w:highlight w:val="none"/>
              </w:rPr>
              <w:t>-1L</w:t>
            </w:r>
          </w:p>
        </w:tc>
      </w:tr>
    </w:tbl>
    <w:p>
      <w:pPr>
        <w:tabs>
          <w:tab w:val="left" w:pos="995"/>
        </w:tabs>
        <w:ind w:firstLine="420"/>
        <w:rPr>
          <w:color w:val="auto"/>
          <w:sz w:val="21"/>
          <w:szCs w:val="21"/>
          <w:highlight w:val="none"/>
        </w:rPr>
      </w:pPr>
      <w:r>
        <w:rPr>
          <w:color w:val="auto"/>
          <w:sz w:val="21"/>
          <w:szCs w:val="21"/>
          <w:highlight w:val="none"/>
        </w:rPr>
        <w:t>注：（1）表中“1”表示轻微影响；“2”表示中等影响；“3”表示重大影响；（2）“＋”表示有利影响，“－”表示不利影响；（3）“S”表示可逆影响，“L”表示不可逆影响。</w:t>
      </w:r>
    </w:p>
    <w:p>
      <w:pPr>
        <w:ind w:firstLine="480"/>
        <w:rPr>
          <w:color w:val="auto"/>
          <w:highlight w:val="none"/>
        </w:rPr>
      </w:pPr>
      <w:r>
        <w:rPr>
          <w:color w:val="auto"/>
          <w:highlight w:val="none"/>
        </w:rPr>
        <w:t>本项目运营期将产生废气、废水、噪声以及固废等污染因素，将相应对项目区周围的环境空气、地下水环境及声环境等产生不同程度的影响。</w:t>
      </w:r>
    </w:p>
    <w:p>
      <w:pPr>
        <w:ind w:firstLine="480"/>
        <w:rPr>
          <w:color w:val="auto"/>
          <w:highlight w:val="none"/>
        </w:rPr>
      </w:pPr>
      <w:r>
        <w:rPr>
          <w:color w:val="auto"/>
          <w:highlight w:val="none"/>
        </w:rPr>
        <w:t>（1）环境空气：污水处理、污泥处置设施排放恶臭物质，如果不加以妥善管理将可能对环境空气产生不利影响。</w:t>
      </w:r>
    </w:p>
    <w:p>
      <w:pPr>
        <w:ind w:firstLine="480"/>
        <w:rPr>
          <w:color w:val="auto"/>
          <w:highlight w:val="none"/>
        </w:rPr>
      </w:pPr>
      <w:r>
        <w:rPr>
          <w:color w:val="auto"/>
          <w:highlight w:val="none"/>
        </w:rPr>
        <w:t>（2）地表水：经处理后的出水水质达标后</w:t>
      </w:r>
      <w:r>
        <w:rPr>
          <w:rFonts w:hint="eastAsia"/>
          <w:color w:val="auto"/>
          <w:highlight w:val="none"/>
        </w:rPr>
        <w:t>用于</w:t>
      </w:r>
      <w:r>
        <w:rPr>
          <w:rFonts w:hint="eastAsia"/>
          <w:color w:val="auto"/>
          <w:highlight w:val="none"/>
          <w:lang w:val="en-US" w:eastAsia="zh-CN"/>
        </w:rPr>
        <w:t>园区绿化及示范区的林地</w:t>
      </w:r>
      <w:r>
        <w:rPr>
          <w:rFonts w:hint="eastAsia"/>
          <w:color w:val="auto"/>
          <w:highlight w:val="none"/>
        </w:rPr>
        <w:t>，冬储夏灌，</w:t>
      </w:r>
      <w:r>
        <w:rPr>
          <w:color w:val="auto"/>
          <w:highlight w:val="none"/>
        </w:rPr>
        <w:t>无废水外排环境。</w:t>
      </w:r>
    </w:p>
    <w:p>
      <w:pPr>
        <w:ind w:firstLine="480"/>
        <w:rPr>
          <w:color w:val="auto"/>
          <w:highlight w:val="none"/>
        </w:rPr>
      </w:pPr>
      <w:r>
        <w:rPr>
          <w:color w:val="auto"/>
          <w:highlight w:val="none"/>
        </w:rPr>
        <w:t>因此，本项目出水去向与地表水无水力联系。另外，本项目运行后，将减少水污染物的排放，促进水的循环利用，有效地改善区域水环境，具有显著的环境正效益。</w:t>
      </w:r>
    </w:p>
    <w:p>
      <w:pPr>
        <w:ind w:firstLine="480"/>
        <w:rPr>
          <w:color w:val="auto"/>
          <w:highlight w:val="none"/>
        </w:rPr>
      </w:pPr>
      <w:r>
        <w:rPr>
          <w:color w:val="auto"/>
          <w:highlight w:val="none"/>
        </w:rPr>
        <w:t>（3）地下水：本项目为工业废水</w:t>
      </w:r>
      <w:r>
        <w:rPr>
          <w:rFonts w:hint="eastAsia"/>
          <w:color w:val="auto"/>
          <w:highlight w:val="none"/>
          <w:lang w:val="en-US" w:eastAsia="zh-CN"/>
        </w:rPr>
        <w:t>及生活污水</w:t>
      </w:r>
      <w:r>
        <w:rPr>
          <w:color w:val="auto"/>
          <w:highlight w:val="none"/>
        </w:rPr>
        <w:t>综合处理的环保工程，收集的企业废水若处理、排放不当可能对地下水环境产生不利影响。</w:t>
      </w:r>
    </w:p>
    <w:p>
      <w:pPr>
        <w:ind w:firstLine="480"/>
        <w:rPr>
          <w:color w:val="auto"/>
          <w:highlight w:val="none"/>
        </w:rPr>
      </w:pPr>
      <w:r>
        <w:rPr>
          <w:color w:val="auto"/>
          <w:highlight w:val="none"/>
        </w:rPr>
        <w:t>（4）噪声：主要噪声源来自于各类泵、引风机、污水传送、污泥传送等，对周围环境可能产生一定影响。</w:t>
      </w:r>
    </w:p>
    <w:p>
      <w:pPr>
        <w:ind w:firstLine="480"/>
        <w:rPr>
          <w:color w:val="auto"/>
          <w:highlight w:val="none"/>
        </w:rPr>
      </w:pPr>
      <w:r>
        <w:rPr>
          <w:color w:val="auto"/>
          <w:highlight w:val="none"/>
        </w:rPr>
        <w:t>（5）固体废物：废渣主要</w:t>
      </w:r>
      <w:r>
        <w:rPr>
          <w:color w:val="auto"/>
          <w:highlight w:val="none"/>
          <w:lang w:val="zh-CN"/>
        </w:rPr>
        <w:t>包括污泥、栅渣以及生活垃圾</w:t>
      </w:r>
      <w:r>
        <w:rPr>
          <w:color w:val="auto"/>
          <w:highlight w:val="none"/>
        </w:rPr>
        <w:t>，其中污泥为本项目产生的主要固体废物，如处置不当对周围环境可能产生二次污染的影响。</w:t>
      </w:r>
    </w:p>
    <w:p>
      <w:pPr>
        <w:ind w:firstLine="480"/>
        <w:rPr>
          <w:rFonts w:hint="default"/>
          <w:color w:val="auto"/>
          <w:highlight w:val="none"/>
        </w:rPr>
      </w:pPr>
      <w:r>
        <w:rPr>
          <w:color w:val="auto"/>
          <w:highlight w:val="none"/>
        </w:rPr>
        <w:t>（6）环境风险：本项目涉及的风险物质主要为PAC、PAM等，本环评对生产工艺中可能发生的事故工况对环境的风险影响进行分析评价。</w:t>
      </w:r>
    </w:p>
    <w:p>
      <w:pPr>
        <w:pStyle w:val="2"/>
        <w:bidi w:val="0"/>
        <w:rPr>
          <w:rFonts w:hint="default"/>
          <w:color w:val="auto"/>
          <w:highlight w:val="none"/>
        </w:rPr>
      </w:pPr>
      <w:r>
        <w:rPr>
          <w:rFonts w:hint="default"/>
          <w:color w:val="auto"/>
          <w:highlight w:val="none"/>
        </w:rPr>
        <w:t>评价因子筛选</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根据区域环境特征和工程排污性质确定本项目评价因子见</w:t>
      </w:r>
      <w:r>
        <w:rPr>
          <w:rFonts w:hint="eastAsia" w:cs="Times New Roman"/>
          <w:color w:val="auto"/>
          <w:highlight w:val="none"/>
          <w:lang w:val="en-US" w:eastAsia="zh-CN"/>
        </w:rPr>
        <w:t>下</w:t>
      </w:r>
      <w:r>
        <w:rPr>
          <w:rFonts w:hint="default" w:ascii="Times New Roman" w:hAnsi="Times New Roman" w:cs="Times New Roman"/>
          <w:color w:val="auto"/>
          <w:highlight w:val="none"/>
        </w:rPr>
        <w:t>表。</w:t>
      </w:r>
    </w:p>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rPr>
        <w:t>表2.2-</w:t>
      </w:r>
      <w:r>
        <w:rPr>
          <w:rFonts w:hint="eastAsia" w:cs="Times New Roman"/>
          <w:color w:val="auto"/>
          <w:highlight w:val="none"/>
          <w:lang w:val="en-US" w:eastAsia="zh-CN"/>
        </w:rPr>
        <w:t>2</w:t>
      </w:r>
      <w:r>
        <w:rPr>
          <w:rFonts w:hint="default" w:ascii="Times New Roman" w:hAnsi="Times New Roman" w:cs="Times New Roman"/>
          <w:color w:val="auto"/>
          <w:highlight w:val="none"/>
        </w:rPr>
        <w:t>项目评价因子一览表</w:t>
      </w:r>
    </w:p>
    <w:tbl>
      <w:tblPr>
        <w:tblStyle w:val="33"/>
        <w:tblW w:w="952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08"/>
        <w:gridCol w:w="4565"/>
        <w:gridCol w:w="1550"/>
        <w:gridCol w:w="20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trPr>
        <w:tc>
          <w:tcPr>
            <w:tcW w:w="1308"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环境因素</w:t>
            </w:r>
          </w:p>
        </w:tc>
        <w:tc>
          <w:tcPr>
            <w:tcW w:w="4565"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现状评价因子</w:t>
            </w:r>
          </w:p>
        </w:tc>
        <w:tc>
          <w:tcPr>
            <w:tcW w:w="1550"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污染源评价因子</w:t>
            </w:r>
          </w:p>
        </w:tc>
        <w:tc>
          <w:tcPr>
            <w:tcW w:w="2097"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影响预测因子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3" w:hRule="atLeast"/>
        </w:trPr>
        <w:tc>
          <w:tcPr>
            <w:tcW w:w="1308"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地下水环境</w:t>
            </w:r>
          </w:p>
        </w:tc>
        <w:tc>
          <w:tcPr>
            <w:tcW w:w="4565"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pH、K</w:t>
            </w:r>
            <w:r>
              <w:rPr>
                <w:rFonts w:hint="default" w:ascii="Times New Roman" w:hAnsi="Times New Roman" w:cs="Times New Roman"/>
                <w:color w:val="auto"/>
                <w:highlight w:val="none"/>
                <w:vertAlign w:val="superscript"/>
              </w:rPr>
              <w:t>+</w:t>
            </w:r>
            <w:r>
              <w:rPr>
                <w:rFonts w:hint="default" w:ascii="Times New Roman" w:hAnsi="Times New Roman" w:cs="Times New Roman"/>
                <w:color w:val="auto"/>
                <w:highlight w:val="none"/>
              </w:rPr>
              <w:t>、Na</w:t>
            </w:r>
            <w:r>
              <w:rPr>
                <w:rFonts w:hint="default" w:ascii="Times New Roman" w:hAnsi="Times New Roman" w:cs="Times New Roman"/>
                <w:color w:val="auto"/>
                <w:highlight w:val="none"/>
                <w:vertAlign w:val="superscript"/>
              </w:rPr>
              <w:t>+</w:t>
            </w:r>
            <w:r>
              <w:rPr>
                <w:rFonts w:hint="default" w:ascii="Times New Roman" w:hAnsi="Times New Roman" w:cs="Times New Roman"/>
                <w:color w:val="auto"/>
                <w:highlight w:val="none"/>
              </w:rPr>
              <w:t>、Ca</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、Mg</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、CO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、HCO</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氯化物、硫酸盐、耗氧量、氨氮、硝酸盐、亚硝酸盐、氟化物、氰化物、挥发性酚类、阴离子表面活化剂、石油类、六价铬、铜、铅、镍、砷、汞、锌、铁、锰、镉、溶解性总固体、总硬度、总大肠菌群、细菌总数</w:t>
            </w:r>
          </w:p>
        </w:tc>
        <w:tc>
          <w:tcPr>
            <w:tcW w:w="1550"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COD、NH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-N、石油类</w:t>
            </w:r>
          </w:p>
        </w:tc>
        <w:tc>
          <w:tcPr>
            <w:tcW w:w="2097"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COD、NH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308"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w:t>
            </w:r>
          </w:p>
        </w:tc>
        <w:tc>
          <w:tcPr>
            <w:tcW w:w="4565"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2.5</w:t>
            </w:r>
            <w:r>
              <w:rPr>
                <w:rFonts w:hint="default" w:ascii="Times New Roman" w:hAnsi="Times New Roman" w:cs="Times New Roman"/>
                <w:color w:val="auto"/>
                <w:highlight w:val="none"/>
              </w:rPr>
              <w:t>、CO、O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w:t>
            </w:r>
            <w:r>
              <w:rPr>
                <w:rFonts w:hint="eastAsia"/>
                <w:color w:val="auto"/>
                <w:highlight w:val="none"/>
                <w:lang w:eastAsia="zh-CN"/>
              </w:rPr>
              <w:t>、</w:t>
            </w:r>
            <w:r>
              <w:rPr>
                <w:rFonts w:hint="eastAsia"/>
                <w:color w:val="auto"/>
                <w:highlight w:val="none"/>
                <w:lang w:val="en-US" w:eastAsia="zh-CN"/>
              </w:rPr>
              <w:t>臭气浓度</w:t>
            </w:r>
          </w:p>
        </w:tc>
        <w:tc>
          <w:tcPr>
            <w:tcW w:w="1550" w:type="dxa"/>
            <w:vAlign w:val="center"/>
          </w:tcPr>
          <w:p>
            <w:pPr>
              <w:pStyle w:val="49"/>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color w:val="auto"/>
                <w:highlight w:val="none"/>
                <w:lang w:val="de-DE"/>
              </w:rPr>
            </w:pPr>
            <w:r>
              <w:rPr>
                <w:rFonts w:hint="default" w:ascii="Times New Roman" w:hAnsi="Times New Roman" w:cs="Times New Roman"/>
                <w:color w:val="auto"/>
                <w:highlight w:val="none"/>
              </w:rPr>
              <w:t>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S、臭气浓度</w:t>
            </w:r>
          </w:p>
        </w:tc>
        <w:tc>
          <w:tcPr>
            <w:tcW w:w="2097"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lang w:val="de-DE"/>
              </w:rPr>
            </w:pPr>
            <w:r>
              <w:rPr>
                <w:rFonts w:hint="default" w:ascii="Times New Roman" w:hAnsi="Times New Roman" w:cs="Times New Roman"/>
                <w:color w:val="auto"/>
                <w:highlight w:val="none"/>
              </w:rPr>
              <w:t>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308"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p>
        </w:tc>
        <w:tc>
          <w:tcPr>
            <w:tcW w:w="4565"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p>
        </w:tc>
        <w:tc>
          <w:tcPr>
            <w:tcW w:w="1550" w:type="dxa"/>
            <w:vAlign w:val="center"/>
          </w:tcPr>
          <w:p>
            <w:pPr>
              <w:pStyle w:val="49"/>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color w:val="auto"/>
                <w:highlight w:val="none"/>
              </w:rPr>
            </w:pPr>
          </w:p>
        </w:tc>
        <w:tc>
          <w:tcPr>
            <w:tcW w:w="2097"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1308"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w:t>
            </w:r>
          </w:p>
        </w:tc>
        <w:tc>
          <w:tcPr>
            <w:tcW w:w="4565"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Leq(A)</w:t>
            </w:r>
          </w:p>
        </w:tc>
        <w:tc>
          <w:tcPr>
            <w:tcW w:w="1550" w:type="dxa"/>
            <w:vAlign w:val="center"/>
          </w:tcPr>
          <w:p>
            <w:pPr>
              <w:pStyle w:val="49"/>
              <w:keepNext w:val="0"/>
              <w:keepLines w:val="0"/>
              <w:pageBreakBefore w:val="0"/>
              <w:widowControl w:val="0"/>
              <w:kinsoku/>
              <w:wordWrap/>
              <w:overflowPunct/>
              <w:topLinePunct w:val="0"/>
              <w:autoSpaceDE/>
              <w:autoSpaceDN/>
              <w:bidi w:val="0"/>
              <w:adjustRightInd/>
              <w:snapToGrid/>
              <w:ind w:firstLineChars="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Leq(A)</w:t>
            </w:r>
          </w:p>
        </w:tc>
        <w:tc>
          <w:tcPr>
            <w:tcW w:w="2097"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Leq(A)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8" w:hRule="atLeast"/>
        </w:trPr>
        <w:tc>
          <w:tcPr>
            <w:tcW w:w="1308"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土壤环境</w:t>
            </w:r>
          </w:p>
        </w:tc>
        <w:tc>
          <w:tcPr>
            <w:tcW w:w="4565"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spacing w:val="-6"/>
                <w:sz w:val="21"/>
                <w:highlight w:val="none"/>
              </w:rPr>
              <w:t>pH值、石油烃、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等。</w:t>
            </w:r>
          </w:p>
        </w:tc>
        <w:tc>
          <w:tcPr>
            <w:tcW w:w="1550"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2097"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8" w:hRule="atLeast"/>
        </w:trPr>
        <w:tc>
          <w:tcPr>
            <w:tcW w:w="1308"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bookmarkStart w:id="50" w:name="_Toc464226376"/>
            <w:bookmarkStart w:id="51" w:name="_Toc14212"/>
            <w:bookmarkStart w:id="52" w:name="_Toc464225227"/>
            <w:bookmarkStart w:id="53" w:name="_Toc22027"/>
            <w:r>
              <w:rPr>
                <w:rFonts w:hint="default" w:ascii="Times New Roman" w:hAnsi="Times New Roman" w:cs="Times New Roman"/>
                <w:color w:val="auto"/>
                <w:highlight w:val="none"/>
              </w:rPr>
              <w:t>固体废物</w:t>
            </w:r>
          </w:p>
        </w:tc>
        <w:tc>
          <w:tcPr>
            <w:tcW w:w="4565"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550"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2097"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固废处理处置措施方案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8" w:hRule="atLeast"/>
        </w:trPr>
        <w:tc>
          <w:tcPr>
            <w:tcW w:w="1308"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生态评价因子</w:t>
            </w:r>
          </w:p>
        </w:tc>
        <w:tc>
          <w:tcPr>
            <w:tcW w:w="4565"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土地利用、植被、野生动物</w:t>
            </w:r>
          </w:p>
        </w:tc>
        <w:tc>
          <w:tcPr>
            <w:tcW w:w="1550"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2097"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8" w:hRule="atLeast"/>
        </w:trPr>
        <w:tc>
          <w:tcPr>
            <w:tcW w:w="1308"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lang w:val="en-US" w:eastAsia="zh-CN"/>
              </w:rPr>
            </w:pPr>
            <w:bookmarkStart w:id="54" w:name="_Toc13076"/>
            <w:r>
              <w:rPr>
                <w:rFonts w:hint="eastAsia" w:cs="Times New Roman"/>
                <w:color w:val="auto"/>
                <w:highlight w:val="none"/>
                <w:lang w:val="en-US" w:eastAsia="zh-CN"/>
              </w:rPr>
              <w:t>环境风险</w:t>
            </w:r>
          </w:p>
        </w:tc>
        <w:tc>
          <w:tcPr>
            <w:tcW w:w="4565"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二氧化氯、污水泄漏</w:t>
            </w:r>
          </w:p>
        </w:tc>
        <w:tc>
          <w:tcPr>
            <w:tcW w:w="1550"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二氧化氯、污水泄漏</w:t>
            </w:r>
          </w:p>
        </w:tc>
        <w:tc>
          <w:tcPr>
            <w:tcW w:w="2097"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二氧化氯、污水泄漏</w:t>
            </w:r>
          </w:p>
        </w:tc>
      </w:tr>
      <w:bookmarkEnd w:id="48"/>
    </w:tbl>
    <w:p>
      <w:pPr>
        <w:pStyle w:val="4"/>
        <w:bidi w:val="0"/>
        <w:rPr>
          <w:rFonts w:hint="default"/>
          <w:color w:val="auto"/>
          <w:highlight w:val="none"/>
        </w:rPr>
      </w:pPr>
      <w:r>
        <w:rPr>
          <w:rFonts w:hint="default"/>
          <w:color w:val="auto"/>
          <w:highlight w:val="none"/>
        </w:rPr>
        <w:t>评价标准</w:t>
      </w:r>
      <w:bookmarkEnd w:id="50"/>
      <w:bookmarkEnd w:id="51"/>
      <w:bookmarkEnd w:id="52"/>
      <w:bookmarkEnd w:id="53"/>
      <w:bookmarkEnd w:id="54"/>
    </w:p>
    <w:p>
      <w:pPr>
        <w:pStyle w:val="5"/>
        <w:bidi w:val="0"/>
        <w:rPr>
          <w:rFonts w:hint="default" w:ascii="Times New Roman" w:hAnsi="Times New Roman" w:cs="Times New Roman"/>
          <w:color w:val="auto"/>
          <w:highlight w:val="none"/>
          <w:lang w:val="en-US" w:eastAsia="zh-CN"/>
        </w:rPr>
      </w:pPr>
      <w:bookmarkStart w:id="55" w:name="_Toc464225228"/>
      <w:r>
        <w:rPr>
          <w:rFonts w:hint="default" w:ascii="Times New Roman" w:hAnsi="Times New Roman" w:cs="Times New Roman"/>
          <w:color w:val="auto"/>
          <w:highlight w:val="none"/>
          <w:lang w:val="en-US" w:eastAsia="zh-CN"/>
        </w:rPr>
        <w:t>环境功能区划</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（1）环境空气功能区划</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厂区周边无自然保护区、风景名胜区，按照环境空气功能区划原则，评价区环境空气功能划为二类区，执行《环境空气质量标准》（GB3095-2012）二级标准。</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（2）水环境功能区划</w:t>
      </w:r>
    </w:p>
    <w:p>
      <w:pPr>
        <w:ind w:firstLine="480"/>
        <w:rPr>
          <w:color w:val="auto"/>
          <w:highlight w:val="none"/>
        </w:rPr>
      </w:pPr>
      <w:r>
        <w:rPr>
          <w:color w:val="auto"/>
          <w:highlight w:val="none"/>
        </w:rPr>
        <w:t>根据《地下水质量标准》（GB/T14848-2017），项目所在地地下水主要适用于集中式生活饮用水水源及工农业用水，满足Ⅲ类水质。</w:t>
      </w:r>
    </w:p>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（3）声环境功能区划</w:t>
      </w:r>
    </w:p>
    <w:p>
      <w:pPr>
        <w:ind w:firstLine="480"/>
        <w:rPr>
          <w:color w:val="auto"/>
          <w:highlight w:val="none"/>
        </w:rPr>
      </w:pPr>
      <w:r>
        <w:rPr>
          <w:rFonts w:hint="default" w:ascii="Times New Roman" w:hAnsi="Times New Roman" w:eastAsia="宋体" w:cs="Times New Roman"/>
          <w:color w:val="auto"/>
          <w:highlight w:val="none"/>
        </w:rPr>
        <w:t>根据《声环境质量标准》（GB3096-2008）的适用范围，执行</w:t>
      </w:r>
      <w:r>
        <w:rPr>
          <w:rFonts w:hint="eastAsia"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类标准。</w:t>
      </w:r>
    </w:p>
    <w:p>
      <w:pPr>
        <w:pStyle w:val="5"/>
        <w:bidi w:val="0"/>
        <w:rPr>
          <w:rFonts w:hint="default"/>
          <w:color w:val="auto"/>
          <w:highlight w:val="none"/>
        </w:rPr>
      </w:pPr>
      <w:r>
        <w:rPr>
          <w:rFonts w:hint="default"/>
          <w:color w:val="auto"/>
          <w:highlight w:val="none"/>
        </w:rPr>
        <w:t>环境质量标准</w:t>
      </w:r>
      <w:bookmarkEnd w:id="55"/>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（1）环境空气：执行《环境空气质量标准》（GB3095-2012）二级标准，氨、硫化氢执行《</w:t>
      </w:r>
      <w:r>
        <w:rPr>
          <w:rFonts w:hint="default" w:ascii="Times New Roman" w:hAnsi="Times New Roman" w:cs="Times New Roman"/>
          <w:color w:val="auto"/>
          <w:highlight w:val="none"/>
          <w:lang w:eastAsia="zh-CN"/>
        </w:rPr>
        <w:t>环境影响评价技术导则大气环境</w:t>
      </w:r>
      <w:r>
        <w:rPr>
          <w:rFonts w:hint="default" w:ascii="Times New Roman" w:hAnsi="Times New Roman" w:cs="Times New Roman"/>
          <w:color w:val="auto"/>
          <w:highlight w:val="none"/>
        </w:rPr>
        <w:t>》（HJ2.2-2018）附录D其他污染物空气质量浓度参考限值，标准限值见</w:t>
      </w:r>
      <w:r>
        <w:rPr>
          <w:rFonts w:hint="eastAsia" w:cs="Times New Roman"/>
          <w:color w:val="auto"/>
          <w:highlight w:val="none"/>
          <w:lang w:val="en-US" w:eastAsia="zh-CN"/>
        </w:rPr>
        <w:t>下</w:t>
      </w:r>
      <w:r>
        <w:rPr>
          <w:rFonts w:hint="default" w:ascii="Times New Roman" w:hAnsi="Times New Roman" w:cs="Times New Roman"/>
          <w:color w:val="auto"/>
          <w:highlight w:val="none"/>
        </w:rPr>
        <w:t>表。</w:t>
      </w:r>
    </w:p>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rPr>
        <w:t>表2.3-1环境空气质量标准限值表单位：μg/m</w:t>
      </w:r>
      <w:r>
        <w:rPr>
          <w:rFonts w:hint="default" w:ascii="Times New Roman" w:hAnsi="Times New Roman" w:cs="Times New Roman"/>
          <w:color w:val="auto"/>
          <w:highlight w:val="none"/>
          <w:vertAlign w:val="superscript"/>
        </w:rPr>
        <w:t>3</w:t>
      </w:r>
    </w:p>
    <w:tbl>
      <w:tblPr>
        <w:tblStyle w:val="33"/>
        <w:tblW w:w="93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88"/>
        <w:gridCol w:w="1249"/>
        <w:gridCol w:w="1251"/>
        <w:gridCol w:w="1249"/>
        <w:gridCol w:w="1255"/>
        <w:gridCol w:w="1616"/>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tblHeader/>
          <w:jc w:val="center"/>
        </w:trPr>
        <w:tc>
          <w:tcPr>
            <w:tcW w:w="1288"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评价指标</w:t>
            </w:r>
          </w:p>
        </w:tc>
        <w:tc>
          <w:tcPr>
            <w:tcW w:w="1249"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2</w:t>
            </w:r>
          </w:p>
        </w:tc>
        <w:tc>
          <w:tcPr>
            <w:tcW w:w="1251"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rPr>
              <w:t>2</w:t>
            </w:r>
          </w:p>
        </w:tc>
        <w:tc>
          <w:tcPr>
            <w:tcW w:w="1249"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10</w:t>
            </w:r>
          </w:p>
        </w:tc>
        <w:tc>
          <w:tcPr>
            <w:tcW w:w="1255"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臭氧</w:t>
            </w:r>
          </w:p>
        </w:tc>
        <w:tc>
          <w:tcPr>
            <w:tcW w:w="1616"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NH</w:t>
            </w:r>
            <w:r>
              <w:rPr>
                <w:rFonts w:hint="default" w:ascii="Times New Roman" w:hAnsi="Times New Roman" w:cs="Times New Roman"/>
                <w:color w:val="auto"/>
                <w:highlight w:val="none"/>
                <w:vertAlign w:val="subscript"/>
              </w:rPr>
              <w:t>3</w:t>
            </w:r>
          </w:p>
        </w:tc>
        <w:tc>
          <w:tcPr>
            <w:tcW w:w="1396"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288"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小时平均</w:t>
            </w:r>
          </w:p>
        </w:tc>
        <w:tc>
          <w:tcPr>
            <w:tcW w:w="1249"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500</w:t>
            </w:r>
          </w:p>
        </w:tc>
        <w:tc>
          <w:tcPr>
            <w:tcW w:w="1251"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200</w:t>
            </w:r>
          </w:p>
        </w:tc>
        <w:tc>
          <w:tcPr>
            <w:tcW w:w="1249"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255"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200</w:t>
            </w:r>
          </w:p>
        </w:tc>
        <w:tc>
          <w:tcPr>
            <w:tcW w:w="1616"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200</w:t>
            </w:r>
          </w:p>
        </w:tc>
        <w:tc>
          <w:tcPr>
            <w:tcW w:w="1396"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288"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日平均</w:t>
            </w:r>
          </w:p>
        </w:tc>
        <w:tc>
          <w:tcPr>
            <w:tcW w:w="1249"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150</w:t>
            </w:r>
          </w:p>
        </w:tc>
        <w:tc>
          <w:tcPr>
            <w:tcW w:w="1251"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80</w:t>
            </w:r>
          </w:p>
        </w:tc>
        <w:tc>
          <w:tcPr>
            <w:tcW w:w="1249"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150</w:t>
            </w:r>
          </w:p>
        </w:tc>
        <w:tc>
          <w:tcPr>
            <w:tcW w:w="1255"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616"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396"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288"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8h平均</w:t>
            </w:r>
          </w:p>
        </w:tc>
        <w:tc>
          <w:tcPr>
            <w:tcW w:w="1249"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251"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249"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255"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160</w:t>
            </w:r>
          </w:p>
        </w:tc>
        <w:tc>
          <w:tcPr>
            <w:tcW w:w="1616"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396"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3" w:hRule="atLeast"/>
          <w:jc w:val="center"/>
        </w:trPr>
        <w:tc>
          <w:tcPr>
            <w:tcW w:w="1288"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标准</w:t>
            </w:r>
          </w:p>
        </w:tc>
        <w:tc>
          <w:tcPr>
            <w:tcW w:w="5004" w:type="dxa"/>
            <w:gridSpan w:val="4"/>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《环境空气质量标准》GB3095-2012中二级标准</w:t>
            </w:r>
          </w:p>
        </w:tc>
        <w:tc>
          <w:tcPr>
            <w:tcW w:w="3012" w:type="dxa"/>
            <w:gridSpan w:val="2"/>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环境影响评价技术导则大气环境</w:t>
            </w:r>
            <w:r>
              <w:rPr>
                <w:rFonts w:hint="default" w:ascii="Times New Roman" w:hAnsi="Times New Roman" w:cs="Times New Roman"/>
                <w:color w:val="auto"/>
                <w:highlight w:val="none"/>
              </w:rPr>
              <w:t>》（HJ2.2-2018）附录D浓度参考限值</w:t>
            </w:r>
          </w:p>
        </w:tc>
      </w:tr>
    </w:tbl>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（2）地下水环境：评价区域地下水环境评价执行《地下水质量标准》(GB/T14848-2017</w:t>
      </w:r>
      <w:r>
        <w:rPr>
          <w:rFonts w:hint="eastAsia" w:cs="Times New Roman"/>
          <w:color w:val="auto"/>
          <w:highlight w:val="none"/>
          <w:lang w:eastAsia="zh-CN"/>
        </w:rPr>
        <w:t>）</w:t>
      </w:r>
      <w:r>
        <w:rPr>
          <w:rFonts w:hint="default" w:ascii="Times New Roman" w:hAnsi="Times New Roman" w:cs="Times New Roman"/>
          <w:color w:val="auto"/>
          <w:highlight w:val="none"/>
        </w:rPr>
        <w:t>中的Ⅲ类标</w:t>
      </w:r>
      <w:r>
        <w:rPr>
          <w:rFonts w:hint="eastAsia" w:cs="Times New Roman"/>
          <w:color w:val="auto"/>
          <w:highlight w:val="none"/>
          <w:lang w:eastAsia="zh-CN"/>
        </w:rPr>
        <w:t>，</w:t>
      </w:r>
      <w:r>
        <w:rPr>
          <w:rFonts w:hint="default" w:ascii="Times New Roman" w:hAnsi="Times New Roman" w:cs="Times New Roman"/>
          <w:color w:val="auto"/>
          <w:highlight w:val="none"/>
        </w:rPr>
        <w:t>准标准限值见</w:t>
      </w:r>
      <w:r>
        <w:rPr>
          <w:rFonts w:hint="eastAsia" w:cs="Times New Roman"/>
          <w:color w:val="auto"/>
          <w:highlight w:val="none"/>
          <w:lang w:val="en-US" w:eastAsia="zh-CN"/>
        </w:rPr>
        <w:t>下</w:t>
      </w:r>
      <w:r>
        <w:rPr>
          <w:rFonts w:hint="default" w:ascii="Times New Roman" w:hAnsi="Times New Roman" w:cs="Times New Roman"/>
          <w:color w:val="auto"/>
          <w:highlight w:val="none"/>
        </w:rPr>
        <w:t>表。</w:t>
      </w:r>
    </w:p>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rPr>
        <w:t>表2.3-2地下水质量标准限值表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8"/>
        <w:gridCol w:w="3893"/>
        <w:gridCol w:w="3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noWrap w:val="0"/>
            <w:vAlign w:val="center"/>
          </w:tcPr>
          <w:p>
            <w:pPr>
              <w:widowControl w:val="0"/>
              <w:adjustRightInd/>
              <w:snapToGrid/>
              <w:spacing w:line="240" w:lineRule="auto"/>
              <w:ind w:left="0" w:leftChars="0" w:firstLine="0" w:firstLineChars="0"/>
              <w:contextualSpacing/>
              <w:jc w:val="center"/>
              <w:rPr>
                <w:rFonts w:hint="default" w:ascii="Times New Roman" w:hAnsi="Times New Roman" w:eastAsia="宋体" w:cs="Times New Roman"/>
                <w:b/>
                <w:bCs w:val="0"/>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序号</w:t>
            </w:r>
          </w:p>
        </w:tc>
        <w:tc>
          <w:tcPr>
            <w:tcW w:w="3487" w:type="dxa"/>
            <w:noWrap w:val="0"/>
            <w:vAlign w:val="center"/>
          </w:tcPr>
          <w:p>
            <w:pPr>
              <w:widowControl w:val="0"/>
              <w:adjustRightInd/>
              <w:snapToGrid/>
              <w:spacing w:line="240" w:lineRule="auto"/>
              <w:ind w:left="0" w:leftChars="0" w:firstLine="0" w:firstLineChars="0"/>
              <w:contextualSpacing/>
              <w:jc w:val="center"/>
              <w:rPr>
                <w:rFonts w:hint="default" w:ascii="Times New Roman" w:hAnsi="Times New Roman" w:eastAsia="宋体" w:cs="Times New Roman"/>
                <w:b/>
                <w:bCs w:val="0"/>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监测项目</w:t>
            </w:r>
          </w:p>
        </w:tc>
        <w:tc>
          <w:tcPr>
            <w:tcW w:w="2994" w:type="dxa"/>
            <w:noWrap w:val="0"/>
            <w:vAlign w:val="center"/>
          </w:tcPr>
          <w:p>
            <w:pPr>
              <w:widowControl w:val="0"/>
              <w:adjustRightInd/>
              <w:snapToGrid/>
              <w:spacing w:line="240" w:lineRule="auto"/>
              <w:ind w:left="0" w:leftChars="0" w:firstLine="0" w:firstLineChars="0"/>
              <w:contextualSpacing/>
              <w:jc w:val="center"/>
              <w:rPr>
                <w:rFonts w:hint="default" w:ascii="Times New Roman" w:hAnsi="Times New Roman" w:eastAsia="宋体" w:cs="Times New Roman"/>
                <w:b/>
                <w:bCs w:val="0"/>
                <w:snapToGrid w:val="0"/>
                <w:color w:val="auto"/>
                <w:kern w:val="0"/>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lang w:val="en-US" w:eastAsia="zh-CN" w:bidi="ar-SA"/>
              </w:rPr>
              <w:t>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noWrap w:val="0"/>
            <w:vAlign w:val="center"/>
          </w:tcPr>
          <w:p>
            <w:pPr>
              <w:widowControl w:val="0"/>
              <w:adjustRightInd/>
              <w:snapToGrid/>
              <w:spacing w:line="240" w:lineRule="auto"/>
              <w:ind w:left="0" w:leftChars="0" w:firstLine="0" w:firstLineChars="0"/>
              <w:contextualSpacing/>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1</w:t>
            </w:r>
          </w:p>
        </w:tc>
        <w:tc>
          <w:tcPr>
            <w:tcW w:w="3487"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pH</w:t>
            </w:r>
          </w:p>
        </w:tc>
        <w:tc>
          <w:tcPr>
            <w:tcW w:w="2994"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noWrap w:val="0"/>
            <w:vAlign w:val="center"/>
          </w:tcPr>
          <w:p>
            <w:pPr>
              <w:widowControl w:val="0"/>
              <w:adjustRightInd/>
              <w:snapToGrid/>
              <w:spacing w:line="240" w:lineRule="auto"/>
              <w:ind w:left="0" w:leftChars="0" w:firstLine="0" w:firstLineChars="0"/>
              <w:contextualSpacing/>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2</w:t>
            </w:r>
          </w:p>
        </w:tc>
        <w:tc>
          <w:tcPr>
            <w:tcW w:w="3487"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总硬度</w:t>
            </w:r>
          </w:p>
        </w:tc>
        <w:tc>
          <w:tcPr>
            <w:tcW w:w="2994"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noWrap w:val="0"/>
            <w:vAlign w:val="center"/>
          </w:tcPr>
          <w:p>
            <w:pPr>
              <w:widowControl w:val="0"/>
              <w:adjustRightInd/>
              <w:snapToGrid/>
              <w:spacing w:line="240" w:lineRule="auto"/>
              <w:ind w:left="0" w:leftChars="0" w:firstLine="0" w:firstLineChars="0"/>
              <w:contextualSpacing/>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3</w:t>
            </w:r>
          </w:p>
        </w:tc>
        <w:tc>
          <w:tcPr>
            <w:tcW w:w="3487"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挥发酚</w:t>
            </w:r>
          </w:p>
        </w:tc>
        <w:tc>
          <w:tcPr>
            <w:tcW w:w="2994"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noWrap w:val="0"/>
            <w:vAlign w:val="center"/>
          </w:tcPr>
          <w:p>
            <w:pPr>
              <w:widowControl w:val="0"/>
              <w:adjustRightInd/>
              <w:snapToGrid/>
              <w:spacing w:line="240" w:lineRule="auto"/>
              <w:ind w:left="0" w:leftChars="0" w:firstLine="0" w:firstLineChars="0"/>
              <w:contextualSpacing/>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4</w:t>
            </w:r>
          </w:p>
        </w:tc>
        <w:tc>
          <w:tcPr>
            <w:tcW w:w="3487"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氯化物</w:t>
            </w:r>
          </w:p>
        </w:tc>
        <w:tc>
          <w:tcPr>
            <w:tcW w:w="2994"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noWrap w:val="0"/>
            <w:vAlign w:val="center"/>
          </w:tcPr>
          <w:p>
            <w:pPr>
              <w:widowControl w:val="0"/>
              <w:adjustRightInd/>
              <w:snapToGrid/>
              <w:spacing w:line="240" w:lineRule="auto"/>
              <w:ind w:left="0" w:leftChars="0" w:firstLine="0" w:firstLineChars="0"/>
              <w:contextualSpacing/>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5</w:t>
            </w:r>
          </w:p>
        </w:tc>
        <w:tc>
          <w:tcPr>
            <w:tcW w:w="3487"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硝酸盐</w:t>
            </w:r>
          </w:p>
        </w:tc>
        <w:tc>
          <w:tcPr>
            <w:tcW w:w="2994"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noWrap w:val="0"/>
            <w:vAlign w:val="center"/>
          </w:tcPr>
          <w:p>
            <w:pPr>
              <w:widowControl w:val="0"/>
              <w:adjustRightInd/>
              <w:snapToGrid/>
              <w:spacing w:line="240" w:lineRule="auto"/>
              <w:ind w:left="0" w:leftChars="0" w:firstLine="0" w:firstLineChars="0"/>
              <w:contextualSpacing/>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6</w:t>
            </w:r>
          </w:p>
        </w:tc>
        <w:tc>
          <w:tcPr>
            <w:tcW w:w="3487"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亚硝酸盐</w:t>
            </w:r>
          </w:p>
        </w:tc>
        <w:tc>
          <w:tcPr>
            <w:tcW w:w="2994"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noWrap w:val="0"/>
            <w:vAlign w:val="center"/>
          </w:tcPr>
          <w:p>
            <w:pPr>
              <w:widowControl w:val="0"/>
              <w:adjustRightInd/>
              <w:snapToGrid/>
              <w:spacing w:line="240" w:lineRule="auto"/>
              <w:ind w:left="0" w:leftChars="0" w:firstLine="0" w:firstLineChars="0"/>
              <w:contextualSpacing/>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7</w:t>
            </w:r>
          </w:p>
        </w:tc>
        <w:tc>
          <w:tcPr>
            <w:tcW w:w="3487"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氨氮</w:t>
            </w:r>
          </w:p>
        </w:tc>
        <w:tc>
          <w:tcPr>
            <w:tcW w:w="2994"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noWrap w:val="0"/>
            <w:vAlign w:val="center"/>
          </w:tcPr>
          <w:p>
            <w:pPr>
              <w:widowControl w:val="0"/>
              <w:adjustRightInd/>
              <w:snapToGrid/>
              <w:spacing w:line="240" w:lineRule="auto"/>
              <w:ind w:left="0" w:leftChars="0" w:firstLine="0" w:firstLineChars="0"/>
              <w:contextualSpacing/>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8</w:t>
            </w:r>
          </w:p>
        </w:tc>
        <w:tc>
          <w:tcPr>
            <w:tcW w:w="3487"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氟化物</w:t>
            </w:r>
          </w:p>
        </w:tc>
        <w:tc>
          <w:tcPr>
            <w:tcW w:w="2994"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noWrap w:val="0"/>
            <w:vAlign w:val="center"/>
          </w:tcPr>
          <w:p>
            <w:pPr>
              <w:widowControl w:val="0"/>
              <w:adjustRightInd/>
              <w:snapToGrid/>
              <w:spacing w:line="240" w:lineRule="auto"/>
              <w:ind w:left="0" w:leftChars="0" w:firstLine="0" w:firstLineChars="0"/>
              <w:contextualSpacing/>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9</w:t>
            </w:r>
          </w:p>
        </w:tc>
        <w:tc>
          <w:tcPr>
            <w:tcW w:w="3487"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硫酸盐</w:t>
            </w:r>
          </w:p>
        </w:tc>
        <w:tc>
          <w:tcPr>
            <w:tcW w:w="2994"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noWrap w:val="0"/>
            <w:vAlign w:val="center"/>
          </w:tcPr>
          <w:p>
            <w:pPr>
              <w:widowControl w:val="0"/>
              <w:adjustRightInd/>
              <w:snapToGrid/>
              <w:spacing w:line="240" w:lineRule="auto"/>
              <w:ind w:left="0" w:leftChars="0" w:firstLine="0" w:firstLineChars="0"/>
              <w:contextualSpacing/>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10</w:t>
            </w:r>
          </w:p>
        </w:tc>
        <w:tc>
          <w:tcPr>
            <w:tcW w:w="3487"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砷（μg/L）</w:t>
            </w:r>
          </w:p>
        </w:tc>
        <w:tc>
          <w:tcPr>
            <w:tcW w:w="2994"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noWrap w:val="0"/>
            <w:vAlign w:val="center"/>
          </w:tcPr>
          <w:p>
            <w:pPr>
              <w:widowControl w:val="0"/>
              <w:adjustRightInd/>
              <w:snapToGrid/>
              <w:spacing w:line="240" w:lineRule="auto"/>
              <w:ind w:left="0" w:leftChars="0" w:firstLine="0" w:firstLineChars="0"/>
              <w:contextualSpacing/>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11</w:t>
            </w:r>
          </w:p>
        </w:tc>
        <w:tc>
          <w:tcPr>
            <w:tcW w:w="3487"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汞（μg/L）</w:t>
            </w:r>
          </w:p>
        </w:tc>
        <w:tc>
          <w:tcPr>
            <w:tcW w:w="2994"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noWrap w:val="0"/>
            <w:vAlign w:val="center"/>
          </w:tcPr>
          <w:p>
            <w:pPr>
              <w:widowControl w:val="0"/>
              <w:adjustRightInd/>
              <w:snapToGrid/>
              <w:spacing w:line="240" w:lineRule="auto"/>
              <w:ind w:left="0" w:leftChars="0" w:firstLine="0" w:firstLineChars="0"/>
              <w:contextualSpacing/>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12</w:t>
            </w:r>
          </w:p>
        </w:tc>
        <w:tc>
          <w:tcPr>
            <w:tcW w:w="3487"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镉（μg/L）</w:t>
            </w:r>
          </w:p>
        </w:tc>
        <w:tc>
          <w:tcPr>
            <w:tcW w:w="2994"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noWrap w:val="0"/>
            <w:vAlign w:val="center"/>
          </w:tcPr>
          <w:p>
            <w:pPr>
              <w:widowControl w:val="0"/>
              <w:adjustRightInd/>
              <w:snapToGrid/>
              <w:spacing w:line="240" w:lineRule="auto"/>
              <w:ind w:left="0" w:leftChars="0" w:firstLine="0" w:firstLineChars="0"/>
              <w:contextualSpacing/>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13</w:t>
            </w:r>
          </w:p>
        </w:tc>
        <w:tc>
          <w:tcPr>
            <w:tcW w:w="3487"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六价铬</w:t>
            </w:r>
          </w:p>
        </w:tc>
        <w:tc>
          <w:tcPr>
            <w:tcW w:w="2994"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noWrap w:val="0"/>
            <w:vAlign w:val="center"/>
          </w:tcPr>
          <w:p>
            <w:pPr>
              <w:widowControl w:val="0"/>
              <w:adjustRightInd/>
              <w:snapToGrid/>
              <w:spacing w:line="240" w:lineRule="auto"/>
              <w:ind w:left="0" w:leftChars="0" w:firstLine="0" w:firstLineChars="0"/>
              <w:contextualSpacing/>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14</w:t>
            </w:r>
          </w:p>
        </w:tc>
        <w:tc>
          <w:tcPr>
            <w:tcW w:w="3487"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氰化物</w:t>
            </w:r>
          </w:p>
        </w:tc>
        <w:tc>
          <w:tcPr>
            <w:tcW w:w="2994"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noWrap w:val="0"/>
            <w:vAlign w:val="center"/>
          </w:tcPr>
          <w:p>
            <w:pPr>
              <w:widowControl w:val="0"/>
              <w:adjustRightInd/>
              <w:snapToGrid/>
              <w:spacing w:line="240" w:lineRule="auto"/>
              <w:ind w:left="0" w:leftChars="0" w:firstLine="0" w:firstLineChars="0"/>
              <w:contextualSpacing/>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15</w:t>
            </w:r>
          </w:p>
        </w:tc>
        <w:tc>
          <w:tcPr>
            <w:tcW w:w="3487"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溶解性总固体</w:t>
            </w:r>
          </w:p>
        </w:tc>
        <w:tc>
          <w:tcPr>
            <w:tcW w:w="2994"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noWrap w:val="0"/>
            <w:vAlign w:val="center"/>
          </w:tcPr>
          <w:p>
            <w:pPr>
              <w:widowControl w:val="0"/>
              <w:adjustRightInd/>
              <w:snapToGrid/>
              <w:spacing w:line="240" w:lineRule="auto"/>
              <w:ind w:left="0" w:leftChars="0" w:firstLine="0" w:firstLineChars="0"/>
              <w:contextualSpacing/>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16</w:t>
            </w:r>
          </w:p>
        </w:tc>
        <w:tc>
          <w:tcPr>
            <w:tcW w:w="3487"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阴离子表面活性剂</w:t>
            </w:r>
          </w:p>
        </w:tc>
        <w:tc>
          <w:tcPr>
            <w:tcW w:w="2994"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noWrap w:val="0"/>
            <w:vAlign w:val="center"/>
          </w:tcPr>
          <w:p>
            <w:pPr>
              <w:widowControl w:val="0"/>
              <w:adjustRightInd/>
              <w:snapToGrid/>
              <w:spacing w:line="240" w:lineRule="auto"/>
              <w:ind w:left="0" w:leftChars="0" w:firstLine="0" w:firstLineChars="0"/>
              <w:contextualSpacing/>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17</w:t>
            </w:r>
          </w:p>
        </w:tc>
        <w:tc>
          <w:tcPr>
            <w:tcW w:w="3487"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铁</w:t>
            </w:r>
          </w:p>
        </w:tc>
        <w:tc>
          <w:tcPr>
            <w:tcW w:w="2994"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noWrap w:val="0"/>
            <w:vAlign w:val="center"/>
          </w:tcPr>
          <w:p>
            <w:pPr>
              <w:widowControl w:val="0"/>
              <w:adjustRightInd/>
              <w:snapToGrid/>
              <w:spacing w:line="240" w:lineRule="auto"/>
              <w:ind w:left="0" w:leftChars="0" w:firstLine="0" w:firstLineChars="0"/>
              <w:contextualSpacing/>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18</w:t>
            </w:r>
          </w:p>
        </w:tc>
        <w:tc>
          <w:tcPr>
            <w:tcW w:w="3487"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锰</w:t>
            </w:r>
          </w:p>
        </w:tc>
        <w:tc>
          <w:tcPr>
            <w:tcW w:w="2994"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2041" w:type="dxa"/>
            <w:noWrap w:val="0"/>
            <w:vAlign w:val="center"/>
          </w:tcPr>
          <w:p>
            <w:pPr>
              <w:widowControl w:val="0"/>
              <w:adjustRightInd/>
              <w:snapToGrid/>
              <w:spacing w:line="240" w:lineRule="auto"/>
              <w:ind w:left="0" w:leftChars="0" w:firstLine="0" w:firstLineChars="0"/>
              <w:contextualSpacing/>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19</w:t>
            </w:r>
          </w:p>
        </w:tc>
        <w:tc>
          <w:tcPr>
            <w:tcW w:w="3487"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铅（μg/L）</w:t>
            </w:r>
          </w:p>
        </w:tc>
        <w:tc>
          <w:tcPr>
            <w:tcW w:w="2994"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noWrap w:val="0"/>
            <w:vAlign w:val="center"/>
          </w:tcPr>
          <w:p>
            <w:pPr>
              <w:widowControl w:val="0"/>
              <w:adjustRightInd/>
              <w:snapToGrid/>
              <w:spacing w:line="240" w:lineRule="auto"/>
              <w:ind w:left="0" w:leftChars="0" w:firstLine="0" w:firstLineChars="0"/>
              <w:contextualSpacing/>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20</w:t>
            </w:r>
          </w:p>
        </w:tc>
        <w:tc>
          <w:tcPr>
            <w:tcW w:w="3487"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碳酸根离子</w:t>
            </w:r>
          </w:p>
        </w:tc>
        <w:tc>
          <w:tcPr>
            <w:tcW w:w="2994"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noWrap w:val="0"/>
            <w:vAlign w:val="center"/>
          </w:tcPr>
          <w:p>
            <w:pPr>
              <w:widowControl w:val="0"/>
              <w:adjustRightInd/>
              <w:snapToGrid/>
              <w:spacing w:line="240" w:lineRule="auto"/>
              <w:ind w:left="0" w:leftChars="0" w:firstLine="0" w:firstLineChars="0"/>
              <w:contextualSpacing/>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21</w:t>
            </w:r>
          </w:p>
        </w:tc>
        <w:tc>
          <w:tcPr>
            <w:tcW w:w="3487"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碳酸氢根离子</w:t>
            </w:r>
          </w:p>
        </w:tc>
        <w:tc>
          <w:tcPr>
            <w:tcW w:w="2994"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noWrap w:val="0"/>
            <w:vAlign w:val="center"/>
          </w:tcPr>
          <w:p>
            <w:pPr>
              <w:widowControl w:val="0"/>
              <w:adjustRightInd/>
              <w:snapToGrid/>
              <w:spacing w:line="240" w:lineRule="auto"/>
              <w:ind w:left="0" w:leftChars="0" w:firstLine="0" w:firstLineChars="0"/>
              <w:contextualSpacing/>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22</w:t>
            </w:r>
          </w:p>
        </w:tc>
        <w:tc>
          <w:tcPr>
            <w:tcW w:w="3487"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钾离子</w:t>
            </w:r>
          </w:p>
        </w:tc>
        <w:tc>
          <w:tcPr>
            <w:tcW w:w="2994"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noWrap w:val="0"/>
            <w:vAlign w:val="center"/>
          </w:tcPr>
          <w:p>
            <w:pPr>
              <w:widowControl w:val="0"/>
              <w:adjustRightInd/>
              <w:snapToGrid/>
              <w:spacing w:line="240" w:lineRule="auto"/>
              <w:ind w:left="0" w:leftChars="0" w:firstLine="0" w:firstLineChars="0"/>
              <w:contextualSpacing/>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23</w:t>
            </w:r>
          </w:p>
        </w:tc>
        <w:tc>
          <w:tcPr>
            <w:tcW w:w="3487"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钙离子</w:t>
            </w:r>
          </w:p>
        </w:tc>
        <w:tc>
          <w:tcPr>
            <w:tcW w:w="2994"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noWrap w:val="0"/>
            <w:vAlign w:val="center"/>
          </w:tcPr>
          <w:p>
            <w:pPr>
              <w:widowControl w:val="0"/>
              <w:adjustRightInd/>
              <w:snapToGrid/>
              <w:spacing w:line="240" w:lineRule="auto"/>
              <w:ind w:left="0" w:leftChars="0" w:firstLine="0" w:firstLineChars="0"/>
              <w:contextualSpacing/>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24</w:t>
            </w:r>
          </w:p>
        </w:tc>
        <w:tc>
          <w:tcPr>
            <w:tcW w:w="3487"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钠离子</w:t>
            </w:r>
          </w:p>
        </w:tc>
        <w:tc>
          <w:tcPr>
            <w:tcW w:w="2994"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dxa"/>
            <w:noWrap w:val="0"/>
            <w:vAlign w:val="center"/>
          </w:tcPr>
          <w:p>
            <w:pPr>
              <w:widowControl w:val="0"/>
              <w:adjustRightInd/>
              <w:snapToGrid/>
              <w:spacing w:line="240" w:lineRule="auto"/>
              <w:ind w:left="0" w:leftChars="0" w:firstLine="0" w:firstLineChars="0"/>
              <w:contextualSpacing/>
              <w:jc w:val="center"/>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25</w:t>
            </w:r>
          </w:p>
        </w:tc>
        <w:tc>
          <w:tcPr>
            <w:tcW w:w="3487"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镁离子</w:t>
            </w:r>
          </w:p>
        </w:tc>
        <w:tc>
          <w:tcPr>
            <w:tcW w:w="2994"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1"/>
                <w:szCs w:val="21"/>
                <w:highlight w:val="none"/>
                <w:lang w:val="en-US" w:eastAsia="zh-CN"/>
              </w:rPr>
              <w:t>--</w:t>
            </w:r>
          </w:p>
        </w:tc>
      </w:tr>
    </w:tbl>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（3）声环境：执行《声环境质量标准》（GB3096-2008）中3类声环境功能区标准，标准限值见</w:t>
      </w:r>
      <w:r>
        <w:rPr>
          <w:rFonts w:hint="eastAsia" w:cs="Times New Roman"/>
          <w:color w:val="auto"/>
          <w:highlight w:val="none"/>
          <w:lang w:val="en-US" w:eastAsia="zh-CN"/>
        </w:rPr>
        <w:t>下</w:t>
      </w:r>
      <w:r>
        <w:rPr>
          <w:rFonts w:hint="default" w:ascii="Times New Roman" w:hAnsi="Times New Roman" w:cs="Times New Roman"/>
          <w:color w:val="auto"/>
          <w:highlight w:val="none"/>
        </w:rPr>
        <w:t>表。</w:t>
      </w:r>
    </w:p>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rPr>
        <w:t>表2.3-</w:t>
      </w:r>
      <w:r>
        <w:rPr>
          <w:rFonts w:hint="eastAsia" w:cs="Times New Roman"/>
          <w:color w:val="auto"/>
          <w:highlight w:val="none"/>
          <w:lang w:val="en-US" w:eastAsia="zh-CN"/>
        </w:rPr>
        <w:t>3</w:t>
      </w:r>
      <w:r>
        <w:rPr>
          <w:rFonts w:hint="default" w:ascii="Times New Roman" w:hAnsi="Times New Roman" w:cs="Times New Roman"/>
          <w:color w:val="auto"/>
          <w:highlight w:val="none"/>
        </w:rPr>
        <w:t>声环境质量标准限值表单位：dB(A)</w:t>
      </w:r>
    </w:p>
    <w:tbl>
      <w:tblPr>
        <w:tblStyle w:val="33"/>
        <w:tblW w:w="95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0"/>
        <w:gridCol w:w="3172"/>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3170"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声环境功能区类别</w:t>
            </w:r>
          </w:p>
        </w:tc>
        <w:tc>
          <w:tcPr>
            <w:tcW w:w="3172"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昼间</w:t>
            </w:r>
          </w:p>
        </w:tc>
        <w:tc>
          <w:tcPr>
            <w:tcW w:w="3172"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70"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3类</w:t>
            </w:r>
          </w:p>
        </w:tc>
        <w:tc>
          <w:tcPr>
            <w:tcW w:w="3172" w:type="dxa"/>
            <w:tcBorders>
              <w:tl2br w:val="nil"/>
              <w:tr2bl w:val="nil"/>
            </w:tcBorders>
            <w:vAlign w:val="center"/>
          </w:tcPr>
          <w:p>
            <w:pPr>
              <w:pStyle w:val="49"/>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65</w:t>
            </w:r>
          </w:p>
        </w:tc>
        <w:tc>
          <w:tcPr>
            <w:tcW w:w="3172" w:type="dxa"/>
            <w:tcBorders>
              <w:tl2br w:val="nil"/>
              <w:tr2bl w:val="nil"/>
            </w:tcBorders>
            <w:vAlign w:val="center"/>
          </w:tcPr>
          <w:p>
            <w:pPr>
              <w:pStyle w:val="49"/>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55</w:t>
            </w:r>
          </w:p>
        </w:tc>
      </w:tr>
    </w:tbl>
    <w:p>
      <w:pPr>
        <w:ind w:firstLine="480"/>
        <w:rPr>
          <w:rFonts w:hint="default" w:ascii="Times New Roman" w:hAnsi="Times New Roman" w:cs="Times New Roman"/>
          <w:color w:val="auto"/>
          <w:highlight w:val="none"/>
        </w:rPr>
      </w:pPr>
      <w:bookmarkStart w:id="56" w:name="_Toc464225229"/>
      <w:r>
        <w:rPr>
          <w:rFonts w:hint="default" w:ascii="Times New Roman" w:hAnsi="Times New Roman" w:cs="Times New Roman"/>
          <w:color w:val="auto"/>
          <w:highlight w:val="none"/>
        </w:rPr>
        <w:t>（4）土壤环境：评价范围内的土壤执行《</w:t>
      </w:r>
      <w:r>
        <w:rPr>
          <w:rFonts w:hint="default" w:ascii="Times New Roman" w:hAnsi="Times New Roman" w:cs="Times New Roman"/>
          <w:color w:val="auto"/>
          <w:highlight w:val="none"/>
          <w:lang w:eastAsia="zh-CN"/>
        </w:rPr>
        <w:t>土壤环境质量建设用地土壤污染风险管控标准（试行）</w:t>
      </w:r>
      <w:r>
        <w:rPr>
          <w:rFonts w:hint="default" w:ascii="Times New Roman" w:hAnsi="Times New Roman" w:cs="Times New Roman"/>
          <w:color w:val="auto"/>
          <w:highlight w:val="none"/>
        </w:rPr>
        <w:t>》（GB36600-2018）中的风险筛选值（第二类用地）标准限值见</w:t>
      </w:r>
      <w:r>
        <w:rPr>
          <w:rFonts w:hint="eastAsia" w:cs="Times New Roman"/>
          <w:color w:val="auto"/>
          <w:highlight w:val="none"/>
          <w:lang w:val="en-US" w:eastAsia="zh-CN"/>
        </w:rPr>
        <w:t>下</w:t>
      </w:r>
      <w:r>
        <w:rPr>
          <w:rFonts w:hint="default" w:ascii="Times New Roman" w:hAnsi="Times New Roman" w:cs="Times New Roman"/>
          <w:color w:val="auto"/>
          <w:highlight w:val="none"/>
        </w:rPr>
        <w:t>表。</w:t>
      </w:r>
    </w:p>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rPr>
        <w:t>表2.3-</w:t>
      </w:r>
      <w:r>
        <w:rPr>
          <w:rFonts w:hint="eastAsia" w:cs="Times New Roman"/>
          <w:color w:val="auto"/>
          <w:highlight w:val="none"/>
          <w:lang w:val="en-US" w:eastAsia="zh-CN"/>
        </w:rPr>
        <w:t>4</w:t>
      </w:r>
      <w:r>
        <w:rPr>
          <w:rFonts w:hint="default" w:ascii="Times New Roman" w:hAnsi="Times New Roman" w:cs="Times New Roman"/>
          <w:color w:val="auto"/>
          <w:highlight w:val="none"/>
        </w:rPr>
        <w:t>建设用地土壤污染风险管制值单位：mg/kg，pH为无量纲</w:t>
      </w:r>
    </w:p>
    <w:tbl>
      <w:tblPr>
        <w:tblStyle w:val="33"/>
        <w:tblW w:w="9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2775"/>
        <w:gridCol w:w="3537"/>
        <w:gridCol w:w="2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vMerge w:val="restart"/>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2775" w:type="dxa"/>
            <w:vMerge w:val="restart"/>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污染物项目</w:t>
            </w:r>
          </w:p>
        </w:tc>
        <w:tc>
          <w:tcPr>
            <w:tcW w:w="3537" w:type="dxa"/>
            <w:vMerge w:val="restart"/>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CAS编号</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vMerge w:val="continue"/>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p>
        </w:tc>
        <w:tc>
          <w:tcPr>
            <w:tcW w:w="2775" w:type="dxa"/>
            <w:vMerge w:val="continue"/>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p>
        </w:tc>
        <w:tc>
          <w:tcPr>
            <w:tcW w:w="3537" w:type="dxa"/>
            <w:vMerge w:val="continue"/>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第二类用地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10" w:type="dxa"/>
            <w:gridSpan w:val="4"/>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重金属和无机物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砷</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7440-38-2</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镉</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7440-43-9</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六价铬</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18540-29-9</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铜</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7440-50-8</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铅</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7439-92-1</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6</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汞</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7439-97-6</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7</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镍</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7440-02-0</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10" w:type="dxa"/>
            <w:gridSpan w:val="4"/>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8</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四氯化碳</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56-23-5</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9</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氯仿</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67-66-3</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氯甲烷</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74-87-3</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11</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1，1-二氯乙烷</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75-34-3</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12</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1，2-二氯乙烷</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107-06-2</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13</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1，1-二氯乙烯</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75-35-4</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14</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顺-1，2-二氯乙烯</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156-59-2</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反-1，2-二氯乙烯</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156-60-5</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16</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二氯甲烷</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75-09-2</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17</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1，2-二氯丙烷</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78-87-5</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18</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1，1，1，2-四氯乙烷</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630-20-6</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19</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1，1，2，2-四氯乙烷</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79-24-5</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20</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四氯乙烯</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127-18-4</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21</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1，1，1-三氯乙烷</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71-55-6</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22</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1，1，2-三氯乙烷</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79-00-5</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23</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三氯乙烯</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79-01-6</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24</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1，2，3-三氯丙烷</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96-18-4</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25</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氯乙烯</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75-01-4</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26</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苯</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71-43-2</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27</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氯苯</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108-90-7</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28</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1，2-二氯苯</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95-50-1</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29</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1，4-二氯苯</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106-46-7</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30</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乙苯</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400-41-4</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31</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苯乙烯</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100-42-5</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32</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甲苯</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108-88-3</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33</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间二甲苯+对二甲苯</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108-38-3，</w:t>
            </w:r>
          </w:p>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106-42-3</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34</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邻二甲苯</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95-47-6</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10" w:type="dxa"/>
            <w:gridSpan w:val="4"/>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半挥发性有机物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35</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硝基苯</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98-95-3</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36</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苯胺</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95-53-3</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37</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2-氯酚</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95-57-8</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38</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苯并（a）蒽</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56-55-3</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39</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苯并（a）芘</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50-32-8</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40</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苯并（b）荧蒽</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205-99-2</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41</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苯并（k）荧蒽</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207-08-9</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42</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䓛</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218-01-9</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43</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二苯并（a，h）蒽</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53-70-3</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44</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茚并（1，2，3-cd）芘</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193-39-5</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45</w:t>
            </w:r>
          </w:p>
        </w:tc>
        <w:tc>
          <w:tcPr>
            <w:tcW w:w="277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萘</w:t>
            </w:r>
          </w:p>
        </w:tc>
        <w:tc>
          <w:tcPr>
            <w:tcW w:w="353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91-20-3</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46</w:t>
            </w:r>
          </w:p>
        </w:tc>
        <w:tc>
          <w:tcPr>
            <w:tcW w:w="6312" w:type="dxa"/>
            <w:gridSpan w:val="2"/>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二噁英（总毒性当量）ngTEQ/kg</w:t>
            </w:r>
          </w:p>
        </w:tc>
        <w:tc>
          <w:tcPr>
            <w:tcW w:w="238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40</w:t>
            </w:r>
          </w:p>
        </w:tc>
      </w:tr>
    </w:tbl>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污染物排放标准</w:t>
      </w:r>
      <w:bookmarkEnd w:id="56"/>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（1）废水：尾水排放执行《城镇污水处理厂污染物排放标准》（GB18918-2002）</w:t>
      </w:r>
      <w:r>
        <w:rPr>
          <w:rFonts w:hint="eastAsia"/>
          <w:color w:val="auto"/>
          <w:highlight w:val="none"/>
          <w:lang w:val="en-US" w:eastAsia="zh-CN"/>
        </w:rPr>
        <w:t>及</w:t>
      </w:r>
      <w:r>
        <w:rPr>
          <w:rFonts w:hint="default" w:ascii="Times New Roman" w:hAnsi="Times New Roman" w:cs="Times New Roman"/>
          <w:color w:val="auto"/>
          <w:highlight w:val="none"/>
        </w:rPr>
        <w:t>修改单一级A标准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同时满足《</w:t>
      </w:r>
      <w:r>
        <w:rPr>
          <w:rFonts w:hint="eastAsia" w:cs="Times New Roman"/>
          <w:color w:val="auto"/>
          <w:highlight w:val="none"/>
          <w:lang w:eastAsia="zh-CN"/>
        </w:rPr>
        <w:t>城市污水再生利用城市杂用水水质》（GB/T18920-2020）</w:t>
      </w:r>
      <w:r>
        <w:rPr>
          <w:rFonts w:hint="default" w:ascii="Times New Roman" w:hAnsi="Times New Roman" w:cs="Times New Roman"/>
          <w:color w:val="auto"/>
          <w:highlight w:val="none"/>
        </w:rPr>
        <w:t>和《城市污水再生利用绿地灌溉水质》（GB/T25499-2010），标准限值见</w:t>
      </w:r>
      <w:r>
        <w:rPr>
          <w:rFonts w:hint="eastAsia" w:cs="Times New Roman"/>
          <w:color w:val="auto"/>
          <w:highlight w:val="none"/>
          <w:lang w:val="en-US" w:eastAsia="zh-CN"/>
        </w:rPr>
        <w:t>下</w:t>
      </w:r>
      <w:r>
        <w:rPr>
          <w:rFonts w:hint="default" w:ascii="Times New Roman" w:hAnsi="Times New Roman" w:cs="Times New Roman"/>
          <w:color w:val="auto"/>
          <w:highlight w:val="none"/>
        </w:rPr>
        <w:t>表。</w:t>
      </w:r>
    </w:p>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rPr>
        <w:t>表2.3-</w:t>
      </w:r>
      <w:r>
        <w:rPr>
          <w:rFonts w:hint="eastAsia" w:cs="Times New Roman"/>
          <w:color w:val="auto"/>
          <w:highlight w:val="none"/>
          <w:lang w:val="en-US" w:eastAsia="zh-CN"/>
        </w:rPr>
        <w:t>5</w:t>
      </w:r>
      <w:r>
        <w:rPr>
          <w:rFonts w:hint="default" w:ascii="Times New Roman" w:hAnsi="Times New Roman" w:cs="Times New Roman"/>
          <w:color w:val="auto"/>
          <w:highlight w:val="none"/>
        </w:rPr>
        <w:t>污水排放标准限值表（截选）单位：mg/L，pH为无量纲</w:t>
      </w:r>
    </w:p>
    <w:tbl>
      <w:tblPr>
        <w:tblStyle w:val="33"/>
        <w:tblW w:w="95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315"/>
        <w:gridCol w:w="1185"/>
        <w:gridCol w:w="902"/>
        <w:gridCol w:w="3023"/>
        <w:gridCol w:w="1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2315"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p>
        </w:tc>
        <w:tc>
          <w:tcPr>
            <w:tcW w:w="1185"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标准值</w:t>
            </w:r>
          </w:p>
        </w:tc>
        <w:tc>
          <w:tcPr>
            <w:tcW w:w="902"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3023"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p>
        </w:tc>
        <w:tc>
          <w:tcPr>
            <w:tcW w:w="1181"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2315"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COD</w:t>
            </w:r>
          </w:p>
        </w:tc>
        <w:tc>
          <w:tcPr>
            <w:tcW w:w="1185"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50</w:t>
            </w:r>
          </w:p>
        </w:tc>
        <w:tc>
          <w:tcPr>
            <w:tcW w:w="902"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7</w:t>
            </w:r>
          </w:p>
        </w:tc>
        <w:tc>
          <w:tcPr>
            <w:tcW w:w="3023"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氨氮（以N计）</w:t>
            </w:r>
          </w:p>
        </w:tc>
        <w:tc>
          <w:tcPr>
            <w:tcW w:w="1181"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5</w:t>
            </w:r>
            <w:r>
              <w:rPr>
                <w:rFonts w:hint="eastAsia"/>
                <w:color w:val="auto"/>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2315"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BOD</w:t>
            </w:r>
            <w:r>
              <w:rPr>
                <w:rFonts w:hint="default" w:ascii="Times New Roman" w:hAnsi="Times New Roman" w:cs="Times New Roman"/>
                <w:color w:val="auto"/>
                <w:highlight w:val="none"/>
                <w:vertAlign w:val="subscript"/>
              </w:rPr>
              <w:t>5</w:t>
            </w:r>
          </w:p>
        </w:tc>
        <w:tc>
          <w:tcPr>
            <w:tcW w:w="1185"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902"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8</w:t>
            </w:r>
          </w:p>
        </w:tc>
        <w:tc>
          <w:tcPr>
            <w:tcW w:w="3023"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总磷（以P计）</w:t>
            </w:r>
          </w:p>
        </w:tc>
        <w:tc>
          <w:tcPr>
            <w:tcW w:w="1181"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2315"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SS</w:t>
            </w:r>
          </w:p>
        </w:tc>
        <w:tc>
          <w:tcPr>
            <w:tcW w:w="1185"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902"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9</w:t>
            </w:r>
          </w:p>
        </w:tc>
        <w:tc>
          <w:tcPr>
            <w:tcW w:w="3023"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粪大肠菌群数/（个/L）</w:t>
            </w:r>
          </w:p>
        </w:tc>
        <w:tc>
          <w:tcPr>
            <w:tcW w:w="1181"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r>
              <w:rPr>
                <w:rFonts w:hint="default" w:ascii="Times New Roman" w:hAnsi="Times New Roman" w:cs="Times New Roman"/>
                <w:color w:val="auto"/>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2315"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石油类</w:t>
            </w:r>
          </w:p>
        </w:tc>
        <w:tc>
          <w:tcPr>
            <w:tcW w:w="1185"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902"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3023"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pH值</w:t>
            </w:r>
          </w:p>
        </w:tc>
        <w:tc>
          <w:tcPr>
            <w:tcW w:w="1181"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2315"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动植物油</w:t>
            </w:r>
          </w:p>
        </w:tc>
        <w:tc>
          <w:tcPr>
            <w:tcW w:w="1185"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902"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11</w:t>
            </w:r>
          </w:p>
        </w:tc>
        <w:tc>
          <w:tcPr>
            <w:tcW w:w="3023"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总氮</w:t>
            </w:r>
          </w:p>
        </w:tc>
        <w:tc>
          <w:tcPr>
            <w:tcW w:w="1181"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00"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6</w:t>
            </w:r>
          </w:p>
        </w:tc>
        <w:tc>
          <w:tcPr>
            <w:tcW w:w="2315"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阴离子表面活性剂</w:t>
            </w:r>
          </w:p>
        </w:tc>
        <w:tc>
          <w:tcPr>
            <w:tcW w:w="1185"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0.5</w:t>
            </w:r>
          </w:p>
        </w:tc>
        <w:tc>
          <w:tcPr>
            <w:tcW w:w="902"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12</w:t>
            </w:r>
          </w:p>
        </w:tc>
        <w:tc>
          <w:tcPr>
            <w:tcW w:w="3023"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色度</w:t>
            </w:r>
          </w:p>
        </w:tc>
        <w:tc>
          <w:tcPr>
            <w:tcW w:w="1181"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30</w:t>
            </w:r>
          </w:p>
        </w:tc>
      </w:tr>
    </w:tbl>
    <w:p>
      <w:pPr>
        <w:pStyle w:val="70"/>
        <w:rPr>
          <w:rFonts w:hint="default" w:ascii="Times New Roman" w:hAnsi="Times New Roman" w:cs="Times New Roman"/>
          <w:color w:val="auto"/>
          <w:highlight w:val="none"/>
        </w:rPr>
      </w:pPr>
    </w:p>
    <w:p>
      <w:pPr>
        <w:pStyle w:val="70"/>
        <w:rPr>
          <w:rFonts w:hint="default" w:ascii="Times New Roman" w:hAnsi="Times New Roman" w:cs="Times New Roman"/>
          <w:color w:val="auto"/>
          <w:highlight w:val="none"/>
        </w:rPr>
      </w:pPr>
    </w:p>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rPr>
        <w:t>表2.3-</w:t>
      </w:r>
      <w:r>
        <w:rPr>
          <w:rFonts w:hint="eastAsia" w:cs="Times New Roman"/>
          <w:color w:val="auto"/>
          <w:highlight w:val="none"/>
          <w:lang w:val="en-US" w:eastAsia="zh-CN"/>
        </w:rPr>
        <w:t>6</w:t>
      </w:r>
      <w:r>
        <w:rPr>
          <w:rFonts w:hint="default" w:ascii="Times New Roman" w:hAnsi="Times New Roman" w:cs="Times New Roman"/>
          <w:color w:val="auto"/>
          <w:highlight w:val="none"/>
        </w:rPr>
        <w:t>污水排放标准限值表（截选）单位：mg/L，pH为无量纲</w:t>
      </w:r>
    </w:p>
    <w:tbl>
      <w:tblPr>
        <w:tblStyle w:val="57"/>
        <w:tblW w:w="502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89"/>
        <w:gridCol w:w="1204"/>
        <w:gridCol w:w="700"/>
        <w:gridCol w:w="585"/>
        <w:gridCol w:w="263"/>
        <w:gridCol w:w="302"/>
        <w:gridCol w:w="679"/>
        <w:gridCol w:w="325"/>
        <w:gridCol w:w="299"/>
        <w:gridCol w:w="668"/>
        <w:gridCol w:w="455"/>
        <w:gridCol w:w="471"/>
        <w:gridCol w:w="239"/>
        <w:gridCol w:w="9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1169"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项目执行标准</w:t>
            </w:r>
          </w:p>
        </w:tc>
        <w:tc>
          <w:tcPr>
            <w:tcW w:w="643"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类型</w:t>
            </w:r>
          </w:p>
        </w:tc>
        <w:tc>
          <w:tcPr>
            <w:tcW w:w="373"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CODCr</w:t>
            </w:r>
          </w:p>
        </w:tc>
        <w:tc>
          <w:tcPr>
            <w:tcW w:w="312"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BOD</w:t>
            </w:r>
            <w:r>
              <w:rPr>
                <w:rFonts w:hint="default" w:ascii="Times New Roman" w:hAnsi="Times New Roman" w:eastAsia="宋体" w:cs="Times New Roman"/>
                <w:color w:val="auto"/>
                <w:highlight w:val="none"/>
                <w:vertAlign w:val="subscript"/>
              </w:rPr>
              <w:t>5</w:t>
            </w:r>
          </w:p>
        </w:tc>
        <w:tc>
          <w:tcPr>
            <w:tcW w:w="140"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SS</w:t>
            </w:r>
          </w:p>
        </w:tc>
        <w:tc>
          <w:tcPr>
            <w:tcW w:w="161"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TP</w:t>
            </w:r>
          </w:p>
        </w:tc>
        <w:tc>
          <w:tcPr>
            <w:tcW w:w="362"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-N</w:t>
            </w:r>
          </w:p>
        </w:tc>
        <w:tc>
          <w:tcPr>
            <w:tcW w:w="173"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TN</w:t>
            </w:r>
          </w:p>
        </w:tc>
        <w:tc>
          <w:tcPr>
            <w:tcW w:w="159" w:type="pct"/>
            <w:textDirection w:val="tbRlV"/>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色度</w:t>
            </w:r>
          </w:p>
        </w:tc>
        <w:tc>
          <w:tcPr>
            <w:tcW w:w="356"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pH</w:t>
            </w:r>
          </w:p>
        </w:tc>
        <w:tc>
          <w:tcPr>
            <w:tcW w:w="243"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LAS</w:t>
            </w:r>
          </w:p>
        </w:tc>
        <w:tc>
          <w:tcPr>
            <w:tcW w:w="251"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类大肠杆菌</w:t>
            </w:r>
          </w:p>
        </w:tc>
        <w:tc>
          <w:tcPr>
            <w:tcW w:w="127" w:type="pct"/>
            <w:textDirection w:val="tbRlV"/>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氯化物</w:t>
            </w:r>
          </w:p>
        </w:tc>
        <w:tc>
          <w:tcPr>
            <w:tcW w:w="521"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余氯②≥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1169" w:type="pct"/>
            <w:vMerge w:val="restart"/>
            <w:tcBorders>
              <w:bottom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ascii="Times New Roman" w:hAnsi="Times New Roman" w:cs="Times New Roman"/>
                <w:color w:val="auto"/>
                <w:highlight w:val="none"/>
                <w:lang w:eastAsia="zh-CN"/>
              </w:rPr>
              <w:t>城市污水再生利用城市杂用水水质</w:t>
            </w:r>
            <w:r>
              <w:rPr>
                <w:rFonts w:hint="default" w:ascii="Times New Roman" w:hAnsi="Times New Roman" w:eastAsia="宋体" w:cs="Times New Roman"/>
                <w:color w:val="auto"/>
                <w:highlight w:val="none"/>
              </w:rPr>
              <w:t>》（GB/T18920-2020）</w:t>
            </w:r>
          </w:p>
        </w:tc>
        <w:tc>
          <w:tcPr>
            <w:tcW w:w="643"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冲厕、车辆</w:t>
            </w:r>
          </w:p>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冲洗</w:t>
            </w:r>
          </w:p>
        </w:tc>
        <w:tc>
          <w:tcPr>
            <w:tcW w:w="373" w:type="pct"/>
            <w:vMerge w:val="restart"/>
            <w:tcBorders>
              <w:bottom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312"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p>
        </w:tc>
        <w:tc>
          <w:tcPr>
            <w:tcW w:w="140" w:type="pct"/>
            <w:vMerge w:val="restart"/>
            <w:tcBorders>
              <w:bottom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61" w:type="pct"/>
            <w:vMerge w:val="restart"/>
            <w:tcBorders>
              <w:bottom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362"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w:t>
            </w:r>
          </w:p>
        </w:tc>
        <w:tc>
          <w:tcPr>
            <w:tcW w:w="173" w:type="pct"/>
            <w:vMerge w:val="restart"/>
            <w:tcBorders>
              <w:bottom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59"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15</w:t>
            </w:r>
          </w:p>
        </w:tc>
        <w:tc>
          <w:tcPr>
            <w:tcW w:w="356" w:type="pct"/>
            <w:vMerge w:val="restart"/>
            <w:tcBorders>
              <w:bottom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6-9</w:t>
            </w:r>
          </w:p>
        </w:tc>
        <w:tc>
          <w:tcPr>
            <w:tcW w:w="243"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0.5</w:t>
            </w:r>
          </w:p>
        </w:tc>
        <w:tc>
          <w:tcPr>
            <w:tcW w:w="251" w:type="pct"/>
            <w:vMerge w:val="restart"/>
            <w:tcBorders>
              <w:bottom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27"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521"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4" w:hRule="atLeast"/>
        </w:trPr>
        <w:tc>
          <w:tcPr>
            <w:tcW w:w="1169" w:type="pct"/>
            <w:vMerge w:val="continue"/>
            <w:tcBorders>
              <w:top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p>
        </w:tc>
        <w:tc>
          <w:tcPr>
            <w:tcW w:w="643"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城市绿化、道路清扫、消防、建筑施工</w:t>
            </w:r>
          </w:p>
        </w:tc>
        <w:tc>
          <w:tcPr>
            <w:tcW w:w="373" w:type="pct"/>
            <w:vMerge w:val="continue"/>
            <w:tcBorders>
              <w:top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p>
        </w:tc>
        <w:tc>
          <w:tcPr>
            <w:tcW w:w="312"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p>
        </w:tc>
        <w:tc>
          <w:tcPr>
            <w:tcW w:w="140" w:type="pct"/>
            <w:vMerge w:val="continue"/>
            <w:tcBorders>
              <w:top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p>
        </w:tc>
        <w:tc>
          <w:tcPr>
            <w:tcW w:w="161" w:type="pct"/>
            <w:vMerge w:val="continue"/>
            <w:tcBorders>
              <w:top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p>
        </w:tc>
        <w:tc>
          <w:tcPr>
            <w:tcW w:w="362"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w:t>
            </w:r>
          </w:p>
        </w:tc>
        <w:tc>
          <w:tcPr>
            <w:tcW w:w="173" w:type="pct"/>
            <w:vMerge w:val="continue"/>
            <w:tcBorders>
              <w:top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p>
        </w:tc>
        <w:tc>
          <w:tcPr>
            <w:tcW w:w="159"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30</w:t>
            </w:r>
          </w:p>
        </w:tc>
        <w:tc>
          <w:tcPr>
            <w:tcW w:w="356" w:type="pct"/>
            <w:vMerge w:val="continue"/>
            <w:tcBorders>
              <w:top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p>
        </w:tc>
        <w:tc>
          <w:tcPr>
            <w:tcW w:w="243"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0.5</w:t>
            </w:r>
          </w:p>
        </w:tc>
        <w:tc>
          <w:tcPr>
            <w:tcW w:w="251" w:type="pct"/>
            <w:vMerge w:val="continue"/>
            <w:tcBorders>
              <w:top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p>
        </w:tc>
        <w:tc>
          <w:tcPr>
            <w:tcW w:w="127"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521"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1" w:hRule="atLeast"/>
        </w:trPr>
        <w:tc>
          <w:tcPr>
            <w:tcW w:w="1169"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ascii="Times New Roman" w:hAnsi="Times New Roman" w:cs="Times New Roman"/>
                <w:color w:val="auto"/>
                <w:highlight w:val="none"/>
                <w:lang w:eastAsia="zh-CN"/>
              </w:rPr>
              <w:t>城市污水再生利用绿地灌溉水质</w:t>
            </w:r>
            <w:r>
              <w:rPr>
                <w:rFonts w:hint="default" w:ascii="Times New Roman" w:hAnsi="Times New Roman" w:eastAsia="宋体" w:cs="Times New Roman"/>
                <w:color w:val="auto"/>
                <w:highlight w:val="none"/>
              </w:rPr>
              <w:t>》</w:t>
            </w:r>
            <w:r>
              <w:rPr>
                <w:rFonts w:hint="eastAsia"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GB/T25499-2010）</w:t>
            </w:r>
          </w:p>
        </w:tc>
        <w:tc>
          <w:tcPr>
            <w:tcW w:w="643"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绿化用水</w:t>
            </w:r>
          </w:p>
        </w:tc>
        <w:tc>
          <w:tcPr>
            <w:tcW w:w="373"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312"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w:t>
            </w:r>
          </w:p>
        </w:tc>
        <w:tc>
          <w:tcPr>
            <w:tcW w:w="140"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61"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362"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w:t>
            </w:r>
          </w:p>
        </w:tc>
        <w:tc>
          <w:tcPr>
            <w:tcW w:w="173"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59"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30</w:t>
            </w:r>
          </w:p>
        </w:tc>
        <w:tc>
          <w:tcPr>
            <w:tcW w:w="356"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243"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p>
        </w:tc>
        <w:tc>
          <w:tcPr>
            <w:tcW w:w="251"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1000个/L</w:t>
            </w:r>
          </w:p>
        </w:tc>
        <w:tc>
          <w:tcPr>
            <w:tcW w:w="127"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250</w:t>
            </w:r>
          </w:p>
        </w:tc>
        <w:tc>
          <w:tcPr>
            <w:tcW w:w="521" w:type="pct"/>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0.02≤管网末端</w:t>
            </w:r>
          </w:p>
        </w:tc>
      </w:tr>
    </w:tbl>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（2）废气：施工期无组织排放粉尘执行《建筑工程绿色环保施工管理规范》（DB65T4060-2017）排放监控浓度限值标准</w:t>
      </w:r>
      <w:r>
        <w:rPr>
          <w:rFonts w:hint="eastAsia" w:cs="Times New Roman"/>
          <w:color w:val="auto"/>
          <w:highlight w:val="none"/>
          <w:lang w:eastAsia="zh-CN"/>
        </w:rPr>
        <w:t>，加强建筑施工现场颗粒物排放控制。施工现场应安装颗粒物在线监控设备，监测点颗粒物的15分钟浓度均值不得超过2.0mg/m</w:t>
      </w:r>
      <w:r>
        <w:rPr>
          <w:rFonts w:hint="eastAsia" w:cs="Times New Roman"/>
          <w:color w:val="auto"/>
          <w:highlight w:val="none"/>
          <w:vertAlign w:val="superscript"/>
          <w:lang w:eastAsia="zh-CN"/>
        </w:rPr>
        <w:t>3</w:t>
      </w:r>
      <w:r>
        <w:rPr>
          <w:rFonts w:hint="default" w:ascii="Times New Roman" w:hAnsi="Times New Roman" w:cs="Times New Roman"/>
          <w:color w:val="auto"/>
          <w:highlight w:val="none"/>
        </w:rPr>
        <w:t>；营运期污水处理厂排放的有组织恶臭气体执行《恶臭污染物排放标准》（GB14554-93）标准要求，无组织恶臭执行《城镇污水处理厂污染物排放标准》（GB18918-2002）修改单中表4二级标准</w:t>
      </w:r>
      <w:r>
        <w:rPr>
          <w:rFonts w:hint="eastAsia" w:cs="Times New Roman"/>
          <w:color w:val="auto"/>
          <w:highlight w:val="none"/>
          <w:lang w:eastAsia="zh-CN"/>
        </w:rPr>
        <w:t>，</w:t>
      </w:r>
      <w:r>
        <w:rPr>
          <w:rFonts w:hint="default" w:ascii="Times New Roman" w:hAnsi="Times New Roman" w:cs="Times New Roman"/>
          <w:color w:val="auto"/>
          <w:highlight w:val="none"/>
        </w:rPr>
        <w:t>见</w:t>
      </w:r>
      <w:r>
        <w:rPr>
          <w:rFonts w:hint="eastAsia" w:cs="Times New Roman"/>
          <w:color w:val="auto"/>
          <w:highlight w:val="none"/>
          <w:lang w:val="en-US" w:eastAsia="zh-CN"/>
        </w:rPr>
        <w:t>下</w:t>
      </w:r>
      <w:r>
        <w:rPr>
          <w:rFonts w:hint="default" w:ascii="Times New Roman" w:hAnsi="Times New Roman" w:cs="Times New Roman"/>
          <w:color w:val="auto"/>
          <w:highlight w:val="none"/>
        </w:rPr>
        <w:t>表。</w:t>
      </w:r>
    </w:p>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rPr>
        <w:t>表2.3-</w:t>
      </w:r>
      <w:r>
        <w:rPr>
          <w:rFonts w:hint="eastAsia" w:cs="Times New Roman"/>
          <w:color w:val="auto"/>
          <w:highlight w:val="none"/>
          <w:lang w:val="en-US" w:eastAsia="zh-CN"/>
        </w:rPr>
        <w:t>7</w:t>
      </w:r>
      <w:r>
        <w:rPr>
          <w:rFonts w:hint="default" w:ascii="Times New Roman" w:hAnsi="Times New Roman" w:cs="Times New Roman"/>
          <w:color w:val="auto"/>
          <w:highlight w:val="none"/>
        </w:rPr>
        <w:t>废气排放标准允许值</w:t>
      </w:r>
    </w:p>
    <w:tbl>
      <w:tblPr>
        <w:tblStyle w:val="33"/>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840"/>
        <w:gridCol w:w="1200"/>
        <w:gridCol w:w="1095"/>
        <w:gridCol w:w="1013"/>
        <w:gridCol w:w="3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144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类别</w:t>
            </w:r>
          </w:p>
        </w:tc>
        <w:tc>
          <w:tcPr>
            <w:tcW w:w="840"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1200"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污染因子</w:t>
            </w:r>
          </w:p>
        </w:tc>
        <w:tc>
          <w:tcPr>
            <w:tcW w:w="109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标准值</w:t>
            </w:r>
          </w:p>
        </w:tc>
        <w:tc>
          <w:tcPr>
            <w:tcW w:w="10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单位</w:t>
            </w:r>
          </w:p>
        </w:tc>
        <w:tc>
          <w:tcPr>
            <w:tcW w:w="3921"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45" w:type="dxa"/>
            <w:vMerge w:val="restart"/>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有组织废气</w:t>
            </w:r>
          </w:p>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w:t>
            </w:r>
            <w:r>
              <w:rPr>
                <w:rFonts w:hint="default" w:ascii="Times New Roman" w:hAnsi="Times New Roman" w:cs="Times New Roman"/>
                <w:color w:val="auto"/>
                <w:highlight w:val="none"/>
              </w:rPr>
              <w:t>15m排气筒</w:t>
            </w:r>
            <w:r>
              <w:rPr>
                <w:rFonts w:hint="eastAsia" w:ascii="Times New Roman" w:hAnsi="Times New Roman" w:cs="Times New Roman"/>
                <w:color w:val="auto"/>
                <w:highlight w:val="none"/>
                <w:lang w:eastAsia="zh-CN"/>
              </w:rPr>
              <w:t>）</w:t>
            </w:r>
          </w:p>
        </w:tc>
        <w:tc>
          <w:tcPr>
            <w:tcW w:w="840"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1200"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w:t>
            </w:r>
          </w:p>
        </w:tc>
        <w:tc>
          <w:tcPr>
            <w:tcW w:w="109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0.33</w:t>
            </w:r>
          </w:p>
        </w:tc>
        <w:tc>
          <w:tcPr>
            <w:tcW w:w="10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kg/h</w:t>
            </w:r>
          </w:p>
        </w:tc>
        <w:tc>
          <w:tcPr>
            <w:tcW w:w="3921" w:type="dxa"/>
            <w:vMerge w:val="restart"/>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45" w:type="dxa"/>
            <w:vMerge w:val="continue"/>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p>
        </w:tc>
        <w:tc>
          <w:tcPr>
            <w:tcW w:w="840"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1200"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NH</w:t>
            </w:r>
            <w:r>
              <w:rPr>
                <w:rFonts w:hint="default" w:ascii="Times New Roman" w:hAnsi="Times New Roman" w:cs="Times New Roman"/>
                <w:color w:val="auto"/>
                <w:highlight w:val="none"/>
                <w:vertAlign w:val="subscript"/>
              </w:rPr>
              <w:t>3</w:t>
            </w:r>
          </w:p>
        </w:tc>
        <w:tc>
          <w:tcPr>
            <w:tcW w:w="109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4.9</w:t>
            </w:r>
          </w:p>
        </w:tc>
        <w:tc>
          <w:tcPr>
            <w:tcW w:w="10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kg/h</w:t>
            </w:r>
          </w:p>
        </w:tc>
        <w:tc>
          <w:tcPr>
            <w:tcW w:w="3921" w:type="dxa"/>
            <w:vMerge w:val="continue"/>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45" w:type="dxa"/>
            <w:vMerge w:val="continue"/>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p>
        </w:tc>
        <w:tc>
          <w:tcPr>
            <w:tcW w:w="840"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1200"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臭气浓度</w:t>
            </w:r>
          </w:p>
        </w:tc>
        <w:tc>
          <w:tcPr>
            <w:tcW w:w="109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4000</w:t>
            </w:r>
          </w:p>
        </w:tc>
        <w:tc>
          <w:tcPr>
            <w:tcW w:w="10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无量纲</w:t>
            </w:r>
          </w:p>
        </w:tc>
        <w:tc>
          <w:tcPr>
            <w:tcW w:w="3921" w:type="dxa"/>
            <w:vMerge w:val="continue"/>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45" w:type="dxa"/>
            <w:vMerge w:val="restart"/>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无组织</w:t>
            </w:r>
          </w:p>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（厂界）</w:t>
            </w:r>
          </w:p>
        </w:tc>
        <w:tc>
          <w:tcPr>
            <w:tcW w:w="840"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1200"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w:t>
            </w:r>
          </w:p>
        </w:tc>
        <w:tc>
          <w:tcPr>
            <w:tcW w:w="109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0.06</w:t>
            </w:r>
          </w:p>
        </w:tc>
        <w:tc>
          <w:tcPr>
            <w:tcW w:w="10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rPr>
              <w:t>3</w:t>
            </w:r>
          </w:p>
        </w:tc>
        <w:tc>
          <w:tcPr>
            <w:tcW w:w="3921" w:type="dxa"/>
            <w:vMerge w:val="restart"/>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《城镇污水处理厂污染物排放标准》（GB18918-2002）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45" w:type="dxa"/>
            <w:vMerge w:val="continue"/>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p>
        </w:tc>
        <w:tc>
          <w:tcPr>
            <w:tcW w:w="840"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1200"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NH</w:t>
            </w:r>
            <w:r>
              <w:rPr>
                <w:rFonts w:hint="default" w:ascii="Times New Roman" w:hAnsi="Times New Roman" w:cs="Times New Roman"/>
                <w:color w:val="auto"/>
                <w:highlight w:val="none"/>
                <w:vertAlign w:val="subscript"/>
              </w:rPr>
              <w:t>3</w:t>
            </w:r>
          </w:p>
        </w:tc>
        <w:tc>
          <w:tcPr>
            <w:tcW w:w="109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1.5</w:t>
            </w:r>
          </w:p>
        </w:tc>
        <w:tc>
          <w:tcPr>
            <w:tcW w:w="10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rPr>
              <w:t>3</w:t>
            </w:r>
          </w:p>
        </w:tc>
        <w:tc>
          <w:tcPr>
            <w:tcW w:w="3921" w:type="dxa"/>
            <w:vMerge w:val="continue"/>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45" w:type="dxa"/>
            <w:vMerge w:val="continue"/>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p>
        </w:tc>
        <w:tc>
          <w:tcPr>
            <w:tcW w:w="840"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1200"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臭气浓度</w:t>
            </w:r>
          </w:p>
        </w:tc>
        <w:tc>
          <w:tcPr>
            <w:tcW w:w="1095"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20</w:t>
            </w:r>
          </w:p>
        </w:tc>
        <w:tc>
          <w:tcPr>
            <w:tcW w:w="1013"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无量纲</w:t>
            </w:r>
          </w:p>
        </w:tc>
        <w:tc>
          <w:tcPr>
            <w:tcW w:w="3921" w:type="dxa"/>
            <w:vMerge w:val="continue"/>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p>
        </w:tc>
      </w:tr>
    </w:tbl>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（3）噪声：施工期执行《建筑施工场界环境噪声排放标准》（GB12523－2011）标准；运营期执行《工业企业厂界环境噪声排放标准》（GB12348-2008）中的3类标准，见表。</w:t>
      </w:r>
    </w:p>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rPr>
        <w:t>表2.3-</w:t>
      </w:r>
      <w:r>
        <w:rPr>
          <w:rFonts w:hint="eastAsia" w:cs="Times New Roman"/>
          <w:color w:val="auto"/>
          <w:highlight w:val="none"/>
          <w:lang w:val="en-US" w:eastAsia="zh-CN"/>
        </w:rPr>
        <w:t>8</w:t>
      </w:r>
      <w:r>
        <w:rPr>
          <w:rFonts w:hint="default" w:ascii="Times New Roman" w:hAnsi="Times New Roman" w:cs="Times New Roman"/>
          <w:color w:val="auto"/>
          <w:highlight w:val="none"/>
        </w:rPr>
        <w:t>建筑施工场界环境噪声排放标准单位：dB（A）</w:t>
      </w:r>
    </w:p>
    <w:tbl>
      <w:tblPr>
        <w:tblStyle w:val="33"/>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9"/>
        <w:gridCol w:w="4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9"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昼间</w:t>
            </w:r>
          </w:p>
        </w:tc>
        <w:tc>
          <w:tcPr>
            <w:tcW w:w="4755"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9"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70</w:t>
            </w:r>
          </w:p>
        </w:tc>
        <w:tc>
          <w:tcPr>
            <w:tcW w:w="4755"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55</w:t>
            </w:r>
          </w:p>
        </w:tc>
      </w:tr>
    </w:tbl>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rPr>
        <w:t>表2.3-</w:t>
      </w:r>
      <w:r>
        <w:rPr>
          <w:rFonts w:hint="eastAsia" w:cs="Times New Roman"/>
          <w:color w:val="auto"/>
          <w:highlight w:val="none"/>
          <w:lang w:val="en-US" w:eastAsia="zh-CN"/>
        </w:rPr>
        <w:t>9</w:t>
      </w:r>
      <w:r>
        <w:rPr>
          <w:rFonts w:hint="default" w:ascii="Times New Roman" w:hAnsi="Times New Roman" w:cs="Times New Roman"/>
          <w:color w:val="auto"/>
          <w:highlight w:val="none"/>
        </w:rPr>
        <w:t>工业企业厂界环境噪声排放标准</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t>单位：dB（A）</w:t>
      </w:r>
    </w:p>
    <w:tbl>
      <w:tblPr>
        <w:tblStyle w:val="33"/>
        <w:tblW w:w="96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1"/>
        <w:gridCol w:w="3231"/>
        <w:gridCol w:w="3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231"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类别</w:t>
            </w:r>
          </w:p>
        </w:tc>
        <w:tc>
          <w:tcPr>
            <w:tcW w:w="3231"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昼间</w:t>
            </w:r>
          </w:p>
        </w:tc>
        <w:tc>
          <w:tcPr>
            <w:tcW w:w="3231"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231"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3类</w:t>
            </w:r>
          </w:p>
        </w:tc>
        <w:tc>
          <w:tcPr>
            <w:tcW w:w="3231" w:type="dxa"/>
            <w:tcBorders>
              <w:tl2br w:val="nil"/>
              <w:tr2bl w:val="nil"/>
            </w:tcBorders>
            <w:vAlign w:val="center"/>
          </w:tcPr>
          <w:p>
            <w:pPr>
              <w:pStyle w:val="49"/>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6</w:t>
            </w:r>
            <w:r>
              <w:rPr>
                <w:rFonts w:hint="eastAsia" w:ascii="Times New Roman" w:hAnsi="Times New Roman" w:cs="Times New Roman"/>
                <w:color w:val="auto"/>
                <w:highlight w:val="none"/>
                <w:lang w:val="en-US" w:eastAsia="zh-CN"/>
              </w:rPr>
              <w:t>5</w:t>
            </w:r>
          </w:p>
        </w:tc>
        <w:tc>
          <w:tcPr>
            <w:tcW w:w="3231" w:type="dxa"/>
            <w:tcBorders>
              <w:tl2br w:val="nil"/>
              <w:tr2bl w:val="nil"/>
            </w:tcBorders>
            <w:vAlign w:val="center"/>
          </w:tcPr>
          <w:p>
            <w:pPr>
              <w:pStyle w:val="49"/>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5</w:t>
            </w:r>
            <w:r>
              <w:rPr>
                <w:rFonts w:hint="eastAsia" w:ascii="Times New Roman" w:hAnsi="Times New Roman" w:cs="Times New Roman"/>
                <w:color w:val="auto"/>
                <w:highlight w:val="none"/>
                <w:lang w:val="en-US" w:eastAsia="zh-CN"/>
              </w:rPr>
              <w:t>5</w:t>
            </w:r>
          </w:p>
        </w:tc>
      </w:tr>
    </w:tbl>
    <w:p>
      <w:pPr>
        <w:pStyle w:val="15"/>
        <w:numPr>
          <w:ilvl w:val="0"/>
          <w:numId w:val="0"/>
        </w:numPr>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highlight w:val="none"/>
        </w:rPr>
        <w:t>固废：项目一般工业固体废物贮存和处置执行《一般工业固体废物贮存和填埋污染控制标准》（GB18599-2020）中相应规定；危险废物贮存污染控制执行</w:t>
      </w:r>
      <w:r>
        <w:rPr>
          <w:rFonts w:hint="default" w:ascii="Times New Roman" w:hAnsi="Times New Roman" w:eastAsia="宋体" w:cs="Times New Roman"/>
          <w:color w:val="auto"/>
          <w:sz w:val="24"/>
          <w:szCs w:val="24"/>
          <w:highlight w:val="none"/>
        </w:rPr>
        <w:t>《危险废物贮存污染控制标准》</w:t>
      </w:r>
      <w:r>
        <w:rPr>
          <w:rFonts w:hint="eastAsia" w:cs="Times New Roman"/>
          <w:color w:val="auto"/>
          <w:sz w:val="24"/>
          <w:szCs w:val="24"/>
          <w:highlight w:val="none"/>
          <w:lang w:eastAsia="zh-CN"/>
        </w:rPr>
        <w:t>（GB18597-2023）</w:t>
      </w:r>
      <w:r>
        <w:rPr>
          <w:rFonts w:hint="default" w:ascii="Times New Roman" w:hAnsi="Times New Roman" w:eastAsia="宋体" w:cs="Times New Roman"/>
          <w:color w:val="auto"/>
          <w:sz w:val="24"/>
          <w:szCs w:val="24"/>
          <w:highlight w:val="none"/>
        </w:rPr>
        <w:t>的相关要求；</w:t>
      </w:r>
    </w:p>
    <w:p>
      <w:pPr>
        <w:pStyle w:val="15"/>
        <w:numPr>
          <w:ilvl w:val="0"/>
          <w:numId w:val="0"/>
        </w:numPr>
        <w:ind w:firstLine="480" w:firstLineChars="200"/>
        <w:rPr>
          <w:rFonts w:hint="default" w:ascii="Times New Roman" w:hAnsi="Times New Roman" w:cs="Times New Roman"/>
          <w:color w:val="auto"/>
          <w:highlight w:val="none"/>
          <w:lang w:val="zh-CN"/>
        </w:rPr>
      </w:pPr>
      <w:r>
        <w:rPr>
          <w:rFonts w:hint="eastAsia" w:cs="Times New Roman"/>
          <w:color w:val="auto"/>
          <w:highlight w:val="none"/>
          <w:lang w:val="en-US" w:eastAsia="zh-CN"/>
        </w:rPr>
        <w:t>根据现有污水处理厂针对</w:t>
      </w:r>
      <w:r>
        <w:rPr>
          <w:rFonts w:hint="default" w:ascii="Times New Roman" w:hAnsi="Times New Roman" w:cs="Times New Roman"/>
          <w:color w:val="auto"/>
          <w:highlight w:val="none"/>
          <w:lang w:val="zh-CN"/>
        </w:rPr>
        <w:t>污泥危险废物鉴别实验，</w:t>
      </w:r>
      <w:r>
        <w:rPr>
          <w:rFonts w:hint="eastAsia" w:cs="Times New Roman"/>
          <w:color w:val="auto"/>
          <w:highlight w:val="none"/>
          <w:lang w:val="en-US" w:eastAsia="zh-CN"/>
        </w:rPr>
        <w:t>可知本项目污泥为一般固体废物（见附件污泥鉴别报告），</w:t>
      </w:r>
      <w:r>
        <w:rPr>
          <w:rFonts w:hint="eastAsia" w:cs="Times New Roman"/>
          <w:color w:val="auto"/>
          <w:highlight w:val="none"/>
          <w:lang w:val="zh-CN"/>
        </w:rPr>
        <w:t>污泥经脱水至含水率小于60%后，与栅渣、沉砂一起运至生活垃圾填埋场进行卫生填埋</w:t>
      </w:r>
      <w:r>
        <w:rPr>
          <w:rFonts w:hint="default" w:ascii="Times New Roman" w:hAnsi="Times New Roman" w:cs="Times New Roman"/>
          <w:color w:val="auto"/>
          <w:highlight w:val="none"/>
          <w:lang w:val="zh-CN"/>
        </w:rPr>
        <w:t>。</w:t>
      </w:r>
    </w:p>
    <w:p>
      <w:pPr>
        <w:pStyle w:val="15"/>
        <w:numPr>
          <w:ilvl w:val="0"/>
          <w:numId w:val="0"/>
        </w:numPr>
        <w:ind w:firstLine="480" w:firstLineChars="200"/>
        <w:jc w:val="both"/>
        <w:rPr>
          <w:rFonts w:hint="default"/>
          <w:color w:val="auto"/>
          <w:highlight w:val="none"/>
          <w:lang w:val="en-US" w:eastAsia="zh-CN"/>
        </w:rPr>
      </w:pPr>
      <w:r>
        <w:rPr>
          <w:rFonts w:hint="eastAsia"/>
          <w:color w:val="auto"/>
          <w:highlight w:val="none"/>
          <w:lang w:val="en-US" w:eastAsia="zh-CN"/>
        </w:rPr>
        <w:t>本工程</w:t>
      </w:r>
      <w:r>
        <w:rPr>
          <w:rFonts w:hint="default"/>
          <w:color w:val="auto"/>
          <w:highlight w:val="none"/>
          <w:lang w:val="en-US" w:eastAsia="zh-CN"/>
        </w:rPr>
        <w:t>稳定化处理后的污泥应执行</w:t>
      </w:r>
      <w:r>
        <w:rPr>
          <w:rFonts w:hint="default"/>
          <w:color w:val="auto"/>
          <w:highlight w:val="none"/>
        </w:rPr>
        <w:t>《</w:t>
      </w:r>
      <w:r>
        <w:rPr>
          <w:rFonts w:hint="default"/>
          <w:color w:val="auto"/>
          <w:highlight w:val="none"/>
          <w:lang w:val="en-US" w:eastAsia="zh-CN"/>
        </w:rPr>
        <w:t>城镇污水处理厂污染物排放标准</w:t>
      </w:r>
      <w:r>
        <w:rPr>
          <w:rFonts w:hint="default"/>
          <w:color w:val="auto"/>
          <w:highlight w:val="none"/>
        </w:rPr>
        <w:t>》</w:t>
      </w:r>
      <w:r>
        <w:rPr>
          <w:rFonts w:hint="eastAsia"/>
          <w:color w:val="auto"/>
          <w:highlight w:val="none"/>
          <w:lang w:eastAsia="zh-CN"/>
        </w:rPr>
        <w:t>（</w:t>
      </w:r>
      <w:r>
        <w:rPr>
          <w:rFonts w:hint="default"/>
          <w:color w:val="auto"/>
          <w:highlight w:val="none"/>
        </w:rPr>
        <w:t>GB18918-2002</w:t>
      </w:r>
      <w:r>
        <w:rPr>
          <w:rFonts w:hint="eastAsia"/>
          <w:color w:val="auto"/>
          <w:highlight w:val="none"/>
          <w:lang w:eastAsia="zh-CN"/>
        </w:rPr>
        <w:t>）</w:t>
      </w:r>
      <w:r>
        <w:rPr>
          <w:rFonts w:hint="default"/>
          <w:color w:val="auto"/>
          <w:highlight w:val="none"/>
          <w:lang w:val="en-US" w:eastAsia="zh-CN"/>
        </w:rPr>
        <w:t>中表5，</w:t>
      </w:r>
      <w:r>
        <w:rPr>
          <w:rFonts w:hint="default"/>
          <w:color w:val="auto"/>
          <w:highlight w:val="none"/>
        </w:rPr>
        <w:t>含水率应小于60%；</w:t>
      </w:r>
      <w:r>
        <w:rPr>
          <w:rFonts w:hint="default"/>
          <w:color w:val="auto"/>
          <w:highlight w:val="none"/>
          <w:lang w:val="en-US" w:eastAsia="zh-CN"/>
        </w:rPr>
        <w:t>具体标准值见下表。</w:t>
      </w:r>
    </w:p>
    <w:p>
      <w:pPr>
        <w:pStyle w:val="7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w:t>
      </w:r>
      <w:r>
        <w:rPr>
          <w:rFonts w:hint="eastAsia" w:ascii="Times New Roman" w:hAnsi="Times New Roman" w:cs="Times New Roman"/>
          <w:color w:val="auto"/>
          <w:highlight w:val="none"/>
          <w:lang w:val="en-US" w:eastAsia="zh-CN"/>
        </w:rPr>
        <w:t>2.3-</w:t>
      </w:r>
      <w:r>
        <w:rPr>
          <w:rFonts w:hint="eastAsia" w:cs="Times New Roman"/>
          <w:color w:val="auto"/>
          <w:highlight w:val="none"/>
          <w:lang w:val="en-US" w:eastAsia="zh-CN"/>
        </w:rPr>
        <w:t>10</w:t>
      </w:r>
      <w:r>
        <w:rPr>
          <w:rFonts w:hint="default" w:ascii="Times New Roman" w:hAnsi="Times New Roman" w:cs="Times New Roman"/>
          <w:color w:val="auto"/>
          <w:highlight w:val="none"/>
          <w:lang w:val="en-US" w:eastAsia="zh-CN"/>
        </w:rPr>
        <w:t>污泥稳定化控制指标</w:t>
      </w:r>
    </w:p>
    <w:tbl>
      <w:tblPr>
        <w:tblStyle w:val="34"/>
        <w:tblW w:w="4998"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3170"/>
        <w:gridCol w:w="3170"/>
        <w:gridCol w:w="317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66"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2"/>
                <w:sz w:val="21"/>
                <w:szCs w:val="22"/>
                <w:highlight w:val="none"/>
                <w:vertAlign w:val="baseline"/>
                <w:lang w:val="en-US" w:eastAsia="zh-CN" w:bidi="ar-SA"/>
              </w:rPr>
            </w:pPr>
            <w:r>
              <w:rPr>
                <w:rFonts w:hint="default" w:ascii="Times New Roman" w:hAnsi="Times New Roman" w:cs="Times New Roman" w:eastAsiaTheme="minorEastAsia"/>
                <w:b/>
                <w:bCs/>
                <w:color w:val="auto"/>
                <w:kern w:val="2"/>
                <w:sz w:val="21"/>
                <w:szCs w:val="22"/>
                <w:highlight w:val="none"/>
                <w:vertAlign w:val="baseline"/>
                <w:lang w:val="en-US" w:eastAsia="zh-CN" w:bidi="ar-SA"/>
              </w:rPr>
              <w:t>稳定化方法</w:t>
            </w:r>
          </w:p>
        </w:tc>
        <w:tc>
          <w:tcPr>
            <w:tcW w:w="1666"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2"/>
                <w:sz w:val="21"/>
                <w:szCs w:val="22"/>
                <w:highlight w:val="none"/>
                <w:vertAlign w:val="baseline"/>
                <w:lang w:val="en-US" w:eastAsia="zh-CN" w:bidi="ar-SA"/>
              </w:rPr>
            </w:pPr>
            <w:r>
              <w:rPr>
                <w:rFonts w:hint="default" w:ascii="Times New Roman" w:hAnsi="Times New Roman" w:cs="Times New Roman" w:eastAsiaTheme="minorEastAsia"/>
                <w:b/>
                <w:bCs/>
                <w:color w:val="auto"/>
                <w:kern w:val="2"/>
                <w:sz w:val="21"/>
                <w:szCs w:val="22"/>
                <w:highlight w:val="none"/>
                <w:vertAlign w:val="baseline"/>
                <w:lang w:val="en-US" w:eastAsia="zh-CN" w:bidi="ar-SA"/>
              </w:rPr>
              <w:t>控制项目</w:t>
            </w:r>
          </w:p>
        </w:tc>
        <w:tc>
          <w:tcPr>
            <w:tcW w:w="1666"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bCs/>
                <w:color w:val="auto"/>
                <w:kern w:val="2"/>
                <w:sz w:val="21"/>
                <w:szCs w:val="22"/>
                <w:highlight w:val="none"/>
                <w:vertAlign w:val="baseline"/>
                <w:lang w:val="en-US" w:eastAsia="zh-CN" w:bidi="ar-SA"/>
              </w:rPr>
            </w:pPr>
            <w:r>
              <w:rPr>
                <w:rFonts w:hint="default" w:ascii="Times New Roman" w:hAnsi="Times New Roman" w:cs="Times New Roman" w:eastAsiaTheme="minorEastAsia"/>
                <w:b/>
                <w:bCs/>
                <w:color w:val="auto"/>
                <w:kern w:val="2"/>
                <w:sz w:val="21"/>
                <w:szCs w:val="22"/>
                <w:highlight w:val="none"/>
                <w:vertAlign w:val="baseline"/>
                <w:lang w:val="en-US" w:eastAsia="zh-CN" w:bidi="ar-SA"/>
              </w:rPr>
              <w:t>控制指标</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66"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2"/>
                <w:highlight w:val="none"/>
                <w:vertAlign w:val="baseline"/>
                <w:lang w:val="en-US" w:eastAsia="zh-CN" w:bidi="ar-SA"/>
              </w:rPr>
            </w:pPr>
            <w:r>
              <w:rPr>
                <w:rFonts w:hint="default" w:ascii="Times New Roman" w:hAnsi="Times New Roman" w:cs="Times New Roman" w:eastAsiaTheme="minorEastAsia"/>
                <w:color w:val="auto"/>
                <w:kern w:val="2"/>
                <w:sz w:val="21"/>
                <w:szCs w:val="22"/>
                <w:highlight w:val="none"/>
                <w:vertAlign w:val="baseline"/>
                <w:lang w:val="en-US" w:eastAsia="zh-CN" w:bidi="ar-SA"/>
              </w:rPr>
              <w:t>厌氧消化</w:t>
            </w:r>
          </w:p>
        </w:tc>
        <w:tc>
          <w:tcPr>
            <w:tcW w:w="1666"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2"/>
                <w:highlight w:val="none"/>
                <w:vertAlign w:val="baseline"/>
                <w:lang w:val="en-US" w:eastAsia="zh-CN" w:bidi="ar-SA"/>
              </w:rPr>
            </w:pPr>
            <w:r>
              <w:rPr>
                <w:rFonts w:hint="default" w:ascii="Times New Roman" w:hAnsi="Times New Roman" w:cs="Times New Roman" w:eastAsiaTheme="minorEastAsia"/>
                <w:color w:val="auto"/>
                <w:kern w:val="2"/>
                <w:sz w:val="21"/>
                <w:szCs w:val="22"/>
                <w:highlight w:val="none"/>
                <w:vertAlign w:val="baseline"/>
                <w:lang w:val="en-US" w:eastAsia="zh-CN" w:bidi="ar-SA"/>
              </w:rPr>
              <w:t>有机物降解率（%）</w:t>
            </w:r>
          </w:p>
        </w:tc>
        <w:tc>
          <w:tcPr>
            <w:tcW w:w="1666"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2"/>
                <w:highlight w:val="none"/>
                <w:vertAlign w:val="baseline"/>
                <w:lang w:val="en-US" w:eastAsia="zh-CN" w:bidi="ar-SA"/>
              </w:rPr>
            </w:pPr>
            <w:r>
              <w:rPr>
                <w:rFonts w:hint="default" w:ascii="Times New Roman" w:hAnsi="Times New Roman" w:cs="Times New Roman" w:eastAsiaTheme="minorEastAsia"/>
                <w:color w:val="auto"/>
                <w:kern w:val="2"/>
                <w:sz w:val="21"/>
                <w:szCs w:val="22"/>
                <w:highlight w:val="none"/>
                <w:vertAlign w:val="baseline"/>
                <w:lang w:val="en-US" w:eastAsia="zh-CN" w:bidi="ar-SA"/>
              </w:rPr>
              <w:t>＞40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66"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2"/>
                <w:highlight w:val="none"/>
                <w:vertAlign w:val="baseline"/>
                <w:lang w:val="en-US" w:eastAsia="zh-CN" w:bidi="ar-SA"/>
              </w:rPr>
            </w:pPr>
            <w:r>
              <w:rPr>
                <w:rFonts w:hint="default" w:ascii="Times New Roman" w:hAnsi="Times New Roman" w:cs="Times New Roman" w:eastAsiaTheme="minorEastAsia"/>
                <w:color w:val="auto"/>
                <w:kern w:val="2"/>
                <w:sz w:val="21"/>
                <w:szCs w:val="22"/>
                <w:highlight w:val="none"/>
                <w:vertAlign w:val="baseline"/>
                <w:lang w:val="en-US" w:eastAsia="zh-CN" w:bidi="ar-SA"/>
              </w:rPr>
              <w:t>好氧消化</w:t>
            </w:r>
          </w:p>
        </w:tc>
        <w:tc>
          <w:tcPr>
            <w:tcW w:w="1666"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2"/>
                <w:highlight w:val="none"/>
                <w:vertAlign w:val="baseline"/>
                <w:lang w:val="en-US" w:eastAsia="zh-CN" w:bidi="ar-SA"/>
              </w:rPr>
            </w:pPr>
            <w:r>
              <w:rPr>
                <w:rFonts w:hint="default" w:ascii="Times New Roman" w:hAnsi="Times New Roman" w:cs="Times New Roman" w:eastAsiaTheme="minorEastAsia"/>
                <w:color w:val="auto"/>
                <w:kern w:val="2"/>
                <w:sz w:val="21"/>
                <w:szCs w:val="22"/>
                <w:highlight w:val="none"/>
                <w:vertAlign w:val="baseline"/>
                <w:lang w:val="en-US" w:eastAsia="zh-CN" w:bidi="ar-SA"/>
              </w:rPr>
              <w:t>有机物降解率（%）</w:t>
            </w:r>
          </w:p>
        </w:tc>
        <w:tc>
          <w:tcPr>
            <w:tcW w:w="1666"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2"/>
                <w:highlight w:val="none"/>
                <w:vertAlign w:val="baseline"/>
                <w:lang w:val="en-US" w:eastAsia="zh-CN" w:bidi="ar-SA"/>
              </w:rPr>
            </w:pPr>
            <w:r>
              <w:rPr>
                <w:rFonts w:hint="default" w:ascii="Times New Roman" w:hAnsi="Times New Roman" w:cs="Times New Roman" w:eastAsiaTheme="minorEastAsia"/>
                <w:color w:val="auto"/>
                <w:kern w:val="2"/>
                <w:sz w:val="21"/>
                <w:szCs w:val="22"/>
                <w:highlight w:val="none"/>
                <w:vertAlign w:val="baseline"/>
                <w:lang w:val="en-US" w:eastAsia="zh-CN" w:bidi="ar-SA"/>
              </w:rPr>
              <w:t>＞40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66" w:type="pct"/>
            <w:vMerge w:val="restar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2"/>
                <w:highlight w:val="none"/>
                <w:vertAlign w:val="baseline"/>
                <w:lang w:val="en-US" w:eastAsia="zh-CN" w:bidi="ar-SA"/>
              </w:rPr>
            </w:pPr>
            <w:r>
              <w:rPr>
                <w:rFonts w:hint="default" w:ascii="Times New Roman" w:hAnsi="Times New Roman" w:cs="Times New Roman" w:eastAsiaTheme="minorEastAsia"/>
                <w:color w:val="auto"/>
                <w:kern w:val="2"/>
                <w:sz w:val="21"/>
                <w:szCs w:val="22"/>
                <w:highlight w:val="none"/>
                <w:vertAlign w:val="baseline"/>
                <w:lang w:val="en-US" w:eastAsia="zh-CN" w:bidi="ar-SA"/>
              </w:rPr>
              <w:t>好氧堆肥</w:t>
            </w:r>
          </w:p>
        </w:tc>
        <w:tc>
          <w:tcPr>
            <w:tcW w:w="1666"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2"/>
                <w:highlight w:val="none"/>
                <w:vertAlign w:val="baseline"/>
                <w:lang w:val="en-US" w:eastAsia="zh-CN" w:bidi="ar-SA"/>
              </w:rPr>
            </w:pPr>
            <w:r>
              <w:rPr>
                <w:rFonts w:hint="default" w:ascii="Times New Roman" w:hAnsi="Times New Roman" w:cs="Times New Roman" w:eastAsiaTheme="minorEastAsia"/>
                <w:color w:val="auto"/>
                <w:kern w:val="2"/>
                <w:sz w:val="21"/>
                <w:szCs w:val="22"/>
                <w:highlight w:val="none"/>
                <w:vertAlign w:val="baseline"/>
                <w:lang w:val="en-US" w:eastAsia="zh-CN" w:bidi="ar-SA"/>
              </w:rPr>
              <w:t>含水率（%）</w:t>
            </w:r>
          </w:p>
        </w:tc>
        <w:tc>
          <w:tcPr>
            <w:tcW w:w="1666"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2"/>
                <w:highlight w:val="none"/>
                <w:vertAlign w:val="baseline"/>
                <w:lang w:val="en-US" w:eastAsia="zh-CN" w:bidi="ar-SA"/>
              </w:rPr>
            </w:pPr>
            <w:r>
              <w:rPr>
                <w:rFonts w:hint="default" w:ascii="Times New Roman" w:hAnsi="Times New Roman" w:cs="Times New Roman" w:eastAsiaTheme="minorEastAsia"/>
                <w:color w:val="auto"/>
                <w:kern w:val="2"/>
                <w:sz w:val="21"/>
                <w:szCs w:val="22"/>
                <w:highlight w:val="none"/>
                <w:vertAlign w:val="baseline"/>
                <w:lang w:val="en-US" w:eastAsia="zh-CN" w:bidi="ar-SA"/>
              </w:rPr>
              <w:t>＜65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66" w:type="pct"/>
            <w:vMerge w:val="continue"/>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2"/>
                <w:highlight w:val="none"/>
                <w:vertAlign w:val="baseline"/>
                <w:lang w:val="en-US" w:eastAsia="zh-CN" w:bidi="ar-SA"/>
              </w:rPr>
            </w:pPr>
          </w:p>
        </w:tc>
        <w:tc>
          <w:tcPr>
            <w:tcW w:w="1666"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2"/>
                <w:highlight w:val="none"/>
                <w:vertAlign w:val="baseline"/>
                <w:lang w:val="en-US" w:eastAsia="zh-CN" w:bidi="ar-SA"/>
              </w:rPr>
            </w:pPr>
            <w:r>
              <w:rPr>
                <w:rFonts w:hint="default" w:ascii="Times New Roman" w:hAnsi="Times New Roman" w:cs="Times New Roman" w:eastAsiaTheme="minorEastAsia"/>
                <w:color w:val="auto"/>
                <w:kern w:val="2"/>
                <w:sz w:val="21"/>
                <w:szCs w:val="22"/>
                <w:highlight w:val="none"/>
                <w:vertAlign w:val="baseline"/>
                <w:lang w:val="en-US" w:eastAsia="zh-CN" w:bidi="ar-SA"/>
              </w:rPr>
              <w:t>有机物降解率（%）</w:t>
            </w:r>
          </w:p>
        </w:tc>
        <w:tc>
          <w:tcPr>
            <w:tcW w:w="1666"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2"/>
                <w:highlight w:val="none"/>
                <w:vertAlign w:val="baseline"/>
                <w:lang w:val="en-US" w:eastAsia="zh-CN" w:bidi="ar-SA"/>
              </w:rPr>
            </w:pPr>
            <w:r>
              <w:rPr>
                <w:rFonts w:hint="default" w:ascii="Times New Roman" w:hAnsi="Times New Roman" w:cs="Times New Roman" w:eastAsiaTheme="minorEastAsia"/>
                <w:color w:val="auto"/>
                <w:kern w:val="2"/>
                <w:sz w:val="21"/>
                <w:szCs w:val="22"/>
                <w:highlight w:val="none"/>
                <w:vertAlign w:val="baseline"/>
                <w:lang w:val="en-US" w:eastAsia="zh-CN" w:bidi="ar-SA"/>
              </w:rPr>
              <w:t>＞50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666" w:type="pct"/>
            <w:vMerge w:val="continue"/>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2"/>
                <w:highlight w:val="none"/>
                <w:vertAlign w:val="baseline"/>
                <w:lang w:val="en-US" w:eastAsia="zh-CN" w:bidi="ar-SA"/>
              </w:rPr>
            </w:pPr>
          </w:p>
        </w:tc>
        <w:tc>
          <w:tcPr>
            <w:tcW w:w="1666"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2"/>
                <w:highlight w:val="none"/>
                <w:vertAlign w:val="baseline"/>
                <w:lang w:val="en-US" w:eastAsia="zh-CN" w:bidi="ar-SA"/>
              </w:rPr>
            </w:pPr>
            <w:r>
              <w:rPr>
                <w:rFonts w:hint="default" w:ascii="Times New Roman" w:hAnsi="Times New Roman" w:cs="Times New Roman" w:eastAsiaTheme="minorEastAsia"/>
                <w:color w:val="auto"/>
                <w:kern w:val="2"/>
                <w:sz w:val="21"/>
                <w:szCs w:val="22"/>
                <w:highlight w:val="none"/>
                <w:vertAlign w:val="baseline"/>
                <w:lang w:val="en-US" w:eastAsia="zh-CN" w:bidi="ar-SA"/>
              </w:rPr>
              <w:t>蠕虫卵死亡率（%）</w:t>
            </w:r>
          </w:p>
        </w:tc>
        <w:tc>
          <w:tcPr>
            <w:tcW w:w="1666"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2"/>
                <w:highlight w:val="none"/>
                <w:vertAlign w:val="baseline"/>
                <w:lang w:val="en-US" w:eastAsia="zh-CN" w:bidi="ar-SA"/>
              </w:rPr>
            </w:pPr>
            <w:r>
              <w:rPr>
                <w:rFonts w:hint="default" w:ascii="Times New Roman" w:hAnsi="Times New Roman" w:cs="Times New Roman" w:eastAsiaTheme="minorEastAsia"/>
                <w:color w:val="auto"/>
                <w:kern w:val="2"/>
                <w:sz w:val="21"/>
                <w:szCs w:val="22"/>
                <w:highlight w:val="none"/>
                <w:vertAlign w:val="baseline"/>
                <w:lang w:val="en-US" w:eastAsia="zh-CN" w:bidi="ar-SA"/>
              </w:rPr>
              <w:t>＞95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666" w:type="pct"/>
            <w:vMerge w:val="continue"/>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2"/>
                <w:highlight w:val="none"/>
                <w:vertAlign w:val="baseline"/>
                <w:lang w:val="en-US" w:eastAsia="zh-CN" w:bidi="ar-SA"/>
              </w:rPr>
            </w:pPr>
          </w:p>
        </w:tc>
        <w:tc>
          <w:tcPr>
            <w:tcW w:w="1666"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2"/>
                <w:highlight w:val="none"/>
                <w:vertAlign w:val="baseline"/>
                <w:lang w:val="en-US" w:eastAsia="zh-CN" w:bidi="ar-SA"/>
              </w:rPr>
            </w:pPr>
            <w:r>
              <w:rPr>
                <w:rFonts w:hint="default" w:ascii="Times New Roman" w:hAnsi="Times New Roman" w:cs="Times New Roman" w:eastAsiaTheme="minorEastAsia"/>
                <w:color w:val="auto"/>
                <w:kern w:val="2"/>
                <w:sz w:val="21"/>
                <w:szCs w:val="22"/>
                <w:highlight w:val="none"/>
                <w:vertAlign w:val="baseline"/>
                <w:lang w:val="en-US" w:eastAsia="zh-CN" w:bidi="ar-SA"/>
              </w:rPr>
              <w:t>粪大肠菌群菌值</w:t>
            </w:r>
          </w:p>
        </w:tc>
        <w:tc>
          <w:tcPr>
            <w:tcW w:w="1666" w:type="pct"/>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2"/>
                <w:highlight w:val="none"/>
                <w:vertAlign w:val="baseline"/>
                <w:lang w:val="en-US" w:eastAsia="zh-CN" w:bidi="ar-SA"/>
              </w:rPr>
            </w:pPr>
            <w:r>
              <w:rPr>
                <w:rFonts w:hint="default" w:ascii="Times New Roman" w:hAnsi="Times New Roman" w:cs="Times New Roman" w:eastAsiaTheme="minorEastAsia"/>
                <w:color w:val="auto"/>
                <w:kern w:val="2"/>
                <w:sz w:val="21"/>
                <w:szCs w:val="22"/>
                <w:highlight w:val="none"/>
                <w:vertAlign w:val="baseline"/>
                <w:lang w:val="en-US" w:eastAsia="zh-CN" w:bidi="ar-SA"/>
              </w:rPr>
              <w:t>＞0.01</w:t>
            </w:r>
          </w:p>
        </w:tc>
      </w:tr>
    </w:tbl>
    <w:p>
      <w:pPr>
        <w:pStyle w:val="4"/>
        <w:bidi w:val="0"/>
        <w:rPr>
          <w:rFonts w:hint="default"/>
          <w:color w:val="auto"/>
          <w:highlight w:val="none"/>
        </w:rPr>
      </w:pPr>
      <w:bookmarkStart w:id="57" w:name="_Toc30544"/>
      <w:bookmarkStart w:id="58" w:name="_Toc9676"/>
      <w:r>
        <w:rPr>
          <w:rFonts w:hint="default"/>
          <w:color w:val="auto"/>
          <w:highlight w:val="none"/>
        </w:rPr>
        <w:t>评价等级与评价范围</w:t>
      </w:r>
      <w:bookmarkEnd w:id="57"/>
      <w:bookmarkEnd w:id="58"/>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大气评价等级及评价范围</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估算模式所用参数见下表。</w:t>
      </w:r>
    </w:p>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eastAsia" w:cs="Times New Roman"/>
          <w:color w:val="auto"/>
          <w:highlight w:val="none"/>
          <w:lang w:val="en-US" w:eastAsia="zh-CN"/>
        </w:rPr>
        <w:t>4</w:t>
      </w:r>
      <w:r>
        <w:rPr>
          <w:rFonts w:hint="default" w:ascii="Times New Roman" w:hAnsi="Times New Roman" w:cs="Times New Roman"/>
          <w:color w:val="auto"/>
          <w:highlight w:val="none"/>
        </w:rPr>
        <w:t>-1估算模型参数表</w:t>
      </w:r>
    </w:p>
    <w:tbl>
      <w:tblPr>
        <w:tblStyle w:val="33"/>
        <w:tblW w:w="4999"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818"/>
        <w:gridCol w:w="2822"/>
        <w:gridCol w:w="387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trPr>
        <w:tc>
          <w:tcPr>
            <w:tcW w:w="2964" w:type="pct"/>
            <w:gridSpan w:val="2"/>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参数</w:t>
            </w:r>
          </w:p>
        </w:tc>
        <w:tc>
          <w:tcPr>
            <w:tcW w:w="2035"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取值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trPr>
        <w:tc>
          <w:tcPr>
            <w:tcW w:w="1481" w:type="pct"/>
            <w:vMerge w:val="restar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城市/农村选项</w:t>
            </w:r>
          </w:p>
        </w:tc>
        <w:tc>
          <w:tcPr>
            <w:tcW w:w="1483"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城市/农村</w:t>
            </w:r>
          </w:p>
        </w:tc>
        <w:tc>
          <w:tcPr>
            <w:tcW w:w="2035" w:type="pct"/>
            <w:vAlign w:val="center"/>
          </w:tcPr>
          <w:p>
            <w:pPr>
              <w:pStyle w:val="49"/>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农村</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trPr>
        <w:tc>
          <w:tcPr>
            <w:tcW w:w="1481" w:type="pct"/>
            <w:vMerge w:val="continue"/>
            <w:vAlign w:val="center"/>
          </w:tcPr>
          <w:p>
            <w:pPr>
              <w:pStyle w:val="49"/>
              <w:rPr>
                <w:rFonts w:hint="default" w:ascii="Times New Roman" w:hAnsi="Times New Roman" w:cs="Times New Roman"/>
                <w:color w:val="auto"/>
                <w:highlight w:val="none"/>
              </w:rPr>
            </w:pPr>
          </w:p>
        </w:tc>
        <w:tc>
          <w:tcPr>
            <w:tcW w:w="1483"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人口数（城市人口数）</w:t>
            </w:r>
          </w:p>
        </w:tc>
        <w:tc>
          <w:tcPr>
            <w:tcW w:w="2035" w:type="pct"/>
            <w:vAlign w:val="center"/>
          </w:tcPr>
          <w:p>
            <w:pPr>
              <w:pStyle w:val="49"/>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trPr>
        <w:tc>
          <w:tcPr>
            <w:tcW w:w="2964" w:type="pct"/>
            <w:gridSpan w:val="2"/>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最高环境温度</w:t>
            </w:r>
          </w:p>
        </w:tc>
        <w:tc>
          <w:tcPr>
            <w:tcW w:w="2035"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42.9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trPr>
        <w:tc>
          <w:tcPr>
            <w:tcW w:w="2964" w:type="pct"/>
            <w:gridSpan w:val="2"/>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最低环境温度</w:t>
            </w:r>
          </w:p>
        </w:tc>
        <w:tc>
          <w:tcPr>
            <w:tcW w:w="2035"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-36.8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trPr>
        <w:tc>
          <w:tcPr>
            <w:tcW w:w="2964" w:type="pct"/>
            <w:gridSpan w:val="2"/>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土地利用类型</w:t>
            </w:r>
          </w:p>
        </w:tc>
        <w:tc>
          <w:tcPr>
            <w:tcW w:w="2035"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荒漠</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trPr>
        <w:tc>
          <w:tcPr>
            <w:tcW w:w="2964" w:type="pct"/>
            <w:gridSpan w:val="2"/>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区域湿度条件</w:t>
            </w:r>
          </w:p>
        </w:tc>
        <w:tc>
          <w:tcPr>
            <w:tcW w:w="2035"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干燥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trPr>
        <w:tc>
          <w:tcPr>
            <w:tcW w:w="1481" w:type="pct"/>
            <w:vMerge w:val="restar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是否考虑地形</w:t>
            </w:r>
          </w:p>
        </w:tc>
        <w:tc>
          <w:tcPr>
            <w:tcW w:w="1483"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考虑地形</w:t>
            </w:r>
          </w:p>
        </w:tc>
        <w:tc>
          <w:tcPr>
            <w:tcW w:w="2035"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trPr>
        <w:tc>
          <w:tcPr>
            <w:tcW w:w="1481" w:type="pct"/>
            <w:vMerge w:val="continue"/>
            <w:vAlign w:val="center"/>
          </w:tcPr>
          <w:p>
            <w:pPr>
              <w:pStyle w:val="49"/>
              <w:rPr>
                <w:rFonts w:hint="default" w:ascii="Times New Roman" w:hAnsi="Times New Roman" w:cs="Times New Roman"/>
                <w:color w:val="auto"/>
                <w:highlight w:val="none"/>
              </w:rPr>
            </w:pPr>
          </w:p>
        </w:tc>
        <w:tc>
          <w:tcPr>
            <w:tcW w:w="1483"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地形数据分辨率（m）</w:t>
            </w:r>
          </w:p>
        </w:tc>
        <w:tc>
          <w:tcPr>
            <w:tcW w:w="2035"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90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trPr>
        <w:tc>
          <w:tcPr>
            <w:tcW w:w="1481" w:type="pct"/>
            <w:vMerge w:val="restar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是否考虑岸线熏烟</w:t>
            </w:r>
          </w:p>
        </w:tc>
        <w:tc>
          <w:tcPr>
            <w:tcW w:w="1483"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考虑岸线熏烟</w:t>
            </w:r>
          </w:p>
        </w:tc>
        <w:tc>
          <w:tcPr>
            <w:tcW w:w="2035"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trPr>
        <w:tc>
          <w:tcPr>
            <w:tcW w:w="1481" w:type="pct"/>
            <w:vMerge w:val="continue"/>
            <w:vAlign w:val="center"/>
          </w:tcPr>
          <w:p>
            <w:pPr>
              <w:pStyle w:val="49"/>
              <w:rPr>
                <w:rFonts w:hint="default" w:ascii="Times New Roman" w:hAnsi="Times New Roman" w:cs="Times New Roman"/>
                <w:color w:val="auto"/>
                <w:highlight w:val="none"/>
              </w:rPr>
            </w:pPr>
          </w:p>
        </w:tc>
        <w:tc>
          <w:tcPr>
            <w:tcW w:w="1483"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岸线距离/m</w:t>
            </w:r>
          </w:p>
        </w:tc>
        <w:tc>
          <w:tcPr>
            <w:tcW w:w="2035"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83" w:hRule="atLeast"/>
        </w:trPr>
        <w:tc>
          <w:tcPr>
            <w:tcW w:w="1481" w:type="pct"/>
            <w:vMerge w:val="continue"/>
            <w:vAlign w:val="center"/>
          </w:tcPr>
          <w:p>
            <w:pPr>
              <w:pStyle w:val="49"/>
              <w:rPr>
                <w:rFonts w:hint="default" w:ascii="Times New Roman" w:hAnsi="Times New Roman" w:cs="Times New Roman"/>
                <w:color w:val="auto"/>
                <w:highlight w:val="none"/>
              </w:rPr>
            </w:pPr>
          </w:p>
        </w:tc>
        <w:tc>
          <w:tcPr>
            <w:tcW w:w="1483"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岸线方向/°</w:t>
            </w:r>
          </w:p>
        </w:tc>
        <w:tc>
          <w:tcPr>
            <w:tcW w:w="2035"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bl>
    <w:p>
      <w:pPr>
        <w:pStyle w:val="70"/>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eastAsia" w:cs="Times New Roman"/>
          <w:color w:val="auto"/>
          <w:highlight w:val="none"/>
          <w:lang w:val="en-US" w:eastAsia="zh-CN"/>
        </w:rPr>
        <w:t>4</w:t>
      </w:r>
      <w:r>
        <w:rPr>
          <w:rFonts w:hint="default" w:ascii="Times New Roman" w:hAnsi="Times New Roman" w:cs="Times New Roman"/>
          <w:color w:val="auto"/>
          <w:highlight w:val="none"/>
        </w:rPr>
        <w:t>-2主要废气污染源参数一览表（点源DA001）</w:t>
      </w:r>
    </w:p>
    <w:tbl>
      <w:tblPr>
        <w:tblStyle w:val="33"/>
        <w:tblW w:w="4998"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80"/>
        <w:gridCol w:w="1252"/>
        <w:gridCol w:w="1252"/>
        <w:gridCol w:w="902"/>
        <w:gridCol w:w="902"/>
        <w:gridCol w:w="902"/>
        <w:gridCol w:w="961"/>
        <w:gridCol w:w="1066"/>
        <w:gridCol w:w="896"/>
        <w:gridCol w:w="89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252" w:type="pct"/>
            <w:vMerge w:val="restar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污染源名称</w:t>
            </w:r>
          </w:p>
        </w:tc>
        <w:tc>
          <w:tcPr>
            <w:tcW w:w="1316" w:type="pct"/>
            <w:gridSpan w:val="2"/>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排气筒底部中心坐标（°）</w:t>
            </w:r>
          </w:p>
        </w:tc>
        <w:tc>
          <w:tcPr>
            <w:tcW w:w="474" w:type="pct"/>
            <w:vMerge w:val="restar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排气筒底部海拔（m）</w:t>
            </w:r>
          </w:p>
        </w:tc>
        <w:tc>
          <w:tcPr>
            <w:tcW w:w="2013" w:type="pct"/>
            <w:gridSpan w:val="4"/>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排气筒参数</w:t>
            </w:r>
          </w:p>
        </w:tc>
        <w:tc>
          <w:tcPr>
            <w:tcW w:w="942" w:type="pct"/>
            <w:gridSpan w:val="2"/>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污染物排放速率（kg/h）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252"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658"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经度</w:t>
            </w:r>
          </w:p>
        </w:tc>
        <w:tc>
          <w:tcPr>
            <w:tcW w:w="658"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纬度</w:t>
            </w:r>
          </w:p>
        </w:tc>
        <w:tc>
          <w:tcPr>
            <w:tcW w:w="474"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474"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高度（m）</w:t>
            </w:r>
          </w:p>
        </w:tc>
        <w:tc>
          <w:tcPr>
            <w:tcW w:w="474"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内径（m）</w:t>
            </w:r>
          </w:p>
        </w:tc>
        <w:tc>
          <w:tcPr>
            <w:tcW w:w="505"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温度（℃）</w:t>
            </w:r>
          </w:p>
        </w:tc>
        <w:tc>
          <w:tcPr>
            <w:tcW w:w="558"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流速（m/s）</w:t>
            </w:r>
          </w:p>
        </w:tc>
        <w:tc>
          <w:tcPr>
            <w:tcW w:w="471"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w:t>
            </w:r>
          </w:p>
        </w:tc>
        <w:tc>
          <w:tcPr>
            <w:tcW w:w="471"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252" w:type="pct"/>
            <w:vAlign w:val="center"/>
          </w:tcPr>
          <w:p>
            <w:pPr>
              <w:pStyle w:val="4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点源</w:t>
            </w:r>
          </w:p>
        </w:tc>
        <w:tc>
          <w:tcPr>
            <w:tcW w:w="658" w:type="pct"/>
            <w:vAlign w:val="center"/>
          </w:tcPr>
          <w:p>
            <w:pPr>
              <w:pStyle w:val="4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87.099245</w:t>
            </w:r>
          </w:p>
        </w:tc>
        <w:tc>
          <w:tcPr>
            <w:tcW w:w="658" w:type="pct"/>
            <w:vAlign w:val="center"/>
          </w:tcPr>
          <w:p>
            <w:pPr>
              <w:pStyle w:val="4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44.208483</w:t>
            </w:r>
          </w:p>
        </w:tc>
        <w:tc>
          <w:tcPr>
            <w:tcW w:w="474" w:type="pct"/>
            <w:vAlign w:val="center"/>
          </w:tcPr>
          <w:p>
            <w:pPr>
              <w:pStyle w:val="4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489.00</w:t>
            </w:r>
          </w:p>
        </w:tc>
        <w:tc>
          <w:tcPr>
            <w:tcW w:w="474" w:type="pct"/>
            <w:vAlign w:val="center"/>
          </w:tcPr>
          <w:p>
            <w:pPr>
              <w:pStyle w:val="4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15.00</w:t>
            </w:r>
          </w:p>
        </w:tc>
        <w:tc>
          <w:tcPr>
            <w:tcW w:w="474" w:type="pct"/>
            <w:vAlign w:val="center"/>
          </w:tcPr>
          <w:p>
            <w:pPr>
              <w:pStyle w:val="4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c>
          <w:tcPr>
            <w:tcW w:w="505" w:type="pct"/>
            <w:vAlign w:val="center"/>
          </w:tcPr>
          <w:p>
            <w:pPr>
              <w:pStyle w:val="4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19.85</w:t>
            </w:r>
          </w:p>
        </w:tc>
        <w:tc>
          <w:tcPr>
            <w:tcW w:w="558" w:type="pct"/>
            <w:vAlign w:val="center"/>
          </w:tcPr>
          <w:p>
            <w:pPr>
              <w:pStyle w:val="4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12.74</w:t>
            </w:r>
          </w:p>
        </w:tc>
        <w:tc>
          <w:tcPr>
            <w:tcW w:w="471" w:type="pct"/>
            <w:vAlign w:val="center"/>
          </w:tcPr>
          <w:p>
            <w:pPr>
              <w:pStyle w:val="4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0.0030</w:t>
            </w:r>
          </w:p>
        </w:tc>
        <w:tc>
          <w:tcPr>
            <w:tcW w:w="471" w:type="pct"/>
            <w:vAlign w:val="center"/>
          </w:tcPr>
          <w:p>
            <w:pPr>
              <w:pStyle w:val="4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0.1560</w:t>
            </w:r>
          </w:p>
        </w:tc>
      </w:tr>
    </w:tbl>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eastAsia" w:cs="Times New Roman"/>
          <w:color w:val="auto"/>
          <w:highlight w:val="none"/>
          <w:lang w:val="en-US" w:eastAsia="zh-CN"/>
        </w:rPr>
        <w:t>2.4-3</w:t>
      </w:r>
      <w:r>
        <w:rPr>
          <w:rFonts w:hint="default" w:ascii="Times New Roman" w:hAnsi="Times New Roman" w:cs="Times New Roman"/>
          <w:color w:val="auto"/>
          <w:highlight w:val="none"/>
        </w:rPr>
        <w:t>主要废气污染源参数一览表（无组织面源）</w:t>
      </w:r>
    </w:p>
    <w:tbl>
      <w:tblPr>
        <w:tblStyle w:val="33"/>
        <w:tblW w:w="4996"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19"/>
        <w:gridCol w:w="1109"/>
        <w:gridCol w:w="1169"/>
        <w:gridCol w:w="800"/>
        <w:gridCol w:w="800"/>
        <w:gridCol w:w="800"/>
        <w:gridCol w:w="802"/>
        <w:gridCol w:w="836"/>
        <w:gridCol w:w="847"/>
        <w:gridCol w:w="172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28" w:hRule="atLeast"/>
        </w:trPr>
        <w:tc>
          <w:tcPr>
            <w:tcW w:w="326" w:type="pct"/>
            <w:vMerge w:val="restar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污染源名称</w:t>
            </w:r>
          </w:p>
        </w:tc>
        <w:tc>
          <w:tcPr>
            <w:tcW w:w="1198" w:type="pct"/>
            <w:gridSpan w:val="2"/>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坐标（°）</w:t>
            </w:r>
          </w:p>
        </w:tc>
        <w:tc>
          <w:tcPr>
            <w:tcW w:w="420" w:type="pct"/>
            <w:vMerge w:val="restart"/>
            <w:vAlign w:val="center"/>
          </w:tcPr>
          <w:p>
            <w:pPr>
              <w:pStyle w:val="49"/>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海拔</w:t>
            </w:r>
            <w:r>
              <w:rPr>
                <w:rFonts w:hint="default" w:ascii="Times New Roman" w:hAnsi="Times New Roman" w:cs="Times New Roman"/>
                <w:color w:val="auto"/>
                <w:highlight w:val="none"/>
              </w:rPr>
              <w:t>（m）</w:t>
            </w:r>
          </w:p>
        </w:tc>
        <w:tc>
          <w:tcPr>
            <w:tcW w:w="1262" w:type="pct"/>
            <w:gridSpan w:val="3"/>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矩形面源</w:t>
            </w:r>
          </w:p>
        </w:tc>
        <w:tc>
          <w:tcPr>
            <w:tcW w:w="1791" w:type="pct"/>
            <w:gridSpan w:val="3"/>
            <w:vAlign w:val="center"/>
          </w:tcPr>
          <w:p>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污染物排放速率（kg/h）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95" w:hRule="atLeast"/>
        </w:trPr>
        <w:tc>
          <w:tcPr>
            <w:tcW w:w="326" w:type="pct"/>
            <w:vMerge w:val="continue"/>
            <w:vAlign w:val="center"/>
          </w:tcPr>
          <w:p>
            <w:pPr>
              <w:pStyle w:val="49"/>
              <w:rPr>
                <w:rFonts w:hint="default" w:ascii="Times New Roman" w:hAnsi="Times New Roman" w:cs="Times New Roman"/>
                <w:color w:val="auto"/>
                <w:highlight w:val="none"/>
              </w:rPr>
            </w:pPr>
          </w:p>
        </w:tc>
        <w:tc>
          <w:tcPr>
            <w:tcW w:w="583"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经度</w:t>
            </w:r>
          </w:p>
        </w:tc>
        <w:tc>
          <w:tcPr>
            <w:tcW w:w="615"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纬度</w:t>
            </w:r>
          </w:p>
        </w:tc>
        <w:tc>
          <w:tcPr>
            <w:tcW w:w="420" w:type="pct"/>
            <w:vMerge w:val="continue"/>
            <w:vAlign w:val="center"/>
          </w:tcPr>
          <w:p>
            <w:pPr>
              <w:pStyle w:val="49"/>
              <w:rPr>
                <w:rFonts w:hint="default" w:ascii="Times New Roman" w:hAnsi="Times New Roman" w:cs="Times New Roman"/>
                <w:color w:val="auto"/>
                <w:highlight w:val="none"/>
              </w:rPr>
            </w:pPr>
          </w:p>
        </w:tc>
        <w:tc>
          <w:tcPr>
            <w:tcW w:w="420"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长度（m）</w:t>
            </w:r>
          </w:p>
        </w:tc>
        <w:tc>
          <w:tcPr>
            <w:tcW w:w="420"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宽度（m）</w:t>
            </w:r>
          </w:p>
        </w:tc>
        <w:tc>
          <w:tcPr>
            <w:tcW w:w="421"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有效高度（m）</w:t>
            </w:r>
          </w:p>
        </w:tc>
        <w:tc>
          <w:tcPr>
            <w:tcW w:w="440"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w:t>
            </w:r>
          </w:p>
        </w:tc>
        <w:tc>
          <w:tcPr>
            <w:tcW w:w="445"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NH</w:t>
            </w:r>
            <w:r>
              <w:rPr>
                <w:rFonts w:hint="default" w:ascii="Times New Roman" w:hAnsi="Times New Roman" w:cs="Times New Roman"/>
                <w:color w:val="auto"/>
                <w:highlight w:val="none"/>
                <w:vertAlign w:val="subscript"/>
              </w:rPr>
              <w:t>3</w:t>
            </w:r>
          </w:p>
        </w:tc>
        <w:tc>
          <w:tcPr>
            <w:tcW w:w="906"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甲烷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326"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矩形面源</w:t>
            </w:r>
          </w:p>
        </w:tc>
        <w:tc>
          <w:tcPr>
            <w:tcW w:w="583"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87.098734</w:t>
            </w:r>
          </w:p>
        </w:tc>
        <w:tc>
          <w:tcPr>
            <w:tcW w:w="615"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44.210342</w:t>
            </w:r>
          </w:p>
        </w:tc>
        <w:tc>
          <w:tcPr>
            <w:tcW w:w="420"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486.00</w:t>
            </w:r>
          </w:p>
        </w:tc>
        <w:tc>
          <w:tcPr>
            <w:tcW w:w="420" w:type="pct"/>
            <w:vAlign w:val="center"/>
          </w:tcPr>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145.58</w:t>
            </w:r>
          </w:p>
        </w:tc>
        <w:tc>
          <w:tcPr>
            <w:tcW w:w="420" w:type="pct"/>
            <w:vAlign w:val="center"/>
          </w:tcPr>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226.06</w:t>
            </w:r>
          </w:p>
        </w:tc>
        <w:tc>
          <w:tcPr>
            <w:tcW w:w="421"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10.00</w:t>
            </w:r>
          </w:p>
        </w:tc>
        <w:tc>
          <w:tcPr>
            <w:tcW w:w="440" w:type="pct"/>
            <w:vAlign w:val="center"/>
          </w:tcPr>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0.0020</w:t>
            </w:r>
          </w:p>
        </w:tc>
        <w:tc>
          <w:tcPr>
            <w:tcW w:w="445" w:type="pct"/>
            <w:vAlign w:val="center"/>
          </w:tcPr>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0.0820</w:t>
            </w:r>
          </w:p>
        </w:tc>
        <w:tc>
          <w:tcPr>
            <w:tcW w:w="906"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0.552</w:t>
            </w:r>
          </w:p>
        </w:tc>
      </w:tr>
    </w:tbl>
    <w:p>
      <w:pPr>
        <w:bidi w:val="0"/>
        <w:rPr>
          <w:rFonts w:hint="default"/>
        </w:rPr>
      </w:pPr>
      <w:r>
        <w:rPr>
          <w:rFonts w:hint="eastAsia"/>
          <w:lang w:eastAsia="zh-CN"/>
        </w:rPr>
        <w:t>（</w:t>
      </w:r>
      <w:r>
        <w:rPr>
          <w:rFonts w:hint="eastAsia"/>
          <w:lang w:val="en-US" w:eastAsia="zh-CN"/>
        </w:rPr>
        <w:t>6</w:t>
      </w:r>
      <w:r>
        <w:rPr>
          <w:rFonts w:hint="eastAsia"/>
          <w:lang w:eastAsia="zh-CN"/>
        </w:rPr>
        <w:t>）</w:t>
      </w:r>
      <w:r>
        <w:rPr>
          <w:rFonts w:hint="default"/>
        </w:rPr>
        <w:t>估算结果</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正常工况下，污水装置臭气处理系统排气筒（DA001）排放的废气中NH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S一次最大浓度值预测值均能满足《</w:t>
      </w:r>
      <w:r>
        <w:rPr>
          <w:rFonts w:hint="default" w:ascii="Times New Roman" w:hAnsi="Times New Roman" w:cs="Times New Roman"/>
          <w:color w:val="auto"/>
          <w:highlight w:val="none"/>
          <w:lang w:eastAsia="zh-CN"/>
        </w:rPr>
        <w:t>环境影响评价技术导则大气环境</w:t>
      </w:r>
      <w:r>
        <w:rPr>
          <w:rFonts w:hint="default" w:ascii="Times New Roman" w:hAnsi="Times New Roman" w:cs="Times New Roman"/>
          <w:color w:val="auto"/>
          <w:highlight w:val="none"/>
        </w:rPr>
        <w:t>》（HJ2.2-2018）附录D其他污染物空气质量浓度参考限值要求。本项目Pmax最大值出现为矩形面源排放的</w:t>
      </w:r>
      <w:r>
        <w:rPr>
          <w:rFonts w:ascii="宋体" w:hAnsi="宋体" w:eastAsia="宋体" w:cs="宋体"/>
          <w:b w:val="0"/>
          <w:sz w:val="24"/>
          <w:highlight w:val="none"/>
        </w:rPr>
        <w:t>甲烷</w:t>
      </w:r>
      <w:r>
        <w:rPr>
          <w:rFonts w:hint="default" w:ascii="Times New Roman" w:hAnsi="Times New Roman" w:eastAsia="宋体" w:cs="Times New Roman"/>
          <w:b w:val="0"/>
          <w:sz w:val="24"/>
          <w:highlight w:val="none"/>
        </w:rPr>
        <w:t>Pmax值为8.1338%，Cmax为29.2816μg/m³</w:t>
      </w:r>
      <w:r>
        <w:rPr>
          <w:rFonts w:hint="default" w:ascii="Times New Roman" w:hAnsi="Times New Roman" w:cs="Times New Roman"/>
          <w:color w:val="auto"/>
          <w:highlight w:val="none"/>
        </w:rPr>
        <w:t>。根据《环境影响评价技术导则大气环境》（HJ2.2-2018）分级判据，确定本项目大气环境影响评价工作等级为二级</w:t>
      </w:r>
      <w:r>
        <w:rPr>
          <w:rFonts w:hint="eastAsia" w:cs="Times New Roman"/>
          <w:color w:val="auto"/>
          <w:highlight w:val="none"/>
          <w:lang w:eastAsia="zh-CN"/>
        </w:rPr>
        <w:t>，</w:t>
      </w:r>
      <w:r>
        <w:rPr>
          <w:rFonts w:hint="eastAsia" w:cs="Times New Roman"/>
          <w:color w:val="auto"/>
          <w:highlight w:val="none"/>
          <w:lang w:val="en-US" w:eastAsia="zh-CN"/>
        </w:rPr>
        <w:t>详见下表</w:t>
      </w:r>
      <w:r>
        <w:rPr>
          <w:rFonts w:hint="default" w:ascii="Times New Roman" w:hAnsi="Times New Roman" w:cs="Times New Roman"/>
          <w:color w:val="auto"/>
          <w:highlight w:val="none"/>
        </w:rPr>
        <w:t>。</w:t>
      </w:r>
    </w:p>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eastAsia" w:cs="Times New Roman"/>
          <w:color w:val="auto"/>
          <w:highlight w:val="none"/>
          <w:lang w:val="en-US" w:eastAsia="zh-CN"/>
        </w:rPr>
        <w:t>2.4-4</w:t>
      </w:r>
      <w:r>
        <w:rPr>
          <w:rFonts w:hint="default" w:ascii="Times New Roman" w:hAnsi="Times New Roman" w:cs="Times New Roman"/>
          <w:color w:val="auto"/>
          <w:highlight w:val="none"/>
        </w:rPr>
        <w:t>主要污染源排放估算模型计算结果表</w:t>
      </w:r>
    </w:p>
    <w:tbl>
      <w:tblPr>
        <w:tblStyle w:val="33"/>
        <w:tblW w:w="4997"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22"/>
        <w:gridCol w:w="1003"/>
        <w:gridCol w:w="1941"/>
        <w:gridCol w:w="2320"/>
        <w:gridCol w:w="1722"/>
        <w:gridCol w:w="180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380"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污染源名称</w:t>
            </w:r>
          </w:p>
        </w:tc>
        <w:tc>
          <w:tcPr>
            <w:tcW w:w="527"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评价因子</w:t>
            </w:r>
          </w:p>
        </w:tc>
        <w:tc>
          <w:tcPr>
            <w:tcW w:w="1020"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评价标准（μg/m³）</w:t>
            </w:r>
          </w:p>
        </w:tc>
        <w:tc>
          <w:tcPr>
            <w:tcW w:w="1219"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Cmax(μg/m³)</w:t>
            </w:r>
          </w:p>
        </w:tc>
        <w:tc>
          <w:tcPr>
            <w:tcW w:w="905"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Pmax(%)</w:t>
            </w:r>
          </w:p>
        </w:tc>
        <w:tc>
          <w:tcPr>
            <w:tcW w:w="946"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D10%(m)</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380"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矩形面源</w:t>
            </w:r>
          </w:p>
        </w:tc>
        <w:tc>
          <w:tcPr>
            <w:tcW w:w="527"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NH</w:t>
            </w:r>
            <w:r>
              <w:rPr>
                <w:rFonts w:hint="default" w:ascii="Times New Roman" w:hAnsi="Times New Roman" w:cs="Times New Roman"/>
                <w:color w:val="auto"/>
                <w:highlight w:val="none"/>
                <w:vertAlign w:val="subscript"/>
              </w:rPr>
              <w:t>3</w:t>
            </w:r>
          </w:p>
        </w:tc>
        <w:tc>
          <w:tcPr>
            <w:tcW w:w="1020" w:type="pct"/>
            <w:vAlign w:val="center"/>
          </w:tcPr>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200.0</w:t>
            </w:r>
          </w:p>
        </w:tc>
        <w:tc>
          <w:tcPr>
            <w:tcW w:w="1219" w:type="pct"/>
            <w:vAlign w:val="center"/>
          </w:tcPr>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4.1163</w:t>
            </w:r>
          </w:p>
        </w:tc>
        <w:tc>
          <w:tcPr>
            <w:tcW w:w="905" w:type="pct"/>
            <w:vAlign w:val="center"/>
          </w:tcPr>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2.0581</w:t>
            </w:r>
          </w:p>
        </w:tc>
        <w:tc>
          <w:tcPr>
            <w:tcW w:w="946" w:type="pct"/>
            <w:vAlign w:val="center"/>
          </w:tcPr>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380" w:type="pct"/>
            <w:vMerge w:val="restar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矩形面源</w:t>
            </w:r>
          </w:p>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甲烷</w:t>
            </w:r>
          </w:p>
        </w:tc>
        <w:tc>
          <w:tcPr>
            <w:tcW w:w="527"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w:t>
            </w:r>
          </w:p>
        </w:tc>
        <w:tc>
          <w:tcPr>
            <w:tcW w:w="1020" w:type="pct"/>
            <w:vAlign w:val="center"/>
          </w:tcPr>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c>
          <w:tcPr>
            <w:tcW w:w="1219" w:type="pct"/>
            <w:vAlign w:val="center"/>
          </w:tcPr>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0.0792</w:t>
            </w:r>
          </w:p>
        </w:tc>
        <w:tc>
          <w:tcPr>
            <w:tcW w:w="905" w:type="pct"/>
            <w:vAlign w:val="center"/>
          </w:tcPr>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0.7916</w:t>
            </w:r>
          </w:p>
        </w:tc>
        <w:tc>
          <w:tcPr>
            <w:tcW w:w="946" w:type="pct"/>
            <w:vAlign w:val="center"/>
          </w:tcPr>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380" w:type="pct"/>
            <w:vMerge w:val="continue"/>
            <w:vAlign w:val="center"/>
          </w:tcPr>
          <w:p>
            <w:pPr>
              <w:pStyle w:val="49"/>
              <w:rPr>
                <w:rFonts w:hint="default" w:ascii="Times New Roman" w:hAnsi="Times New Roman" w:cs="Times New Roman"/>
                <w:color w:val="auto"/>
                <w:highlight w:val="none"/>
              </w:rPr>
            </w:pPr>
          </w:p>
        </w:tc>
        <w:tc>
          <w:tcPr>
            <w:tcW w:w="527"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甲烷</w:t>
            </w:r>
          </w:p>
        </w:tc>
        <w:tc>
          <w:tcPr>
            <w:tcW w:w="1020"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360.0</w:t>
            </w:r>
          </w:p>
        </w:tc>
        <w:tc>
          <w:tcPr>
            <w:tcW w:w="1219"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29.2816</w:t>
            </w:r>
          </w:p>
        </w:tc>
        <w:tc>
          <w:tcPr>
            <w:tcW w:w="905"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8.1338</w:t>
            </w:r>
          </w:p>
        </w:tc>
        <w:tc>
          <w:tcPr>
            <w:tcW w:w="946"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27" w:hRule="atLeast"/>
        </w:trPr>
        <w:tc>
          <w:tcPr>
            <w:tcW w:w="380"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点源</w:t>
            </w:r>
          </w:p>
        </w:tc>
        <w:tc>
          <w:tcPr>
            <w:tcW w:w="527"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NH</w:t>
            </w:r>
            <w:r>
              <w:rPr>
                <w:rFonts w:hint="default" w:ascii="Times New Roman" w:hAnsi="Times New Roman" w:cs="Times New Roman"/>
                <w:color w:val="auto"/>
                <w:highlight w:val="none"/>
                <w:vertAlign w:val="subscript"/>
              </w:rPr>
              <w:t>3</w:t>
            </w:r>
          </w:p>
        </w:tc>
        <w:tc>
          <w:tcPr>
            <w:tcW w:w="1020" w:type="pct"/>
            <w:vAlign w:val="center"/>
          </w:tcPr>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200.0</w:t>
            </w:r>
          </w:p>
        </w:tc>
        <w:tc>
          <w:tcPr>
            <w:tcW w:w="1219" w:type="pct"/>
            <w:vAlign w:val="center"/>
          </w:tcPr>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4.2116</w:t>
            </w:r>
          </w:p>
        </w:tc>
        <w:tc>
          <w:tcPr>
            <w:tcW w:w="905" w:type="pct"/>
            <w:vAlign w:val="center"/>
          </w:tcPr>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2.1058</w:t>
            </w:r>
          </w:p>
        </w:tc>
        <w:tc>
          <w:tcPr>
            <w:tcW w:w="946" w:type="pct"/>
            <w:vAlign w:val="center"/>
          </w:tcPr>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32" w:hRule="atLeast"/>
        </w:trPr>
        <w:tc>
          <w:tcPr>
            <w:tcW w:w="380"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点源</w:t>
            </w:r>
          </w:p>
        </w:tc>
        <w:tc>
          <w:tcPr>
            <w:tcW w:w="527" w:type="pc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w:t>
            </w:r>
          </w:p>
        </w:tc>
        <w:tc>
          <w:tcPr>
            <w:tcW w:w="1020" w:type="pct"/>
            <w:vAlign w:val="center"/>
          </w:tcPr>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c>
          <w:tcPr>
            <w:tcW w:w="1219" w:type="pct"/>
            <w:vAlign w:val="center"/>
          </w:tcPr>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0.1027</w:t>
            </w:r>
          </w:p>
        </w:tc>
        <w:tc>
          <w:tcPr>
            <w:tcW w:w="905" w:type="pct"/>
            <w:vAlign w:val="center"/>
          </w:tcPr>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1.0272</w:t>
            </w:r>
          </w:p>
        </w:tc>
        <w:tc>
          <w:tcPr>
            <w:tcW w:w="946" w:type="pct"/>
            <w:vAlign w:val="center"/>
          </w:tcPr>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bl>
    <w:p>
      <w:pPr>
        <w:pStyle w:val="15"/>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eastAsia="zh-CN"/>
        </w:rPr>
        <w:t>环境影响评价技术导则大气环境</w:t>
      </w:r>
      <w:r>
        <w:rPr>
          <w:rFonts w:hint="default" w:ascii="Times New Roman" w:hAnsi="Times New Roman" w:cs="Times New Roman"/>
          <w:color w:val="auto"/>
          <w:highlight w:val="none"/>
        </w:rPr>
        <w:t>》（HJ2.2-2018）中“5.3.3.1同一项目有多个污染源时，则按各污染源分别确定评价等级，并取评价等级最高者作为项目的评价等级”，项目有组织源评价等级为二级，无组织面源评价等级为二级，因此判定本项目大气评价等级为二级，评价范围为以项目为中心，边长5km的矩形。本项目不需进一步预测与评价，只对污染物排放量进行核算。</w:t>
      </w:r>
    </w:p>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eastAsia" w:cs="Times New Roman"/>
          <w:color w:val="auto"/>
          <w:highlight w:val="none"/>
          <w:lang w:val="en-US" w:eastAsia="zh-CN"/>
        </w:rPr>
        <w:t>4</w:t>
      </w:r>
      <w:r>
        <w:rPr>
          <w:rFonts w:hint="default" w:ascii="Times New Roman" w:hAnsi="Times New Roman" w:cs="Times New Roman"/>
          <w:color w:val="auto"/>
          <w:highlight w:val="none"/>
        </w:rPr>
        <w:t>-5大气评价工作等级划分依据</w:t>
      </w:r>
    </w:p>
    <w:tbl>
      <w:tblPr>
        <w:tblStyle w:val="33"/>
        <w:tblW w:w="951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25"/>
        <w:gridCol w:w="65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25"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评价工作等级</w:t>
            </w:r>
          </w:p>
        </w:tc>
        <w:tc>
          <w:tcPr>
            <w:tcW w:w="6587"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评价工作等级判据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25"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一级</w:t>
            </w:r>
          </w:p>
        </w:tc>
        <w:tc>
          <w:tcPr>
            <w:tcW w:w="6587"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Pmax≥10%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25"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二级</w:t>
            </w:r>
          </w:p>
        </w:tc>
        <w:tc>
          <w:tcPr>
            <w:tcW w:w="6587"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1%≤Pmax&lt;10%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25"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三级</w:t>
            </w:r>
          </w:p>
        </w:tc>
        <w:tc>
          <w:tcPr>
            <w:tcW w:w="6587"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Pmax&lt;1%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2925"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本项目评价等级</w:t>
            </w:r>
          </w:p>
        </w:tc>
        <w:tc>
          <w:tcPr>
            <w:tcW w:w="6587"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Pmax=9.01%，二级</w:t>
            </w:r>
          </w:p>
        </w:tc>
      </w:tr>
    </w:tbl>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地表水评价等级及评价范围</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地表水环境》(HJ2.3-2018)，建设项目地表水环境影响评价等级按照影响类型、排放方式、排放量或影响情况、受纳水体环境质量现状、水环境保护目标等综合确定。本项目影响类型为水污染影响型，水污染型建设项目评价等级判定详见下表。</w:t>
      </w:r>
    </w:p>
    <w:p>
      <w:pPr>
        <w:pStyle w:val="7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表</w:t>
      </w:r>
      <w:r>
        <w:rPr>
          <w:rFonts w:hint="default" w:ascii="Times New Roman" w:hAnsi="Times New Roman" w:cs="Times New Roman"/>
          <w:color w:val="auto"/>
          <w:highlight w:val="none"/>
        </w:rPr>
        <w:t>2.</w:t>
      </w:r>
      <w:r>
        <w:rPr>
          <w:rFonts w:hint="eastAsia" w:cs="Times New Roman"/>
          <w:color w:val="auto"/>
          <w:highlight w:val="none"/>
          <w:lang w:val="en-US" w:eastAsia="zh-CN"/>
        </w:rPr>
        <w:t>4</w:t>
      </w:r>
      <w:r>
        <w:rPr>
          <w:rFonts w:hint="default" w:ascii="Times New Roman" w:hAnsi="Times New Roman" w:cs="Times New Roman"/>
          <w:color w:val="auto"/>
          <w:highlight w:val="none"/>
        </w:rPr>
        <w:t>-6</w:t>
      </w:r>
      <w:r>
        <w:rPr>
          <w:rFonts w:hint="default" w:ascii="Times New Roman" w:hAnsi="Times New Roman" w:cs="Times New Roman"/>
          <w:color w:val="auto"/>
          <w:highlight w:val="none"/>
          <w:lang w:val="zh-CN"/>
        </w:rPr>
        <w:t>地表水评价工作等级判别表</w:t>
      </w:r>
    </w:p>
    <w:tbl>
      <w:tblPr>
        <w:tblStyle w:val="57"/>
        <w:tblW w:w="930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7"/>
        <w:gridCol w:w="1699"/>
        <w:gridCol w:w="62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377" w:type="dxa"/>
            <w:vMerge w:val="restart"/>
            <w:tcBorders>
              <w:bottom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评价等级</w:t>
            </w:r>
          </w:p>
        </w:tc>
        <w:tc>
          <w:tcPr>
            <w:tcW w:w="7925" w:type="dxa"/>
            <w:gridSpan w:val="2"/>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判定依据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377" w:type="dxa"/>
            <w:vMerge w:val="continue"/>
            <w:tcBorders>
              <w:top w:val="nil"/>
            </w:tcBorders>
            <w:vAlign w:val="center"/>
          </w:tcPr>
          <w:p>
            <w:pPr>
              <w:pStyle w:val="49"/>
              <w:rPr>
                <w:rFonts w:hint="default" w:ascii="Times New Roman" w:hAnsi="Times New Roman" w:cs="Times New Roman"/>
                <w:color w:val="auto"/>
                <w:highlight w:val="none"/>
              </w:rPr>
            </w:pPr>
          </w:p>
        </w:tc>
        <w:tc>
          <w:tcPr>
            <w:tcW w:w="1699"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排放方式</w:t>
            </w:r>
          </w:p>
        </w:tc>
        <w:tc>
          <w:tcPr>
            <w:tcW w:w="6226"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废水排放量Q/(m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/d)；水污染物当量数W/（量纲一）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377"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一级</w:t>
            </w:r>
          </w:p>
        </w:tc>
        <w:tc>
          <w:tcPr>
            <w:tcW w:w="1699"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直接排放</w:t>
            </w:r>
          </w:p>
        </w:tc>
        <w:tc>
          <w:tcPr>
            <w:tcW w:w="6226"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Q≥20000或W≥600000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377"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二级</w:t>
            </w:r>
          </w:p>
        </w:tc>
        <w:tc>
          <w:tcPr>
            <w:tcW w:w="1699"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直接排放</w:t>
            </w:r>
          </w:p>
        </w:tc>
        <w:tc>
          <w:tcPr>
            <w:tcW w:w="6226"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其他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377"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三级A</w:t>
            </w:r>
          </w:p>
        </w:tc>
        <w:tc>
          <w:tcPr>
            <w:tcW w:w="1699"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直接排放</w:t>
            </w:r>
          </w:p>
        </w:tc>
        <w:tc>
          <w:tcPr>
            <w:tcW w:w="6226"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Q＜200且W＜6000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1377"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三级B</w:t>
            </w:r>
          </w:p>
        </w:tc>
        <w:tc>
          <w:tcPr>
            <w:tcW w:w="1699"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间接排放</w:t>
            </w:r>
          </w:p>
        </w:tc>
        <w:tc>
          <w:tcPr>
            <w:tcW w:w="6226"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bl>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本项目出水水质达到《城镇污水处理厂污染物排放标准》（GB18918-2002）中的一级A标准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同时满足《</w:t>
      </w:r>
      <w:r>
        <w:rPr>
          <w:rFonts w:hint="eastAsia" w:cs="Times New Roman"/>
          <w:color w:val="auto"/>
          <w:highlight w:val="none"/>
          <w:lang w:eastAsia="zh-CN"/>
        </w:rPr>
        <w:t>城市污水再生利用城市杂用水水质》（GB/T18920-2020）</w:t>
      </w:r>
      <w:r>
        <w:rPr>
          <w:rFonts w:hint="default" w:ascii="Times New Roman" w:hAnsi="Times New Roman" w:cs="Times New Roman"/>
          <w:color w:val="auto"/>
          <w:highlight w:val="none"/>
        </w:rPr>
        <w:t>和《城市污水再生利用绿地灌溉水质》（GB/T25499-2010）</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夏季用于</w:t>
      </w:r>
      <w:r>
        <w:rPr>
          <w:rFonts w:hint="eastAsia" w:cs="Times New Roman"/>
          <w:color w:val="auto"/>
          <w:highlight w:val="none"/>
          <w:lang w:val="en-US" w:eastAsia="zh-CN"/>
        </w:rPr>
        <w:t>园区绿化及</w:t>
      </w:r>
      <w:r>
        <w:rPr>
          <w:rFonts w:hint="default" w:ascii="Times New Roman" w:hAnsi="Times New Roman" w:cs="Times New Roman"/>
          <w:color w:val="auto"/>
          <w:highlight w:val="none"/>
        </w:rPr>
        <w:t>灌溉示范区的林地，冬季储存于</w:t>
      </w:r>
      <w:r>
        <w:rPr>
          <w:rFonts w:hint="eastAsia" w:cs="Times New Roman"/>
          <w:color w:val="auto"/>
          <w:highlight w:val="none"/>
          <w:lang w:eastAsia="zh-CN"/>
        </w:rPr>
        <w:t>中水池</w:t>
      </w:r>
      <w:r>
        <w:rPr>
          <w:rFonts w:hint="default" w:ascii="Times New Roman" w:hAnsi="Times New Roman" w:cs="Times New Roman"/>
          <w:color w:val="auto"/>
          <w:highlight w:val="none"/>
        </w:rPr>
        <w:t>中，实现污水有效利用。不与区域地表水体产生水力联系。根据《环境影响评价技术导则地表水环境》（</w:t>
      </w:r>
      <w:r>
        <w:rPr>
          <w:rFonts w:hint="default" w:ascii="Times New Roman" w:hAnsi="Times New Roman" w:cs="Times New Roman"/>
          <w:color w:val="auto"/>
          <w:highlight w:val="none"/>
          <w:lang w:eastAsia="zh-CN"/>
        </w:rPr>
        <w:t>HJ2.3-2018</w:t>
      </w:r>
      <w:r>
        <w:rPr>
          <w:rFonts w:hint="default" w:ascii="Times New Roman" w:hAnsi="Times New Roman" w:cs="Times New Roman"/>
          <w:color w:val="auto"/>
          <w:highlight w:val="none"/>
        </w:rPr>
        <w:t>）表1水污染影响型建设项目评价等级判定，结合本项目废水属于间接排放的特点，判定本项目地表水环境评价等级为三级B。</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地下水评价等级及评价范围</w:t>
      </w:r>
    </w:p>
    <w:p>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为污水处理厂项目，接纳新疆昌吉国家农业高新技术产业示范区现代农业精深加工示范区生活污水和工业废水，根据《环境影响评价技术导则地下水环境》（HJ610-2016）中地下水环境影响评价工作等级划分的原则对工程评价工作等级进行划分。根据HJ610-2016附录A，本项目属于“U城镇基础设施及房地产”中的“145、工业废水集中处理”，属于</w:t>
      </w:r>
      <w:r>
        <w:rPr>
          <w:rFonts w:hint="default" w:ascii="Times New Roman" w:hAnsi="Times New Roman" w:cs="Times New Roman"/>
          <w:color w:val="auto"/>
          <w:highlight w:val="none"/>
          <w:lang w:eastAsia="ja-JP"/>
        </w:rPr>
        <w:t>Ⅰ</w:t>
      </w:r>
      <w:r>
        <w:rPr>
          <w:rFonts w:hint="default" w:ascii="Times New Roman" w:hAnsi="Times New Roman" w:cs="Times New Roman"/>
          <w:color w:val="auto"/>
          <w:highlight w:val="none"/>
        </w:rPr>
        <w:t>类项目；项目用水由园区自来水供水系统提供，周边无集中式饮用水源，评价范围内无集中式饮用水源分布，项目下游无分散式水源，也不涉及其他地下水敏感区，地下水环境敏感程度为不敏感。根据地下水环境影响分级下表可知，本项目地下水环境影响评价等级为二级</w:t>
      </w:r>
      <w:r>
        <w:rPr>
          <w:rFonts w:hint="eastAsia" w:cs="Times New Roman"/>
          <w:color w:val="auto"/>
          <w:highlight w:val="none"/>
          <w:lang w:eastAsia="zh-CN"/>
        </w:rPr>
        <w:t>，</w:t>
      </w:r>
      <w:r>
        <w:rPr>
          <w:rFonts w:hint="eastAsia" w:cs="Times New Roman"/>
          <w:color w:val="auto"/>
          <w:highlight w:val="none"/>
          <w:lang w:val="en-US" w:eastAsia="zh-CN"/>
        </w:rPr>
        <w:t>详见下表</w:t>
      </w:r>
      <w:r>
        <w:rPr>
          <w:rFonts w:hint="default" w:ascii="Times New Roman" w:hAnsi="Times New Roman" w:cs="Times New Roman"/>
          <w:color w:val="auto"/>
          <w:highlight w:val="none"/>
        </w:rPr>
        <w:t>。</w:t>
      </w:r>
    </w:p>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rPr>
        <w:t>表2.4-7本项目地下水环境影响评价工作等级划分表</w:t>
      </w:r>
    </w:p>
    <w:tbl>
      <w:tblPr>
        <w:tblStyle w:val="34"/>
        <w:tblW w:w="95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8"/>
        <w:gridCol w:w="2378"/>
        <w:gridCol w:w="2379"/>
        <w:gridCol w:w="2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78"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环境敏感程度</w:t>
            </w:r>
          </w:p>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项目类型</w:t>
            </w:r>
          </w:p>
        </w:tc>
        <w:tc>
          <w:tcPr>
            <w:tcW w:w="2378"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1 \* ROMAN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I</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类项目</w:t>
            </w:r>
          </w:p>
        </w:tc>
        <w:tc>
          <w:tcPr>
            <w:tcW w:w="2379"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类项目</w:t>
            </w:r>
          </w:p>
        </w:tc>
        <w:tc>
          <w:tcPr>
            <w:tcW w:w="2379"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3 \* ROMAN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III</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78"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敏感</w:t>
            </w:r>
          </w:p>
        </w:tc>
        <w:tc>
          <w:tcPr>
            <w:tcW w:w="2378"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一</w:t>
            </w:r>
          </w:p>
        </w:tc>
        <w:tc>
          <w:tcPr>
            <w:tcW w:w="2379"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一</w:t>
            </w:r>
          </w:p>
        </w:tc>
        <w:tc>
          <w:tcPr>
            <w:tcW w:w="2379"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78"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较敏感</w:t>
            </w:r>
          </w:p>
        </w:tc>
        <w:tc>
          <w:tcPr>
            <w:tcW w:w="2378" w:type="dxa"/>
            <w:tcBorders>
              <w:tl2br w:val="nil"/>
              <w:tr2bl w:val="nil"/>
            </w:tcBorders>
            <w:shd w:val="clear" w:color="auto" w:fill="auto"/>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一</w:t>
            </w:r>
          </w:p>
        </w:tc>
        <w:tc>
          <w:tcPr>
            <w:tcW w:w="2379"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二</w:t>
            </w:r>
          </w:p>
        </w:tc>
        <w:tc>
          <w:tcPr>
            <w:tcW w:w="2379"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378"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不敏感</w:t>
            </w:r>
          </w:p>
        </w:tc>
        <w:tc>
          <w:tcPr>
            <w:tcW w:w="2378" w:type="dxa"/>
            <w:tcBorders>
              <w:tl2br w:val="nil"/>
              <w:tr2bl w:val="nil"/>
            </w:tcBorders>
            <w:shd w:val="clear" w:color="auto" w:fill="BEBEBE" w:themeFill="background1" w:themeFillShade="BF"/>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二</w:t>
            </w:r>
          </w:p>
        </w:tc>
        <w:tc>
          <w:tcPr>
            <w:tcW w:w="2379"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三</w:t>
            </w:r>
          </w:p>
        </w:tc>
        <w:tc>
          <w:tcPr>
            <w:tcW w:w="2379"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三</w:t>
            </w:r>
          </w:p>
        </w:tc>
      </w:tr>
    </w:tbl>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en-US"/>
        </w:rPr>
        <w:t>表</w:t>
      </w:r>
      <w:r>
        <w:rPr>
          <w:rFonts w:hint="default" w:ascii="Times New Roman" w:hAnsi="Times New Roman" w:cs="Times New Roman"/>
          <w:color w:val="auto"/>
          <w:highlight w:val="none"/>
          <w:lang w:val="en-US" w:eastAsia="zh-CN"/>
        </w:rPr>
        <w:t>2.4-8</w:t>
      </w:r>
      <w:r>
        <w:rPr>
          <w:rFonts w:hint="default" w:ascii="Times New Roman" w:hAnsi="Times New Roman" w:cs="Times New Roman"/>
          <w:color w:val="auto"/>
          <w:highlight w:val="none"/>
          <w:lang w:eastAsia="en-US"/>
        </w:rPr>
        <w:t>地下水环境敏感程度分级</w:t>
      </w:r>
    </w:p>
    <w:tbl>
      <w:tblPr>
        <w:tblStyle w:val="57"/>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06"/>
        <w:gridCol w:w="81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648" w:type="pct"/>
            <w:vAlign w:val="top"/>
          </w:tcPr>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分级</w:t>
            </w:r>
          </w:p>
        </w:tc>
        <w:tc>
          <w:tcPr>
            <w:tcW w:w="4351" w:type="pct"/>
            <w:vAlign w:val="top"/>
          </w:tcPr>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项目场地的地下水环境敏感特征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trPr>
        <w:tc>
          <w:tcPr>
            <w:tcW w:w="648" w:type="pct"/>
            <w:vAlign w:val="top"/>
          </w:tcPr>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敏感</w:t>
            </w:r>
          </w:p>
        </w:tc>
        <w:tc>
          <w:tcPr>
            <w:tcW w:w="4351" w:type="pct"/>
            <w:vAlign w:val="top"/>
          </w:tcPr>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集中式饮用水水源包括已建成的在用、备用、应急水源，在建和规划的饮用水</w:t>
            </w:r>
          </w:p>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水源准保护区；除集中式饮用水水源以外的国家或地方政府设定的与地下水环境相关的其它保护区，如热水、矿泉水、温泉等特殊地下水资源保护区。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1" w:hRule="atLeast"/>
        </w:trPr>
        <w:tc>
          <w:tcPr>
            <w:tcW w:w="648" w:type="pct"/>
            <w:vAlign w:val="top"/>
          </w:tcPr>
          <w:p>
            <w:pPr>
              <w:pStyle w:val="49"/>
              <w:rPr>
                <w:rFonts w:hint="default" w:ascii="Times New Roman" w:hAnsi="Times New Roman" w:eastAsia="宋体" w:cs="Times New Roman"/>
                <w:color w:val="auto"/>
                <w:highlight w:val="none"/>
              </w:rPr>
            </w:pPr>
          </w:p>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较敏感</w:t>
            </w:r>
          </w:p>
        </w:tc>
        <w:tc>
          <w:tcPr>
            <w:tcW w:w="4351" w:type="pct"/>
            <w:vAlign w:val="top"/>
          </w:tcPr>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集中式饮用水水源包括已建成的在用、备用、应急水源，在建和规划的饮用水</w:t>
            </w:r>
          </w:p>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水源准保护区以外的补给径流区；未划定准保护区的集中水式饮用水水源，其保</w:t>
            </w:r>
          </w:p>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护区以外的补给径流区；分散式饮用水水源地；特殊地下水资源（如矿泉水、温泉等）保护区以外的分布区等其他未列入上述敏感分级的环境敏感区①。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648" w:type="pct"/>
            <w:vAlign w:val="top"/>
          </w:tcPr>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不敏感</w:t>
            </w:r>
          </w:p>
        </w:tc>
        <w:tc>
          <w:tcPr>
            <w:tcW w:w="4351" w:type="pct"/>
            <w:vAlign w:val="top"/>
          </w:tcPr>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上述地区之外的其它地区。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5000" w:type="pct"/>
            <w:gridSpan w:val="2"/>
            <w:vAlign w:val="top"/>
          </w:tcPr>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w:t>
            </w:r>
            <w:r>
              <w:rPr>
                <w:rFonts w:hint="eastAsia"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①“环境敏感区”是指《建设项目环境影响评价分类管理名录》中所界定的涉及地下水的环境敏感区。</w:t>
            </w:r>
          </w:p>
        </w:tc>
      </w:tr>
    </w:tbl>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评价范围：以厂址为中心，</w:t>
      </w:r>
      <w:r>
        <w:rPr>
          <w:rFonts w:hint="default" w:ascii="Times New Roman" w:hAnsi="Times New Roman" w:eastAsia="宋体" w:cs="Times New Roman"/>
          <w:color w:val="auto"/>
          <w:sz w:val="21"/>
          <w:szCs w:val="21"/>
          <w:highlight w:val="none"/>
        </w:rPr>
        <w:t>厂区地下水区域上游</w:t>
      </w:r>
      <w:r>
        <w:rPr>
          <w:rFonts w:hint="eastAsia" w:ascii="Times New Roman" w:hAnsi="Times New Roman"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km，下游</w:t>
      </w:r>
      <w:r>
        <w:rPr>
          <w:rFonts w:hint="eastAsia"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km，两侧各</w:t>
      </w:r>
      <w:r>
        <w:rPr>
          <w:rFonts w:hint="eastAsia"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km的区域，约2km×3km的区域。</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声环境评价等级及评价范围</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执行《声环境质量标准》（GB3096-2008）中的3类标准，工程厂址周围200m范围内无学校、疗养院、医院及风景游览区等敏感目标。本项目将采取完善的噪声防范措施，区域敏感点距项目较远，噪声对周围敏感点贡献值较小，投产后环境噪声增加值小于3dB（A），且受影响人口不发生变化，不会对周围环境产生明显影响。根据《环境影响评价技术导则声环境》（HJ2.4-2021）声环境评价工作等级划分原则，结合厂址周边环境敏感目标分布情况等因素综合考虑，声环境影响评价工作等级定为三级，具体判定过程详见</w:t>
      </w:r>
      <w:r>
        <w:rPr>
          <w:rFonts w:hint="eastAsia" w:cs="Times New Roman"/>
          <w:color w:val="auto"/>
          <w:highlight w:val="none"/>
          <w:lang w:val="en-US" w:eastAsia="zh-CN"/>
        </w:rPr>
        <w:t>下</w:t>
      </w:r>
      <w:r>
        <w:rPr>
          <w:rFonts w:hint="default" w:ascii="Times New Roman" w:hAnsi="Times New Roman" w:cs="Times New Roman"/>
          <w:color w:val="auto"/>
          <w:highlight w:val="none"/>
        </w:rPr>
        <w:t>表。</w:t>
      </w:r>
    </w:p>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eastAsia" w:cs="Times New Roman"/>
          <w:color w:val="auto"/>
          <w:highlight w:val="none"/>
          <w:lang w:val="en-US" w:eastAsia="zh-CN"/>
        </w:rPr>
        <w:t>4</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本项目声环境影响评价工作等级划分表</w:t>
      </w:r>
    </w:p>
    <w:tbl>
      <w:tblPr>
        <w:tblStyle w:val="33"/>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7"/>
        <w:gridCol w:w="4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7"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p>
        </w:tc>
        <w:tc>
          <w:tcPr>
            <w:tcW w:w="4757"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7"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周围环境适用标准</w:t>
            </w:r>
          </w:p>
        </w:tc>
        <w:tc>
          <w:tcPr>
            <w:tcW w:w="4757"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GB3096-2008中3类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7"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周围环境受项目影响噪声增加量</w:t>
            </w:r>
          </w:p>
        </w:tc>
        <w:tc>
          <w:tcPr>
            <w:tcW w:w="4757"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3dB（A）以内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7"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受影响人口数量变化情况</w:t>
            </w:r>
          </w:p>
        </w:tc>
        <w:tc>
          <w:tcPr>
            <w:tcW w:w="4757"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变化不大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57"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评价工作等级</w:t>
            </w:r>
          </w:p>
        </w:tc>
        <w:tc>
          <w:tcPr>
            <w:tcW w:w="4757" w:type="dxa"/>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三级</w:t>
            </w:r>
          </w:p>
        </w:tc>
      </w:tr>
    </w:tbl>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声环境评价范围为拟建项目厂界外200m的区域</w:t>
      </w:r>
      <w:r>
        <w:rPr>
          <w:rFonts w:hint="eastAsia" w:cs="Times New Roman"/>
          <w:color w:val="auto"/>
          <w:highlight w:val="none"/>
          <w:lang w:val="en-US" w:eastAsia="zh-CN"/>
        </w:rPr>
        <w:t>范围内</w:t>
      </w:r>
      <w:r>
        <w:rPr>
          <w:rFonts w:hint="default" w:ascii="Times New Roman" w:hAnsi="Times New Roman" w:cs="Times New Roman"/>
          <w:color w:val="auto"/>
          <w:highlight w:val="none"/>
        </w:rPr>
        <w:t>。</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生态环境评价等级及评价范围</w:t>
      </w:r>
    </w:p>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eastAsia" w:cs="Times New Roman"/>
          <w:color w:val="auto"/>
          <w:highlight w:val="none"/>
          <w:lang w:val="en-US" w:eastAsia="zh-CN"/>
        </w:rPr>
        <w:t>4</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生态影响评价工作等级划分表</w:t>
      </w:r>
    </w:p>
    <w:tbl>
      <w:tblPr>
        <w:tblStyle w:val="33"/>
        <w:tblW w:w="506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27"/>
        <w:gridCol w:w="995"/>
        <w:gridCol w:w="11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jc w:val="center"/>
        </w:trPr>
        <w:tc>
          <w:tcPr>
            <w:tcW w:w="7219" w:type="dxa"/>
            <w:vAlign w:val="center"/>
          </w:tcPr>
          <w:p>
            <w:pPr>
              <w:spacing w:line="240" w:lineRule="auto"/>
              <w:ind w:firstLine="0" w:firstLineChars="0"/>
              <w:contextualSpacing/>
              <w:jc w:val="center"/>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评价等级判定原则</w:t>
            </w:r>
          </w:p>
        </w:tc>
        <w:tc>
          <w:tcPr>
            <w:tcW w:w="994" w:type="dxa"/>
            <w:vAlign w:val="center"/>
          </w:tcPr>
          <w:p>
            <w:pPr>
              <w:spacing w:line="240" w:lineRule="auto"/>
              <w:ind w:firstLine="0" w:firstLineChars="0"/>
              <w:contextualSpacing/>
              <w:jc w:val="center"/>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项目情况</w:t>
            </w:r>
          </w:p>
        </w:tc>
        <w:tc>
          <w:tcPr>
            <w:tcW w:w="1197" w:type="dxa"/>
            <w:vAlign w:val="center"/>
          </w:tcPr>
          <w:p>
            <w:pPr>
              <w:spacing w:line="240" w:lineRule="auto"/>
              <w:ind w:firstLine="0" w:firstLineChars="0"/>
              <w:contextualSpacing/>
              <w:jc w:val="center"/>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判定结果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7219" w:type="dxa"/>
            <w:vAlign w:val="center"/>
          </w:tcPr>
          <w:p>
            <w:pPr>
              <w:pStyle w:val="106"/>
              <w:adjustRightInd w:val="0"/>
              <w:spacing w:line="240" w:lineRule="auto"/>
              <w:ind w:firstLine="0" w:firstLineChars="0"/>
              <w:jc w:val="lef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a）涉及国家公园、自然保护区、世界自然遗产、重要生境时，评价等级为一级；</w:t>
            </w:r>
          </w:p>
        </w:tc>
        <w:tc>
          <w:tcPr>
            <w:tcW w:w="994" w:type="dxa"/>
            <w:vAlign w:val="center"/>
          </w:tcPr>
          <w:p>
            <w:pPr>
              <w:pStyle w:val="106"/>
              <w:adjustRightInd w:val="0"/>
              <w:spacing w:line="240" w:lineRule="auto"/>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不涉及</w:t>
            </w:r>
          </w:p>
        </w:tc>
        <w:tc>
          <w:tcPr>
            <w:tcW w:w="1197" w:type="dxa"/>
            <w:vMerge w:val="restart"/>
            <w:vAlign w:val="center"/>
          </w:tcPr>
          <w:p>
            <w:pPr>
              <w:pStyle w:val="106"/>
              <w:adjustRightInd w:val="0"/>
              <w:spacing w:line="240" w:lineRule="auto"/>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符合生态环境分区管控要求且位于原厂界</w:t>
            </w:r>
            <w:r>
              <w:rPr>
                <w:rFonts w:hint="eastAsia"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或永久用地</w:t>
            </w:r>
            <w:r>
              <w:rPr>
                <w:rFonts w:hint="eastAsia"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范围内的污染影响类改扩建项目，位于已批准规划环评的产业园区内且符合规划环评要求、不涉及生态敏感区的污染影响类建设项目，可不确定评价等级，直接进行生态影响简单分析。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7219" w:type="dxa"/>
            <w:vAlign w:val="center"/>
          </w:tcPr>
          <w:p>
            <w:pPr>
              <w:pStyle w:val="106"/>
              <w:adjustRightInd w:val="0"/>
              <w:spacing w:line="240" w:lineRule="auto"/>
              <w:ind w:firstLine="0" w:firstLineChars="0"/>
              <w:jc w:val="lef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b）涉及自然公园时，评价等级为二级；</w:t>
            </w:r>
          </w:p>
        </w:tc>
        <w:tc>
          <w:tcPr>
            <w:tcW w:w="994" w:type="dxa"/>
            <w:vAlign w:val="center"/>
          </w:tcPr>
          <w:p>
            <w:pPr>
              <w:pStyle w:val="106"/>
              <w:adjustRightInd w:val="0"/>
              <w:spacing w:line="240" w:lineRule="auto"/>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不涉及</w:t>
            </w:r>
          </w:p>
        </w:tc>
        <w:tc>
          <w:tcPr>
            <w:tcW w:w="1197" w:type="dxa"/>
            <w:vMerge w:val="continue"/>
            <w:vAlign w:val="center"/>
          </w:tcPr>
          <w:p>
            <w:pPr>
              <w:pStyle w:val="106"/>
              <w:adjustRightInd w:val="0"/>
              <w:spacing w:line="240" w:lineRule="auto"/>
              <w:ind w:firstLine="0" w:firstLineChars="0"/>
              <w:rPr>
                <w:rFonts w:hint="default" w:ascii="Times New Roman" w:hAnsi="Times New Roman" w:cs="Times New Roman"/>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7219" w:type="dxa"/>
            <w:vAlign w:val="center"/>
          </w:tcPr>
          <w:p>
            <w:pPr>
              <w:pStyle w:val="106"/>
              <w:adjustRightInd w:val="0"/>
              <w:spacing w:line="240" w:lineRule="auto"/>
              <w:ind w:firstLine="0" w:firstLineChars="0"/>
              <w:jc w:val="lef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c）涉及生态保护红线时，评价等级不低于二级；</w:t>
            </w:r>
          </w:p>
        </w:tc>
        <w:tc>
          <w:tcPr>
            <w:tcW w:w="994" w:type="dxa"/>
            <w:vAlign w:val="center"/>
          </w:tcPr>
          <w:p>
            <w:pPr>
              <w:pStyle w:val="106"/>
              <w:adjustRightInd w:val="0"/>
              <w:spacing w:line="240" w:lineRule="auto"/>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不涉及</w:t>
            </w:r>
          </w:p>
        </w:tc>
        <w:tc>
          <w:tcPr>
            <w:tcW w:w="1197" w:type="dxa"/>
            <w:vMerge w:val="continue"/>
            <w:vAlign w:val="center"/>
          </w:tcPr>
          <w:p>
            <w:pPr>
              <w:pStyle w:val="106"/>
              <w:adjustRightInd w:val="0"/>
              <w:spacing w:line="240" w:lineRule="auto"/>
              <w:ind w:firstLine="0" w:firstLineChars="0"/>
              <w:rPr>
                <w:rFonts w:hint="default" w:ascii="Times New Roman" w:hAnsi="Times New Roman" w:cs="Times New Roman"/>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7219" w:type="dxa"/>
            <w:vAlign w:val="center"/>
          </w:tcPr>
          <w:p>
            <w:pPr>
              <w:pStyle w:val="106"/>
              <w:adjustRightInd w:val="0"/>
              <w:spacing w:line="240" w:lineRule="auto"/>
              <w:ind w:firstLine="0" w:firstLineChars="0"/>
              <w:jc w:val="lef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d）根据</w:t>
            </w:r>
            <w:r>
              <w:rPr>
                <w:rFonts w:hint="default" w:ascii="Times New Roman" w:hAnsi="Times New Roman" w:cs="Times New Roman"/>
                <w:color w:val="auto"/>
                <w:sz w:val="21"/>
                <w:highlight w:val="none"/>
                <w:lang w:eastAsia="zh-CN"/>
              </w:rPr>
              <w:t>HJ2.3</w:t>
            </w:r>
            <w:r>
              <w:rPr>
                <w:rFonts w:hint="default" w:ascii="Times New Roman" w:hAnsi="Times New Roman" w:cs="Times New Roman"/>
                <w:color w:val="auto"/>
                <w:sz w:val="21"/>
                <w:highlight w:val="none"/>
              </w:rPr>
              <w:t>判断属于水文要素影响型且地表水评价等级不低于二级的建设项目，生态影响评价等级不低于二级；</w:t>
            </w:r>
          </w:p>
        </w:tc>
        <w:tc>
          <w:tcPr>
            <w:tcW w:w="994" w:type="dxa"/>
            <w:vAlign w:val="center"/>
          </w:tcPr>
          <w:p>
            <w:pPr>
              <w:pStyle w:val="106"/>
              <w:adjustRightInd w:val="0"/>
              <w:spacing w:line="240" w:lineRule="auto"/>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不涉及</w:t>
            </w:r>
          </w:p>
        </w:tc>
        <w:tc>
          <w:tcPr>
            <w:tcW w:w="1197" w:type="dxa"/>
            <w:vMerge w:val="continue"/>
            <w:vAlign w:val="center"/>
          </w:tcPr>
          <w:p>
            <w:pPr>
              <w:pStyle w:val="106"/>
              <w:adjustRightInd w:val="0"/>
              <w:spacing w:line="240" w:lineRule="auto"/>
              <w:ind w:firstLine="0" w:firstLineChars="0"/>
              <w:rPr>
                <w:rFonts w:hint="default" w:ascii="Times New Roman" w:hAnsi="Times New Roman" w:cs="Times New Roman"/>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7219" w:type="dxa"/>
            <w:vAlign w:val="center"/>
          </w:tcPr>
          <w:p>
            <w:pPr>
              <w:pStyle w:val="106"/>
              <w:adjustRightInd w:val="0"/>
              <w:spacing w:line="240" w:lineRule="auto"/>
              <w:ind w:firstLine="0" w:firstLineChars="0"/>
              <w:jc w:val="lef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e）根据HJ610、HJ964判断地下水水位或土壤影响范围内分布有天然林、公益林、湿地等生态保护目标的建设项目，生态影响评价等级不低于二级；</w:t>
            </w:r>
          </w:p>
        </w:tc>
        <w:tc>
          <w:tcPr>
            <w:tcW w:w="994" w:type="dxa"/>
            <w:vAlign w:val="center"/>
          </w:tcPr>
          <w:p>
            <w:pPr>
              <w:pStyle w:val="106"/>
              <w:adjustRightInd w:val="0"/>
              <w:spacing w:line="240" w:lineRule="auto"/>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不涉及</w:t>
            </w:r>
          </w:p>
        </w:tc>
        <w:tc>
          <w:tcPr>
            <w:tcW w:w="1197" w:type="dxa"/>
            <w:vMerge w:val="continue"/>
            <w:vAlign w:val="center"/>
          </w:tcPr>
          <w:p>
            <w:pPr>
              <w:pStyle w:val="106"/>
              <w:adjustRightInd w:val="0"/>
              <w:spacing w:line="240" w:lineRule="auto"/>
              <w:ind w:firstLine="0" w:firstLineChars="0"/>
              <w:rPr>
                <w:rFonts w:hint="default" w:ascii="Times New Roman" w:hAnsi="Times New Roman" w:cs="Times New Roman"/>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7219" w:type="dxa"/>
            <w:vAlign w:val="center"/>
          </w:tcPr>
          <w:p>
            <w:pPr>
              <w:pStyle w:val="106"/>
              <w:adjustRightInd w:val="0"/>
              <w:spacing w:line="240" w:lineRule="auto"/>
              <w:ind w:firstLine="0" w:firstLineChars="0"/>
              <w:jc w:val="lef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f）当工程占地规模大于20km</w:t>
            </w:r>
            <w:r>
              <w:rPr>
                <w:rFonts w:hint="default" w:ascii="Times New Roman" w:hAnsi="Times New Roman" w:cs="Times New Roman"/>
                <w:color w:val="auto"/>
                <w:sz w:val="21"/>
                <w:highlight w:val="none"/>
                <w:vertAlign w:val="superscript"/>
              </w:rPr>
              <w:t>2</w:t>
            </w:r>
            <w:r>
              <w:rPr>
                <w:rFonts w:hint="default" w:ascii="Times New Roman" w:hAnsi="Times New Roman" w:cs="Times New Roman"/>
                <w:color w:val="auto"/>
                <w:sz w:val="21"/>
                <w:highlight w:val="none"/>
              </w:rPr>
              <w:t>时（包括永久和临时占用陆域和水域），评价等级不低于二级；改扩建项目的占地范围以新增占地（包括陆域和水域）确定；</w:t>
            </w:r>
          </w:p>
        </w:tc>
        <w:tc>
          <w:tcPr>
            <w:tcW w:w="994" w:type="dxa"/>
            <w:vAlign w:val="center"/>
          </w:tcPr>
          <w:p>
            <w:pPr>
              <w:pStyle w:val="106"/>
              <w:adjustRightInd w:val="0"/>
              <w:spacing w:line="240" w:lineRule="auto"/>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不属于</w:t>
            </w:r>
          </w:p>
        </w:tc>
        <w:tc>
          <w:tcPr>
            <w:tcW w:w="1197" w:type="dxa"/>
            <w:vMerge w:val="continue"/>
            <w:vAlign w:val="center"/>
          </w:tcPr>
          <w:p>
            <w:pPr>
              <w:pStyle w:val="106"/>
              <w:adjustRightInd w:val="0"/>
              <w:spacing w:line="240" w:lineRule="auto"/>
              <w:ind w:firstLine="0" w:firstLineChars="0"/>
              <w:rPr>
                <w:rFonts w:hint="default" w:ascii="Times New Roman" w:hAnsi="Times New Roman" w:cs="Times New Roman"/>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7219" w:type="dxa"/>
            <w:vAlign w:val="center"/>
          </w:tcPr>
          <w:p>
            <w:pPr>
              <w:pStyle w:val="106"/>
              <w:adjustRightInd w:val="0"/>
              <w:spacing w:line="240" w:lineRule="auto"/>
              <w:ind w:firstLine="0" w:firstLineChars="0"/>
              <w:jc w:val="lef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g）除本条a）、b）、c）、d）、e）、f）以外的情况，评价等级为三级；</w:t>
            </w:r>
          </w:p>
        </w:tc>
        <w:tc>
          <w:tcPr>
            <w:tcW w:w="994" w:type="dxa"/>
            <w:vAlign w:val="center"/>
          </w:tcPr>
          <w:p>
            <w:pPr>
              <w:pStyle w:val="106"/>
              <w:adjustRightInd w:val="0"/>
              <w:spacing w:line="240" w:lineRule="auto"/>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属于</w:t>
            </w:r>
          </w:p>
        </w:tc>
        <w:tc>
          <w:tcPr>
            <w:tcW w:w="1197" w:type="dxa"/>
            <w:vMerge w:val="continue"/>
            <w:vAlign w:val="center"/>
          </w:tcPr>
          <w:p>
            <w:pPr>
              <w:pStyle w:val="106"/>
              <w:adjustRightInd w:val="0"/>
              <w:spacing w:line="240" w:lineRule="auto"/>
              <w:ind w:firstLine="0" w:firstLineChars="0"/>
              <w:rPr>
                <w:rFonts w:hint="default" w:ascii="Times New Roman" w:hAnsi="Times New Roman" w:cs="Times New Roman"/>
                <w:color w:val="auto"/>
                <w:sz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7219" w:type="dxa"/>
            <w:vAlign w:val="center"/>
          </w:tcPr>
          <w:p>
            <w:pPr>
              <w:pStyle w:val="106"/>
              <w:adjustRightInd w:val="0"/>
              <w:spacing w:line="240" w:lineRule="auto"/>
              <w:ind w:firstLine="0" w:firstLineChars="0"/>
              <w:jc w:val="left"/>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h）当评价等级判定同时符合上述多种情况时，应采用其中最高的评价等级。</w:t>
            </w:r>
          </w:p>
        </w:tc>
        <w:tc>
          <w:tcPr>
            <w:tcW w:w="994" w:type="dxa"/>
            <w:vAlign w:val="center"/>
          </w:tcPr>
          <w:p>
            <w:pPr>
              <w:pStyle w:val="106"/>
              <w:adjustRightInd w:val="0"/>
              <w:spacing w:line="240" w:lineRule="auto"/>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p>
        </w:tc>
        <w:tc>
          <w:tcPr>
            <w:tcW w:w="1197" w:type="dxa"/>
            <w:vMerge w:val="continue"/>
            <w:vAlign w:val="center"/>
          </w:tcPr>
          <w:p>
            <w:pPr>
              <w:pStyle w:val="106"/>
              <w:adjustRightInd w:val="0"/>
              <w:spacing w:line="240" w:lineRule="auto"/>
              <w:ind w:firstLine="0" w:firstLineChars="0"/>
              <w:rPr>
                <w:rFonts w:hint="default" w:ascii="Times New Roman" w:hAnsi="Times New Roman" w:cs="Times New Roman"/>
                <w:color w:val="auto"/>
                <w:sz w:val="21"/>
                <w:highlight w:val="none"/>
              </w:rPr>
            </w:pPr>
          </w:p>
        </w:tc>
      </w:tr>
    </w:tbl>
    <w:p>
      <w:pPr>
        <w:pStyle w:val="28"/>
        <w:keepNext w:val="0"/>
        <w:keepLines w:val="0"/>
        <w:widowControl/>
        <w:suppressLineNumbers w:val="0"/>
        <w:spacing w:before="0" w:beforeAutospacing="0" w:after="0" w:afterAutospacing="0"/>
        <w:ind w:left="0" w:right="0" w:firstLine="0"/>
        <w:rPr>
          <w:color w:val="auto"/>
          <w:highlight w:val="none"/>
        </w:rPr>
      </w:pPr>
      <w:r>
        <w:rPr>
          <w:rFonts w:hint="default" w:ascii="Times New Roman" w:hAnsi="Times New Roman" w:cs="Times New Roman"/>
          <w:color w:val="auto"/>
          <w:sz w:val="24"/>
          <w:szCs w:val="24"/>
          <w:highlight w:val="none"/>
        </w:rPr>
        <w:t>根据《环境影响评价技术导则生态影响》（</w:t>
      </w:r>
      <w:r>
        <w:rPr>
          <w:rFonts w:hint="default" w:ascii="Times New Roman" w:hAnsi="Times New Roman" w:cs="Times New Roman"/>
          <w:color w:val="auto"/>
          <w:sz w:val="24"/>
          <w:szCs w:val="24"/>
          <w:highlight w:val="none"/>
          <w:lang w:eastAsia="zh-CN"/>
        </w:rPr>
        <w:t>HJ19-2022</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eastAsia="zh-CN"/>
        </w:rPr>
        <w:t>，</w:t>
      </w:r>
      <w:r>
        <w:rPr>
          <w:color w:val="auto"/>
          <w:highlight w:val="none"/>
        </w:rPr>
        <w:t>符合生态环境分区管控要求且位于原厂界</w:t>
      </w:r>
      <w:r>
        <w:rPr>
          <w:rFonts w:hint="eastAsia"/>
          <w:color w:val="auto"/>
          <w:highlight w:val="none"/>
          <w:lang w:eastAsia="zh-CN"/>
        </w:rPr>
        <w:t>（</w:t>
      </w:r>
      <w:r>
        <w:rPr>
          <w:color w:val="auto"/>
          <w:highlight w:val="none"/>
        </w:rPr>
        <w:t>或永久用地</w:t>
      </w:r>
      <w:r>
        <w:rPr>
          <w:rFonts w:hint="eastAsia"/>
          <w:color w:val="auto"/>
          <w:highlight w:val="none"/>
          <w:lang w:eastAsia="zh-CN"/>
        </w:rPr>
        <w:t>）</w:t>
      </w:r>
      <w:r>
        <w:rPr>
          <w:color w:val="auto"/>
          <w:highlight w:val="none"/>
        </w:rPr>
        <w:t>范围内的污染影响类改扩建项目，位于已批准规划环评的产业园区内且符合规划环评要求、不涉及生态敏感区的污染影响类建设项目，可不确定评价等级，直接进行生态影响简单分析。</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土壤评价等级及评价范围</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本项目为污染影响型项目，《</w:t>
      </w:r>
      <w:r>
        <w:rPr>
          <w:rFonts w:hint="default" w:ascii="Times New Roman" w:hAnsi="Times New Roman" w:cs="Times New Roman"/>
          <w:color w:val="auto"/>
          <w:highlight w:val="none"/>
          <w:lang w:eastAsia="zh-CN"/>
        </w:rPr>
        <w:t>环境影响评价技术导则土壤环境（试行）</w:t>
      </w:r>
      <w:r>
        <w:rPr>
          <w:rFonts w:hint="default" w:ascii="Times New Roman" w:hAnsi="Times New Roman" w:cs="Times New Roman"/>
          <w:color w:val="auto"/>
          <w:highlight w:val="none"/>
        </w:rPr>
        <w:t>》（HJ964-2018），污染影响型评价工作分级规定：根据土壤环境影响评价类别、占地规模与敏感程度划分评价工作等级，详见</w:t>
      </w:r>
      <w:r>
        <w:rPr>
          <w:rFonts w:hint="eastAsia" w:cs="Times New Roman"/>
          <w:color w:val="auto"/>
          <w:highlight w:val="none"/>
          <w:lang w:val="en-US" w:eastAsia="zh-CN"/>
        </w:rPr>
        <w:t>下</w:t>
      </w:r>
      <w:r>
        <w:rPr>
          <w:rFonts w:hint="default" w:ascii="Times New Roman" w:hAnsi="Times New Roman" w:cs="Times New Roman"/>
          <w:color w:val="auto"/>
          <w:highlight w:val="none"/>
        </w:rPr>
        <w:t>表</w:t>
      </w:r>
      <w:bookmarkStart w:id="59" w:name="_Hlk14196351"/>
      <w:r>
        <w:rPr>
          <w:rFonts w:hint="default" w:ascii="Times New Roman" w:hAnsi="Times New Roman" w:cs="Times New Roman"/>
          <w:color w:val="auto"/>
          <w:highlight w:val="none"/>
        </w:rPr>
        <w:t>。</w:t>
      </w:r>
      <w:bookmarkEnd w:id="59"/>
    </w:p>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eastAsia" w:cs="Times New Roman"/>
          <w:color w:val="auto"/>
          <w:highlight w:val="none"/>
          <w:lang w:val="en-US" w:eastAsia="zh-CN"/>
        </w:rPr>
        <w:t>4</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污染影响型评价工作等级划分表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9"/>
        <w:gridCol w:w="902"/>
        <w:gridCol w:w="753"/>
        <w:gridCol w:w="759"/>
        <w:gridCol w:w="902"/>
        <w:gridCol w:w="902"/>
        <w:gridCol w:w="759"/>
        <w:gridCol w:w="751"/>
        <w:gridCol w:w="753"/>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 w:type="pct"/>
            <w:vMerge w:val="restart"/>
            <w:vAlign w:val="center"/>
          </w:tcPr>
          <w:p>
            <w:pPr>
              <w:autoSpaceDE w:val="0"/>
              <w:spacing w:line="240" w:lineRule="auto"/>
              <w:ind w:firstLine="0" w:firstLineChars="0"/>
              <w:jc w:val="both"/>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敏感程度</w:t>
            </w:r>
          </w:p>
          <w:p>
            <w:pPr>
              <w:autoSpaceDE w:val="0"/>
              <w:spacing w:line="240" w:lineRule="auto"/>
              <w:ind w:firstLine="0" w:firstLineChars="0"/>
              <w:jc w:val="center"/>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评价工作等级</w:t>
            </w:r>
          </w:p>
          <w:p>
            <w:pPr>
              <w:autoSpaceDE w:val="0"/>
              <w:spacing w:line="240" w:lineRule="auto"/>
              <w:ind w:firstLine="0" w:firstLineChars="0"/>
              <w:jc w:val="center"/>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占地规模</w:t>
            </w:r>
          </w:p>
        </w:tc>
        <w:tc>
          <w:tcPr>
            <w:tcW w:w="1269" w:type="pct"/>
            <w:gridSpan w:val="3"/>
            <w:vAlign w:val="center"/>
          </w:tcPr>
          <w:p>
            <w:pPr>
              <w:autoSpaceDE w:val="0"/>
              <w:spacing w:line="240" w:lineRule="auto"/>
              <w:ind w:firstLine="0" w:firstLineChars="0"/>
              <w:jc w:val="center"/>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Ⅰ类</w:t>
            </w:r>
          </w:p>
        </w:tc>
        <w:tc>
          <w:tcPr>
            <w:tcW w:w="1347" w:type="pct"/>
            <w:gridSpan w:val="3"/>
            <w:vAlign w:val="center"/>
          </w:tcPr>
          <w:p>
            <w:pPr>
              <w:autoSpaceDE w:val="0"/>
              <w:spacing w:line="240" w:lineRule="auto"/>
              <w:ind w:firstLine="0" w:firstLineChars="0"/>
              <w:jc w:val="center"/>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Ⅱ类</w:t>
            </w:r>
          </w:p>
        </w:tc>
        <w:tc>
          <w:tcPr>
            <w:tcW w:w="1215" w:type="pct"/>
            <w:gridSpan w:val="3"/>
            <w:vAlign w:val="center"/>
          </w:tcPr>
          <w:p>
            <w:pPr>
              <w:autoSpaceDE w:val="0"/>
              <w:spacing w:line="240" w:lineRule="auto"/>
              <w:ind w:firstLine="0" w:firstLineChars="0"/>
              <w:jc w:val="center"/>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 w:type="pct"/>
            <w:vMerge w:val="continue"/>
            <w:vAlign w:val="center"/>
          </w:tcPr>
          <w:p>
            <w:pPr>
              <w:widowControl/>
              <w:spacing w:line="240" w:lineRule="auto"/>
              <w:ind w:firstLine="0" w:firstLineChars="0"/>
              <w:rPr>
                <w:rFonts w:hint="default" w:ascii="Times New Roman" w:hAnsi="Times New Roman" w:cs="Times New Roman"/>
                <w:b/>
                <w:color w:val="auto"/>
                <w:sz w:val="21"/>
                <w:szCs w:val="21"/>
                <w:highlight w:val="none"/>
              </w:rPr>
            </w:pPr>
          </w:p>
        </w:tc>
        <w:tc>
          <w:tcPr>
            <w:tcW w:w="474" w:type="pct"/>
            <w:vAlign w:val="center"/>
          </w:tcPr>
          <w:p>
            <w:pPr>
              <w:autoSpaceDE w:val="0"/>
              <w:spacing w:line="240" w:lineRule="auto"/>
              <w:ind w:firstLine="0" w:firstLineChars="0"/>
              <w:jc w:val="center"/>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大</w:t>
            </w:r>
          </w:p>
        </w:tc>
        <w:tc>
          <w:tcPr>
            <w:tcW w:w="396" w:type="pct"/>
            <w:vAlign w:val="center"/>
          </w:tcPr>
          <w:p>
            <w:pPr>
              <w:autoSpaceDE w:val="0"/>
              <w:spacing w:line="240" w:lineRule="auto"/>
              <w:ind w:firstLine="0" w:firstLineChars="0"/>
              <w:jc w:val="center"/>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中</w:t>
            </w:r>
          </w:p>
        </w:tc>
        <w:tc>
          <w:tcPr>
            <w:tcW w:w="397" w:type="pct"/>
            <w:vAlign w:val="center"/>
          </w:tcPr>
          <w:p>
            <w:pPr>
              <w:autoSpaceDE w:val="0"/>
              <w:spacing w:line="240" w:lineRule="auto"/>
              <w:ind w:firstLine="0" w:firstLineChars="0"/>
              <w:jc w:val="center"/>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小</w:t>
            </w:r>
          </w:p>
        </w:tc>
        <w:tc>
          <w:tcPr>
            <w:tcW w:w="474" w:type="pct"/>
            <w:vAlign w:val="center"/>
          </w:tcPr>
          <w:p>
            <w:pPr>
              <w:autoSpaceDE w:val="0"/>
              <w:spacing w:line="240" w:lineRule="auto"/>
              <w:ind w:firstLine="0" w:firstLineChars="0"/>
              <w:jc w:val="center"/>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大</w:t>
            </w:r>
          </w:p>
        </w:tc>
        <w:tc>
          <w:tcPr>
            <w:tcW w:w="474" w:type="pct"/>
            <w:vAlign w:val="center"/>
          </w:tcPr>
          <w:p>
            <w:pPr>
              <w:autoSpaceDE w:val="0"/>
              <w:spacing w:line="240" w:lineRule="auto"/>
              <w:ind w:firstLine="0" w:firstLineChars="0"/>
              <w:jc w:val="center"/>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中</w:t>
            </w:r>
          </w:p>
        </w:tc>
        <w:tc>
          <w:tcPr>
            <w:tcW w:w="397" w:type="pct"/>
            <w:vAlign w:val="center"/>
          </w:tcPr>
          <w:p>
            <w:pPr>
              <w:autoSpaceDE w:val="0"/>
              <w:spacing w:line="240" w:lineRule="auto"/>
              <w:ind w:firstLine="0" w:firstLineChars="0"/>
              <w:jc w:val="center"/>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小</w:t>
            </w:r>
          </w:p>
        </w:tc>
        <w:tc>
          <w:tcPr>
            <w:tcW w:w="395" w:type="pct"/>
            <w:vAlign w:val="center"/>
          </w:tcPr>
          <w:p>
            <w:pPr>
              <w:autoSpaceDE w:val="0"/>
              <w:spacing w:line="240" w:lineRule="auto"/>
              <w:ind w:firstLine="0" w:firstLineChars="0"/>
              <w:jc w:val="center"/>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大</w:t>
            </w:r>
          </w:p>
        </w:tc>
        <w:tc>
          <w:tcPr>
            <w:tcW w:w="396" w:type="pct"/>
            <w:vAlign w:val="center"/>
          </w:tcPr>
          <w:p>
            <w:pPr>
              <w:autoSpaceDE w:val="0"/>
              <w:spacing w:line="240" w:lineRule="auto"/>
              <w:ind w:firstLine="0" w:firstLineChars="0"/>
              <w:jc w:val="center"/>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中</w:t>
            </w:r>
          </w:p>
        </w:tc>
        <w:tc>
          <w:tcPr>
            <w:tcW w:w="422" w:type="pct"/>
            <w:vAlign w:val="center"/>
          </w:tcPr>
          <w:p>
            <w:pPr>
              <w:autoSpaceDE w:val="0"/>
              <w:spacing w:line="240" w:lineRule="auto"/>
              <w:ind w:firstLine="0" w:firstLineChars="0"/>
              <w:jc w:val="center"/>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 w:type="pct"/>
            <w:vAlign w:val="center"/>
          </w:tcPr>
          <w:p>
            <w:pPr>
              <w:autoSpaceDE w:val="0"/>
              <w:spacing w:line="240" w:lineRule="auto"/>
              <w:ind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敏感</w:t>
            </w:r>
          </w:p>
        </w:tc>
        <w:tc>
          <w:tcPr>
            <w:tcW w:w="474" w:type="pct"/>
            <w:vAlign w:val="center"/>
          </w:tcPr>
          <w:p>
            <w:pPr>
              <w:autoSpaceDE w:val="0"/>
              <w:spacing w:line="240" w:lineRule="auto"/>
              <w:ind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一级</w:t>
            </w:r>
          </w:p>
        </w:tc>
        <w:tc>
          <w:tcPr>
            <w:tcW w:w="396" w:type="pct"/>
            <w:vAlign w:val="center"/>
          </w:tcPr>
          <w:p>
            <w:pPr>
              <w:autoSpaceDE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一级</w:t>
            </w:r>
          </w:p>
        </w:tc>
        <w:tc>
          <w:tcPr>
            <w:tcW w:w="397" w:type="pct"/>
            <w:vAlign w:val="center"/>
          </w:tcPr>
          <w:p>
            <w:pPr>
              <w:autoSpaceDE w:val="0"/>
              <w:spacing w:line="240" w:lineRule="auto"/>
              <w:ind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一级</w:t>
            </w:r>
          </w:p>
        </w:tc>
        <w:tc>
          <w:tcPr>
            <w:tcW w:w="474" w:type="pct"/>
            <w:vAlign w:val="center"/>
          </w:tcPr>
          <w:p>
            <w:pPr>
              <w:autoSpaceDE w:val="0"/>
              <w:spacing w:line="240" w:lineRule="auto"/>
              <w:ind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二级</w:t>
            </w:r>
          </w:p>
        </w:tc>
        <w:tc>
          <w:tcPr>
            <w:tcW w:w="474" w:type="pct"/>
            <w:vAlign w:val="center"/>
          </w:tcPr>
          <w:p>
            <w:pPr>
              <w:autoSpaceDE w:val="0"/>
              <w:spacing w:line="240" w:lineRule="auto"/>
              <w:ind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二级</w:t>
            </w:r>
          </w:p>
        </w:tc>
        <w:tc>
          <w:tcPr>
            <w:tcW w:w="397" w:type="pct"/>
            <w:vAlign w:val="center"/>
          </w:tcPr>
          <w:p>
            <w:pPr>
              <w:autoSpaceDE w:val="0"/>
              <w:spacing w:line="240" w:lineRule="auto"/>
              <w:ind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二级</w:t>
            </w:r>
          </w:p>
        </w:tc>
        <w:tc>
          <w:tcPr>
            <w:tcW w:w="395" w:type="pct"/>
            <w:vAlign w:val="center"/>
          </w:tcPr>
          <w:p>
            <w:pPr>
              <w:autoSpaceDE w:val="0"/>
              <w:spacing w:line="240" w:lineRule="auto"/>
              <w:ind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三级</w:t>
            </w:r>
          </w:p>
        </w:tc>
        <w:tc>
          <w:tcPr>
            <w:tcW w:w="396" w:type="pct"/>
            <w:vAlign w:val="center"/>
          </w:tcPr>
          <w:p>
            <w:pPr>
              <w:autoSpaceDE w:val="0"/>
              <w:spacing w:line="240" w:lineRule="auto"/>
              <w:ind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三级</w:t>
            </w:r>
          </w:p>
        </w:tc>
        <w:tc>
          <w:tcPr>
            <w:tcW w:w="422" w:type="pct"/>
            <w:vAlign w:val="center"/>
          </w:tcPr>
          <w:p>
            <w:pPr>
              <w:autoSpaceDE w:val="0"/>
              <w:spacing w:line="240" w:lineRule="auto"/>
              <w:ind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 w:type="pct"/>
            <w:vAlign w:val="center"/>
          </w:tcPr>
          <w:p>
            <w:pPr>
              <w:autoSpaceDE w:val="0"/>
              <w:spacing w:line="240" w:lineRule="auto"/>
              <w:ind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较敏感</w:t>
            </w:r>
          </w:p>
        </w:tc>
        <w:tc>
          <w:tcPr>
            <w:tcW w:w="474" w:type="pct"/>
            <w:vAlign w:val="center"/>
          </w:tcPr>
          <w:p>
            <w:pPr>
              <w:autoSpaceDE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一级</w:t>
            </w:r>
          </w:p>
        </w:tc>
        <w:tc>
          <w:tcPr>
            <w:tcW w:w="396" w:type="pct"/>
            <w:vAlign w:val="center"/>
          </w:tcPr>
          <w:p>
            <w:pPr>
              <w:autoSpaceDE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一级</w:t>
            </w:r>
          </w:p>
        </w:tc>
        <w:tc>
          <w:tcPr>
            <w:tcW w:w="397" w:type="pct"/>
            <w:vAlign w:val="center"/>
          </w:tcPr>
          <w:p>
            <w:pPr>
              <w:autoSpaceDE w:val="0"/>
              <w:spacing w:line="240" w:lineRule="auto"/>
              <w:ind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二级</w:t>
            </w:r>
          </w:p>
        </w:tc>
        <w:tc>
          <w:tcPr>
            <w:tcW w:w="474" w:type="pct"/>
            <w:vAlign w:val="center"/>
          </w:tcPr>
          <w:p>
            <w:pPr>
              <w:autoSpaceDE w:val="0"/>
              <w:spacing w:line="240" w:lineRule="auto"/>
              <w:ind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二级</w:t>
            </w:r>
          </w:p>
        </w:tc>
        <w:tc>
          <w:tcPr>
            <w:tcW w:w="474" w:type="pct"/>
            <w:vAlign w:val="center"/>
          </w:tcPr>
          <w:p>
            <w:pPr>
              <w:autoSpaceDE w:val="0"/>
              <w:spacing w:line="240" w:lineRule="auto"/>
              <w:ind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二级</w:t>
            </w:r>
          </w:p>
        </w:tc>
        <w:tc>
          <w:tcPr>
            <w:tcW w:w="397" w:type="pct"/>
            <w:vAlign w:val="center"/>
          </w:tcPr>
          <w:p>
            <w:pPr>
              <w:autoSpaceDE w:val="0"/>
              <w:spacing w:line="240" w:lineRule="auto"/>
              <w:ind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三级</w:t>
            </w:r>
          </w:p>
        </w:tc>
        <w:tc>
          <w:tcPr>
            <w:tcW w:w="395" w:type="pct"/>
            <w:vAlign w:val="center"/>
          </w:tcPr>
          <w:p>
            <w:pPr>
              <w:autoSpaceDE w:val="0"/>
              <w:spacing w:line="240" w:lineRule="auto"/>
              <w:ind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三级</w:t>
            </w:r>
          </w:p>
        </w:tc>
        <w:tc>
          <w:tcPr>
            <w:tcW w:w="396" w:type="pct"/>
            <w:vAlign w:val="center"/>
          </w:tcPr>
          <w:p>
            <w:pPr>
              <w:autoSpaceDE w:val="0"/>
              <w:spacing w:line="240" w:lineRule="auto"/>
              <w:ind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三级</w:t>
            </w:r>
          </w:p>
        </w:tc>
        <w:tc>
          <w:tcPr>
            <w:tcW w:w="422" w:type="pct"/>
            <w:vAlign w:val="center"/>
          </w:tcPr>
          <w:p>
            <w:pPr>
              <w:autoSpaceDE w:val="0"/>
              <w:spacing w:line="240" w:lineRule="auto"/>
              <w:ind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7" w:type="pct"/>
            <w:vAlign w:val="center"/>
          </w:tcPr>
          <w:p>
            <w:pPr>
              <w:autoSpaceDE w:val="0"/>
              <w:spacing w:line="240" w:lineRule="auto"/>
              <w:ind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不敏感</w:t>
            </w:r>
          </w:p>
        </w:tc>
        <w:tc>
          <w:tcPr>
            <w:tcW w:w="474" w:type="pct"/>
            <w:vAlign w:val="center"/>
          </w:tcPr>
          <w:p>
            <w:pPr>
              <w:autoSpaceDE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一级</w:t>
            </w:r>
          </w:p>
        </w:tc>
        <w:tc>
          <w:tcPr>
            <w:tcW w:w="396" w:type="pct"/>
            <w:vAlign w:val="center"/>
          </w:tcPr>
          <w:p>
            <w:pPr>
              <w:autoSpaceDE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bidi="ar"/>
              </w:rPr>
              <w:t>二级</w:t>
            </w:r>
          </w:p>
        </w:tc>
        <w:tc>
          <w:tcPr>
            <w:tcW w:w="397" w:type="pct"/>
            <w:vAlign w:val="center"/>
          </w:tcPr>
          <w:p>
            <w:pPr>
              <w:autoSpaceDE w:val="0"/>
              <w:spacing w:line="240" w:lineRule="auto"/>
              <w:ind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二级</w:t>
            </w:r>
          </w:p>
        </w:tc>
        <w:tc>
          <w:tcPr>
            <w:tcW w:w="474" w:type="pct"/>
            <w:vAlign w:val="center"/>
          </w:tcPr>
          <w:p>
            <w:pPr>
              <w:autoSpaceDE w:val="0"/>
              <w:spacing w:line="240" w:lineRule="auto"/>
              <w:ind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二级</w:t>
            </w:r>
          </w:p>
        </w:tc>
        <w:tc>
          <w:tcPr>
            <w:tcW w:w="474" w:type="pct"/>
            <w:vAlign w:val="center"/>
          </w:tcPr>
          <w:p>
            <w:pPr>
              <w:autoSpaceDE w:val="0"/>
              <w:spacing w:line="240" w:lineRule="auto"/>
              <w:ind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三级</w:t>
            </w:r>
          </w:p>
        </w:tc>
        <w:tc>
          <w:tcPr>
            <w:tcW w:w="397" w:type="pct"/>
            <w:vAlign w:val="center"/>
          </w:tcPr>
          <w:p>
            <w:pPr>
              <w:autoSpaceDE w:val="0"/>
              <w:spacing w:line="240" w:lineRule="auto"/>
              <w:ind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三级</w:t>
            </w:r>
          </w:p>
        </w:tc>
        <w:tc>
          <w:tcPr>
            <w:tcW w:w="395" w:type="pct"/>
            <w:vAlign w:val="center"/>
          </w:tcPr>
          <w:p>
            <w:pPr>
              <w:autoSpaceDE w:val="0"/>
              <w:spacing w:line="240" w:lineRule="auto"/>
              <w:ind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三级</w:t>
            </w:r>
          </w:p>
        </w:tc>
        <w:tc>
          <w:tcPr>
            <w:tcW w:w="396" w:type="pct"/>
            <w:vAlign w:val="center"/>
          </w:tcPr>
          <w:p>
            <w:pPr>
              <w:autoSpaceDE w:val="0"/>
              <w:spacing w:line="240" w:lineRule="auto"/>
              <w:ind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w:t>
            </w:r>
          </w:p>
        </w:tc>
        <w:tc>
          <w:tcPr>
            <w:tcW w:w="422" w:type="pct"/>
            <w:vAlign w:val="center"/>
          </w:tcPr>
          <w:p>
            <w:pPr>
              <w:autoSpaceDE w:val="0"/>
              <w:spacing w:line="240" w:lineRule="auto"/>
              <w:ind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0"/>
            <w:vAlign w:val="center"/>
          </w:tcPr>
          <w:p>
            <w:pPr>
              <w:autoSpaceDE w:val="0"/>
              <w:spacing w:line="240" w:lineRule="auto"/>
              <w:ind w:firstLine="0" w:firstLineChars="0"/>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注：“—”表示可不开展土壤环境影响评价工作</w:t>
            </w:r>
          </w:p>
        </w:tc>
      </w:tr>
    </w:tbl>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rPr>
        <w:t>表2.4-1</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污染影响型敏感程度分级表</w:t>
      </w:r>
    </w:p>
    <w:tbl>
      <w:tblPr>
        <w:tblStyle w:val="3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3"/>
        <w:gridCol w:w="7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5" w:type="pct"/>
            <w:vAlign w:val="center"/>
          </w:tcPr>
          <w:p>
            <w:pPr>
              <w:adjustRightInd w:val="0"/>
              <w:snapToGrid w:val="0"/>
              <w:spacing w:line="240" w:lineRule="auto"/>
              <w:ind w:firstLine="0" w:firstLineChars="0"/>
              <w:jc w:val="center"/>
              <w:rPr>
                <w:rFonts w:hint="default" w:ascii="Times New Roman" w:hAnsi="Times New Roman" w:cs="Times New Roman"/>
                <w:b/>
                <w:snapToGrid w:val="0"/>
                <w:color w:val="auto"/>
                <w:sz w:val="21"/>
                <w:szCs w:val="21"/>
                <w:highlight w:val="none"/>
              </w:rPr>
            </w:pPr>
            <w:r>
              <w:rPr>
                <w:rFonts w:hint="default" w:ascii="Times New Roman" w:hAnsi="Times New Roman" w:cs="Times New Roman"/>
                <w:b/>
                <w:snapToGrid w:val="0"/>
                <w:color w:val="auto"/>
                <w:sz w:val="21"/>
                <w:szCs w:val="21"/>
                <w:highlight w:val="none"/>
              </w:rPr>
              <w:t>敏感程度</w:t>
            </w:r>
          </w:p>
        </w:tc>
        <w:tc>
          <w:tcPr>
            <w:tcW w:w="3904" w:type="pct"/>
            <w:vAlign w:val="center"/>
          </w:tcPr>
          <w:p>
            <w:pPr>
              <w:adjustRightInd w:val="0"/>
              <w:snapToGrid w:val="0"/>
              <w:spacing w:line="240" w:lineRule="auto"/>
              <w:ind w:firstLine="0" w:firstLineChars="0"/>
              <w:jc w:val="center"/>
              <w:rPr>
                <w:rFonts w:hint="default" w:ascii="Times New Roman" w:hAnsi="Times New Roman" w:cs="Times New Roman"/>
                <w:b/>
                <w:snapToGrid w:val="0"/>
                <w:color w:val="auto"/>
                <w:sz w:val="21"/>
                <w:szCs w:val="21"/>
                <w:highlight w:val="none"/>
              </w:rPr>
            </w:pPr>
            <w:r>
              <w:rPr>
                <w:rFonts w:hint="default" w:ascii="Times New Roman" w:hAnsi="Times New Roman" w:cs="Times New Roman"/>
                <w:b/>
                <w:snapToGrid w:val="0"/>
                <w:color w:val="auto"/>
                <w:sz w:val="21"/>
                <w:szCs w:val="21"/>
                <w:highlight w:val="none"/>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5" w:type="pct"/>
            <w:vAlign w:val="center"/>
          </w:tcPr>
          <w:p>
            <w:pPr>
              <w:adjustRightInd w:val="0"/>
              <w:snapToGrid w:val="0"/>
              <w:spacing w:line="240" w:lineRule="auto"/>
              <w:ind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敏感</w:t>
            </w:r>
          </w:p>
        </w:tc>
        <w:tc>
          <w:tcPr>
            <w:tcW w:w="3904" w:type="pct"/>
            <w:vAlign w:val="center"/>
          </w:tcPr>
          <w:p>
            <w:pPr>
              <w:adjustRightInd w:val="0"/>
              <w:snapToGrid w:val="0"/>
              <w:spacing w:line="240" w:lineRule="auto"/>
              <w:ind w:firstLine="0" w:firstLineChars="0"/>
              <w:jc w:val="left"/>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建设项目周边存在耕地、园地、牧草地、饮用水水源地或居民区、学校、医院、疗养院、养老院等土壤环境敏感目标的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5" w:type="pct"/>
            <w:vAlign w:val="center"/>
          </w:tcPr>
          <w:p>
            <w:pPr>
              <w:adjustRightInd w:val="0"/>
              <w:snapToGrid w:val="0"/>
              <w:spacing w:line="240" w:lineRule="auto"/>
              <w:ind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较敏感</w:t>
            </w:r>
          </w:p>
        </w:tc>
        <w:tc>
          <w:tcPr>
            <w:tcW w:w="3904" w:type="pct"/>
            <w:vAlign w:val="center"/>
          </w:tcPr>
          <w:p>
            <w:pPr>
              <w:adjustRightInd w:val="0"/>
              <w:snapToGrid w:val="0"/>
              <w:spacing w:line="240" w:lineRule="auto"/>
              <w:ind w:firstLine="0" w:firstLineChars="0"/>
              <w:jc w:val="left"/>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5" w:type="pct"/>
            <w:vAlign w:val="center"/>
          </w:tcPr>
          <w:p>
            <w:pPr>
              <w:adjustRightInd w:val="0"/>
              <w:snapToGrid w:val="0"/>
              <w:spacing w:line="240" w:lineRule="auto"/>
              <w:ind w:firstLine="0" w:firstLineChars="0"/>
              <w:jc w:val="center"/>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不敏感</w:t>
            </w:r>
          </w:p>
        </w:tc>
        <w:tc>
          <w:tcPr>
            <w:tcW w:w="3904" w:type="pct"/>
            <w:vAlign w:val="center"/>
          </w:tcPr>
          <w:p>
            <w:pPr>
              <w:adjustRightInd w:val="0"/>
              <w:snapToGrid w:val="0"/>
              <w:spacing w:line="240" w:lineRule="auto"/>
              <w:ind w:firstLine="0" w:firstLineChars="0"/>
              <w:jc w:val="left"/>
              <w:rPr>
                <w:rFonts w:hint="default" w:ascii="Times New Roman" w:hAnsi="Times New Roman" w:cs="Times New Roman"/>
                <w:bCs/>
                <w:snapToGrid w:val="0"/>
                <w:color w:val="auto"/>
                <w:sz w:val="21"/>
                <w:szCs w:val="21"/>
                <w:highlight w:val="none"/>
              </w:rPr>
            </w:pPr>
            <w:r>
              <w:rPr>
                <w:rFonts w:hint="default" w:ascii="Times New Roman" w:hAnsi="Times New Roman" w:cs="Times New Roman"/>
                <w:bCs/>
                <w:snapToGrid w:val="0"/>
                <w:color w:val="auto"/>
                <w:sz w:val="21"/>
                <w:szCs w:val="21"/>
                <w:highlight w:val="none"/>
              </w:rPr>
              <w:t>其他情况</w:t>
            </w:r>
          </w:p>
        </w:tc>
      </w:tr>
    </w:tbl>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eastAsia="zh-CN"/>
        </w:rPr>
        <w:t>环境影响评价技术导则土壤环境（试行）</w:t>
      </w:r>
      <w:r>
        <w:rPr>
          <w:rFonts w:hint="default" w:ascii="Times New Roman" w:hAnsi="Times New Roman" w:cs="Times New Roman"/>
          <w:color w:val="auto"/>
          <w:highlight w:val="none"/>
        </w:rPr>
        <w:t>》（HJ964-2018）中的评价等级分级判据以及项目特点，本项目属于附录A表A.1中“电力热力燃气及水生产和供应业行业类别-工业废水处理”，项目类别为Ⅱ类。项目占地面积约49044.78m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＜5hm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，属于小型。经现场调查，项目周边100米范围内有耕地敏感区，土壤环境敏感程度为“敏感”。</w:t>
      </w:r>
    </w:p>
    <w:p>
      <w:pPr>
        <w:ind w:firstLine="720" w:firstLineChars="300"/>
        <w:rPr>
          <w:rFonts w:hint="default" w:ascii="Times New Roman" w:hAnsi="Times New Roman" w:cs="Times New Roman"/>
          <w:color w:val="auto"/>
          <w:highlight w:val="none"/>
        </w:rPr>
      </w:pPr>
      <w:r>
        <w:rPr>
          <w:rFonts w:hint="default" w:ascii="Times New Roman" w:hAnsi="Times New Roman" w:cs="Times New Roman"/>
          <w:color w:val="auto"/>
          <w:highlight w:val="none"/>
        </w:rPr>
        <w:t>综上，本项目土壤环境影响评价等级为二级，根据《</w:t>
      </w:r>
      <w:r>
        <w:rPr>
          <w:rFonts w:hint="default" w:ascii="Times New Roman" w:hAnsi="Times New Roman" w:cs="Times New Roman"/>
          <w:color w:val="auto"/>
          <w:highlight w:val="none"/>
          <w:lang w:eastAsia="zh-CN"/>
        </w:rPr>
        <w:t>环境影响评价技术导则土壤环境（试行）</w:t>
      </w:r>
      <w:r>
        <w:rPr>
          <w:rFonts w:hint="default" w:ascii="Times New Roman" w:hAnsi="Times New Roman" w:cs="Times New Roman"/>
          <w:color w:val="auto"/>
          <w:highlight w:val="none"/>
        </w:rPr>
        <w:t>》（HJ964-2018）表5，评价范围为项目占地范围外200m。</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环境风险评价等级及评价范围</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根据《建设项目环境风险评价技术导则》（HJ169-2018）附录C，本项目Q值为</w:t>
      </w:r>
      <w:r>
        <w:rPr>
          <w:rFonts w:hint="eastAsia" w:cs="Times New Roman"/>
          <w:color w:val="auto"/>
          <w:highlight w:val="none"/>
          <w:lang w:eastAsia="zh-CN"/>
        </w:rPr>
        <w:t>0.600044</w:t>
      </w:r>
      <w:r>
        <w:rPr>
          <w:rFonts w:hint="default" w:ascii="Times New Roman" w:hAnsi="Times New Roman" w:cs="Times New Roman"/>
          <w:color w:val="auto"/>
          <w:highlight w:val="none"/>
        </w:rPr>
        <w:t>＜1，项目环境风险潜质为Ⅰ。</w:t>
      </w:r>
      <w:r>
        <w:rPr>
          <w:rFonts w:hint="eastAsia" w:cs="Times New Roman"/>
          <w:color w:val="auto"/>
          <w:highlight w:val="none"/>
          <w:lang w:val="en-US" w:eastAsia="zh-CN"/>
        </w:rPr>
        <w:t>为</w:t>
      </w:r>
      <w:r>
        <w:rPr>
          <w:rFonts w:hint="default" w:ascii="Times New Roman" w:hAnsi="Times New Roman" w:cs="Times New Roman"/>
          <w:color w:val="auto"/>
          <w:highlight w:val="none"/>
        </w:rPr>
        <w:t>简单分析</w:t>
      </w:r>
      <w:r>
        <w:rPr>
          <w:rFonts w:hint="eastAsia" w:cs="Times New Roman"/>
          <w:color w:val="auto"/>
          <w:highlight w:val="none"/>
          <w:lang w:eastAsia="zh-CN"/>
        </w:rPr>
        <w:t>，</w:t>
      </w:r>
      <w:r>
        <w:rPr>
          <w:rFonts w:hint="eastAsia"/>
          <w:color w:val="auto"/>
          <w:highlight w:val="none"/>
          <w:lang w:val="en-US" w:eastAsia="zh-CN"/>
        </w:rPr>
        <w:t>不设置评价范围</w:t>
      </w:r>
      <w:r>
        <w:rPr>
          <w:rFonts w:hint="default" w:ascii="Times New Roman" w:hAnsi="Times New Roman" w:cs="Times New Roman"/>
          <w:color w:val="auto"/>
          <w:highlight w:val="none"/>
        </w:rPr>
        <w:t>。</w:t>
      </w:r>
    </w:p>
    <w:p>
      <w:pPr>
        <w:pStyle w:val="4"/>
        <w:bidi w:val="0"/>
        <w:rPr>
          <w:rFonts w:hint="default"/>
          <w:color w:val="auto"/>
          <w:highlight w:val="none"/>
        </w:rPr>
      </w:pPr>
      <w:bookmarkStart w:id="60" w:name="_Toc490"/>
      <w:bookmarkStart w:id="61" w:name="_Toc2151"/>
      <w:r>
        <w:rPr>
          <w:rFonts w:hint="default"/>
          <w:color w:val="auto"/>
          <w:highlight w:val="none"/>
        </w:rPr>
        <w:t>环境保护目标</w:t>
      </w:r>
      <w:bookmarkEnd w:id="60"/>
      <w:bookmarkEnd w:id="61"/>
    </w:p>
    <w:p>
      <w:pPr>
        <w:widowControl/>
        <w:ind w:firstLine="480"/>
        <w:rPr>
          <w:rFonts w:hint="default" w:ascii="Times New Roman" w:hAnsi="Times New Roman" w:cs="Times New Roman"/>
          <w:b/>
          <w:bCs/>
          <w:snapToGrid w:val="0"/>
          <w:color w:val="auto"/>
          <w:sz w:val="21"/>
          <w:szCs w:val="21"/>
          <w:highlight w:val="none"/>
        </w:rPr>
      </w:pPr>
      <w:r>
        <w:rPr>
          <w:rFonts w:hint="default" w:ascii="Times New Roman" w:hAnsi="Times New Roman" w:eastAsia="宋体" w:cs="Times New Roman"/>
          <w:color w:val="auto"/>
          <w:spacing w:val="-3"/>
          <w:sz w:val="24"/>
          <w:szCs w:val="24"/>
          <w:highlight w:val="none"/>
        </w:rPr>
        <w:t>项目区域不属于自然保护区和风景名胜区；</w:t>
      </w:r>
      <w:r>
        <w:rPr>
          <w:rFonts w:hint="default" w:ascii="Times New Roman" w:hAnsi="Times New Roman" w:eastAsia="宋体" w:cs="Times New Roman"/>
          <w:color w:val="auto"/>
          <w:spacing w:val="-4"/>
          <w:sz w:val="24"/>
          <w:szCs w:val="24"/>
          <w:highlight w:val="none"/>
        </w:rPr>
        <w:t>不占用基本农田</w:t>
      </w:r>
      <w:r>
        <w:rPr>
          <w:rFonts w:hint="eastAsia" w:cs="Times New Roman"/>
          <w:color w:val="auto"/>
          <w:spacing w:val="-4"/>
          <w:sz w:val="24"/>
          <w:szCs w:val="24"/>
          <w:highlight w:val="none"/>
          <w:lang w:eastAsia="zh-CN"/>
        </w:rPr>
        <w:t>，</w:t>
      </w:r>
      <w:r>
        <w:rPr>
          <w:rFonts w:hint="default" w:ascii="Times New Roman" w:hAnsi="Times New Roman" w:cs="Times New Roman"/>
          <w:bCs/>
          <w:snapToGrid w:val="0"/>
          <w:color w:val="auto"/>
          <w:highlight w:val="none"/>
        </w:rPr>
        <w:t>根据工程性质和周围环境特征，本环评确定的环境保护目标见</w:t>
      </w:r>
      <w:r>
        <w:rPr>
          <w:rFonts w:hint="eastAsia" w:cs="Times New Roman"/>
          <w:bCs/>
          <w:snapToGrid w:val="0"/>
          <w:color w:val="auto"/>
          <w:highlight w:val="none"/>
          <w:lang w:val="en-US" w:eastAsia="zh-CN"/>
        </w:rPr>
        <w:t>下</w:t>
      </w:r>
      <w:r>
        <w:rPr>
          <w:rFonts w:hint="default" w:ascii="Times New Roman" w:hAnsi="Times New Roman" w:cs="Times New Roman"/>
          <w:bCs/>
          <w:snapToGrid w:val="0"/>
          <w:color w:val="auto"/>
          <w:highlight w:val="none"/>
        </w:rPr>
        <w:t>表。</w:t>
      </w:r>
    </w:p>
    <w:p>
      <w:pPr>
        <w:pStyle w:val="70"/>
        <w:rPr>
          <w:rFonts w:hint="default" w:ascii="Times New Roman" w:hAnsi="Times New Roman" w:cs="Times New Roman"/>
          <w:color w:val="FF0000"/>
          <w:highlight w:val="none"/>
        </w:rPr>
      </w:pPr>
      <w:r>
        <w:rPr>
          <w:rFonts w:hint="default" w:ascii="Times New Roman" w:hAnsi="Times New Roman" w:cs="Times New Roman"/>
          <w:color w:val="FF0000"/>
          <w:highlight w:val="none"/>
        </w:rPr>
        <w:t>表2.</w:t>
      </w:r>
      <w:r>
        <w:rPr>
          <w:rFonts w:hint="eastAsia" w:cs="Times New Roman"/>
          <w:color w:val="FF0000"/>
          <w:highlight w:val="none"/>
          <w:lang w:val="en-US" w:eastAsia="zh-CN"/>
        </w:rPr>
        <w:t>5</w:t>
      </w:r>
      <w:r>
        <w:rPr>
          <w:rFonts w:hint="default" w:ascii="Times New Roman" w:hAnsi="Times New Roman" w:cs="Times New Roman"/>
          <w:color w:val="FF0000"/>
          <w:highlight w:val="none"/>
        </w:rPr>
        <w:t>-1主要环境保护目标</w:t>
      </w:r>
    </w:p>
    <w:tbl>
      <w:tblPr>
        <w:tblStyle w:val="33"/>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1177"/>
        <w:gridCol w:w="1821"/>
        <w:gridCol w:w="1431"/>
        <w:gridCol w:w="1230"/>
        <w:gridCol w:w="815"/>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8" w:type="pct"/>
            <w:tcBorders>
              <w:top w:val="single" w:color="auto" w:sz="4" w:space="0"/>
              <w:left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color w:val="FF0000"/>
                <w:sz w:val="21"/>
                <w:szCs w:val="21"/>
                <w:highlight w:val="none"/>
              </w:rPr>
            </w:pPr>
            <w:bookmarkStart w:id="62" w:name="_Toc24544"/>
            <w:bookmarkStart w:id="63" w:name="_Toc20192"/>
            <w:bookmarkStart w:id="64" w:name="_Toc447541159"/>
            <w:bookmarkStart w:id="65" w:name="_Toc446160671"/>
            <w:r>
              <w:rPr>
                <w:rFonts w:hint="default" w:ascii="Times New Roman" w:hAnsi="Times New Roman" w:cs="Times New Roman"/>
                <w:color w:val="FF0000"/>
                <w:sz w:val="21"/>
                <w:szCs w:val="21"/>
                <w:highlight w:val="none"/>
              </w:rPr>
              <w:t>环境</w:t>
            </w:r>
          </w:p>
          <w:p>
            <w:pPr>
              <w:autoSpaceDE w:val="0"/>
              <w:autoSpaceDN w:val="0"/>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类别</w:t>
            </w:r>
          </w:p>
        </w:tc>
        <w:tc>
          <w:tcPr>
            <w:tcW w:w="644" w:type="pct"/>
            <w:tcBorders>
              <w:top w:val="single" w:color="auto" w:sz="4" w:space="0"/>
              <w:left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保护对象</w:t>
            </w:r>
          </w:p>
        </w:tc>
        <w:tc>
          <w:tcPr>
            <w:tcW w:w="983"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经度（°）</w:t>
            </w:r>
          </w:p>
        </w:tc>
        <w:tc>
          <w:tcPr>
            <w:tcW w:w="625" w:type="pct"/>
            <w:tcBorders>
              <w:top w:val="single" w:color="auto" w:sz="4" w:space="0"/>
              <w:left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纬度（°）</w:t>
            </w:r>
          </w:p>
        </w:tc>
        <w:tc>
          <w:tcPr>
            <w:tcW w:w="672" w:type="pct"/>
            <w:tcBorders>
              <w:top w:val="single" w:color="auto" w:sz="4" w:space="0"/>
              <w:left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距离（km）</w:t>
            </w:r>
          </w:p>
        </w:tc>
        <w:tc>
          <w:tcPr>
            <w:tcW w:w="454" w:type="pct"/>
            <w:tcBorders>
              <w:top w:val="single" w:color="auto" w:sz="4" w:space="0"/>
              <w:left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方位</w:t>
            </w:r>
          </w:p>
        </w:tc>
        <w:tc>
          <w:tcPr>
            <w:tcW w:w="1121" w:type="pct"/>
            <w:tcBorders>
              <w:top w:val="single" w:color="auto" w:sz="4" w:space="0"/>
              <w:left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环境功能区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98" w:type="pct"/>
            <w:tcBorders>
              <w:top w:val="single" w:color="auto" w:sz="4" w:space="0"/>
              <w:left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大气</w:t>
            </w:r>
          </w:p>
          <w:p>
            <w:pPr>
              <w:autoSpaceDE w:val="0"/>
              <w:autoSpaceDN w:val="0"/>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环境</w:t>
            </w:r>
          </w:p>
        </w:tc>
        <w:tc>
          <w:tcPr>
            <w:tcW w:w="644" w:type="pct"/>
            <w:tcBorders>
              <w:top w:val="single" w:color="auto" w:sz="4" w:space="0"/>
              <w:left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eastAsia="宋体" w:cs="Times New Roman"/>
                <w:color w:val="FF0000"/>
                <w:sz w:val="21"/>
                <w:szCs w:val="21"/>
                <w:highlight w:val="none"/>
                <w:lang w:val="en-US" w:eastAsia="zh-CN"/>
              </w:rPr>
            </w:pPr>
            <w:r>
              <w:rPr>
                <w:rFonts w:hint="eastAsia"/>
                <w:color w:val="FF0000"/>
                <w:highlight w:val="none"/>
              </w:rPr>
              <w:t>榆树沟镇牧民二队</w:t>
            </w:r>
          </w:p>
        </w:tc>
        <w:tc>
          <w:tcPr>
            <w:tcW w:w="983" w:type="pct"/>
            <w:tcBorders>
              <w:top w:val="single" w:color="auto" w:sz="4" w:space="0"/>
              <w:left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87°6′0.09</w:t>
            </w:r>
            <w:r>
              <w:rPr>
                <w:rFonts w:hint="eastAsia" w:cs="Times New Roman"/>
                <w:color w:val="FF0000"/>
                <w:sz w:val="21"/>
                <w:szCs w:val="21"/>
                <w:highlight w:val="none"/>
                <w:lang w:val="en-US" w:eastAsia="zh-CN"/>
              </w:rPr>
              <w:t>1</w:t>
            </w:r>
            <w:r>
              <w:rPr>
                <w:rFonts w:hint="default" w:ascii="Times New Roman" w:hAnsi="Times New Roman" w:cs="Times New Roman"/>
                <w:color w:val="FF0000"/>
                <w:sz w:val="21"/>
                <w:szCs w:val="21"/>
                <w:highlight w:val="none"/>
              </w:rPr>
              <w:t>″,</w:t>
            </w:r>
          </w:p>
        </w:tc>
        <w:tc>
          <w:tcPr>
            <w:tcW w:w="625" w:type="pct"/>
            <w:tcBorders>
              <w:top w:val="single" w:color="auto" w:sz="4" w:space="0"/>
              <w:left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44°13′36.167″</w:t>
            </w:r>
          </w:p>
        </w:tc>
        <w:tc>
          <w:tcPr>
            <w:tcW w:w="672" w:type="pct"/>
            <w:tcBorders>
              <w:top w:val="single" w:color="auto" w:sz="4" w:space="0"/>
              <w:left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eastAsia="宋体" w:cs="Times New Roman"/>
                <w:color w:val="FF0000"/>
                <w:sz w:val="21"/>
                <w:szCs w:val="21"/>
                <w:highlight w:val="none"/>
                <w:lang w:val="en-US" w:eastAsia="zh-CN"/>
              </w:rPr>
            </w:pPr>
            <w:r>
              <w:rPr>
                <w:rFonts w:hint="eastAsia" w:cs="Times New Roman"/>
                <w:color w:val="FF0000"/>
                <w:sz w:val="21"/>
                <w:szCs w:val="21"/>
                <w:highlight w:val="none"/>
                <w:lang w:val="en-US" w:eastAsia="zh-CN"/>
              </w:rPr>
              <w:t>1.8</w:t>
            </w:r>
          </w:p>
        </w:tc>
        <w:tc>
          <w:tcPr>
            <w:tcW w:w="454" w:type="pct"/>
            <w:tcBorders>
              <w:top w:val="single" w:color="auto" w:sz="4" w:space="0"/>
              <w:left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eastAsia="宋体" w:cs="Times New Roman"/>
                <w:color w:val="FF0000"/>
                <w:sz w:val="21"/>
                <w:szCs w:val="21"/>
                <w:highlight w:val="none"/>
                <w:lang w:val="en-US" w:eastAsia="zh-CN"/>
              </w:rPr>
            </w:pPr>
            <w:r>
              <w:rPr>
                <w:rFonts w:hint="eastAsia" w:cs="Times New Roman"/>
                <w:color w:val="FF0000"/>
                <w:sz w:val="21"/>
                <w:szCs w:val="21"/>
                <w:highlight w:val="none"/>
                <w:lang w:val="en-US" w:eastAsia="zh-CN"/>
              </w:rPr>
              <w:t>西北侧</w:t>
            </w:r>
          </w:p>
        </w:tc>
        <w:tc>
          <w:tcPr>
            <w:tcW w:w="1121" w:type="pct"/>
            <w:tcBorders>
              <w:top w:val="single" w:color="auto" w:sz="4" w:space="0"/>
              <w:left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tcBorders>
              <w:top w:val="single" w:color="auto" w:sz="4" w:space="0"/>
              <w:left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地下水</w:t>
            </w:r>
          </w:p>
        </w:tc>
        <w:tc>
          <w:tcPr>
            <w:tcW w:w="644"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地下水评价范围区域</w:t>
            </w:r>
          </w:p>
        </w:tc>
        <w:tc>
          <w:tcPr>
            <w:tcW w:w="983"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w:t>
            </w:r>
          </w:p>
        </w:tc>
        <w:tc>
          <w:tcPr>
            <w:tcW w:w="625"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w:t>
            </w:r>
          </w:p>
        </w:tc>
        <w:tc>
          <w:tcPr>
            <w:tcW w:w="672"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color w:val="FF0000"/>
                <w:sz w:val="21"/>
                <w:szCs w:val="21"/>
                <w:highlight w:val="none"/>
              </w:rPr>
            </w:pPr>
          </w:p>
        </w:tc>
        <w:tc>
          <w:tcPr>
            <w:tcW w:w="454"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w:t>
            </w:r>
          </w:p>
        </w:tc>
        <w:tc>
          <w:tcPr>
            <w:tcW w:w="1121" w:type="pct"/>
            <w:tcBorders>
              <w:top w:val="single" w:color="auto" w:sz="4" w:space="0"/>
              <w:left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《地下水质量标准》（GB/T14848-2017）Ⅲ类标准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生态</w:t>
            </w:r>
          </w:p>
        </w:tc>
        <w:tc>
          <w:tcPr>
            <w:tcW w:w="644"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项目区植被、野生动物</w:t>
            </w:r>
          </w:p>
        </w:tc>
        <w:tc>
          <w:tcPr>
            <w:tcW w:w="983"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w:t>
            </w:r>
          </w:p>
        </w:tc>
        <w:tc>
          <w:tcPr>
            <w:tcW w:w="625"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w:t>
            </w:r>
          </w:p>
        </w:tc>
        <w:tc>
          <w:tcPr>
            <w:tcW w:w="672"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w:t>
            </w:r>
          </w:p>
        </w:tc>
        <w:tc>
          <w:tcPr>
            <w:tcW w:w="454"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w:t>
            </w:r>
          </w:p>
        </w:tc>
        <w:tc>
          <w:tcPr>
            <w:tcW w:w="1121"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生态环境不恶化，不使水土流失加重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土壤</w:t>
            </w:r>
          </w:p>
        </w:tc>
        <w:tc>
          <w:tcPr>
            <w:tcW w:w="644"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cs="Times New Roman"/>
                <w:color w:val="FF0000"/>
                <w:sz w:val="21"/>
                <w:szCs w:val="21"/>
                <w:highlight w:val="none"/>
              </w:rPr>
              <w:t>项目评价范围内的土壤</w:t>
            </w:r>
            <w:r>
              <w:rPr>
                <w:rFonts w:hint="eastAsia" w:cs="Times New Roman"/>
                <w:color w:val="FF0000"/>
                <w:sz w:val="21"/>
                <w:szCs w:val="21"/>
                <w:highlight w:val="none"/>
                <w:lang w:eastAsia="zh-CN"/>
              </w:rPr>
              <w:t>、</w:t>
            </w:r>
            <w:r>
              <w:rPr>
                <w:rFonts w:hint="eastAsia" w:cs="Times New Roman"/>
                <w:color w:val="FF0000"/>
                <w:sz w:val="21"/>
                <w:szCs w:val="21"/>
                <w:highlight w:val="none"/>
                <w:lang w:val="en-US" w:eastAsia="zh-CN"/>
              </w:rPr>
              <w:t>耕地</w:t>
            </w:r>
          </w:p>
        </w:tc>
        <w:tc>
          <w:tcPr>
            <w:tcW w:w="983"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w:t>
            </w:r>
          </w:p>
        </w:tc>
        <w:tc>
          <w:tcPr>
            <w:tcW w:w="625"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w:t>
            </w:r>
          </w:p>
        </w:tc>
        <w:tc>
          <w:tcPr>
            <w:tcW w:w="672"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eastAsia="宋体" w:cs="Times New Roman"/>
                <w:color w:val="FF0000"/>
                <w:sz w:val="21"/>
                <w:szCs w:val="21"/>
                <w:highlight w:val="none"/>
                <w:lang w:val="en-US" w:eastAsia="zh-CN"/>
              </w:rPr>
            </w:pPr>
            <w:r>
              <w:rPr>
                <w:rFonts w:hint="eastAsia" w:cs="Times New Roman"/>
                <w:color w:val="FF0000"/>
                <w:sz w:val="21"/>
                <w:szCs w:val="21"/>
                <w:highlight w:val="none"/>
                <w:lang w:val="en-US" w:eastAsia="zh-CN"/>
              </w:rPr>
              <w:t>最近为200m</w:t>
            </w:r>
          </w:p>
        </w:tc>
        <w:tc>
          <w:tcPr>
            <w:tcW w:w="454"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ind w:firstLine="0" w:firstLineChars="0"/>
              <w:jc w:val="center"/>
              <w:rPr>
                <w:rFonts w:hint="eastAsia" w:ascii="Times New Roman" w:hAnsi="Times New Roman" w:eastAsia="宋体" w:cs="Times New Roman"/>
                <w:color w:val="FF0000"/>
                <w:sz w:val="21"/>
                <w:szCs w:val="21"/>
                <w:highlight w:val="none"/>
                <w:lang w:eastAsia="zh-CN"/>
              </w:rPr>
            </w:pPr>
            <w:r>
              <w:rPr>
                <w:rFonts w:hint="eastAsia" w:cs="Times New Roman"/>
                <w:color w:val="FF0000"/>
                <w:sz w:val="21"/>
                <w:szCs w:val="21"/>
                <w:highlight w:val="none"/>
                <w:lang w:val="en-US" w:eastAsia="zh-CN"/>
              </w:rPr>
              <w:t>四周</w:t>
            </w:r>
          </w:p>
        </w:tc>
        <w:tc>
          <w:tcPr>
            <w:tcW w:w="1121" w:type="pc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FF0000"/>
                <w:sz w:val="21"/>
                <w:szCs w:val="21"/>
                <w:highlight w:val="none"/>
              </w:rPr>
              <w:t>《土壤环境质量农用地土壤污染风险管控标准（试行）》(GB15618-2018)</w:t>
            </w:r>
          </w:p>
        </w:tc>
      </w:tr>
      <w:bookmarkEnd w:id="62"/>
      <w:bookmarkEnd w:id="63"/>
      <w:bookmarkEnd w:id="64"/>
      <w:bookmarkEnd w:id="65"/>
    </w:tbl>
    <w:p>
      <w:pPr>
        <w:widowControl/>
        <w:spacing w:line="240" w:lineRule="auto"/>
        <w:ind w:firstLine="480"/>
        <w:jc w:val="left"/>
        <w:rPr>
          <w:rFonts w:hint="default" w:ascii="Times New Roman" w:hAnsi="Times New Roman" w:cs="Times New Roman"/>
          <w:color w:val="auto"/>
          <w:highlight w:val="none"/>
        </w:rPr>
        <w:sectPr>
          <w:footerReference r:id="rId15" w:type="default"/>
          <w:pgSz w:w="11906" w:h="16838"/>
          <w:pgMar w:top="1440" w:right="1304" w:bottom="1440" w:left="1304" w:header="851" w:footer="992" w:gutter="0"/>
          <w:pgBorders>
            <w:top w:val="none" w:sz="0" w:space="0"/>
            <w:left w:val="none" w:sz="0" w:space="0"/>
            <w:bottom w:val="none" w:sz="0" w:space="0"/>
            <w:right w:val="none" w:sz="0" w:space="0"/>
          </w:pgBorders>
          <w:pgNumType w:fmt="numberInDash"/>
          <w:cols w:space="0" w:num="1"/>
          <w:docGrid w:type="lines" w:linePitch="312" w:charSpace="0"/>
        </w:sectPr>
      </w:pPr>
    </w:p>
    <w:p>
      <w:pPr>
        <w:pStyle w:val="3"/>
        <w:rPr>
          <w:rFonts w:hint="default" w:ascii="Times New Roman" w:hAnsi="Times New Roman" w:cs="Times New Roman"/>
          <w:color w:val="auto"/>
          <w:highlight w:val="none"/>
        </w:rPr>
      </w:pPr>
      <w:bookmarkStart w:id="66" w:name="_Toc29484"/>
      <w:bookmarkStart w:id="67" w:name="_Toc15102"/>
      <w:bookmarkStart w:id="68" w:name="_Toc11408"/>
      <w:r>
        <w:rPr>
          <w:rFonts w:hint="default" w:ascii="Times New Roman" w:hAnsi="Times New Roman" w:cs="Times New Roman"/>
          <w:color w:val="auto"/>
          <w:highlight w:val="none"/>
        </w:rPr>
        <w:t>建设项目工程分析</w:t>
      </w:r>
      <w:bookmarkEnd w:id="66"/>
      <w:bookmarkEnd w:id="67"/>
    </w:p>
    <w:p>
      <w:pPr>
        <w:pStyle w:val="4"/>
        <w:bidi w:val="0"/>
        <w:rPr>
          <w:rFonts w:hint="default"/>
          <w:color w:val="auto"/>
          <w:highlight w:val="none"/>
        </w:rPr>
      </w:pPr>
      <w:bookmarkStart w:id="69" w:name="_Toc13298"/>
      <w:r>
        <w:rPr>
          <w:rFonts w:hint="default"/>
          <w:color w:val="auto"/>
          <w:highlight w:val="none"/>
        </w:rPr>
        <w:t>现有项目概况</w:t>
      </w:r>
      <w:bookmarkEnd w:id="69"/>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现有项目的环保手续</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2018年7月，新疆昌吉农业科技园区城建管理投资有限责任公司委托河北师大环境科技有限公司编制《现代农业精深加工示范区污水处理厂建设项目环境影响报告书》，2018年7月12日，原新疆维吾尔自治区环境保护厅以新环函〔2018〕945号对该环境影响报告书予以批复，</w:t>
      </w:r>
      <w:r>
        <w:rPr>
          <w:rFonts w:hint="eastAsia" w:cs="Times New Roman"/>
          <w:color w:val="auto"/>
          <w:highlight w:val="none"/>
          <w:lang w:val="en-US" w:eastAsia="zh-CN"/>
        </w:rPr>
        <w:t>并</w:t>
      </w:r>
      <w:r>
        <w:rPr>
          <w:rFonts w:hint="default" w:ascii="Times New Roman" w:hAnsi="Times New Roman" w:cs="Times New Roman"/>
          <w:color w:val="auto"/>
          <w:highlight w:val="none"/>
        </w:rPr>
        <w:t>于2018年11月企业进行自主验收</w:t>
      </w:r>
      <w:r>
        <w:rPr>
          <w:rFonts w:hint="eastAsia" w:cs="Times New Roman"/>
          <w:color w:val="auto"/>
          <w:highlight w:val="none"/>
          <w:lang w:eastAsia="zh-CN"/>
        </w:rPr>
        <w:t>。</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2018年7月，新疆昌吉农业科技园区城建管理投资有限责任公司委托乌鲁木齐中科帝俊环境技术有限责任公司编制《新疆昌吉国家农业科技园区现代农业精深加工示范区</w:t>
      </w:r>
      <w:r>
        <w:rPr>
          <w:rFonts w:hint="eastAsia" w:cs="Times New Roman"/>
          <w:color w:val="auto"/>
          <w:highlight w:val="none"/>
          <w:lang w:eastAsia="zh-CN"/>
        </w:rPr>
        <w:t>中水池</w:t>
      </w:r>
      <w:r>
        <w:rPr>
          <w:rFonts w:hint="default" w:ascii="Times New Roman" w:hAnsi="Times New Roman" w:cs="Times New Roman"/>
          <w:color w:val="auto"/>
          <w:highlight w:val="none"/>
        </w:rPr>
        <w:t>建设项目环境影响报告表》，2018年10月1日，原昌吉回族自治州环境保护局以昌州环评〔2018〕58号对该环境影响报告表予以批复，</w:t>
      </w:r>
      <w:r>
        <w:rPr>
          <w:rFonts w:hint="eastAsia" w:cs="Times New Roman"/>
          <w:color w:val="auto"/>
          <w:highlight w:val="none"/>
          <w:lang w:val="en-US" w:eastAsia="zh-CN"/>
        </w:rPr>
        <w:t>并</w:t>
      </w:r>
      <w:r>
        <w:rPr>
          <w:rFonts w:hint="default" w:ascii="Times New Roman" w:hAnsi="Times New Roman" w:cs="Times New Roman"/>
          <w:color w:val="auto"/>
          <w:highlight w:val="none"/>
        </w:rPr>
        <w:t>于2018年11月8日进行自主验收。</w:t>
      </w:r>
    </w:p>
    <w:p>
      <w:pPr>
        <w:ind w:firstLine="480"/>
        <w:rPr>
          <w:rFonts w:hint="default" w:ascii="Times New Roman" w:hAnsi="Times New Roman" w:cs="Times New Roman"/>
          <w:color w:val="auto"/>
          <w:highlight w:val="none"/>
          <w:lang w:val="en-US"/>
        </w:rPr>
      </w:pPr>
      <w:r>
        <w:rPr>
          <w:rFonts w:hint="eastAsia" w:ascii="Times New Roman" w:hAnsi="Times New Roman" w:eastAsia="宋体" w:cs="Times New Roman"/>
          <w:b w:val="0"/>
          <w:bCs/>
          <w:color w:val="auto"/>
          <w:kern w:val="2"/>
          <w:sz w:val="24"/>
          <w:szCs w:val="24"/>
          <w:highlight w:val="none"/>
          <w:lang w:val="en-US" w:eastAsia="zh-CN" w:bidi="ar-SA"/>
        </w:rPr>
        <w:t>2024年4月26日</w:t>
      </w:r>
      <w:r>
        <w:rPr>
          <w:rFonts w:hint="default" w:ascii="Times New Roman" w:hAnsi="Times New Roman" w:eastAsia="宋体" w:cs="Times New Roman"/>
          <w:b w:val="0"/>
          <w:bCs/>
          <w:color w:val="auto"/>
          <w:kern w:val="2"/>
          <w:sz w:val="24"/>
          <w:szCs w:val="24"/>
          <w:highlight w:val="none"/>
          <w:lang w:val="en-US" w:eastAsia="zh-CN" w:bidi="ar-SA"/>
        </w:rPr>
        <w:t>昌吉回族自治州生态环境局</w:t>
      </w:r>
      <w:r>
        <w:rPr>
          <w:rFonts w:hint="eastAsia" w:ascii="Times New Roman" w:hAnsi="Times New Roman" w:eastAsia="宋体" w:cs="Times New Roman"/>
          <w:b w:val="0"/>
          <w:bCs/>
          <w:color w:val="auto"/>
          <w:kern w:val="2"/>
          <w:sz w:val="24"/>
          <w:szCs w:val="24"/>
          <w:highlight w:val="none"/>
          <w:lang w:val="en-US" w:eastAsia="zh-CN" w:bidi="ar-SA"/>
        </w:rPr>
        <w:t>批复《</w:t>
      </w:r>
      <w:r>
        <w:rPr>
          <w:rFonts w:hint="default" w:ascii="Times New Roman" w:hAnsi="Times New Roman" w:eastAsia="宋体" w:cs="Times New Roman"/>
          <w:b w:val="0"/>
          <w:bCs/>
          <w:color w:val="auto"/>
          <w:kern w:val="2"/>
          <w:sz w:val="24"/>
          <w:szCs w:val="24"/>
          <w:highlight w:val="none"/>
          <w:lang w:val="en-US" w:eastAsia="zh-CN" w:bidi="ar-SA"/>
        </w:rPr>
        <w:t>关于昌吉农高区现代农业精深加工示范区中水池建设项目环境影响报告表的批复</w:t>
      </w:r>
      <w:r>
        <w:rPr>
          <w:rFonts w:hint="eastAsia" w:ascii="Times New Roman" w:hAnsi="Times New Roman" w:eastAsia="宋体"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昌州环评〔2024〕90号</w:t>
      </w:r>
      <w:r>
        <w:rPr>
          <w:rFonts w:hint="eastAsia" w:ascii="Times New Roman" w:hAnsi="Times New Roman" w:eastAsia="宋体" w:cs="Times New Roman"/>
          <w:b w:val="0"/>
          <w:bCs/>
          <w:color w:val="auto"/>
          <w:kern w:val="2"/>
          <w:sz w:val="24"/>
          <w:szCs w:val="24"/>
          <w:highlight w:val="none"/>
          <w:lang w:val="en-US" w:eastAsia="zh-CN" w:bidi="ar-SA"/>
        </w:rPr>
        <w:t>）</w:t>
      </w:r>
      <w:r>
        <w:rPr>
          <w:rFonts w:hint="eastAsia" w:cs="Times New Roman"/>
          <w:b w:val="0"/>
          <w:bCs/>
          <w:color w:val="auto"/>
          <w:kern w:val="2"/>
          <w:sz w:val="24"/>
          <w:szCs w:val="24"/>
          <w:highlight w:val="none"/>
          <w:lang w:val="en-US" w:eastAsia="zh-CN" w:bidi="ar-SA"/>
        </w:rPr>
        <w:t>。</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已取得排污许可证（916523005762282517001V）。</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现有项目建设内容</w:t>
      </w:r>
    </w:p>
    <w:p>
      <w:pPr>
        <w:pStyle w:val="70"/>
        <w:rPr>
          <w:rFonts w:hint="eastAsia" w:ascii="黑体" w:hAnsi="黑体" w:eastAsia="黑体" w:cs="黑体"/>
          <w:color w:val="auto"/>
          <w:highlight w:val="none"/>
        </w:rPr>
      </w:pPr>
      <w:r>
        <w:rPr>
          <w:rFonts w:hint="eastAsia" w:ascii="黑体" w:hAnsi="黑体" w:eastAsia="黑体" w:cs="黑体"/>
          <w:color w:val="auto"/>
          <w:highlight w:val="none"/>
        </w:rPr>
        <w:t>表</w:t>
      </w:r>
      <w:r>
        <w:rPr>
          <w:rFonts w:hint="eastAsia" w:ascii="黑体" w:hAnsi="黑体" w:eastAsia="黑体" w:cs="黑体"/>
          <w:color w:val="auto"/>
          <w:highlight w:val="none"/>
          <w:lang w:val="en-US" w:eastAsia="zh-CN"/>
        </w:rPr>
        <w:t>3.1</w:t>
      </w:r>
      <w:r>
        <w:rPr>
          <w:rFonts w:hint="eastAsia" w:ascii="黑体" w:hAnsi="黑体" w:eastAsia="黑体" w:cs="黑体"/>
          <w:color w:val="auto"/>
          <w:highlight w:val="none"/>
        </w:rPr>
        <w:t>-1</w:t>
      </w:r>
      <w:r>
        <w:rPr>
          <w:rFonts w:hint="eastAsia" w:ascii="黑体" w:hAnsi="黑体" w:eastAsia="黑体" w:cs="黑体"/>
          <w:color w:val="auto"/>
          <w:highlight w:val="none"/>
          <w:lang w:val="en-US" w:eastAsia="zh-CN"/>
        </w:rPr>
        <w:t>现有</w:t>
      </w:r>
      <w:r>
        <w:rPr>
          <w:rFonts w:hint="eastAsia" w:ascii="黑体" w:hAnsi="黑体" w:eastAsia="黑体" w:cs="黑体"/>
          <w:color w:val="auto"/>
          <w:highlight w:val="none"/>
        </w:rPr>
        <w:t>项目组成表</w:t>
      </w:r>
    </w:p>
    <w:tbl>
      <w:tblPr>
        <w:tblStyle w:val="33"/>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30"/>
        <w:gridCol w:w="738"/>
        <w:gridCol w:w="7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13" w:type="pct"/>
            <w:gridSpan w:val="2"/>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color w:val="auto"/>
                <w:highlight w:val="none"/>
              </w:rPr>
              <w:t>项目组成</w:t>
            </w:r>
          </w:p>
        </w:tc>
        <w:tc>
          <w:tcPr>
            <w:tcW w:w="388"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rFonts w:hint="eastAsia"/>
                <w:color w:val="auto"/>
                <w:highlight w:val="none"/>
              </w:rPr>
              <w:t>规模</w:t>
            </w:r>
          </w:p>
        </w:tc>
        <w:tc>
          <w:tcPr>
            <w:tcW w:w="3898"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rFonts w:hint="default" w:eastAsia="宋体"/>
                <w:color w:val="auto"/>
                <w:highlight w:val="none"/>
                <w:lang w:val="en-US" w:eastAsia="zh-CN"/>
              </w:rPr>
            </w:pPr>
            <w:r>
              <w:rPr>
                <w:rFonts w:hint="eastAsia"/>
                <w:color w:val="auto"/>
                <w:highlight w:val="none"/>
                <w:lang w:val="en-US" w:eastAsia="zh-CN"/>
              </w:rPr>
              <w:t>实际建设内容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vMerge w:val="restar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color w:val="auto"/>
                <w:highlight w:val="none"/>
              </w:rPr>
              <w:t>主体</w:t>
            </w:r>
          </w:p>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color w:val="auto"/>
                <w:highlight w:val="none"/>
              </w:rPr>
              <w:t>工程</w:t>
            </w:r>
          </w:p>
        </w:tc>
        <w:tc>
          <w:tcPr>
            <w:tcW w:w="489"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rFonts w:hint="eastAsia"/>
                <w:color w:val="auto"/>
                <w:highlight w:val="none"/>
              </w:rPr>
              <w:t>污水处理构筑</w:t>
            </w:r>
          </w:p>
        </w:tc>
        <w:tc>
          <w:tcPr>
            <w:tcW w:w="388"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rFonts w:hint="eastAsia"/>
                <w:color w:val="auto"/>
                <w:highlight w:val="none"/>
              </w:rPr>
              <w:t>0.5万m³/d</w:t>
            </w:r>
          </w:p>
        </w:tc>
        <w:tc>
          <w:tcPr>
            <w:tcW w:w="3898"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rFonts w:hint="eastAsia"/>
                <w:color w:val="auto"/>
                <w:highlight w:val="none"/>
              </w:rPr>
            </w:pPr>
            <w:r>
              <w:rPr>
                <w:rFonts w:hint="eastAsia"/>
                <w:color w:val="auto"/>
                <w:highlight w:val="none"/>
              </w:rPr>
              <w:t>粗细格栅间及污水提升泵房1座、事故池</w:t>
            </w:r>
            <w:r>
              <w:rPr>
                <w:rFonts w:hint="eastAsia"/>
                <w:color w:val="auto"/>
                <w:highlight w:val="none"/>
                <w:lang w:val="en-US" w:eastAsia="zh-CN"/>
              </w:rPr>
              <w:t>1</w:t>
            </w:r>
            <w:r>
              <w:rPr>
                <w:rFonts w:hint="eastAsia"/>
                <w:color w:val="auto"/>
                <w:highlight w:val="none"/>
              </w:rPr>
              <w:t>座、细格栅及沉砂池1座、沉淀池、CAST生物池，水解酸化池2座、膜格栅2座、</w:t>
            </w:r>
            <w:r>
              <w:rPr>
                <w:rFonts w:hint="eastAsia"/>
                <w:color w:val="auto"/>
                <w:highlight w:val="none"/>
                <w:lang w:val="en-US" w:eastAsia="zh-CN"/>
              </w:rPr>
              <w:t>深度处理</w:t>
            </w:r>
            <w:r>
              <w:rPr>
                <w:rFonts w:hint="eastAsia"/>
                <w:color w:val="auto"/>
                <w:highlight w:val="none"/>
              </w:rPr>
              <w:t>、接触消毒池、清水池各1座</w:t>
            </w:r>
            <w:r>
              <w:rPr>
                <w:rFonts w:hint="eastAsia"/>
                <w:color w:val="auto"/>
                <w:highlight w:val="none"/>
                <w:lang w:eastAsia="zh-CN"/>
              </w:rPr>
              <w:t>等</w:t>
            </w:r>
            <w:r>
              <w:rPr>
                <w:rFonts w:hint="eastAsia"/>
                <w:color w:val="auto"/>
                <w:highlight w:val="none"/>
              </w:rPr>
              <w:t>污水处理构筑物及附属设施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vMerge w:val="continue"/>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p>
        </w:tc>
        <w:tc>
          <w:tcPr>
            <w:tcW w:w="489"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rFonts w:hint="eastAsia"/>
                <w:color w:val="auto"/>
                <w:highlight w:val="none"/>
              </w:rPr>
              <w:t>污泥处理构筑物</w:t>
            </w:r>
          </w:p>
        </w:tc>
        <w:tc>
          <w:tcPr>
            <w:tcW w:w="388"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rFonts w:hint="eastAsia"/>
                <w:color w:val="auto"/>
                <w:highlight w:val="none"/>
              </w:rPr>
              <w:t>/</w:t>
            </w:r>
          </w:p>
        </w:tc>
        <w:tc>
          <w:tcPr>
            <w:tcW w:w="3898"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污泥浓缩池1座、污泥处理间1座及其加药系统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vMerge w:val="continue"/>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p>
        </w:tc>
        <w:tc>
          <w:tcPr>
            <w:tcW w:w="489"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rFonts w:hint="eastAsia"/>
                <w:color w:val="auto"/>
                <w:highlight w:val="none"/>
              </w:rPr>
              <w:t>在线监测</w:t>
            </w:r>
          </w:p>
        </w:tc>
        <w:tc>
          <w:tcPr>
            <w:tcW w:w="388"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rFonts w:hint="eastAsia"/>
                <w:color w:val="auto"/>
                <w:highlight w:val="none"/>
              </w:rPr>
              <w:t>2套</w:t>
            </w:r>
          </w:p>
        </w:tc>
        <w:tc>
          <w:tcPr>
            <w:tcW w:w="3898"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进出水各有一套在线监测设备，设备包括：在线COD分析测量仪、在线氨氮分析测量仪、在线总磷分析测量仪、在线总氮分析仪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vMerge w:val="continue"/>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p>
        </w:tc>
        <w:tc>
          <w:tcPr>
            <w:tcW w:w="489" w:type="pct"/>
            <w:vMerge w:val="restar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rFonts w:hint="eastAsia" w:eastAsia="宋体"/>
                <w:color w:val="auto"/>
                <w:highlight w:val="none"/>
                <w:lang w:val="en-US" w:eastAsia="zh-CN"/>
              </w:rPr>
            </w:pPr>
            <w:r>
              <w:rPr>
                <w:rFonts w:hint="eastAsia"/>
                <w:color w:val="auto"/>
                <w:highlight w:val="none"/>
                <w:lang w:val="en-US" w:eastAsia="zh-CN"/>
              </w:rPr>
              <w:t>管网</w:t>
            </w:r>
          </w:p>
        </w:tc>
        <w:tc>
          <w:tcPr>
            <w:tcW w:w="4286" w:type="pct"/>
            <w:gridSpan w:val="2"/>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rFonts w:hint="eastAsia"/>
                <w:color w:val="auto"/>
                <w:highlight w:val="none"/>
                <w:lang w:val="en-US" w:eastAsia="zh-CN"/>
              </w:rPr>
            </w:pPr>
            <w:r>
              <w:rPr>
                <w:rFonts w:hint="eastAsia"/>
                <w:color w:val="auto"/>
                <w:highlight w:val="none"/>
                <w:lang w:val="en-US" w:eastAsia="zh-CN"/>
              </w:rPr>
              <w:t>厂区管网DN600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vMerge w:val="continue"/>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p>
        </w:tc>
        <w:tc>
          <w:tcPr>
            <w:tcW w:w="489" w:type="pct"/>
            <w:vMerge w:val="continue"/>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rFonts w:hint="eastAsia"/>
                <w:color w:val="auto"/>
                <w:highlight w:val="none"/>
              </w:rPr>
            </w:pPr>
          </w:p>
        </w:tc>
        <w:tc>
          <w:tcPr>
            <w:tcW w:w="4286" w:type="pct"/>
            <w:gridSpan w:val="2"/>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0" w:firstLineChars="0"/>
              <w:textAlignment w:val="auto"/>
              <w:rPr>
                <w:rFonts w:hint="eastAsia"/>
                <w:color w:val="auto"/>
                <w:sz w:val="21"/>
                <w:szCs w:val="21"/>
                <w:highlight w:val="none"/>
              </w:rPr>
            </w:pPr>
            <w:r>
              <w:rPr>
                <w:rFonts w:hint="eastAsia"/>
                <w:color w:val="auto"/>
                <w:sz w:val="21"/>
                <w:szCs w:val="21"/>
                <w:highlight w:val="none"/>
              </w:rPr>
              <w:t>收水管网，依托园区建设排水管网</w:t>
            </w:r>
            <w:r>
              <w:rPr>
                <w:rFonts w:hint="eastAsia"/>
                <w:color w:val="auto"/>
                <w:sz w:val="21"/>
                <w:szCs w:val="21"/>
                <w:highlight w:val="none"/>
                <w:lang w:val="en-US" w:eastAsia="zh-CN"/>
              </w:rPr>
              <w:t>及</w:t>
            </w:r>
            <w:r>
              <w:rPr>
                <w:rFonts w:hint="eastAsia"/>
                <w:color w:val="auto"/>
                <w:sz w:val="21"/>
                <w:szCs w:val="21"/>
                <w:highlight w:val="none"/>
              </w:rPr>
              <w:t>中水回用管道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vMerge w:val="restar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color w:val="auto"/>
                <w:highlight w:val="none"/>
              </w:rPr>
              <w:t>辅助工程</w:t>
            </w:r>
          </w:p>
        </w:tc>
        <w:tc>
          <w:tcPr>
            <w:tcW w:w="489"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color w:val="auto"/>
                <w:highlight w:val="none"/>
              </w:rPr>
              <w:t>库</w:t>
            </w:r>
            <w:r>
              <w:rPr>
                <w:rFonts w:hint="eastAsia"/>
                <w:color w:val="auto"/>
                <w:highlight w:val="none"/>
              </w:rPr>
              <w:t>房</w:t>
            </w:r>
            <w:r>
              <w:rPr>
                <w:color w:val="auto"/>
                <w:highlight w:val="none"/>
              </w:rPr>
              <w:t>及机修间</w:t>
            </w:r>
          </w:p>
        </w:tc>
        <w:tc>
          <w:tcPr>
            <w:tcW w:w="388"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rFonts w:hint="eastAsia"/>
                <w:color w:val="auto"/>
                <w:highlight w:val="none"/>
              </w:rPr>
              <w:t>1座</w:t>
            </w:r>
          </w:p>
        </w:tc>
        <w:tc>
          <w:tcPr>
            <w:tcW w:w="3898"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0" w:firstLineChars="0"/>
              <w:textAlignment w:val="auto"/>
              <w:rPr>
                <w:rFonts w:hint="eastAsia"/>
                <w:color w:val="auto"/>
                <w:szCs w:val="28"/>
                <w:highlight w:val="none"/>
              </w:rPr>
            </w:pPr>
            <w:r>
              <w:rPr>
                <w:rFonts w:hint="eastAsia"/>
                <w:color w:val="auto"/>
                <w:szCs w:val="28"/>
                <w:highlight w:val="none"/>
              </w:rPr>
              <w:t>23.9m×10.8m；</w:t>
            </w:r>
            <w:r>
              <w:rPr>
                <w:rFonts w:hint="eastAsia"/>
                <w:color w:val="auto"/>
                <w:highlight w:val="none"/>
              </w:rPr>
              <w:t>砖混结构。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vMerge w:val="continue"/>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p>
        </w:tc>
        <w:tc>
          <w:tcPr>
            <w:tcW w:w="489" w:type="pct"/>
            <w:shd w:val="clear" w:color="auto" w:fill="auto"/>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color w:val="auto"/>
                <w:highlight w:val="none"/>
              </w:rPr>
              <w:t>配电室</w:t>
            </w:r>
          </w:p>
        </w:tc>
        <w:tc>
          <w:tcPr>
            <w:tcW w:w="388"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rFonts w:hint="eastAsia"/>
                <w:color w:val="auto"/>
                <w:highlight w:val="none"/>
              </w:rPr>
              <w:t>/</w:t>
            </w:r>
          </w:p>
        </w:tc>
        <w:tc>
          <w:tcPr>
            <w:tcW w:w="3898"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配电室及相关的配电柜。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4" w:type="pct"/>
            <w:vMerge w:val="continue"/>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p>
        </w:tc>
        <w:tc>
          <w:tcPr>
            <w:tcW w:w="489" w:type="pct"/>
            <w:shd w:val="clear" w:color="auto" w:fill="auto"/>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rFonts w:hint="eastAsia"/>
                <w:color w:val="auto"/>
                <w:highlight w:val="none"/>
              </w:rPr>
              <w:t>绿化</w:t>
            </w:r>
          </w:p>
        </w:tc>
        <w:tc>
          <w:tcPr>
            <w:tcW w:w="388"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rFonts w:hint="eastAsia"/>
                <w:color w:val="auto"/>
                <w:highlight w:val="none"/>
              </w:rPr>
              <w:t>/</w:t>
            </w:r>
          </w:p>
        </w:tc>
        <w:tc>
          <w:tcPr>
            <w:tcW w:w="3898"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道路两侧及构筑物周边及部分空地，总绿化面积53222㎡。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24" w:type="pct"/>
            <w:vMerge w:val="continue"/>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p>
        </w:tc>
        <w:tc>
          <w:tcPr>
            <w:tcW w:w="489" w:type="pct"/>
            <w:shd w:val="clear" w:color="auto" w:fill="auto"/>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rFonts w:hint="eastAsia"/>
                <w:color w:val="auto"/>
                <w:highlight w:val="none"/>
              </w:rPr>
              <w:t>道路</w:t>
            </w:r>
          </w:p>
        </w:tc>
        <w:tc>
          <w:tcPr>
            <w:tcW w:w="388"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rFonts w:hint="eastAsia"/>
                <w:color w:val="auto"/>
                <w:highlight w:val="none"/>
              </w:rPr>
              <w:t>/</w:t>
            </w:r>
          </w:p>
        </w:tc>
        <w:tc>
          <w:tcPr>
            <w:tcW w:w="3898"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0" w:firstLineChars="0"/>
              <w:textAlignment w:val="auto"/>
              <w:rPr>
                <w:color w:val="auto"/>
                <w:highlight w:val="none"/>
              </w:rPr>
            </w:pPr>
            <w:r>
              <w:rPr>
                <w:color w:val="auto"/>
                <w:highlight w:val="none"/>
              </w:rPr>
              <w:t>厂区主干道宽</w:t>
            </w:r>
            <w:r>
              <w:rPr>
                <w:rFonts w:hint="eastAsia"/>
                <w:color w:val="auto"/>
                <w:highlight w:val="none"/>
              </w:rPr>
              <w:t>7</w:t>
            </w:r>
            <w:r>
              <w:rPr>
                <w:color w:val="auto"/>
                <w:highlight w:val="none"/>
              </w:rPr>
              <w:t>m，次干道宽4m，道路转弯半径：主干道之间为12m，主干道与次干道之间9m，次干道之间6m。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24" w:type="pct"/>
            <w:vMerge w:val="continue"/>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p>
        </w:tc>
        <w:tc>
          <w:tcPr>
            <w:tcW w:w="489"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rFonts w:hint="eastAsia"/>
                <w:color w:val="auto"/>
                <w:highlight w:val="none"/>
              </w:rPr>
              <w:t>自控</w:t>
            </w:r>
          </w:p>
        </w:tc>
        <w:tc>
          <w:tcPr>
            <w:tcW w:w="388"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rFonts w:hint="eastAsia" w:eastAsia="宋体"/>
                <w:color w:val="auto"/>
                <w:highlight w:val="none"/>
                <w:lang w:val="en-US" w:eastAsia="zh-CN"/>
              </w:rPr>
            </w:pPr>
            <w:r>
              <w:rPr>
                <w:rFonts w:hint="eastAsia"/>
                <w:color w:val="auto"/>
                <w:highlight w:val="none"/>
                <w:lang w:val="en-US" w:eastAsia="zh-CN"/>
              </w:rPr>
              <w:t>/</w:t>
            </w:r>
          </w:p>
        </w:tc>
        <w:tc>
          <w:tcPr>
            <w:tcW w:w="3898"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就地手动开停控制、MCC柜控制与PLC自动控制中两种或三种方式。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24" w:type="pct"/>
            <w:vMerge w:val="restar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rFonts w:hint="eastAsia"/>
                <w:color w:val="auto"/>
                <w:highlight w:val="none"/>
              </w:rPr>
              <w:t>环保工程</w:t>
            </w:r>
          </w:p>
        </w:tc>
        <w:tc>
          <w:tcPr>
            <w:tcW w:w="489"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rFonts w:hint="eastAsia" w:eastAsia="宋体"/>
                <w:color w:val="auto"/>
                <w:highlight w:val="none"/>
                <w:lang w:val="en-US" w:eastAsia="zh-CN"/>
              </w:rPr>
            </w:pPr>
            <w:r>
              <w:rPr>
                <w:rFonts w:hint="eastAsia"/>
                <w:color w:val="auto"/>
                <w:highlight w:val="none"/>
                <w:lang w:val="en-US" w:eastAsia="zh-CN"/>
              </w:rPr>
              <w:t>事故池</w:t>
            </w:r>
          </w:p>
        </w:tc>
        <w:tc>
          <w:tcPr>
            <w:tcW w:w="388"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rFonts w:hint="eastAsia" w:eastAsia="宋体"/>
                <w:color w:val="auto"/>
                <w:highlight w:val="none"/>
                <w:lang w:val="en-US" w:eastAsia="zh-CN"/>
              </w:rPr>
            </w:pPr>
            <w:r>
              <w:rPr>
                <w:rFonts w:hint="eastAsia"/>
                <w:color w:val="auto"/>
                <w:highlight w:val="none"/>
                <w:lang w:val="en-US" w:eastAsia="zh-CN"/>
              </w:rPr>
              <w:t>/</w:t>
            </w:r>
          </w:p>
        </w:tc>
        <w:tc>
          <w:tcPr>
            <w:tcW w:w="3898"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0" w:firstLineChars="0"/>
              <w:textAlignment w:val="auto"/>
              <w:rPr>
                <w:rFonts w:hint="eastAsia"/>
                <w:color w:val="auto"/>
                <w:highlight w:val="none"/>
                <w:lang w:val="en-US" w:eastAsia="zh-CN"/>
              </w:rPr>
            </w:pPr>
            <w:r>
              <w:rPr>
                <w:rFonts w:hint="eastAsia"/>
                <w:color w:val="auto"/>
                <w:highlight w:val="none"/>
                <w:lang w:val="en-US" w:eastAsia="zh-CN"/>
              </w:rPr>
              <w:t>位于项目进口处（大门西侧），</w:t>
            </w:r>
            <w:r>
              <w:rPr>
                <w:rFonts w:hint="eastAsia"/>
                <w:color w:val="auto"/>
                <w:highlight w:val="none"/>
              </w:rPr>
              <w:t>钢砼</w:t>
            </w:r>
            <w:r>
              <w:rPr>
                <w:rFonts w:hint="eastAsia"/>
                <w:color w:val="auto"/>
                <w:highlight w:val="none"/>
                <w:lang w:val="en-US" w:eastAsia="zh-CN"/>
              </w:rPr>
              <w:t>结构，规模为：41.05m</w:t>
            </w:r>
            <w:r>
              <w:rPr>
                <w:rFonts w:hint="eastAsia"/>
                <w:color w:val="auto"/>
                <w:highlight w:val="none"/>
              </w:rPr>
              <w:t>×</w:t>
            </w:r>
            <w:r>
              <w:rPr>
                <w:rFonts w:hint="eastAsia"/>
                <w:color w:val="auto"/>
                <w:highlight w:val="none"/>
                <w:lang w:val="en-US" w:eastAsia="zh-CN"/>
              </w:rPr>
              <w:t>20.84m</w:t>
            </w:r>
            <w:r>
              <w:rPr>
                <w:rFonts w:hint="eastAsia"/>
                <w:color w:val="auto"/>
                <w:highlight w:val="none"/>
              </w:rPr>
              <w:t>×</w:t>
            </w:r>
            <w:r>
              <w:rPr>
                <w:rFonts w:hint="eastAsia"/>
                <w:color w:val="auto"/>
                <w:highlight w:val="none"/>
                <w:lang w:val="en-US" w:eastAsia="zh-CN"/>
              </w:rPr>
              <w:t>4.5m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24" w:type="pct"/>
            <w:vMerge w:val="continue"/>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p>
        </w:tc>
        <w:tc>
          <w:tcPr>
            <w:tcW w:w="489"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rFonts w:hint="eastAsia"/>
                <w:color w:val="auto"/>
                <w:highlight w:val="none"/>
              </w:rPr>
              <w:t>除臭装置</w:t>
            </w:r>
          </w:p>
        </w:tc>
        <w:tc>
          <w:tcPr>
            <w:tcW w:w="388"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rFonts w:hint="eastAsia"/>
                <w:color w:val="auto"/>
                <w:highlight w:val="none"/>
              </w:rPr>
              <w:t>2套</w:t>
            </w:r>
          </w:p>
        </w:tc>
        <w:tc>
          <w:tcPr>
            <w:tcW w:w="3898"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通过恶臭收集风管收集后，利用风机引至除臭装置处理。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24" w:type="pct"/>
            <w:vMerge w:val="restar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rFonts w:hint="eastAsia"/>
                <w:color w:val="auto"/>
                <w:highlight w:val="none"/>
              </w:rPr>
              <w:t>公用工程</w:t>
            </w:r>
          </w:p>
        </w:tc>
        <w:tc>
          <w:tcPr>
            <w:tcW w:w="489"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rFonts w:hint="eastAsia"/>
                <w:color w:val="auto"/>
                <w:highlight w:val="none"/>
              </w:rPr>
              <w:t>供水</w:t>
            </w:r>
          </w:p>
        </w:tc>
        <w:tc>
          <w:tcPr>
            <w:tcW w:w="388"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rFonts w:hint="eastAsia"/>
                <w:color w:val="auto"/>
                <w:highlight w:val="none"/>
              </w:rPr>
              <w:t>/</w:t>
            </w:r>
          </w:p>
        </w:tc>
        <w:tc>
          <w:tcPr>
            <w:tcW w:w="3898"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由</w:t>
            </w:r>
            <w:r>
              <w:rPr>
                <w:rFonts w:hint="eastAsia"/>
                <w:color w:val="auto"/>
                <w:highlight w:val="none"/>
                <w:lang w:val="en-US" w:eastAsia="zh-CN"/>
              </w:rPr>
              <w:t>园区</w:t>
            </w:r>
            <w:r>
              <w:rPr>
                <w:rFonts w:hint="eastAsia"/>
                <w:color w:val="auto"/>
                <w:highlight w:val="none"/>
              </w:rPr>
              <w:t>供水站提供。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24" w:type="pct"/>
            <w:vMerge w:val="continue"/>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p>
        </w:tc>
        <w:tc>
          <w:tcPr>
            <w:tcW w:w="489"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rFonts w:hint="eastAsia"/>
                <w:color w:val="auto"/>
                <w:highlight w:val="none"/>
              </w:rPr>
              <w:t>供电</w:t>
            </w:r>
          </w:p>
        </w:tc>
        <w:tc>
          <w:tcPr>
            <w:tcW w:w="388"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rFonts w:hint="eastAsia"/>
                <w:color w:val="auto"/>
                <w:highlight w:val="none"/>
              </w:rPr>
              <w:t>/</w:t>
            </w:r>
          </w:p>
        </w:tc>
        <w:tc>
          <w:tcPr>
            <w:tcW w:w="3898"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由园区供电。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24" w:type="pct"/>
            <w:vMerge w:val="continue"/>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p>
        </w:tc>
        <w:tc>
          <w:tcPr>
            <w:tcW w:w="489"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rFonts w:hint="eastAsia"/>
                <w:color w:val="auto"/>
                <w:highlight w:val="none"/>
              </w:rPr>
              <w:t>消防</w:t>
            </w:r>
          </w:p>
        </w:tc>
        <w:tc>
          <w:tcPr>
            <w:tcW w:w="388"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rFonts w:hint="eastAsia"/>
                <w:color w:val="auto"/>
                <w:highlight w:val="none"/>
              </w:rPr>
              <w:t>/</w:t>
            </w:r>
          </w:p>
        </w:tc>
        <w:tc>
          <w:tcPr>
            <w:tcW w:w="3898"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消防用水管线、泵房、消火栓，室内消防设施。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24" w:type="pct"/>
            <w:vMerge w:val="restar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rFonts w:hint="eastAsia"/>
                <w:color w:val="auto"/>
                <w:highlight w:val="none"/>
              </w:rPr>
              <w:t>办公生活</w:t>
            </w:r>
          </w:p>
        </w:tc>
        <w:tc>
          <w:tcPr>
            <w:tcW w:w="489"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rFonts w:hint="eastAsia"/>
                <w:color w:val="auto"/>
                <w:highlight w:val="none"/>
              </w:rPr>
              <w:t>业务用房</w:t>
            </w:r>
          </w:p>
        </w:tc>
        <w:tc>
          <w:tcPr>
            <w:tcW w:w="388"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rFonts w:hint="eastAsia"/>
                <w:color w:val="auto"/>
                <w:highlight w:val="none"/>
              </w:rPr>
              <w:t>1座</w:t>
            </w:r>
          </w:p>
        </w:tc>
        <w:tc>
          <w:tcPr>
            <w:tcW w:w="3898"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25.0m×15.0m；砖混结构。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224" w:type="pct"/>
            <w:vMerge w:val="continue"/>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p>
        </w:tc>
        <w:tc>
          <w:tcPr>
            <w:tcW w:w="489"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rFonts w:hint="eastAsia"/>
                <w:color w:val="auto"/>
                <w:highlight w:val="none"/>
              </w:rPr>
              <w:t>值班室</w:t>
            </w:r>
          </w:p>
        </w:tc>
        <w:tc>
          <w:tcPr>
            <w:tcW w:w="388"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Chars="0"/>
              <w:textAlignment w:val="auto"/>
              <w:rPr>
                <w:color w:val="auto"/>
                <w:highlight w:val="none"/>
              </w:rPr>
            </w:pPr>
            <w:r>
              <w:rPr>
                <w:rFonts w:hint="eastAsia"/>
                <w:color w:val="auto"/>
                <w:highlight w:val="none"/>
              </w:rPr>
              <w:t>1座</w:t>
            </w:r>
          </w:p>
        </w:tc>
        <w:tc>
          <w:tcPr>
            <w:tcW w:w="3898" w:type="pct"/>
            <w:vAlign w:val="center"/>
          </w:tcPr>
          <w:p>
            <w:pPr>
              <w:pStyle w:val="49"/>
              <w:pageBreakBefore w:val="0"/>
              <w:widowControl w:val="0"/>
              <w:tabs>
                <w:tab w:val="left" w:pos="360"/>
                <w:tab w:val="left" w:pos="1620"/>
              </w:tabs>
              <w:kinsoku/>
              <w:wordWrap/>
              <w:overflowPunct/>
              <w:topLinePunct w:val="0"/>
              <w:autoSpaceDE/>
              <w:autoSpaceDN/>
              <w:bidi w:val="0"/>
              <w:adjustRightInd/>
              <w:snapToGrid/>
              <w:ind w:firstLine="0" w:firstLineChars="0"/>
              <w:textAlignment w:val="auto"/>
              <w:rPr>
                <w:rFonts w:hint="eastAsia"/>
                <w:color w:val="auto"/>
                <w:highlight w:val="none"/>
              </w:rPr>
            </w:pPr>
            <w:r>
              <w:rPr>
                <w:rFonts w:hint="eastAsia"/>
                <w:color w:val="auto"/>
                <w:highlight w:val="none"/>
              </w:rPr>
              <w:t>6.0m×5.4m；砖混结构。</w:t>
            </w:r>
          </w:p>
        </w:tc>
      </w:tr>
    </w:tbl>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新疆昌吉国家农业高新技术产业示范区现代农业精深加工示范区现有污水处理厂一座，设计处理规模5000m³/d，采用预处理＋CAS</w:t>
      </w:r>
      <w:r>
        <w:rPr>
          <w:rFonts w:hint="eastAsia" w:cs="Times New Roman"/>
          <w:color w:val="auto"/>
          <w:highlight w:val="none"/>
          <w:lang w:val="en-US" w:eastAsia="zh-CN"/>
        </w:rPr>
        <w:t>T</w:t>
      </w:r>
      <w:r>
        <w:rPr>
          <w:rFonts w:hint="default" w:ascii="Times New Roman" w:hAnsi="Times New Roman" w:cs="Times New Roman"/>
          <w:color w:val="auto"/>
          <w:highlight w:val="none"/>
        </w:rPr>
        <w:t>＋高效沉淀池＋纤维转盘滤池处理工艺。出水水质达到《城镇污水处理厂污染物排放标准》（GB18918-2002）中的一级A级标准。</w:t>
      </w:r>
    </w:p>
    <w:p>
      <w:pPr>
        <w:adjustRightInd w:val="0"/>
        <w:snapToGrid w:val="0"/>
        <w:spacing w:line="240" w:lineRule="auto"/>
        <w:ind w:firstLine="0" w:firstLineChars="0"/>
        <w:jc w:val="center"/>
        <w:rPr>
          <w:rFonts w:hint="eastAsia" w:ascii="黑体" w:hAnsi="黑体" w:eastAsia="黑体" w:cs="黑体"/>
          <w:b w:val="0"/>
          <w:bCs w:val="0"/>
          <w:snapToGrid w:val="0"/>
          <w:color w:val="auto"/>
          <w:sz w:val="24"/>
          <w:szCs w:val="24"/>
          <w:highlight w:val="none"/>
        </w:rPr>
      </w:pPr>
      <w:r>
        <w:rPr>
          <w:rFonts w:hint="eastAsia" w:ascii="黑体" w:hAnsi="黑体" w:eastAsia="黑体" w:cs="黑体"/>
          <w:b w:val="0"/>
          <w:bCs w:val="0"/>
          <w:snapToGrid w:val="0"/>
          <w:color w:val="auto"/>
          <w:sz w:val="24"/>
          <w:szCs w:val="24"/>
          <w:highlight w:val="none"/>
        </w:rPr>
        <w:t>表3.1-</w:t>
      </w:r>
      <w:r>
        <w:rPr>
          <w:rFonts w:hint="eastAsia" w:ascii="黑体" w:hAnsi="黑体" w:eastAsia="黑体" w:cs="黑体"/>
          <w:b w:val="0"/>
          <w:bCs w:val="0"/>
          <w:snapToGrid w:val="0"/>
          <w:color w:val="auto"/>
          <w:sz w:val="24"/>
          <w:szCs w:val="24"/>
          <w:highlight w:val="none"/>
          <w:lang w:val="en-US" w:eastAsia="zh-CN"/>
        </w:rPr>
        <w:t>2</w:t>
      </w:r>
      <w:r>
        <w:rPr>
          <w:rFonts w:hint="eastAsia" w:ascii="黑体" w:hAnsi="黑体" w:eastAsia="黑体" w:cs="黑体"/>
          <w:b w:val="0"/>
          <w:bCs w:val="0"/>
          <w:snapToGrid w:val="0"/>
          <w:color w:val="auto"/>
          <w:sz w:val="24"/>
          <w:szCs w:val="24"/>
          <w:highlight w:val="none"/>
        </w:rPr>
        <w:t>现有主要建（构）筑物一览表</w:t>
      </w:r>
    </w:p>
    <w:tbl>
      <w:tblPr>
        <w:tblStyle w:val="33"/>
        <w:tblW w:w="9241"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369"/>
        <w:gridCol w:w="1821"/>
        <w:gridCol w:w="1952"/>
        <w:gridCol w:w="1065"/>
        <w:gridCol w:w="203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2369" w:type="dxa"/>
            <w:tcBorders>
              <w:tl2br w:val="nil"/>
              <w:tr2bl w:val="nil"/>
            </w:tcBorders>
            <w:vAlign w:val="center"/>
          </w:tcPr>
          <w:p>
            <w:pPr>
              <w:pStyle w:val="119"/>
              <w:rPr>
                <w:rFonts w:hint="eastAsia"/>
                <w:color w:val="auto"/>
                <w:highlight w:val="none"/>
              </w:rPr>
            </w:pPr>
            <w:r>
              <w:rPr>
                <w:rFonts w:hint="eastAsia"/>
                <w:color w:val="auto"/>
                <w:highlight w:val="none"/>
              </w:rPr>
              <w:t>单体名称</w:t>
            </w:r>
          </w:p>
        </w:tc>
        <w:tc>
          <w:tcPr>
            <w:tcW w:w="1821" w:type="dxa"/>
            <w:tcBorders>
              <w:tl2br w:val="nil"/>
              <w:tr2bl w:val="nil"/>
            </w:tcBorders>
            <w:vAlign w:val="center"/>
          </w:tcPr>
          <w:p>
            <w:pPr>
              <w:pStyle w:val="119"/>
              <w:rPr>
                <w:rFonts w:hint="eastAsia"/>
                <w:color w:val="auto"/>
                <w:highlight w:val="none"/>
              </w:rPr>
            </w:pPr>
            <w:r>
              <w:rPr>
                <w:rFonts w:hint="eastAsia"/>
                <w:color w:val="auto"/>
                <w:highlight w:val="none"/>
              </w:rPr>
              <w:t>结构类型</w:t>
            </w:r>
          </w:p>
        </w:tc>
        <w:tc>
          <w:tcPr>
            <w:tcW w:w="1952" w:type="dxa"/>
            <w:tcBorders>
              <w:tl2br w:val="nil"/>
              <w:tr2bl w:val="nil"/>
            </w:tcBorders>
            <w:vAlign w:val="center"/>
          </w:tcPr>
          <w:p>
            <w:pPr>
              <w:pStyle w:val="119"/>
              <w:rPr>
                <w:rFonts w:hint="eastAsia"/>
                <w:color w:val="auto"/>
                <w:highlight w:val="none"/>
              </w:rPr>
            </w:pPr>
            <w:r>
              <w:rPr>
                <w:rFonts w:hint="eastAsia"/>
                <w:color w:val="auto"/>
                <w:highlight w:val="none"/>
              </w:rPr>
              <w:t>长×宽（轴线）</w:t>
            </w:r>
          </w:p>
        </w:tc>
        <w:tc>
          <w:tcPr>
            <w:tcW w:w="1065" w:type="dxa"/>
            <w:tcBorders>
              <w:tl2br w:val="nil"/>
              <w:tr2bl w:val="nil"/>
            </w:tcBorders>
            <w:vAlign w:val="center"/>
          </w:tcPr>
          <w:p>
            <w:pPr>
              <w:pStyle w:val="119"/>
              <w:rPr>
                <w:rFonts w:hint="eastAsia"/>
                <w:color w:val="auto"/>
                <w:highlight w:val="none"/>
              </w:rPr>
            </w:pPr>
            <w:r>
              <w:rPr>
                <w:rFonts w:hint="eastAsia"/>
                <w:color w:val="auto"/>
                <w:highlight w:val="none"/>
              </w:rPr>
              <w:t>高度</w:t>
            </w:r>
          </w:p>
        </w:tc>
        <w:tc>
          <w:tcPr>
            <w:tcW w:w="2034" w:type="dxa"/>
            <w:tcBorders>
              <w:tl2br w:val="nil"/>
              <w:tr2bl w:val="nil"/>
            </w:tcBorders>
            <w:vAlign w:val="center"/>
          </w:tcPr>
          <w:p>
            <w:pPr>
              <w:pStyle w:val="119"/>
              <w:rPr>
                <w:rFonts w:hint="eastAsia"/>
                <w:color w:val="auto"/>
                <w:highlight w:val="none"/>
              </w:rPr>
            </w:pPr>
            <w:r>
              <w:rPr>
                <w:rFonts w:hint="eastAsia"/>
                <w:color w:val="auto"/>
                <w:highlight w:val="none"/>
              </w:rPr>
              <w:t>地上及地下层数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2369" w:type="dxa"/>
            <w:tcBorders>
              <w:tl2br w:val="nil"/>
              <w:tr2bl w:val="nil"/>
            </w:tcBorders>
            <w:vAlign w:val="center"/>
          </w:tcPr>
          <w:p>
            <w:pPr>
              <w:pStyle w:val="119"/>
              <w:rPr>
                <w:rFonts w:hint="eastAsia"/>
                <w:color w:val="auto"/>
                <w:highlight w:val="none"/>
              </w:rPr>
            </w:pPr>
            <w:r>
              <w:rPr>
                <w:rFonts w:hint="eastAsia"/>
                <w:color w:val="auto"/>
                <w:highlight w:val="none"/>
              </w:rPr>
              <w:t>粗格栅及进水泵房</w:t>
            </w:r>
          </w:p>
        </w:tc>
        <w:tc>
          <w:tcPr>
            <w:tcW w:w="1821" w:type="dxa"/>
            <w:tcBorders>
              <w:tl2br w:val="nil"/>
              <w:tr2bl w:val="nil"/>
            </w:tcBorders>
            <w:vAlign w:val="center"/>
          </w:tcPr>
          <w:p>
            <w:pPr>
              <w:pStyle w:val="119"/>
              <w:rPr>
                <w:rFonts w:hint="eastAsia"/>
                <w:color w:val="auto"/>
                <w:highlight w:val="none"/>
              </w:rPr>
            </w:pPr>
            <w:r>
              <w:rPr>
                <w:rFonts w:hint="eastAsia"/>
                <w:color w:val="auto"/>
                <w:highlight w:val="none"/>
              </w:rPr>
              <w:t>部分：框架结构</w:t>
            </w:r>
          </w:p>
          <w:p>
            <w:pPr>
              <w:pStyle w:val="119"/>
              <w:rPr>
                <w:rFonts w:hint="eastAsia"/>
                <w:color w:val="auto"/>
                <w:highlight w:val="none"/>
              </w:rPr>
            </w:pPr>
            <w:r>
              <w:rPr>
                <w:rFonts w:hint="eastAsia"/>
                <w:color w:val="auto"/>
                <w:highlight w:val="none"/>
              </w:rPr>
              <w:t>部分：钢砼结构</w:t>
            </w:r>
          </w:p>
        </w:tc>
        <w:tc>
          <w:tcPr>
            <w:tcW w:w="1952" w:type="dxa"/>
            <w:tcBorders>
              <w:tl2br w:val="nil"/>
              <w:tr2bl w:val="nil"/>
            </w:tcBorders>
            <w:vAlign w:val="center"/>
          </w:tcPr>
          <w:p>
            <w:pPr>
              <w:pStyle w:val="119"/>
              <w:rPr>
                <w:rFonts w:hint="eastAsia"/>
                <w:color w:val="auto"/>
                <w:highlight w:val="none"/>
              </w:rPr>
            </w:pPr>
            <w:r>
              <w:rPr>
                <w:rFonts w:hint="eastAsia"/>
                <w:color w:val="auto"/>
                <w:highlight w:val="none"/>
              </w:rPr>
              <w:t>15.4×12.9m</w:t>
            </w:r>
          </w:p>
        </w:tc>
        <w:tc>
          <w:tcPr>
            <w:tcW w:w="1065" w:type="dxa"/>
            <w:tcBorders>
              <w:tl2br w:val="nil"/>
              <w:tr2bl w:val="nil"/>
            </w:tcBorders>
            <w:vAlign w:val="center"/>
          </w:tcPr>
          <w:p>
            <w:pPr>
              <w:pStyle w:val="119"/>
              <w:rPr>
                <w:rFonts w:hint="eastAsia"/>
                <w:color w:val="auto"/>
                <w:highlight w:val="none"/>
              </w:rPr>
            </w:pPr>
            <w:r>
              <w:rPr>
                <w:rFonts w:hint="eastAsia"/>
                <w:color w:val="auto"/>
                <w:highlight w:val="none"/>
                <w:lang w:val="en-US" w:eastAsia="zh-CN"/>
              </w:rPr>
              <w:t>6.3</w:t>
            </w:r>
            <w:r>
              <w:rPr>
                <w:rFonts w:hint="eastAsia"/>
                <w:color w:val="auto"/>
                <w:highlight w:val="none"/>
              </w:rPr>
              <w:t>m</w:t>
            </w:r>
          </w:p>
        </w:tc>
        <w:tc>
          <w:tcPr>
            <w:tcW w:w="2034" w:type="dxa"/>
            <w:tcBorders>
              <w:tl2br w:val="nil"/>
              <w:tr2bl w:val="nil"/>
            </w:tcBorders>
            <w:vAlign w:val="center"/>
          </w:tcPr>
          <w:p>
            <w:pPr>
              <w:pStyle w:val="119"/>
              <w:rPr>
                <w:rFonts w:hint="eastAsia"/>
                <w:color w:val="auto"/>
                <w:highlight w:val="none"/>
                <w:lang w:val="en-US" w:eastAsia="zh-CN"/>
              </w:rPr>
            </w:pPr>
            <w:r>
              <w:rPr>
                <w:rFonts w:hint="eastAsia"/>
                <w:color w:val="auto"/>
                <w:highlight w:val="none"/>
              </w:rPr>
              <w:t>地上一层</w:t>
            </w:r>
            <w:r>
              <w:rPr>
                <w:rFonts w:hint="eastAsia"/>
                <w:color w:val="auto"/>
                <w:highlight w:val="none"/>
                <w:lang w:eastAsia="zh-CN"/>
              </w:rPr>
              <w:t>高</w:t>
            </w:r>
            <w:r>
              <w:rPr>
                <w:rFonts w:hint="eastAsia"/>
                <w:color w:val="auto"/>
                <w:highlight w:val="none"/>
                <w:lang w:val="en-US" w:eastAsia="zh-CN"/>
              </w:rPr>
              <w:t>7.4m</w:t>
            </w:r>
          </w:p>
          <w:p>
            <w:pPr>
              <w:pStyle w:val="119"/>
              <w:rPr>
                <w:rFonts w:hint="eastAsia"/>
                <w:color w:val="auto"/>
                <w:highlight w:val="none"/>
                <w:lang w:val="en-US" w:eastAsia="zh-CN"/>
              </w:rPr>
            </w:pPr>
            <w:r>
              <w:rPr>
                <w:rFonts w:hint="eastAsia"/>
                <w:color w:val="auto"/>
                <w:highlight w:val="none"/>
                <w:lang w:val="en-US" w:eastAsia="zh-CN"/>
              </w:rPr>
              <w:t>地下深6.3m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2369" w:type="dxa"/>
            <w:tcBorders>
              <w:tl2br w:val="nil"/>
              <w:tr2bl w:val="nil"/>
            </w:tcBorders>
            <w:vAlign w:val="center"/>
          </w:tcPr>
          <w:p>
            <w:pPr>
              <w:pStyle w:val="119"/>
              <w:rPr>
                <w:rFonts w:hint="eastAsia"/>
                <w:color w:val="auto"/>
                <w:highlight w:val="none"/>
              </w:rPr>
            </w:pPr>
            <w:r>
              <w:rPr>
                <w:rFonts w:hint="eastAsia"/>
                <w:color w:val="auto"/>
                <w:highlight w:val="none"/>
              </w:rPr>
              <w:t>细格栅及曝气沉砂池</w:t>
            </w:r>
          </w:p>
        </w:tc>
        <w:tc>
          <w:tcPr>
            <w:tcW w:w="1821" w:type="dxa"/>
            <w:tcBorders>
              <w:tl2br w:val="nil"/>
              <w:tr2bl w:val="nil"/>
            </w:tcBorders>
            <w:vAlign w:val="center"/>
          </w:tcPr>
          <w:p>
            <w:pPr>
              <w:pStyle w:val="119"/>
              <w:rPr>
                <w:rFonts w:hint="eastAsia"/>
                <w:color w:val="auto"/>
                <w:highlight w:val="none"/>
              </w:rPr>
            </w:pPr>
            <w:r>
              <w:rPr>
                <w:rFonts w:hint="eastAsia"/>
                <w:color w:val="auto"/>
                <w:highlight w:val="none"/>
              </w:rPr>
              <w:t>部分：框架结构</w:t>
            </w:r>
          </w:p>
          <w:p>
            <w:pPr>
              <w:pStyle w:val="119"/>
              <w:rPr>
                <w:rFonts w:hint="eastAsia"/>
                <w:color w:val="auto"/>
                <w:highlight w:val="none"/>
              </w:rPr>
            </w:pPr>
            <w:r>
              <w:rPr>
                <w:rFonts w:hint="eastAsia"/>
                <w:color w:val="auto"/>
                <w:highlight w:val="none"/>
              </w:rPr>
              <w:t>部分：钢砼结构</w:t>
            </w:r>
          </w:p>
        </w:tc>
        <w:tc>
          <w:tcPr>
            <w:tcW w:w="1952" w:type="dxa"/>
            <w:tcBorders>
              <w:tl2br w:val="nil"/>
              <w:tr2bl w:val="nil"/>
            </w:tcBorders>
            <w:vAlign w:val="center"/>
          </w:tcPr>
          <w:p>
            <w:pPr>
              <w:pStyle w:val="119"/>
              <w:rPr>
                <w:rFonts w:hint="eastAsia"/>
                <w:color w:val="auto"/>
                <w:highlight w:val="none"/>
              </w:rPr>
            </w:pPr>
            <w:r>
              <w:rPr>
                <w:rFonts w:hint="eastAsia"/>
                <w:color w:val="auto"/>
                <w:highlight w:val="none"/>
              </w:rPr>
              <w:t>36.1×14.8m</w:t>
            </w:r>
          </w:p>
        </w:tc>
        <w:tc>
          <w:tcPr>
            <w:tcW w:w="1065" w:type="dxa"/>
            <w:tcBorders>
              <w:tl2br w:val="nil"/>
              <w:tr2bl w:val="nil"/>
            </w:tcBorders>
            <w:vAlign w:val="center"/>
          </w:tcPr>
          <w:p>
            <w:pPr>
              <w:pStyle w:val="119"/>
              <w:rPr>
                <w:rFonts w:hint="eastAsia"/>
                <w:color w:val="auto"/>
                <w:highlight w:val="none"/>
              </w:rPr>
            </w:pPr>
            <w:r>
              <w:rPr>
                <w:rFonts w:hint="eastAsia"/>
                <w:color w:val="auto"/>
                <w:highlight w:val="none"/>
                <w:lang w:val="en-US" w:eastAsia="zh-CN"/>
              </w:rPr>
              <w:t>6.3</w:t>
            </w:r>
            <w:r>
              <w:rPr>
                <w:rFonts w:hint="eastAsia"/>
                <w:color w:val="auto"/>
                <w:highlight w:val="none"/>
              </w:rPr>
              <w:t>m</w:t>
            </w:r>
          </w:p>
        </w:tc>
        <w:tc>
          <w:tcPr>
            <w:tcW w:w="2034" w:type="dxa"/>
            <w:tcBorders>
              <w:tl2br w:val="nil"/>
              <w:tr2bl w:val="nil"/>
            </w:tcBorders>
            <w:vAlign w:val="center"/>
          </w:tcPr>
          <w:p>
            <w:pPr>
              <w:pStyle w:val="119"/>
              <w:rPr>
                <w:rFonts w:hint="eastAsia"/>
                <w:color w:val="auto"/>
                <w:highlight w:val="none"/>
              </w:rPr>
            </w:pPr>
            <w:r>
              <w:rPr>
                <w:rFonts w:hint="eastAsia"/>
                <w:color w:val="auto"/>
                <w:highlight w:val="none"/>
              </w:rPr>
              <w:t>地下一层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2369" w:type="dxa"/>
            <w:tcBorders>
              <w:tl2br w:val="nil"/>
              <w:tr2bl w:val="nil"/>
            </w:tcBorders>
            <w:vAlign w:val="center"/>
          </w:tcPr>
          <w:p>
            <w:pPr>
              <w:pStyle w:val="119"/>
              <w:rPr>
                <w:rFonts w:hint="eastAsia" w:eastAsia="宋体"/>
                <w:color w:val="auto"/>
                <w:highlight w:val="none"/>
                <w:lang w:val="en-US" w:eastAsia="zh-CN"/>
              </w:rPr>
            </w:pPr>
            <w:r>
              <w:rPr>
                <w:rFonts w:hint="eastAsia"/>
                <w:color w:val="auto"/>
                <w:highlight w:val="none"/>
                <w:lang w:val="en-US" w:eastAsia="zh-CN"/>
              </w:rPr>
              <w:t>事故池</w:t>
            </w:r>
          </w:p>
        </w:tc>
        <w:tc>
          <w:tcPr>
            <w:tcW w:w="1821" w:type="dxa"/>
            <w:tcBorders>
              <w:tl2br w:val="nil"/>
              <w:tr2bl w:val="nil"/>
            </w:tcBorders>
            <w:vAlign w:val="center"/>
          </w:tcPr>
          <w:p>
            <w:pPr>
              <w:pStyle w:val="119"/>
              <w:rPr>
                <w:rFonts w:hint="eastAsia"/>
                <w:color w:val="auto"/>
                <w:highlight w:val="none"/>
              </w:rPr>
            </w:pPr>
            <w:r>
              <w:rPr>
                <w:rFonts w:hint="eastAsia"/>
                <w:color w:val="auto"/>
                <w:highlight w:val="none"/>
              </w:rPr>
              <w:t>钢砼结构</w:t>
            </w:r>
          </w:p>
        </w:tc>
        <w:tc>
          <w:tcPr>
            <w:tcW w:w="1952" w:type="dxa"/>
            <w:tcBorders>
              <w:tl2br w:val="nil"/>
              <w:tr2bl w:val="nil"/>
            </w:tcBorders>
            <w:vAlign w:val="center"/>
          </w:tcPr>
          <w:p>
            <w:pPr>
              <w:pStyle w:val="119"/>
              <w:rPr>
                <w:rFonts w:hint="eastAsia" w:eastAsia="宋体"/>
                <w:color w:val="auto"/>
                <w:highlight w:val="none"/>
                <w:lang w:val="en-US" w:eastAsia="zh-CN"/>
              </w:rPr>
            </w:pPr>
            <w:r>
              <w:rPr>
                <w:rFonts w:hint="eastAsia"/>
                <w:color w:val="auto"/>
                <w:highlight w:val="none"/>
                <w:lang w:val="en-US" w:eastAsia="zh-CN"/>
              </w:rPr>
              <w:t>41.05</w:t>
            </w:r>
            <w:r>
              <w:rPr>
                <w:rFonts w:hint="eastAsia"/>
                <w:color w:val="auto"/>
                <w:highlight w:val="none"/>
              </w:rPr>
              <w:t>×</w:t>
            </w:r>
            <w:r>
              <w:rPr>
                <w:rFonts w:hint="eastAsia"/>
                <w:color w:val="auto"/>
                <w:highlight w:val="none"/>
                <w:lang w:val="en-US" w:eastAsia="zh-CN"/>
              </w:rPr>
              <w:t>20.85</w:t>
            </w:r>
            <w:r>
              <w:rPr>
                <w:rFonts w:hint="eastAsia"/>
                <w:color w:val="auto"/>
                <w:highlight w:val="none"/>
              </w:rPr>
              <w:t>m</w:t>
            </w:r>
          </w:p>
        </w:tc>
        <w:tc>
          <w:tcPr>
            <w:tcW w:w="1065" w:type="dxa"/>
            <w:tcBorders>
              <w:tl2br w:val="nil"/>
              <w:tr2bl w:val="nil"/>
            </w:tcBorders>
            <w:vAlign w:val="center"/>
          </w:tcPr>
          <w:p>
            <w:pPr>
              <w:pStyle w:val="119"/>
              <w:rPr>
                <w:rFonts w:hint="eastAsia" w:eastAsia="宋体"/>
                <w:color w:val="auto"/>
                <w:highlight w:val="none"/>
                <w:lang w:val="en-US" w:eastAsia="zh-CN"/>
              </w:rPr>
            </w:pPr>
            <w:r>
              <w:rPr>
                <w:rFonts w:hint="eastAsia"/>
                <w:color w:val="auto"/>
                <w:highlight w:val="none"/>
                <w:lang w:val="en-US" w:eastAsia="zh-CN"/>
              </w:rPr>
              <w:t>4.5</w:t>
            </w:r>
          </w:p>
        </w:tc>
        <w:tc>
          <w:tcPr>
            <w:tcW w:w="2034" w:type="dxa"/>
            <w:tcBorders>
              <w:tl2br w:val="nil"/>
              <w:tr2bl w:val="nil"/>
            </w:tcBorders>
            <w:vAlign w:val="center"/>
          </w:tcPr>
          <w:p>
            <w:pPr>
              <w:pStyle w:val="119"/>
              <w:rPr>
                <w:rFonts w:hint="eastAsia"/>
                <w:color w:val="auto"/>
                <w:highlight w:val="none"/>
              </w:rPr>
            </w:pPr>
            <w:r>
              <w:rPr>
                <w:rFonts w:hint="eastAsia"/>
                <w:color w:val="auto"/>
                <w:highlight w:val="none"/>
              </w:rPr>
              <w:t>地下一层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2369" w:type="dxa"/>
            <w:tcBorders>
              <w:tl2br w:val="nil"/>
              <w:tr2bl w:val="nil"/>
            </w:tcBorders>
            <w:vAlign w:val="center"/>
          </w:tcPr>
          <w:p>
            <w:pPr>
              <w:pStyle w:val="119"/>
              <w:rPr>
                <w:rFonts w:hint="eastAsia"/>
                <w:color w:val="auto"/>
                <w:highlight w:val="none"/>
              </w:rPr>
            </w:pPr>
            <w:r>
              <w:rPr>
                <w:rFonts w:hint="eastAsia"/>
                <w:color w:val="auto"/>
                <w:highlight w:val="none"/>
              </w:rPr>
              <w:t>水解酸化池</w:t>
            </w:r>
          </w:p>
        </w:tc>
        <w:tc>
          <w:tcPr>
            <w:tcW w:w="1821" w:type="dxa"/>
            <w:tcBorders>
              <w:tl2br w:val="nil"/>
              <w:tr2bl w:val="nil"/>
            </w:tcBorders>
            <w:vAlign w:val="center"/>
          </w:tcPr>
          <w:p>
            <w:pPr>
              <w:pStyle w:val="119"/>
              <w:rPr>
                <w:rFonts w:hint="eastAsia"/>
                <w:color w:val="auto"/>
                <w:highlight w:val="none"/>
              </w:rPr>
            </w:pPr>
            <w:r>
              <w:rPr>
                <w:rFonts w:hint="eastAsia"/>
                <w:color w:val="auto"/>
                <w:highlight w:val="none"/>
              </w:rPr>
              <w:t>钢砼结构</w:t>
            </w:r>
          </w:p>
        </w:tc>
        <w:tc>
          <w:tcPr>
            <w:tcW w:w="1952" w:type="dxa"/>
            <w:tcBorders>
              <w:tl2br w:val="nil"/>
              <w:tr2bl w:val="nil"/>
            </w:tcBorders>
            <w:vAlign w:val="center"/>
          </w:tcPr>
          <w:p>
            <w:pPr>
              <w:pStyle w:val="119"/>
              <w:rPr>
                <w:rFonts w:hint="eastAsia"/>
                <w:color w:val="auto"/>
                <w:highlight w:val="none"/>
              </w:rPr>
            </w:pPr>
            <w:r>
              <w:rPr>
                <w:rFonts w:hint="eastAsia"/>
                <w:color w:val="auto"/>
                <w:highlight w:val="none"/>
              </w:rPr>
              <w:t>35.0×14.3m</w:t>
            </w:r>
          </w:p>
        </w:tc>
        <w:tc>
          <w:tcPr>
            <w:tcW w:w="1065" w:type="dxa"/>
            <w:tcBorders>
              <w:tl2br w:val="nil"/>
              <w:tr2bl w:val="nil"/>
            </w:tcBorders>
            <w:vAlign w:val="center"/>
          </w:tcPr>
          <w:p>
            <w:pPr>
              <w:pStyle w:val="119"/>
              <w:rPr>
                <w:rFonts w:hint="eastAsia"/>
                <w:color w:val="auto"/>
                <w:highlight w:val="none"/>
              </w:rPr>
            </w:pPr>
            <w:r>
              <w:rPr>
                <w:rFonts w:hint="eastAsia"/>
                <w:color w:val="auto"/>
                <w:highlight w:val="none"/>
              </w:rPr>
              <w:t>4.5m</w:t>
            </w:r>
          </w:p>
        </w:tc>
        <w:tc>
          <w:tcPr>
            <w:tcW w:w="2034" w:type="dxa"/>
            <w:tcBorders>
              <w:tl2br w:val="nil"/>
              <w:tr2bl w:val="nil"/>
            </w:tcBorders>
            <w:vAlign w:val="center"/>
          </w:tcPr>
          <w:p>
            <w:pPr>
              <w:pStyle w:val="119"/>
              <w:rPr>
                <w:rFonts w:hint="eastAsia"/>
                <w:color w:val="auto"/>
                <w:highlight w:val="none"/>
              </w:rPr>
            </w:pPr>
            <w:r>
              <w:rPr>
                <w:rFonts w:hint="eastAsia"/>
                <w:color w:val="auto"/>
                <w:highlight w:val="none"/>
              </w:rPr>
              <w:t>地上一层</w:t>
            </w:r>
          </w:p>
          <w:p>
            <w:pPr>
              <w:pStyle w:val="119"/>
              <w:rPr>
                <w:rFonts w:hint="eastAsia"/>
                <w:color w:val="auto"/>
                <w:highlight w:val="none"/>
              </w:rPr>
            </w:pPr>
            <w:r>
              <w:rPr>
                <w:rFonts w:hint="eastAsia"/>
                <w:color w:val="auto"/>
                <w:highlight w:val="none"/>
              </w:rPr>
              <w:t>地下一层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2369" w:type="dxa"/>
            <w:tcBorders>
              <w:tl2br w:val="nil"/>
              <w:tr2bl w:val="nil"/>
            </w:tcBorders>
            <w:vAlign w:val="center"/>
          </w:tcPr>
          <w:p>
            <w:pPr>
              <w:pStyle w:val="119"/>
              <w:rPr>
                <w:rFonts w:hint="eastAsia"/>
                <w:color w:val="auto"/>
                <w:highlight w:val="none"/>
              </w:rPr>
            </w:pPr>
            <w:r>
              <w:rPr>
                <w:rFonts w:hint="eastAsia"/>
                <w:color w:val="auto"/>
                <w:highlight w:val="none"/>
              </w:rPr>
              <w:t>CAST生物池</w:t>
            </w:r>
          </w:p>
        </w:tc>
        <w:tc>
          <w:tcPr>
            <w:tcW w:w="1821" w:type="dxa"/>
            <w:tcBorders>
              <w:tl2br w:val="nil"/>
              <w:tr2bl w:val="nil"/>
            </w:tcBorders>
            <w:vAlign w:val="center"/>
          </w:tcPr>
          <w:p>
            <w:pPr>
              <w:pStyle w:val="119"/>
              <w:rPr>
                <w:rFonts w:hint="eastAsia"/>
                <w:color w:val="auto"/>
                <w:highlight w:val="none"/>
              </w:rPr>
            </w:pPr>
            <w:r>
              <w:rPr>
                <w:rFonts w:hint="eastAsia"/>
                <w:color w:val="auto"/>
                <w:highlight w:val="none"/>
              </w:rPr>
              <w:t>钢砼结构</w:t>
            </w:r>
          </w:p>
        </w:tc>
        <w:tc>
          <w:tcPr>
            <w:tcW w:w="1952" w:type="dxa"/>
            <w:tcBorders>
              <w:tl2br w:val="nil"/>
              <w:tr2bl w:val="nil"/>
            </w:tcBorders>
            <w:vAlign w:val="center"/>
          </w:tcPr>
          <w:p>
            <w:pPr>
              <w:pStyle w:val="119"/>
              <w:rPr>
                <w:rFonts w:hint="eastAsia"/>
                <w:color w:val="auto"/>
                <w:highlight w:val="none"/>
              </w:rPr>
            </w:pPr>
            <w:r>
              <w:rPr>
                <w:rFonts w:hint="eastAsia"/>
                <w:color w:val="auto"/>
                <w:highlight w:val="none"/>
              </w:rPr>
              <w:t>35.0×14.3m</w:t>
            </w:r>
          </w:p>
        </w:tc>
        <w:tc>
          <w:tcPr>
            <w:tcW w:w="1065" w:type="dxa"/>
            <w:tcBorders>
              <w:tl2br w:val="nil"/>
              <w:tr2bl w:val="nil"/>
            </w:tcBorders>
            <w:vAlign w:val="center"/>
          </w:tcPr>
          <w:p>
            <w:pPr>
              <w:pStyle w:val="119"/>
              <w:rPr>
                <w:rFonts w:hint="eastAsia"/>
                <w:color w:val="auto"/>
                <w:highlight w:val="none"/>
              </w:rPr>
            </w:pPr>
            <w:r>
              <w:rPr>
                <w:rFonts w:hint="eastAsia"/>
                <w:color w:val="auto"/>
                <w:highlight w:val="none"/>
              </w:rPr>
              <w:t>4.5m</w:t>
            </w:r>
          </w:p>
        </w:tc>
        <w:tc>
          <w:tcPr>
            <w:tcW w:w="2034" w:type="dxa"/>
            <w:tcBorders>
              <w:tl2br w:val="nil"/>
              <w:tr2bl w:val="nil"/>
            </w:tcBorders>
            <w:vAlign w:val="center"/>
          </w:tcPr>
          <w:p>
            <w:pPr>
              <w:pStyle w:val="119"/>
              <w:rPr>
                <w:rFonts w:hint="eastAsia"/>
                <w:color w:val="auto"/>
                <w:highlight w:val="none"/>
              </w:rPr>
            </w:pPr>
            <w:r>
              <w:rPr>
                <w:rFonts w:hint="eastAsia"/>
                <w:color w:val="auto"/>
                <w:highlight w:val="none"/>
              </w:rPr>
              <w:t>地上一层</w:t>
            </w:r>
          </w:p>
          <w:p>
            <w:pPr>
              <w:pStyle w:val="119"/>
              <w:rPr>
                <w:rFonts w:hint="eastAsia"/>
                <w:color w:val="auto"/>
                <w:highlight w:val="none"/>
              </w:rPr>
            </w:pPr>
            <w:r>
              <w:rPr>
                <w:rFonts w:hint="eastAsia"/>
                <w:color w:val="auto"/>
                <w:highlight w:val="none"/>
              </w:rPr>
              <w:t>地下一层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2369" w:type="dxa"/>
            <w:tcBorders>
              <w:tl2br w:val="nil"/>
              <w:tr2bl w:val="nil"/>
            </w:tcBorders>
            <w:vAlign w:val="center"/>
          </w:tcPr>
          <w:p>
            <w:pPr>
              <w:pStyle w:val="119"/>
              <w:rPr>
                <w:rFonts w:hint="eastAsia"/>
                <w:color w:val="auto"/>
                <w:highlight w:val="none"/>
              </w:rPr>
            </w:pPr>
            <w:r>
              <w:rPr>
                <w:rFonts w:hint="eastAsia"/>
                <w:color w:val="auto"/>
                <w:highlight w:val="none"/>
              </w:rPr>
              <w:t>中间水池</w:t>
            </w:r>
          </w:p>
        </w:tc>
        <w:tc>
          <w:tcPr>
            <w:tcW w:w="1821" w:type="dxa"/>
            <w:tcBorders>
              <w:tl2br w:val="nil"/>
              <w:tr2bl w:val="nil"/>
            </w:tcBorders>
            <w:vAlign w:val="center"/>
          </w:tcPr>
          <w:p>
            <w:pPr>
              <w:pStyle w:val="119"/>
              <w:rPr>
                <w:rFonts w:hint="eastAsia"/>
                <w:color w:val="auto"/>
                <w:highlight w:val="none"/>
              </w:rPr>
            </w:pPr>
            <w:r>
              <w:rPr>
                <w:rFonts w:hint="eastAsia"/>
                <w:color w:val="auto"/>
                <w:highlight w:val="none"/>
              </w:rPr>
              <w:t>钢砼结构</w:t>
            </w:r>
          </w:p>
        </w:tc>
        <w:tc>
          <w:tcPr>
            <w:tcW w:w="1952" w:type="dxa"/>
            <w:tcBorders>
              <w:tl2br w:val="nil"/>
              <w:tr2bl w:val="nil"/>
            </w:tcBorders>
            <w:vAlign w:val="center"/>
          </w:tcPr>
          <w:p>
            <w:pPr>
              <w:pStyle w:val="119"/>
              <w:rPr>
                <w:rFonts w:hint="eastAsia"/>
                <w:color w:val="auto"/>
                <w:highlight w:val="none"/>
              </w:rPr>
            </w:pPr>
            <w:r>
              <w:rPr>
                <w:rFonts w:hint="eastAsia"/>
                <w:color w:val="auto"/>
                <w:highlight w:val="none"/>
              </w:rPr>
              <w:t>11.3×7.6m</w:t>
            </w:r>
          </w:p>
        </w:tc>
        <w:tc>
          <w:tcPr>
            <w:tcW w:w="1065" w:type="dxa"/>
            <w:tcBorders>
              <w:tl2br w:val="nil"/>
              <w:tr2bl w:val="nil"/>
            </w:tcBorders>
            <w:vAlign w:val="center"/>
          </w:tcPr>
          <w:p>
            <w:pPr>
              <w:pStyle w:val="119"/>
              <w:rPr>
                <w:rFonts w:hint="eastAsia"/>
                <w:color w:val="auto"/>
                <w:highlight w:val="none"/>
              </w:rPr>
            </w:pPr>
            <w:r>
              <w:rPr>
                <w:rFonts w:hint="eastAsia"/>
                <w:color w:val="auto"/>
                <w:highlight w:val="none"/>
              </w:rPr>
              <w:t>4.5m</w:t>
            </w:r>
          </w:p>
        </w:tc>
        <w:tc>
          <w:tcPr>
            <w:tcW w:w="2034" w:type="dxa"/>
            <w:tcBorders>
              <w:tl2br w:val="nil"/>
              <w:tr2bl w:val="nil"/>
            </w:tcBorders>
            <w:vAlign w:val="center"/>
          </w:tcPr>
          <w:p>
            <w:pPr>
              <w:pStyle w:val="119"/>
              <w:rPr>
                <w:rFonts w:hint="eastAsia"/>
                <w:color w:val="auto"/>
                <w:highlight w:val="none"/>
              </w:rPr>
            </w:pPr>
            <w:r>
              <w:rPr>
                <w:rFonts w:hint="eastAsia"/>
                <w:color w:val="auto"/>
                <w:highlight w:val="none"/>
              </w:rPr>
              <w:t>地上一层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2369" w:type="dxa"/>
            <w:tcBorders>
              <w:tl2br w:val="nil"/>
              <w:tr2bl w:val="nil"/>
            </w:tcBorders>
            <w:vAlign w:val="center"/>
          </w:tcPr>
          <w:p>
            <w:pPr>
              <w:pStyle w:val="119"/>
              <w:rPr>
                <w:rFonts w:hint="eastAsia"/>
                <w:color w:val="auto"/>
                <w:highlight w:val="none"/>
              </w:rPr>
            </w:pPr>
            <w:r>
              <w:rPr>
                <w:rFonts w:hint="eastAsia"/>
                <w:color w:val="auto"/>
                <w:highlight w:val="none"/>
              </w:rPr>
              <w:t>深度处理间</w:t>
            </w:r>
          </w:p>
        </w:tc>
        <w:tc>
          <w:tcPr>
            <w:tcW w:w="1821" w:type="dxa"/>
            <w:tcBorders>
              <w:tl2br w:val="nil"/>
              <w:tr2bl w:val="nil"/>
            </w:tcBorders>
            <w:vAlign w:val="center"/>
          </w:tcPr>
          <w:p>
            <w:pPr>
              <w:pStyle w:val="119"/>
              <w:rPr>
                <w:rFonts w:hint="eastAsia"/>
                <w:color w:val="auto"/>
                <w:highlight w:val="none"/>
              </w:rPr>
            </w:pPr>
            <w:r>
              <w:rPr>
                <w:rFonts w:hint="eastAsia"/>
                <w:color w:val="auto"/>
                <w:highlight w:val="none"/>
              </w:rPr>
              <w:t>外围：框架结构</w:t>
            </w:r>
          </w:p>
          <w:p>
            <w:pPr>
              <w:pStyle w:val="119"/>
              <w:rPr>
                <w:rFonts w:hint="eastAsia"/>
                <w:color w:val="auto"/>
                <w:highlight w:val="none"/>
              </w:rPr>
            </w:pPr>
            <w:r>
              <w:rPr>
                <w:rFonts w:hint="eastAsia"/>
                <w:color w:val="auto"/>
                <w:highlight w:val="none"/>
              </w:rPr>
              <w:t>内部：钢砼结构</w:t>
            </w:r>
          </w:p>
        </w:tc>
        <w:tc>
          <w:tcPr>
            <w:tcW w:w="1952" w:type="dxa"/>
            <w:tcBorders>
              <w:tl2br w:val="nil"/>
              <w:tr2bl w:val="nil"/>
            </w:tcBorders>
            <w:vAlign w:val="center"/>
          </w:tcPr>
          <w:p>
            <w:pPr>
              <w:pStyle w:val="119"/>
              <w:rPr>
                <w:rFonts w:hint="eastAsia"/>
                <w:color w:val="auto"/>
                <w:highlight w:val="none"/>
              </w:rPr>
            </w:pPr>
            <w:r>
              <w:rPr>
                <w:rFonts w:hint="eastAsia"/>
                <w:color w:val="auto"/>
                <w:highlight w:val="none"/>
              </w:rPr>
              <w:t>34.2×26.4m</w:t>
            </w:r>
          </w:p>
        </w:tc>
        <w:tc>
          <w:tcPr>
            <w:tcW w:w="1065" w:type="dxa"/>
            <w:tcBorders>
              <w:tl2br w:val="nil"/>
              <w:tr2bl w:val="nil"/>
            </w:tcBorders>
            <w:vAlign w:val="center"/>
          </w:tcPr>
          <w:p>
            <w:pPr>
              <w:pStyle w:val="119"/>
              <w:rPr>
                <w:rFonts w:hint="eastAsia"/>
                <w:color w:val="auto"/>
                <w:highlight w:val="none"/>
              </w:rPr>
            </w:pPr>
            <w:r>
              <w:rPr>
                <w:rFonts w:hint="eastAsia"/>
                <w:color w:val="auto"/>
                <w:highlight w:val="none"/>
              </w:rPr>
              <w:t>10.5m</w:t>
            </w:r>
          </w:p>
        </w:tc>
        <w:tc>
          <w:tcPr>
            <w:tcW w:w="2034" w:type="dxa"/>
            <w:tcBorders>
              <w:tl2br w:val="nil"/>
              <w:tr2bl w:val="nil"/>
            </w:tcBorders>
            <w:vAlign w:val="center"/>
          </w:tcPr>
          <w:p>
            <w:pPr>
              <w:pStyle w:val="119"/>
              <w:rPr>
                <w:rFonts w:hint="eastAsia"/>
                <w:color w:val="auto"/>
                <w:highlight w:val="none"/>
              </w:rPr>
            </w:pPr>
            <w:r>
              <w:rPr>
                <w:rFonts w:hint="eastAsia"/>
                <w:color w:val="auto"/>
                <w:highlight w:val="none"/>
              </w:rPr>
              <w:t>地上一层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2369" w:type="dxa"/>
            <w:tcBorders>
              <w:tl2br w:val="nil"/>
              <w:tr2bl w:val="nil"/>
            </w:tcBorders>
            <w:vAlign w:val="center"/>
          </w:tcPr>
          <w:p>
            <w:pPr>
              <w:pStyle w:val="119"/>
              <w:rPr>
                <w:rFonts w:hint="eastAsia"/>
                <w:color w:val="auto"/>
                <w:highlight w:val="none"/>
              </w:rPr>
            </w:pPr>
            <w:r>
              <w:rPr>
                <w:rFonts w:hint="eastAsia"/>
                <w:color w:val="auto"/>
                <w:highlight w:val="none"/>
              </w:rPr>
              <w:t>接触消毒池</w:t>
            </w:r>
          </w:p>
        </w:tc>
        <w:tc>
          <w:tcPr>
            <w:tcW w:w="1821" w:type="dxa"/>
            <w:tcBorders>
              <w:tl2br w:val="nil"/>
              <w:tr2bl w:val="nil"/>
            </w:tcBorders>
            <w:vAlign w:val="center"/>
          </w:tcPr>
          <w:p>
            <w:pPr>
              <w:pStyle w:val="119"/>
              <w:rPr>
                <w:rFonts w:hint="eastAsia"/>
                <w:color w:val="auto"/>
                <w:highlight w:val="none"/>
              </w:rPr>
            </w:pPr>
            <w:r>
              <w:rPr>
                <w:rFonts w:hint="eastAsia"/>
                <w:color w:val="auto"/>
                <w:highlight w:val="none"/>
              </w:rPr>
              <w:t>钢砼结构</w:t>
            </w:r>
          </w:p>
        </w:tc>
        <w:tc>
          <w:tcPr>
            <w:tcW w:w="1952" w:type="dxa"/>
            <w:tcBorders>
              <w:tl2br w:val="nil"/>
              <w:tr2bl w:val="nil"/>
            </w:tcBorders>
            <w:vAlign w:val="center"/>
          </w:tcPr>
          <w:p>
            <w:pPr>
              <w:pStyle w:val="119"/>
              <w:rPr>
                <w:rFonts w:hint="eastAsia"/>
                <w:color w:val="auto"/>
                <w:highlight w:val="none"/>
              </w:rPr>
            </w:pPr>
            <w:r>
              <w:rPr>
                <w:rFonts w:hint="eastAsia"/>
                <w:color w:val="auto"/>
                <w:highlight w:val="none"/>
              </w:rPr>
              <w:t>22.1×12.6m</w:t>
            </w:r>
          </w:p>
        </w:tc>
        <w:tc>
          <w:tcPr>
            <w:tcW w:w="1065" w:type="dxa"/>
            <w:tcBorders>
              <w:tl2br w:val="nil"/>
              <w:tr2bl w:val="nil"/>
            </w:tcBorders>
            <w:vAlign w:val="center"/>
          </w:tcPr>
          <w:p>
            <w:pPr>
              <w:pStyle w:val="119"/>
              <w:rPr>
                <w:rFonts w:hint="eastAsia"/>
                <w:color w:val="auto"/>
                <w:highlight w:val="none"/>
              </w:rPr>
            </w:pPr>
            <w:r>
              <w:rPr>
                <w:rFonts w:hint="eastAsia"/>
                <w:color w:val="auto"/>
                <w:highlight w:val="none"/>
              </w:rPr>
              <w:t>4.5m</w:t>
            </w:r>
          </w:p>
        </w:tc>
        <w:tc>
          <w:tcPr>
            <w:tcW w:w="2034" w:type="dxa"/>
            <w:tcBorders>
              <w:tl2br w:val="nil"/>
              <w:tr2bl w:val="nil"/>
            </w:tcBorders>
            <w:vAlign w:val="center"/>
          </w:tcPr>
          <w:p>
            <w:pPr>
              <w:pStyle w:val="119"/>
              <w:rPr>
                <w:rFonts w:hint="eastAsia"/>
                <w:color w:val="auto"/>
                <w:highlight w:val="none"/>
              </w:rPr>
            </w:pPr>
            <w:r>
              <w:rPr>
                <w:rFonts w:hint="eastAsia"/>
                <w:color w:val="auto"/>
                <w:highlight w:val="none"/>
              </w:rPr>
              <w:t>地上一层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2369" w:type="dxa"/>
            <w:tcBorders>
              <w:tl2br w:val="nil"/>
              <w:tr2bl w:val="nil"/>
            </w:tcBorders>
            <w:vAlign w:val="center"/>
          </w:tcPr>
          <w:p>
            <w:pPr>
              <w:pStyle w:val="119"/>
              <w:rPr>
                <w:rFonts w:hint="eastAsia"/>
                <w:color w:val="auto"/>
                <w:highlight w:val="none"/>
              </w:rPr>
            </w:pPr>
            <w:r>
              <w:rPr>
                <w:rFonts w:hint="eastAsia"/>
                <w:color w:val="auto"/>
                <w:highlight w:val="none"/>
              </w:rPr>
              <w:t>加氯加药间</w:t>
            </w:r>
          </w:p>
        </w:tc>
        <w:tc>
          <w:tcPr>
            <w:tcW w:w="1821" w:type="dxa"/>
            <w:tcBorders>
              <w:tl2br w:val="nil"/>
              <w:tr2bl w:val="nil"/>
            </w:tcBorders>
            <w:vAlign w:val="center"/>
          </w:tcPr>
          <w:p>
            <w:pPr>
              <w:pStyle w:val="119"/>
              <w:rPr>
                <w:rFonts w:hint="eastAsia"/>
                <w:color w:val="auto"/>
                <w:highlight w:val="none"/>
              </w:rPr>
            </w:pPr>
            <w:r>
              <w:rPr>
                <w:rFonts w:hint="eastAsia"/>
                <w:color w:val="auto"/>
                <w:highlight w:val="none"/>
              </w:rPr>
              <w:t>框架结构</w:t>
            </w:r>
          </w:p>
        </w:tc>
        <w:tc>
          <w:tcPr>
            <w:tcW w:w="1952" w:type="dxa"/>
            <w:tcBorders>
              <w:tl2br w:val="nil"/>
              <w:tr2bl w:val="nil"/>
            </w:tcBorders>
            <w:vAlign w:val="center"/>
          </w:tcPr>
          <w:p>
            <w:pPr>
              <w:pStyle w:val="119"/>
              <w:rPr>
                <w:rFonts w:hint="eastAsia"/>
                <w:color w:val="auto"/>
                <w:highlight w:val="none"/>
              </w:rPr>
            </w:pPr>
            <w:r>
              <w:rPr>
                <w:rFonts w:hint="eastAsia"/>
                <w:color w:val="auto"/>
                <w:highlight w:val="none"/>
              </w:rPr>
              <w:t>21.6×12.0m</w:t>
            </w:r>
          </w:p>
        </w:tc>
        <w:tc>
          <w:tcPr>
            <w:tcW w:w="1065" w:type="dxa"/>
            <w:tcBorders>
              <w:tl2br w:val="nil"/>
              <w:tr2bl w:val="nil"/>
            </w:tcBorders>
            <w:vAlign w:val="center"/>
          </w:tcPr>
          <w:p>
            <w:pPr>
              <w:pStyle w:val="119"/>
              <w:rPr>
                <w:rFonts w:hint="eastAsia"/>
                <w:color w:val="auto"/>
                <w:highlight w:val="none"/>
              </w:rPr>
            </w:pPr>
            <w:r>
              <w:rPr>
                <w:rFonts w:hint="eastAsia"/>
                <w:color w:val="auto"/>
                <w:highlight w:val="none"/>
              </w:rPr>
              <w:t>4.5m</w:t>
            </w:r>
          </w:p>
        </w:tc>
        <w:tc>
          <w:tcPr>
            <w:tcW w:w="2034" w:type="dxa"/>
            <w:tcBorders>
              <w:tl2br w:val="nil"/>
              <w:tr2bl w:val="nil"/>
            </w:tcBorders>
            <w:vAlign w:val="center"/>
          </w:tcPr>
          <w:p>
            <w:pPr>
              <w:pStyle w:val="119"/>
              <w:rPr>
                <w:rFonts w:hint="eastAsia"/>
                <w:color w:val="auto"/>
                <w:highlight w:val="none"/>
              </w:rPr>
            </w:pPr>
            <w:r>
              <w:rPr>
                <w:rFonts w:hint="eastAsia"/>
                <w:color w:val="auto"/>
                <w:highlight w:val="none"/>
              </w:rPr>
              <w:t>地上一层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2369" w:type="dxa"/>
            <w:tcBorders>
              <w:tl2br w:val="nil"/>
              <w:tr2bl w:val="nil"/>
            </w:tcBorders>
            <w:vAlign w:val="center"/>
          </w:tcPr>
          <w:p>
            <w:pPr>
              <w:pStyle w:val="119"/>
              <w:rPr>
                <w:rFonts w:hint="eastAsia"/>
                <w:color w:val="auto"/>
                <w:highlight w:val="none"/>
              </w:rPr>
            </w:pPr>
            <w:r>
              <w:rPr>
                <w:rFonts w:hint="eastAsia"/>
                <w:color w:val="auto"/>
                <w:highlight w:val="none"/>
              </w:rPr>
              <w:t>排水调节池</w:t>
            </w:r>
          </w:p>
        </w:tc>
        <w:tc>
          <w:tcPr>
            <w:tcW w:w="1821" w:type="dxa"/>
            <w:tcBorders>
              <w:tl2br w:val="nil"/>
              <w:tr2bl w:val="nil"/>
            </w:tcBorders>
            <w:vAlign w:val="center"/>
          </w:tcPr>
          <w:p>
            <w:pPr>
              <w:pStyle w:val="119"/>
              <w:rPr>
                <w:rFonts w:hint="eastAsia"/>
                <w:color w:val="auto"/>
                <w:highlight w:val="none"/>
              </w:rPr>
            </w:pPr>
            <w:r>
              <w:rPr>
                <w:rFonts w:hint="eastAsia"/>
                <w:color w:val="auto"/>
                <w:highlight w:val="none"/>
              </w:rPr>
              <w:t>钢砼结构</w:t>
            </w:r>
          </w:p>
        </w:tc>
        <w:tc>
          <w:tcPr>
            <w:tcW w:w="1952" w:type="dxa"/>
            <w:tcBorders>
              <w:tl2br w:val="nil"/>
              <w:tr2bl w:val="nil"/>
            </w:tcBorders>
            <w:vAlign w:val="center"/>
          </w:tcPr>
          <w:p>
            <w:pPr>
              <w:pStyle w:val="119"/>
              <w:rPr>
                <w:rFonts w:hint="eastAsia"/>
                <w:color w:val="auto"/>
                <w:highlight w:val="none"/>
              </w:rPr>
            </w:pPr>
            <w:r>
              <w:rPr>
                <w:rFonts w:hint="eastAsia"/>
                <w:color w:val="auto"/>
                <w:highlight w:val="none"/>
              </w:rPr>
              <w:t>8.8×5.6m</w:t>
            </w:r>
          </w:p>
        </w:tc>
        <w:tc>
          <w:tcPr>
            <w:tcW w:w="1065" w:type="dxa"/>
            <w:tcBorders>
              <w:tl2br w:val="nil"/>
              <w:tr2bl w:val="nil"/>
            </w:tcBorders>
            <w:vAlign w:val="center"/>
          </w:tcPr>
          <w:p>
            <w:pPr>
              <w:pStyle w:val="119"/>
              <w:rPr>
                <w:rFonts w:hint="eastAsia"/>
                <w:color w:val="auto"/>
                <w:highlight w:val="none"/>
              </w:rPr>
            </w:pPr>
            <w:r>
              <w:rPr>
                <w:rFonts w:hint="eastAsia"/>
                <w:color w:val="auto"/>
                <w:highlight w:val="none"/>
              </w:rPr>
              <w:t>4.5m</w:t>
            </w:r>
          </w:p>
        </w:tc>
        <w:tc>
          <w:tcPr>
            <w:tcW w:w="2034" w:type="dxa"/>
            <w:tcBorders>
              <w:tl2br w:val="nil"/>
              <w:tr2bl w:val="nil"/>
            </w:tcBorders>
            <w:vAlign w:val="center"/>
          </w:tcPr>
          <w:p>
            <w:pPr>
              <w:pStyle w:val="119"/>
              <w:rPr>
                <w:rFonts w:hint="eastAsia"/>
                <w:color w:val="auto"/>
                <w:highlight w:val="none"/>
              </w:rPr>
            </w:pPr>
            <w:r>
              <w:rPr>
                <w:rFonts w:hint="eastAsia"/>
                <w:color w:val="auto"/>
                <w:highlight w:val="none"/>
              </w:rPr>
              <w:t>地上一层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2369" w:type="dxa"/>
            <w:tcBorders>
              <w:tl2br w:val="nil"/>
              <w:tr2bl w:val="nil"/>
            </w:tcBorders>
            <w:vAlign w:val="center"/>
          </w:tcPr>
          <w:p>
            <w:pPr>
              <w:pStyle w:val="119"/>
              <w:rPr>
                <w:rFonts w:hint="eastAsia"/>
                <w:color w:val="auto"/>
                <w:highlight w:val="none"/>
              </w:rPr>
            </w:pPr>
            <w:r>
              <w:rPr>
                <w:rFonts w:hint="eastAsia"/>
                <w:color w:val="auto"/>
                <w:highlight w:val="none"/>
                <w:lang w:val="zh-CN"/>
              </w:rPr>
              <w:t>反冲洗设备间</w:t>
            </w:r>
          </w:p>
        </w:tc>
        <w:tc>
          <w:tcPr>
            <w:tcW w:w="1821" w:type="dxa"/>
            <w:tcBorders>
              <w:tl2br w:val="nil"/>
              <w:tr2bl w:val="nil"/>
            </w:tcBorders>
            <w:vAlign w:val="center"/>
          </w:tcPr>
          <w:p>
            <w:pPr>
              <w:pStyle w:val="119"/>
              <w:rPr>
                <w:rFonts w:hint="eastAsia"/>
                <w:color w:val="auto"/>
                <w:highlight w:val="none"/>
              </w:rPr>
            </w:pPr>
            <w:r>
              <w:rPr>
                <w:rFonts w:hint="eastAsia"/>
                <w:color w:val="auto"/>
                <w:highlight w:val="none"/>
              </w:rPr>
              <w:t>框架结构</w:t>
            </w:r>
          </w:p>
        </w:tc>
        <w:tc>
          <w:tcPr>
            <w:tcW w:w="1952" w:type="dxa"/>
            <w:tcBorders>
              <w:tl2br w:val="nil"/>
              <w:tr2bl w:val="nil"/>
            </w:tcBorders>
            <w:vAlign w:val="center"/>
          </w:tcPr>
          <w:p>
            <w:pPr>
              <w:pStyle w:val="119"/>
              <w:rPr>
                <w:rFonts w:hint="eastAsia"/>
                <w:color w:val="auto"/>
                <w:highlight w:val="none"/>
              </w:rPr>
            </w:pPr>
            <w:r>
              <w:rPr>
                <w:rFonts w:hint="eastAsia"/>
                <w:color w:val="auto"/>
                <w:highlight w:val="none"/>
              </w:rPr>
              <w:t>12.2×6.4m</w:t>
            </w:r>
          </w:p>
        </w:tc>
        <w:tc>
          <w:tcPr>
            <w:tcW w:w="1065" w:type="dxa"/>
            <w:tcBorders>
              <w:tl2br w:val="nil"/>
              <w:tr2bl w:val="nil"/>
            </w:tcBorders>
            <w:vAlign w:val="center"/>
          </w:tcPr>
          <w:p>
            <w:pPr>
              <w:pStyle w:val="119"/>
              <w:rPr>
                <w:rFonts w:hint="eastAsia"/>
                <w:color w:val="auto"/>
                <w:highlight w:val="none"/>
              </w:rPr>
            </w:pPr>
            <w:r>
              <w:rPr>
                <w:rFonts w:hint="eastAsia"/>
                <w:color w:val="auto"/>
                <w:highlight w:val="none"/>
              </w:rPr>
              <w:t>10.5m</w:t>
            </w:r>
          </w:p>
        </w:tc>
        <w:tc>
          <w:tcPr>
            <w:tcW w:w="2034" w:type="dxa"/>
            <w:tcBorders>
              <w:tl2br w:val="nil"/>
              <w:tr2bl w:val="nil"/>
            </w:tcBorders>
            <w:vAlign w:val="center"/>
          </w:tcPr>
          <w:p>
            <w:pPr>
              <w:pStyle w:val="119"/>
              <w:rPr>
                <w:rFonts w:hint="eastAsia"/>
                <w:color w:val="auto"/>
                <w:highlight w:val="none"/>
              </w:rPr>
            </w:pPr>
            <w:r>
              <w:rPr>
                <w:rFonts w:hint="eastAsia"/>
                <w:color w:val="auto"/>
                <w:highlight w:val="none"/>
              </w:rPr>
              <w:t>地上一层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2369" w:type="dxa"/>
            <w:tcBorders>
              <w:tl2br w:val="nil"/>
              <w:tr2bl w:val="nil"/>
            </w:tcBorders>
            <w:vAlign w:val="center"/>
          </w:tcPr>
          <w:p>
            <w:pPr>
              <w:pStyle w:val="119"/>
              <w:rPr>
                <w:rFonts w:hint="eastAsia"/>
                <w:color w:val="auto"/>
                <w:highlight w:val="none"/>
              </w:rPr>
            </w:pPr>
            <w:r>
              <w:rPr>
                <w:rFonts w:hint="eastAsia"/>
                <w:color w:val="auto"/>
                <w:highlight w:val="none"/>
              </w:rPr>
              <w:t>除臭间</w:t>
            </w:r>
          </w:p>
        </w:tc>
        <w:tc>
          <w:tcPr>
            <w:tcW w:w="1821" w:type="dxa"/>
            <w:tcBorders>
              <w:tl2br w:val="nil"/>
              <w:tr2bl w:val="nil"/>
            </w:tcBorders>
            <w:vAlign w:val="center"/>
          </w:tcPr>
          <w:p>
            <w:pPr>
              <w:pStyle w:val="119"/>
              <w:rPr>
                <w:rFonts w:hint="eastAsia"/>
                <w:color w:val="auto"/>
                <w:highlight w:val="none"/>
              </w:rPr>
            </w:pPr>
            <w:r>
              <w:rPr>
                <w:rFonts w:hint="eastAsia"/>
                <w:color w:val="auto"/>
                <w:highlight w:val="none"/>
              </w:rPr>
              <w:t>框架结构</w:t>
            </w:r>
          </w:p>
        </w:tc>
        <w:tc>
          <w:tcPr>
            <w:tcW w:w="1952" w:type="dxa"/>
            <w:tcBorders>
              <w:tl2br w:val="nil"/>
              <w:tr2bl w:val="nil"/>
            </w:tcBorders>
            <w:vAlign w:val="center"/>
          </w:tcPr>
          <w:p>
            <w:pPr>
              <w:pStyle w:val="119"/>
              <w:rPr>
                <w:rFonts w:hint="eastAsia"/>
                <w:color w:val="auto"/>
                <w:highlight w:val="none"/>
              </w:rPr>
            </w:pPr>
            <w:r>
              <w:rPr>
                <w:rFonts w:hint="eastAsia"/>
                <w:color w:val="auto"/>
                <w:highlight w:val="none"/>
              </w:rPr>
              <w:t>8.7×5.1m</w:t>
            </w:r>
          </w:p>
        </w:tc>
        <w:tc>
          <w:tcPr>
            <w:tcW w:w="1065" w:type="dxa"/>
            <w:tcBorders>
              <w:tl2br w:val="nil"/>
              <w:tr2bl w:val="nil"/>
            </w:tcBorders>
            <w:vAlign w:val="center"/>
          </w:tcPr>
          <w:p>
            <w:pPr>
              <w:pStyle w:val="119"/>
              <w:rPr>
                <w:rFonts w:hint="eastAsia"/>
                <w:color w:val="auto"/>
                <w:highlight w:val="none"/>
              </w:rPr>
            </w:pPr>
            <w:r>
              <w:rPr>
                <w:rFonts w:hint="eastAsia"/>
                <w:color w:val="auto"/>
                <w:highlight w:val="none"/>
              </w:rPr>
              <w:t>10.5m</w:t>
            </w:r>
          </w:p>
        </w:tc>
        <w:tc>
          <w:tcPr>
            <w:tcW w:w="2034" w:type="dxa"/>
            <w:tcBorders>
              <w:tl2br w:val="nil"/>
              <w:tr2bl w:val="nil"/>
            </w:tcBorders>
            <w:vAlign w:val="center"/>
          </w:tcPr>
          <w:p>
            <w:pPr>
              <w:pStyle w:val="119"/>
              <w:rPr>
                <w:rFonts w:hint="eastAsia"/>
                <w:color w:val="auto"/>
                <w:highlight w:val="none"/>
              </w:rPr>
            </w:pPr>
            <w:r>
              <w:rPr>
                <w:rFonts w:hint="eastAsia"/>
                <w:color w:val="auto"/>
                <w:highlight w:val="none"/>
              </w:rPr>
              <w:t>地上一层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2369" w:type="dxa"/>
            <w:tcBorders>
              <w:tl2br w:val="nil"/>
              <w:tr2bl w:val="nil"/>
            </w:tcBorders>
            <w:vAlign w:val="center"/>
          </w:tcPr>
          <w:p>
            <w:pPr>
              <w:pStyle w:val="119"/>
              <w:rPr>
                <w:rFonts w:hint="eastAsia"/>
                <w:color w:val="auto"/>
                <w:highlight w:val="none"/>
              </w:rPr>
            </w:pPr>
            <w:r>
              <w:rPr>
                <w:rFonts w:hint="eastAsia"/>
                <w:color w:val="auto"/>
                <w:highlight w:val="none"/>
              </w:rPr>
              <w:t>鼓风机房</w:t>
            </w:r>
          </w:p>
        </w:tc>
        <w:tc>
          <w:tcPr>
            <w:tcW w:w="1821" w:type="dxa"/>
            <w:tcBorders>
              <w:tl2br w:val="nil"/>
              <w:tr2bl w:val="nil"/>
            </w:tcBorders>
            <w:vAlign w:val="center"/>
          </w:tcPr>
          <w:p>
            <w:pPr>
              <w:pStyle w:val="119"/>
              <w:rPr>
                <w:rFonts w:hint="eastAsia"/>
                <w:color w:val="auto"/>
                <w:highlight w:val="none"/>
              </w:rPr>
            </w:pPr>
            <w:r>
              <w:rPr>
                <w:rFonts w:hint="eastAsia"/>
                <w:color w:val="auto"/>
                <w:highlight w:val="none"/>
              </w:rPr>
              <w:t>框架结构</w:t>
            </w:r>
          </w:p>
        </w:tc>
        <w:tc>
          <w:tcPr>
            <w:tcW w:w="1952" w:type="dxa"/>
            <w:tcBorders>
              <w:tl2br w:val="nil"/>
              <w:tr2bl w:val="nil"/>
            </w:tcBorders>
            <w:vAlign w:val="center"/>
          </w:tcPr>
          <w:p>
            <w:pPr>
              <w:pStyle w:val="119"/>
              <w:rPr>
                <w:rFonts w:hint="eastAsia"/>
                <w:color w:val="auto"/>
                <w:highlight w:val="none"/>
              </w:rPr>
            </w:pPr>
            <w:r>
              <w:rPr>
                <w:rFonts w:hint="eastAsia"/>
                <w:color w:val="auto"/>
                <w:highlight w:val="none"/>
              </w:rPr>
              <w:t>32.7×13.6m</w:t>
            </w:r>
          </w:p>
        </w:tc>
        <w:tc>
          <w:tcPr>
            <w:tcW w:w="1065" w:type="dxa"/>
            <w:tcBorders>
              <w:tl2br w:val="nil"/>
              <w:tr2bl w:val="nil"/>
            </w:tcBorders>
            <w:vAlign w:val="center"/>
          </w:tcPr>
          <w:p>
            <w:pPr>
              <w:pStyle w:val="119"/>
              <w:rPr>
                <w:rFonts w:hint="eastAsia"/>
                <w:color w:val="auto"/>
                <w:highlight w:val="none"/>
              </w:rPr>
            </w:pPr>
            <w:r>
              <w:rPr>
                <w:rFonts w:hint="eastAsia"/>
                <w:color w:val="auto"/>
                <w:highlight w:val="none"/>
              </w:rPr>
              <w:t>7.5m</w:t>
            </w:r>
          </w:p>
        </w:tc>
        <w:tc>
          <w:tcPr>
            <w:tcW w:w="2034" w:type="dxa"/>
            <w:tcBorders>
              <w:tl2br w:val="nil"/>
              <w:tr2bl w:val="nil"/>
            </w:tcBorders>
            <w:vAlign w:val="center"/>
          </w:tcPr>
          <w:p>
            <w:pPr>
              <w:pStyle w:val="119"/>
              <w:rPr>
                <w:rFonts w:hint="eastAsia"/>
                <w:color w:val="auto"/>
                <w:highlight w:val="none"/>
              </w:rPr>
            </w:pPr>
            <w:r>
              <w:rPr>
                <w:rFonts w:hint="eastAsia"/>
                <w:color w:val="auto"/>
                <w:highlight w:val="none"/>
              </w:rPr>
              <w:t>地上一层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2" w:hRule="atLeast"/>
          <w:jc w:val="center"/>
        </w:trPr>
        <w:tc>
          <w:tcPr>
            <w:tcW w:w="2369" w:type="dxa"/>
            <w:tcBorders>
              <w:tl2br w:val="nil"/>
              <w:tr2bl w:val="nil"/>
            </w:tcBorders>
            <w:vAlign w:val="center"/>
          </w:tcPr>
          <w:p>
            <w:pPr>
              <w:pStyle w:val="119"/>
              <w:rPr>
                <w:rFonts w:hint="eastAsia"/>
                <w:color w:val="auto"/>
                <w:highlight w:val="none"/>
              </w:rPr>
            </w:pPr>
            <w:r>
              <w:rPr>
                <w:rFonts w:hint="eastAsia"/>
                <w:color w:val="auto"/>
                <w:highlight w:val="none"/>
              </w:rPr>
              <w:t>污泥脱水机房</w:t>
            </w:r>
          </w:p>
        </w:tc>
        <w:tc>
          <w:tcPr>
            <w:tcW w:w="1821" w:type="dxa"/>
            <w:tcBorders>
              <w:tl2br w:val="nil"/>
              <w:tr2bl w:val="nil"/>
            </w:tcBorders>
            <w:vAlign w:val="center"/>
          </w:tcPr>
          <w:p>
            <w:pPr>
              <w:pStyle w:val="119"/>
              <w:rPr>
                <w:rFonts w:hint="eastAsia"/>
                <w:color w:val="auto"/>
                <w:highlight w:val="none"/>
              </w:rPr>
            </w:pPr>
            <w:r>
              <w:rPr>
                <w:rFonts w:hint="eastAsia"/>
                <w:color w:val="auto"/>
                <w:highlight w:val="none"/>
              </w:rPr>
              <w:t>框架结构</w:t>
            </w:r>
          </w:p>
        </w:tc>
        <w:tc>
          <w:tcPr>
            <w:tcW w:w="1952" w:type="dxa"/>
            <w:tcBorders>
              <w:tl2br w:val="nil"/>
              <w:tr2bl w:val="nil"/>
            </w:tcBorders>
            <w:vAlign w:val="center"/>
          </w:tcPr>
          <w:p>
            <w:pPr>
              <w:pStyle w:val="119"/>
              <w:rPr>
                <w:rFonts w:hint="eastAsia"/>
                <w:color w:val="auto"/>
                <w:highlight w:val="none"/>
              </w:rPr>
            </w:pPr>
            <w:r>
              <w:rPr>
                <w:rFonts w:hint="eastAsia"/>
                <w:color w:val="auto"/>
                <w:highlight w:val="none"/>
              </w:rPr>
              <w:t>22.0×16.5m</w:t>
            </w:r>
          </w:p>
        </w:tc>
        <w:tc>
          <w:tcPr>
            <w:tcW w:w="1065" w:type="dxa"/>
            <w:tcBorders>
              <w:tl2br w:val="nil"/>
              <w:tr2bl w:val="nil"/>
            </w:tcBorders>
            <w:vAlign w:val="center"/>
          </w:tcPr>
          <w:p>
            <w:pPr>
              <w:pStyle w:val="119"/>
              <w:rPr>
                <w:rFonts w:hint="eastAsia"/>
                <w:color w:val="auto"/>
                <w:highlight w:val="none"/>
              </w:rPr>
            </w:pPr>
            <w:r>
              <w:rPr>
                <w:rFonts w:hint="eastAsia"/>
                <w:color w:val="auto"/>
                <w:highlight w:val="none"/>
              </w:rPr>
              <w:t>4.5m</w:t>
            </w:r>
          </w:p>
        </w:tc>
        <w:tc>
          <w:tcPr>
            <w:tcW w:w="2034" w:type="dxa"/>
            <w:tcBorders>
              <w:tl2br w:val="nil"/>
              <w:tr2bl w:val="nil"/>
            </w:tcBorders>
            <w:vAlign w:val="center"/>
          </w:tcPr>
          <w:p>
            <w:pPr>
              <w:pStyle w:val="119"/>
              <w:rPr>
                <w:rFonts w:hint="eastAsia"/>
                <w:color w:val="auto"/>
                <w:highlight w:val="none"/>
              </w:rPr>
            </w:pPr>
            <w:r>
              <w:rPr>
                <w:rFonts w:hint="eastAsia"/>
                <w:color w:val="auto"/>
                <w:highlight w:val="none"/>
              </w:rPr>
              <w:t>地上一层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2369" w:type="dxa"/>
            <w:tcBorders>
              <w:tl2br w:val="nil"/>
              <w:tr2bl w:val="nil"/>
            </w:tcBorders>
            <w:vAlign w:val="center"/>
          </w:tcPr>
          <w:p>
            <w:pPr>
              <w:pStyle w:val="119"/>
              <w:rPr>
                <w:rFonts w:hint="eastAsia"/>
                <w:color w:val="auto"/>
                <w:highlight w:val="none"/>
              </w:rPr>
            </w:pPr>
            <w:r>
              <w:rPr>
                <w:rFonts w:hint="eastAsia"/>
                <w:color w:val="auto"/>
                <w:highlight w:val="none"/>
              </w:rPr>
              <w:t>回用水泵房</w:t>
            </w:r>
          </w:p>
        </w:tc>
        <w:tc>
          <w:tcPr>
            <w:tcW w:w="1821" w:type="dxa"/>
            <w:tcBorders>
              <w:tl2br w:val="nil"/>
              <w:tr2bl w:val="nil"/>
            </w:tcBorders>
            <w:vAlign w:val="center"/>
          </w:tcPr>
          <w:p>
            <w:pPr>
              <w:pStyle w:val="119"/>
              <w:rPr>
                <w:rFonts w:hint="eastAsia"/>
                <w:color w:val="auto"/>
                <w:highlight w:val="none"/>
              </w:rPr>
            </w:pPr>
            <w:r>
              <w:rPr>
                <w:rFonts w:hint="eastAsia"/>
                <w:color w:val="auto"/>
                <w:highlight w:val="none"/>
              </w:rPr>
              <w:t>框架结构</w:t>
            </w:r>
          </w:p>
        </w:tc>
        <w:tc>
          <w:tcPr>
            <w:tcW w:w="1952" w:type="dxa"/>
            <w:tcBorders>
              <w:tl2br w:val="nil"/>
              <w:tr2bl w:val="nil"/>
            </w:tcBorders>
            <w:vAlign w:val="center"/>
          </w:tcPr>
          <w:p>
            <w:pPr>
              <w:pStyle w:val="119"/>
              <w:rPr>
                <w:rFonts w:hint="eastAsia"/>
                <w:color w:val="auto"/>
                <w:highlight w:val="none"/>
              </w:rPr>
            </w:pPr>
            <w:r>
              <w:rPr>
                <w:rFonts w:hint="eastAsia"/>
                <w:color w:val="auto"/>
                <w:highlight w:val="none"/>
              </w:rPr>
              <w:t>22.0×9.3m</w:t>
            </w:r>
          </w:p>
        </w:tc>
        <w:tc>
          <w:tcPr>
            <w:tcW w:w="1065" w:type="dxa"/>
            <w:tcBorders>
              <w:tl2br w:val="nil"/>
              <w:tr2bl w:val="nil"/>
            </w:tcBorders>
            <w:vAlign w:val="center"/>
          </w:tcPr>
          <w:p>
            <w:pPr>
              <w:pStyle w:val="119"/>
              <w:rPr>
                <w:rFonts w:hint="eastAsia"/>
                <w:color w:val="auto"/>
                <w:highlight w:val="none"/>
              </w:rPr>
            </w:pPr>
            <w:r>
              <w:rPr>
                <w:rFonts w:hint="eastAsia"/>
                <w:color w:val="auto"/>
                <w:highlight w:val="none"/>
              </w:rPr>
              <w:t>7.5m</w:t>
            </w:r>
          </w:p>
        </w:tc>
        <w:tc>
          <w:tcPr>
            <w:tcW w:w="2034" w:type="dxa"/>
            <w:tcBorders>
              <w:tl2br w:val="nil"/>
              <w:tr2bl w:val="nil"/>
            </w:tcBorders>
            <w:vAlign w:val="center"/>
          </w:tcPr>
          <w:p>
            <w:pPr>
              <w:pStyle w:val="119"/>
              <w:rPr>
                <w:rFonts w:hint="eastAsia"/>
                <w:color w:val="auto"/>
                <w:highlight w:val="none"/>
              </w:rPr>
            </w:pPr>
            <w:r>
              <w:rPr>
                <w:rFonts w:hint="eastAsia"/>
                <w:color w:val="auto"/>
                <w:highlight w:val="none"/>
              </w:rPr>
              <w:t>地上一层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2369" w:type="dxa"/>
            <w:tcBorders>
              <w:tl2br w:val="nil"/>
              <w:tr2bl w:val="nil"/>
            </w:tcBorders>
            <w:vAlign w:val="center"/>
          </w:tcPr>
          <w:p>
            <w:pPr>
              <w:pStyle w:val="119"/>
              <w:rPr>
                <w:rFonts w:hint="eastAsia"/>
                <w:color w:val="auto"/>
                <w:highlight w:val="none"/>
              </w:rPr>
            </w:pPr>
            <w:r>
              <w:rPr>
                <w:rFonts w:hint="eastAsia"/>
                <w:color w:val="auto"/>
                <w:highlight w:val="none"/>
              </w:rPr>
              <w:t>清水池</w:t>
            </w:r>
          </w:p>
        </w:tc>
        <w:tc>
          <w:tcPr>
            <w:tcW w:w="1821" w:type="dxa"/>
            <w:tcBorders>
              <w:tl2br w:val="nil"/>
              <w:tr2bl w:val="nil"/>
            </w:tcBorders>
            <w:vAlign w:val="center"/>
          </w:tcPr>
          <w:p>
            <w:pPr>
              <w:pStyle w:val="119"/>
              <w:rPr>
                <w:rFonts w:hint="eastAsia"/>
                <w:color w:val="auto"/>
                <w:highlight w:val="none"/>
              </w:rPr>
            </w:pPr>
            <w:r>
              <w:rPr>
                <w:rFonts w:hint="eastAsia"/>
                <w:color w:val="auto"/>
                <w:highlight w:val="none"/>
              </w:rPr>
              <w:t>钢砼结构</w:t>
            </w:r>
          </w:p>
        </w:tc>
        <w:tc>
          <w:tcPr>
            <w:tcW w:w="1952" w:type="dxa"/>
            <w:tcBorders>
              <w:tl2br w:val="nil"/>
              <w:tr2bl w:val="nil"/>
            </w:tcBorders>
            <w:vAlign w:val="center"/>
          </w:tcPr>
          <w:p>
            <w:pPr>
              <w:pStyle w:val="119"/>
              <w:rPr>
                <w:rFonts w:hint="eastAsia"/>
                <w:color w:val="auto"/>
                <w:highlight w:val="none"/>
              </w:rPr>
            </w:pPr>
            <w:r>
              <w:rPr>
                <w:rFonts w:hint="eastAsia"/>
                <w:color w:val="auto"/>
                <w:highlight w:val="none"/>
              </w:rPr>
              <w:t>16.0m×16.0m</w:t>
            </w:r>
          </w:p>
        </w:tc>
        <w:tc>
          <w:tcPr>
            <w:tcW w:w="1065" w:type="dxa"/>
            <w:tcBorders>
              <w:tl2br w:val="nil"/>
              <w:tr2bl w:val="nil"/>
            </w:tcBorders>
            <w:vAlign w:val="center"/>
          </w:tcPr>
          <w:p>
            <w:pPr>
              <w:pStyle w:val="119"/>
              <w:rPr>
                <w:rFonts w:hint="eastAsia"/>
                <w:color w:val="auto"/>
                <w:highlight w:val="none"/>
              </w:rPr>
            </w:pPr>
            <w:r>
              <w:rPr>
                <w:rFonts w:hint="eastAsia"/>
                <w:color w:val="auto"/>
                <w:highlight w:val="none"/>
              </w:rPr>
              <w:t>5.0m</w:t>
            </w:r>
          </w:p>
        </w:tc>
        <w:tc>
          <w:tcPr>
            <w:tcW w:w="2034" w:type="dxa"/>
            <w:tcBorders>
              <w:tl2br w:val="nil"/>
              <w:tr2bl w:val="nil"/>
            </w:tcBorders>
            <w:vAlign w:val="center"/>
          </w:tcPr>
          <w:p>
            <w:pPr>
              <w:pStyle w:val="119"/>
              <w:rPr>
                <w:rFonts w:hint="eastAsia"/>
                <w:color w:val="auto"/>
                <w:highlight w:val="none"/>
              </w:rPr>
            </w:pPr>
            <w:r>
              <w:rPr>
                <w:rFonts w:hint="eastAsia"/>
                <w:color w:val="auto"/>
                <w:highlight w:val="none"/>
              </w:rPr>
              <w:t>地上一层</w:t>
            </w:r>
          </w:p>
          <w:p>
            <w:pPr>
              <w:pStyle w:val="119"/>
              <w:rPr>
                <w:rFonts w:hint="eastAsia"/>
                <w:color w:val="auto"/>
                <w:highlight w:val="none"/>
              </w:rPr>
            </w:pPr>
            <w:r>
              <w:rPr>
                <w:rFonts w:hint="eastAsia"/>
                <w:color w:val="auto"/>
                <w:highlight w:val="none"/>
              </w:rPr>
              <w:t>地下一层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2369" w:type="dxa"/>
            <w:tcBorders>
              <w:tl2br w:val="nil"/>
              <w:tr2bl w:val="nil"/>
            </w:tcBorders>
            <w:vAlign w:val="center"/>
          </w:tcPr>
          <w:p>
            <w:pPr>
              <w:pStyle w:val="119"/>
              <w:rPr>
                <w:rFonts w:hint="eastAsia"/>
                <w:color w:val="auto"/>
                <w:highlight w:val="none"/>
              </w:rPr>
            </w:pPr>
            <w:r>
              <w:rPr>
                <w:rFonts w:hint="eastAsia"/>
                <w:color w:val="auto"/>
                <w:highlight w:val="none"/>
              </w:rPr>
              <w:t>综合楼</w:t>
            </w:r>
          </w:p>
        </w:tc>
        <w:tc>
          <w:tcPr>
            <w:tcW w:w="1821" w:type="dxa"/>
            <w:tcBorders>
              <w:tl2br w:val="nil"/>
              <w:tr2bl w:val="nil"/>
            </w:tcBorders>
            <w:vAlign w:val="center"/>
          </w:tcPr>
          <w:p>
            <w:pPr>
              <w:pStyle w:val="119"/>
              <w:rPr>
                <w:rFonts w:hint="eastAsia"/>
                <w:color w:val="auto"/>
                <w:highlight w:val="none"/>
              </w:rPr>
            </w:pPr>
            <w:r>
              <w:rPr>
                <w:rFonts w:hint="eastAsia"/>
                <w:color w:val="auto"/>
                <w:highlight w:val="none"/>
              </w:rPr>
              <w:t>框架结构</w:t>
            </w:r>
          </w:p>
        </w:tc>
        <w:tc>
          <w:tcPr>
            <w:tcW w:w="1952" w:type="dxa"/>
            <w:tcBorders>
              <w:tl2br w:val="nil"/>
              <w:tr2bl w:val="nil"/>
            </w:tcBorders>
            <w:vAlign w:val="center"/>
          </w:tcPr>
          <w:p>
            <w:pPr>
              <w:pStyle w:val="119"/>
              <w:rPr>
                <w:rFonts w:hint="eastAsia"/>
                <w:color w:val="auto"/>
                <w:highlight w:val="none"/>
              </w:rPr>
            </w:pPr>
            <w:r>
              <w:rPr>
                <w:rFonts w:hint="eastAsia"/>
                <w:color w:val="auto"/>
                <w:highlight w:val="none"/>
              </w:rPr>
              <w:t>46.8×15.0m</w:t>
            </w:r>
          </w:p>
        </w:tc>
        <w:tc>
          <w:tcPr>
            <w:tcW w:w="1065" w:type="dxa"/>
            <w:tcBorders>
              <w:tl2br w:val="nil"/>
              <w:tr2bl w:val="nil"/>
            </w:tcBorders>
            <w:vAlign w:val="center"/>
          </w:tcPr>
          <w:p>
            <w:pPr>
              <w:pStyle w:val="119"/>
              <w:rPr>
                <w:rFonts w:hint="eastAsia"/>
                <w:color w:val="auto"/>
                <w:highlight w:val="none"/>
              </w:rPr>
            </w:pPr>
            <w:r>
              <w:rPr>
                <w:rFonts w:hint="eastAsia"/>
                <w:color w:val="auto"/>
                <w:highlight w:val="none"/>
              </w:rPr>
              <w:t>7.65m</w:t>
            </w:r>
          </w:p>
        </w:tc>
        <w:tc>
          <w:tcPr>
            <w:tcW w:w="2034" w:type="dxa"/>
            <w:tcBorders>
              <w:tl2br w:val="nil"/>
              <w:tr2bl w:val="nil"/>
            </w:tcBorders>
            <w:vAlign w:val="center"/>
          </w:tcPr>
          <w:p>
            <w:pPr>
              <w:pStyle w:val="119"/>
              <w:rPr>
                <w:rFonts w:hint="eastAsia"/>
                <w:color w:val="auto"/>
                <w:highlight w:val="none"/>
              </w:rPr>
            </w:pPr>
            <w:r>
              <w:rPr>
                <w:rFonts w:hint="eastAsia"/>
                <w:color w:val="auto"/>
                <w:highlight w:val="none"/>
              </w:rPr>
              <w:t>地上二层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2369" w:type="dxa"/>
            <w:tcBorders>
              <w:tl2br w:val="nil"/>
              <w:tr2bl w:val="nil"/>
            </w:tcBorders>
            <w:vAlign w:val="center"/>
          </w:tcPr>
          <w:p>
            <w:pPr>
              <w:pStyle w:val="119"/>
              <w:rPr>
                <w:rFonts w:hint="eastAsia"/>
                <w:color w:val="auto"/>
                <w:highlight w:val="none"/>
              </w:rPr>
            </w:pPr>
            <w:r>
              <w:rPr>
                <w:rFonts w:hint="eastAsia"/>
                <w:color w:val="auto"/>
                <w:highlight w:val="none"/>
              </w:rPr>
              <w:t>机修、仓库、及车库</w:t>
            </w:r>
          </w:p>
        </w:tc>
        <w:tc>
          <w:tcPr>
            <w:tcW w:w="1821" w:type="dxa"/>
            <w:tcBorders>
              <w:tl2br w:val="nil"/>
              <w:tr2bl w:val="nil"/>
            </w:tcBorders>
            <w:vAlign w:val="center"/>
          </w:tcPr>
          <w:p>
            <w:pPr>
              <w:pStyle w:val="119"/>
              <w:rPr>
                <w:rFonts w:hint="eastAsia"/>
                <w:color w:val="auto"/>
                <w:highlight w:val="none"/>
              </w:rPr>
            </w:pPr>
            <w:r>
              <w:rPr>
                <w:rFonts w:hint="eastAsia"/>
                <w:color w:val="auto"/>
                <w:highlight w:val="none"/>
              </w:rPr>
              <w:t>框架结构</w:t>
            </w:r>
          </w:p>
        </w:tc>
        <w:tc>
          <w:tcPr>
            <w:tcW w:w="1952" w:type="dxa"/>
            <w:tcBorders>
              <w:tl2br w:val="nil"/>
              <w:tr2bl w:val="nil"/>
            </w:tcBorders>
            <w:vAlign w:val="center"/>
          </w:tcPr>
          <w:p>
            <w:pPr>
              <w:pStyle w:val="119"/>
              <w:rPr>
                <w:rFonts w:hint="eastAsia"/>
                <w:color w:val="auto"/>
                <w:highlight w:val="none"/>
              </w:rPr>
            </w:pPr>
            <w:r>
              <w:rPr>
                <w:rFonts w:hint="eastAsia"/>
                <w:color w:val="auto"/>
                <w:highlight w:val="none"/>
              </w:rPr>
              <w:t>33.9×10.8m</w:t>
            </w:r>
          </w:p>
        </w:tc>
        <w:tc>
          <w:tcPr>
            <w:tcW w:w="1065" w:type="dxa"/>
            <w:tcBorders>
              <w:tl2br w:val="nil"/>
              <w:tr2bl w:val="nil"/>
            </w:tcBorders>
            <w:vAlign w:val="center"/>
          </w:tcPr>
          <w:p>
            <w:pPr>
              <w:pStyle w:val="119"/>
              <w:rPr>
                <w:rFonts w:hint="eastAsia"/>
                <w:color w:val="auto"/>
                <w:highlight w:val="none"/>
              </w:rPr>
            </w:pPr>
            <w:r>
              <w:rPr>
                <w:rFonts w:hint="eastAsia"/>
                <w:color w:val="auto"/>
                <w:highlight w:val="none"/>
              </w:rPr>
              <w:t>5.1m</w:t>
            </w:r>
          </w:p>
        </w:tc>
        <w:tc>
          <w:tcPr>
            <w:tcW w:w="2034" w:type="dxa"/>
            <w:tcBorders>
              <w:tl2br w:val="nil"/>
              <w:tr2bl w:val="nil"/>
            </w:tcBorders>
            <w:vAlign w:val="center"/>
          </w:tcPr>
          <w:p>
            <w:pPr>
              <w:pStyle w:val="119"/>
              <w:rPr>
                <w:rFonts w:hint="eastAsia"/>
                <w:color w:val="auto"/>
                <w:highlight w:val="none"/>
              </w:rPr>
            </w:pPr>
            <w:r>
              <w:rPr>
                <w:rFonts w:hint="eastAsia"/>
                <w:color w:val="auto"/>
                <w:highlight w:val="none"/>
              </w:rPr>
              <w:t>地上一层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2369" w:type="dxa"/>
            <w:tcBorders>
              <w:tl2br w:val="nil"/>
              <w:tr2bl w:val="nil"/>
            </w:tcBorders>
            <w:vAlign w:val="center"/>
          </w:tcPr>
          <w:p>
            <w:pPr>
              <w:pStyle w:val="119"/>
              <w:rPr>
                <w:rFonts w:hint="eastAsia"/>
                <w:color w:val="auto"/>
                <w:highlight w:val="none"/>
              </w:rPr>
            </w:pPr>
            <w:r>
              <w:rPr>
                <w:rFonts w:hint="eastAsia"/>
                <w:color w:val="auto"/>
                <w:highlight w:val="none"/>
              </w:rPr>
              <w:t>锅炉房</w:t>
            </w:r>
          </w:p>
        </w:tc>
        <w:tc>
          <w:tcPr>
            <w:tcW w:w="1821" w:type="dxa"/>
            <w:tcBorders>
              <w:tl2br w:val="nil"/>
              <w:tr2bl w:val="nil"/>
            </w:tcBorders>
            <w:vAlign w:val="center"/>
          </w:tcPr>
          <w:p>
            <w:pPr>
              <w:pStyle w:val="119"/>
              <w:rPr>
                <w:rFonts w:hint="eastAsia"/>
                <w:color w:val="auto"/>
                <w:highlight w:val="none"/>
              </w:rPr>
            </w:pPr>
            <w:r>
              <w:rPr>
                <w:rFonts w:hint="eastAsia"/>
                <w:color w:val="auto"/>
                <w:highlight w:val="none"/>
              </w:rPr>
              <w:t>框架结构</w:t>
            </w:r>
          </w:p>
        </w:tc>
        <w:tc>
          <w:tcPr>
            <w:tcW w:w="1952" w:type="dxa"/>
            <w:tcBorders>
              <w:tl2br w:val="nil"/>
              <w:tr2bl w:val="nil"/>
            </w:tcBorders>
            <w:vAlign w:val="center"/>
          </w:tcPr>
          <w:p>
            <w:pPr>
              <w:pStyle w:val="119"/>
              <w:rPr>
                <w:rFonts w:hint="eastAsia"/>
                <w:color w:val="auto"/>
                <w:highlight w:val="none"/>
              </w:rPr>
            </w:pPr>
            <w:r>
              <w:rPr>
                <w:rFonts w:hint="eastAsia"/>
                <w:color w:val="auto"/>
                <w:highlight w:val="none"/>
              </w:rPr>
              <w:t>21.6×13.5m</w:t>
            </w:r>
          </w:p>
        </w:tc>
        <w:tc>
          <w:tcPr>
            <w:tcW w:w="1065" w:type="dxa"/>
            <w:tcBorders>
              <w:tl2br w:val="nil"/>
              <w:tr2bl w:val="nil"/>
            </w:tcBorders>
            <w:vAlign w:val="center"/>
          </w:tcPr>
          <w:p>
            <w:pPr>
              <w:pStyle w:val="119"/>
              <w:rPr>
                <w:rFonts w:hint="eastAsia"/>
                <w:color w:val="auto"/>
                <w:highlight w:val="none"/>
              </w:rPr>
            </w:pPr>
            <w:r>
              <w:rPr>
                <w:rFonts w:hint="eastAsia"/>
                <w:color w:val="auto"/>
                <w:highlight w:val="none"/>
              </w:rPr>
              <w:t>6.5m</w:t>
            </w:r>
          </w:p>
        </w:tc>
        <w:tc>
          <w:tcPr>
            <w:tcW w:w="2034" w:type="dxa"/>
            <w:tcBorders>
              <w:tl2br w:val="nil"/>
              <w:tr2bl w:val="nil"/>
            </w:tcBorders>
            <w:vAlign w:val="center"/>
          </w:tcPr>
          <w:p>
            <w:pPr>
              <w:pStyle w:val="119"/>
              <w:rPr>
                <w:rFonts w:hint="eastAsia"/>
                <w:color w:val="auto"/>
                <w:highlight w:val="none"/>
              </w:rPr>
            </w:pPr>
            <w:r>
              <w:rPr>
                <w:rFonts w:hint="eastAsia"/>
                <w:color w:val="auto"/>
                <w:highlight w:val="none"/>
              </w:rPr>
              <w:t>地上一层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2369" w:type="dxa"/>
            <w:tcBorders>
              <w:tl2br w:val="nil"/>
              <w:tr2bl w:val="nil"/>
            </w:tcBorders>
            <w:vAlign w:val="center"/>
          </w:tcPr>
          <w:p>
            <w:pPr>
              <w:pStyle w:val="119"/>
              <w:rPr>
                <w:rFonts w:hint="eastAsia"/>
                <w:color w:val="auto"/>
                <w:highlight w:val="none"/>
              </w:rPr>
            </w:pPr>
            <w:r>
              <w:rPr>
                <w:rFonts w:hint="eastAsia"/>
                <w:color w:val="auto"/>
                <w:highlight w:val="none"/>
              </w:rPr>
              <w:t>值班室</w:t>
            </w:r>
          </w:p>
        </w:tc>
        <w:tc>
          <w:tcPr>
            <w:tcW w:w="1821" w:type="dxa"/>
            <w:tcBorders>
              <w:tl2br w:val="nil"/>
              <w:tr2bl w:val="nil"/>
            </w:tcBorders>
            <w:vAlign w:val="center"/>
          </w:tcPr>
          <w:p>
            <w:pPr>
              <w:pStyle w:val="119"/>
              <w:rPr>
                <w:rFonts w:hint="eastAsia"/>
                <w:color w:val="auto"/>
                <w:highlight w:val="none"/>
              </w:rPr>
            </w:pPr>
            <w:r>
              <w:rPr>
                <w:rFonts w:hint="eastAsia"/>
                <w:color w:val="auto"/>
                <w:highlight w:val="none"/>
              </w:rPr>
              <w:t>砖混结构</w:t>
            </w:r>
          </w:p>
        </w:tc>
        <w:tc>
          <w:tcPr>
            <w:tcW w:w="1952" w:type="dxa"/>
            <w:tcBorders>
              <w:tl2br w:val="nil"/>
              <w:tr2bl w:val="nil"/>
            </w:tcBorders>
            <w:vAlign w:val="center"/>
          </w:tcPr>
          <w:p>
            <w:pPr>
              <w:pStyle w:val="119"/>
              <w:rPr>
                <w:rFonts w:hint="eastAsia"/>
                <w:color w:val="auto"/>
                <w:highlight w:val="none"/>
              </w:rPr>
            </w:pPr>
            <w:r>
              <w:rPr>
                <w:rFonts w:hint="eastAsia"/>
                <w:color w:val="auto"/>
                <w:highlight w:val="none"/>
              </w:rPr>
              <w:t>6.0×5.7m</w:t>
            </w:r>
          </w:p>
        </w:tc>
        <w:tc>
          <w:tcPr>
            <w:tcW w:w="1065" w:type="dxa"/>
            <w:tcBorders>
              <w:tl2br w:val="nil"/>
              <w:tr2bl w:val="nil"/>
            </w:tcBorders>
            <w:vAlign w:val="center"/>
          </w:tcPr>
          <w:p>
            <w:pPr>
              <w:pStyle w:val="119"/>
              <w:rPr>
                <w:rFonts w:hint="eastAsia"/>
                <w:color w:val="auto"/>
                <w:highlight w:val="none"/>
              </w:rPr>
            </w:pPr>
            <w:r>
              <w:rPr>
                <w:rFonts w:hint="eastAsia"/>
                <w:color w:val="auto"/>
                <w:highlight w:val="none"/>
              </w:rPr>
              <w:t>3.6m</w:t>
            </w:r>
          </w:p>
        </w:tc>
        <w:tc>
          <w:tcPr>
            <w:tcW w:w="2034" w:type="dxa"/>
            <w:tcBorders>
              <w:tl2br w:val="nil"/>
              <w:tr2bl w:val="nil"/>
            </w:tcBorders>
            <w:vAlign w:val="center"/>
          </w:tcPr>
          <w:p>
            <w:pPr>
              <w:pStyle w:val="119"/>
              <w:rPr>
                <w:rFonts w:hint="eastAsia"/>
                <w:color w:val="auto"/>
                <w:highlight w:val="none"/>
              </w:rPr>
            </w:pPr>
            <w:r>
              <w:rPr>
                <w:rFonts w:hint="eastAsia"/>
                <w:color w:val="auto"/>
                <w:highlight w:val="none"/>
              </w:rPr>
              <w:t>地上一层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2369" w:type="dxa"/>
            <w:tcBorders>
              <w:tl2br w:val="nil"/>
              <w:tr2bl w:val="nil"/>
            </w:tcBorders>
            <w:vAlign w:val="center"/>
          </w:tcPr>
          <w:p>
            <w:pPr>
              <w:pStyle w:val="119"/>
              <w:rPr>
                <w:rFonts w:hint="eastAsia"/>
                <w:color w:val="auto"/>
                <w:highlight w:val="none"/>
              </w:rPr>
            </w:pPr>
            <w:r>
              <w:rPr>
                <w:rFonts w:hint="eastAsia"/>
                <w:color w:val="auto"/>
                <w:highlight w:val="none"/>
              </w:rPr>
              <w:t>配电间</w:t>
            </w:r>
          </w:p>
        </w:tc>
        <w:tc>
          <w:tcPr>
            <w:tcW w:w="1821" w:type="dxa"/>
            <w:tcBorders>
              <w:tl2br w:val="nil"/>
              <w:tr2bl w:val="nil"/>
            </w:tcBorders>
            <w:vAlign w:val="center"/>
          </w:tcPr>
          <w:p>
            <w:pPr>
              <w:pStyle w:val="119"/>
              <w:rPr>
                <w:rFonts w:hint="eastAsia"/>
                <w:color w:val="auto"/>
                <w:highlight w:val="none"/>
              </w:rPr>
            </w:pPr>
            <w:r>
              <w:rPr>
                <w:rFonts w:hint="eastAsia"/>
                <w:color w:val="auto"/>
                <w:highlight w:val="none"/>
              </w:rPr>
              <w:t>框架结构</w:t>
            </w:r>
          </w:p>
        </w:tc>
        <w:tc>
          <w:tcPr>
            <w:tcW w:w="1952" w:type="dxa"/>
            <w:tcBorders>
              <w:tl2br w:val="nil"/>
              <w:tr2bl w:val="nil"/>
            </w:tcBorders>
            <w:vAlign w:val="center"/>
          </w:tcPr>
          <w:p>
            <w:pPr>
              <w:pStyle w:val="119"/>
              <w:rPr>
                <w:rFonts w:hint="eastAsia"/>
                <w:color w:val="auto"/>
                <w:highlight w:val="none"/>
              </w:rPr>
            </w:pPr>
            <w:r>
              <w:rPr>
                <w:rFonts w:hint="eastAsia"/>
                <w:color w:val="auto"/>
                <w:highlight w:val="none"/>
              </w:rPr>
              <w:t>15.0×8.0m</w:t>
            </w:r>
          </w:p>
        </w:tc>
        <w:tc>
          <w:tcPr>
            <w:tcW w:w="1065" w:type="dxa"/>
            <w:tcBorders>
              <w:tl2br w:val="nil"/>
              <w:tr2bl w:val="nil"/>
            </w:tcBorders>
            <w:vAlign w:val="center"/>
          </w:tcPr>
          <w:p>
            <w:pPr>
              <w:pStyle w:val="119"/>
              <w:rPr>
                <w:rFonts w:hint="eastAsia"/>
                <w:color w:val="auto"/>
                <w:highlight w:val="none"/>
              </w:rPr>
            </w:pPr>
            <w:r>
              <w:rPr>
                <w:rFonts w:hint="eastAsia"/>
                <w:color w:val="auto"/>
                <w:highlight w:val="none"/>
              </w:rPr>
              <w:t>3.9m</w:t>
            </w:r>
          </w:p>
        </w:tc>
        <w:tc>
          <w:tcPr>
            <w:tcW w:w="2034" w:type="dxa"/>
            <w:tcBorders>
              <w:tl2br w:val="nil"/>
              <w:tr2bl w:val="nil"/>
            </w:tcBorders>
            <w:vAlign w:val="center"/>
          </w:tcPr>
          <w:p>
            <w:pPr>
              <w:pStyle w:val="119"/>
              <w:rPr>
                <w:rFonts w:hint="eastAsia"/>
                <w:color w:val="auto"/>
                <w:highlight w:val="none"/>
              </w:rPr>
            </w:pPr>
            <w:r>
              <w:rPr>
                <w:rFonts w:hint="eastAsia"/>
                <w:color w:val="auto"/>
                <w:highlight w:val="none"/>
              </w:rPr>
              <w:t>地上一层</w:t>
            </w:r>
          </w:p>
        </w:tc>
      </w:tr>
    </w:tbl>
    <w:p>
      <w:pPr>
        <w:pStyle w:val="5"/>
        <w:rPr>
          <w:rFonts w:hint="default" w:ascii="Times New Roman" w:hAnsi="Times New Roman" w:cs="Times New Roman"/>
          <w:color w:val="auto"/>
          <w:highlight w:val="none"/>
        </w:rPr>
      </w:pPr>
      <w:r>
        <w:rPr>
          <w:rFonts w:hint="eastAsia" w:cs="Times New Roman"/>
          <w:color w:val="auto"/>
          <w:highlight w:val="none"/>
          <w:lang w:val="en-US" w:eastAsia="zh-CN"/>
        </w:rPr>
        <w:t>现有生产工艺流程</w:t>
      </w:r>
    </w:p>
    <w:p>
      <w:pPr>
        <w:rPr>
          <w:rFonts w:hint="default"/>
          <w:color w:val="auto"/>
          <w:highlight w:val="none"/>
        </w:rPr>
      </w:pPr>
    </w:p>
    <w:p>
      <w:pPr>
        <w:rPr>
          <w:rFonts w:hint="default"/>
          <w:color w:val="auto"/>
          <w:highlight w:val="none"/>
        </w:rPr>
      </w:pPr>
      <w:r>
        <w:rPr>
          <w:color w:val="auto"/>
          <w:highlight w:val="none"/>
        </w:rPr>
        <w:drawing>
          <wp:inline distT="0" distB="0" distL="114300" distR="114300">
            <wp:extent cx="5459730" cy="1541145"/>
            <wp:effectExtent l="0" t="0" r="7620" b="190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6"/>
                    <a:stretch>
                      <a:fillRect/>
                    </a:stretch>
                  </pic:blipFill>
                  <pic:spPr>
                    <a:xfrm>
                      <a:off x="0" y="0"/>
                      <a:ext cx="5459730" cy="1541145"/>
                    </a:xfrm>
                    <a:prstGeom prst="rect">
                      <a:avLst/>
                    </a:prstGeom>
                    <a:noFill/>
                    <a:ln>
                      <a:noFill/>
                    </a:ln>
                  </pic:spPr>
                </pic:pic>
              </a:graphicData>
            </a:graphic>
          </wp:inline>
        </w:drawing>
      </w:r>
    </w:p>
    <w:p>
      <w:pPr>
        <w:bidi w:val="0"/>
        <w:jc w:val="center"/>
        <w:rPr>
          <w:rFonts w:hint="eastAsia" w:ascii="黑体" w:hAnsi="黑体" w:eastAsia="黑体" w:cs="黑体"/>
          <w:b/>
          <w:bCs/>
          <w:color w:val="auto"/>
          <w:highlight w:val="none"/>
          <w:lang w:val="en-US" w:eastAsia="zh-CN"/>
        </w:rPr>
      </w:pPr>
      <w:r>
        <w:rPr>
          <w:rFonts w:hint="eastAsia" w:ascii="黑体" w:hAnsi="黑体" w:eastAsia="黑体" w:cs="黑体"/>
          <w:b/>
          <w:bCs/>
          <w:color w:val="auto"/>
          <w:highlight w:val="none"/>
          <w:lang w:val="en-US" w:eastAsia="zh-CN"/>
        </w:rPr>
        <w:t>图3.1-1现有工艺流程图</w:t>
      </w:r>
    </w:p>
    <w:p>
      <w:pPr>
        <w:keepNext w:val="0"/>
        <w:keepLines w:val="0"/>
        <w:widowControl/>
        <w:suppressLineNumbers w:val="0"/>
        <w:jc w:val="left"/>
        <w:rPr>
          <w:rFonts w:hint="default" w:ascii="Times New Roman" w:hAnsi="Times New Roman" w:eastAsia="宋体" w:cs="Times New Roman"/>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园区</w:t>
      </w:r>
      <w:r>
        <w:rPr>
          <w:rFonts w:hint="default" w:ascii="Times New Roman" w:hAnsi="Times New Roman" w:cs="Times New Roman"/>
          <w:color w:val="auto"/>
          <w:highlight w:val="none"/>
        </w:rPr>
        <w:t>污水经收集管进入细格栅与沉砂池，拦截污水中的</w:t>
      </w:r>
      <w:r>
        <w:rPr>
          <w:rFonts w:hint="eastAsia" w:cs="Times New Roman"/>
          <w:color w:val="auto"/>
          <w:highlight w:val="none"/>
          <w:lang w:eastAsia="zh-CN"/>
        </w:rPr>
        <w:t>（</w:t>
      </w:r>
      <w:r>
        <w:rPr>
          <w:rFonts w:hint="default" w:ascii="Times New Roman" w:hAnsi="Times New Roman" w:cs="Times New Roman"/>
          <w:color w:val="auto"/>
          <w:highlight w:val="none"/>
        </w:rPr>
        <w:t>如树叶、垃圾等）与颗粒较大的泥砂，重力流入集水池及调节池，再进入</w:t>
      </w:r>
      <w:r>
        <w:rPr>
          <w:rFonts w:hint="eastAsia" w:cs="Times New Roman"/>
          <w:color w:val="auto"/>
          <w:highlight w:val="none"/>
          <w:lang w:val="en-US" w:eastAsia="zh-CN"/>
        </w:rPr>
        <w:t>CAST</w:t>
      </w:r>
      <w:r>
        <w:rPr>
          <w:rFonts w:hint="default" w:ascii="Times New Roman" w:hAnsi="Times New Roman" w:cs="Times New Roman"/>
          <w:color w:val="auto"/>
          <w:highlight w:val="none"/>
        </w:rPr>
        <w:t>池</w:t>
      </w:r>
      <w:r>
        <w:rPr>
          <w:rFonts w:hint="eastAsia" w:ascii="宋体" w:hAnsi="宋体" w:eastAsia="宋体" w:cs="宋体"/>
          <w:color w:val="auto"/>
          <w:kern w:val="0"/>
          <w:sz w:val="24"/>
          <w:szCs w:val="24"/>
          <w:highlight w:val="none"/>
          <w:lang w:val="en-US" w:eastAsia="zh-CN" w:bidi="ar"/>
        </w:rPr>
        <w:t>。它是一种连续进水，周期出水、定时曝气的好氧活性污泥工艺，将均衡、初沉、曝气、生物除磷脱氮、二沉等过程在一个</w:t>
      </w:r>
      <w:r>
        <w:rPr>
          <w:rFonts w:hint="eastAsia" w:cs="Times New Roman"/>
          <w:color w:val="auto"/>
          <w:kern w:val="0"/>
          <w:sz w:val="24"/>
          <w:szCs w:val="24"/>
          <w:highlight w:val="none"/>
          <w:lang w:val="en-US" w:eastAsia="zh-CN" w:bidi="ar"/>
        </w:rPr>
        <w:t>CAST</w:t>
      </w:r>
      <w:r>
        <w:rPr>
          <w:rFonts w:hint="eastAsia" w:ascii="宋体" w:hAnsi="宋体" w:eastAsia="宋体" w:cs="宋体"/>
          <w:color w:val="auto"/>
          <w:kern w:val="0"/>
          <w:sz w:val="24"/>
          <w:szCs w:val="24"/>
          <w:highlight w:val="none"/>
          <w:lang w:val="en-US" w:eastAsia="zh-CN" w:bidi="ar"/>
        </w:rPr>
        <w:t>工艺反应池中交替进行</w:t>
      </w:r>
      <w:r>
        <w:rPr>
          <w:rFonts w:hint="default" w:ascii="Times New Roman" w:hAnsi="Times New Roman" w:cs="Times New Roman"/>
          <w:color w:val="auto"/>
          <w:highlight w:val="none"/>
        </w:rPr>
        <w:t>；经水解后的污水，自流进入“缺氧-好氧”的生物处理段，去除大部分的有机物和氨氮，并在混合沉淀池中进行泥水分离；污泥回流池用于接纳混合沉淀池的回流污泥和剩余污泥。将混合沉淀池污泥回流至生化系统，保证进行生化反应所需的生物量；并将剩余污泥提升至贮泥池。出水进入高效沉淀池，在污水厂二级处理的基础上，通过加药絮凝沉淀，进一步去除水中磷和SS，出水进入接触消毒池，采用二氧化氯接触消毒，再经计量渠、出水泵站、在线监测井进入排水井，外排水满足</w:t>
      </w:r>
      <w:r>
        <w:rPr>
          <w:rFonts w:hint="eastAsia" w:cs="Times New Roman"/>
          <w:color w:val="auto"/>
          <w:highlight w:val="none"/>
          <w:lang w:eastAsia="zh-CN"/>
        </w:rPr>
        <w:t>《城镇污水处理厂污染物排放标准》（GB18918-2002）及修改单的一级A标准</w:t>
      </w:r>
      <w:r>
        <w:rPr>
          <w:rFonts w:hint="default" w:ascii="Times New Roman" w:hAnsi="Times New Roman" w:cs="Times New Roman"/>
          <w:color w:val="auto"/>
          <w:highlight w:val="none"/>
        </w:rPr>
        <w:t>，同时满足《</w:t>
      </w:r>
      <w:r>
        <w:rPr>
          <w:rFonts w:hint="eastAsia" w:cs="Times New Roman"/>
          <w:color w:val="auto"/>
          <w:highlight w:val="none"/>
          <w:lang w:eastAsia="zh-CN"/>
        </w:rPr>
        <w:t>城市污水再生利用城市杂用水水质》（GB/T18920-2020）</w:t>
      </w:r>
      <w:r>
        <w:rPr>
          <w:rFonts w:hint="default" w:ascii="Times New Roman" w:hAnsi="Times New Roman" w:cs="Times New Roman"/>
          <w:color w:val="auto"/>
          <w:highlight w:val="none"/>
        </w:rPr>
        <w:t>和《城市污水再生利用绿地灌溉水质》（GB/T25499-2010）</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经专用管道夏季用于</w:t>
      </w:r>
      <w:r>
        <w:rPr>
          <w:rFonts w:hint="eastAsia" w:cs="Times New Roman"/>
          <w:color w:val="auto"/>
          <w:highlight w:val="none"/>
          <w:lang w:val="en-US" w:eastAsia="zh-CN"/>
        </w:rPr>
        <w:t>园区绿化及</w:t>
      </w:r>
      <w:r>
        <w:rPr>
          <w:rFonts w:hint="default" w:ascii="Times New Roman" w:hAnsi="Times New Roman" w:cs="Times New Roman"/>
          <w:color w:val="auto"/>
          <w:highlight w:val="none"/>
        </w:rPr>
        <w:t>灌溉示范区的林地，冬季储存于</w:t>
      </w:r>
      <w:r>
        <w:rPr>
          <w:rFonts w:hint="eastAsia" w:cs="Times New Roman"/>
          <w:color w:val="auto"/>
          <w:highlight w:val="none"/>
          <w:lang w:eastAsia="zh-CN"/>
        </w:rPr>
        <w:t>中水池</w:t>
      </w:r>
      <w:r>
        <w:rPr>
          <w:rFonts w:hint="default" w:ascii="Times New Roman" w:hAnsi="Times New Roman" w:cs="Times New Roman"/>
          <w:color w:val="auto"/>
          <w:highlight w:val="none"/>
        </w:rPr>
        <w:t>中，实现污水有效利用。</w:t>
      </w:r>
      <w:r>
        <w:rPr>
          <w:rFonts w:hint="eastAsia" w:ascii="宋体" w:hAnsi="宋体" w:eastAsia="宋体" w:cs="宋体"/>
          <w:color w:val="auto"/>
          <w:kern w:val="0"/>
          <w:sz w:val="24"/>
          <w:szCs w:val="24"/>
          <w:highlight w:val="none"/>
          <w:lang w:val="en-US" w:eastAsia="zh-CN" w:bidi="ar"/>
        </w:rPr>
        <w:t>格栅一般用于废水的前处理，一般安装在污水渠道、泵房集水池的进口处，用于截留较大的悬浮物或漂浮物，防止水泵、排水管以及后续处理构筑物的堵塞，保证处理设施和设备的正常运行。</w:t>
      </w:r>
    </w:p>
    <w:p>
      <w:pPr>
        <w:pStyle w:val="5"/>
        <w:rPr>
          <w:rFonts w:hint="default" w:ascii="Times New Roman" w:hAnsi="Times New Roman" w:cs="Times New Roman"/>
          <w:color w:val="auto"/>
          <w:highlight w:val="none"/>
        </w:rPr>
      </w:pPr>
      <w:r>
        <w:rPr>
          <w:rFonts w:hint="eastAsia" w:cs="Times New Roman"/>
          <w:color w:val="auto"/>
          <w:highlight w:val="none"/>
          <w:lang w:eastAsia="zh-CN"/>
        </w:rPr>
        <w:t>现有项目</w:t>
      </w:r>
      <w:r>
        <w:rPr>
          <w:rFonts w:hint="default" w:ascii="Times New Roman" w:hAnsi="Times New Roman" w:cs="Times New Roman"/>
          <w:color w:val="auto"/>
          <w:highlight w:val="none"/>
        </w:rPr>
        <w:t>产排污情况、污染物治理措施及达标分析</w:t>
      </w:r>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废气</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①恶臭气体</w:t>
      </w:r>
    </w:p>
    <w:p>
      <w:pPr>
        <w:ind w:firstLine="480"/>
        <w:rPr>
          <w:rFonts w:hint="default" w:ascii="Times New Roman" w:hAnsi="Times New Roman" w:cs="Times New Roman"/>
          <w:color w:val="auto"/>
          <w:highlight w:val="none"/>
        </w:rPr>
      </w:pPr>
      <w:r>
        <w:rPr>
          <w:rFonts w:hint="eastAsia" w:cs="Times New Roman"/>
          <w:color w:val="auto"/>
          <w:highlight w:val="none"/>
          <w:lang w:eastAsia="zh-CN"/>
        </w:rPr>
        <w:t>现有项目</w:t>
      </w:r>
      <w:r>
        <w:rPr>
          <w:rFonts w:hint="default" w:ascii="Times New Roman" w:hAnsi="Times New Roman" w:cs="Times New Roman"/>
          <w:color w:val="auto"/>
          <w:highlight w:val="none"/>
        </w:rPr>
        <w:t>废气污染源主要是污水处理过程散发出来的恶臭气体。产生恶臭气体的环节较多，主要为粗、细格栅间、曝气沉砂池、水解酸化池、污泥浓缩池、污泥脱水间等，污水处理厂产生的恶臭污染物以NH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和H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S为主。</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将A</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/O反应池产生的恶臭气体一同纳入</w:t>
      </w:r>
      <w:r>
        <w:rPr>
          <w:rFonts w:hint="eastAsia" w:cs="Times New Roman"/>
          <w:color w:val="auto"/>
          <w:highlight w:val="none"/>
          <w:lang w:val="en-US" w:eastAsia="zh-CN"/>
        </w:rPr>
        <w:t>离子</w:t>
      </w:r>
      <w:r>
        <w:rPr>
          <w:rFonts w:hint="default" w:ascii="Times New Roman" w:hAnsi="Times New Roman" w:cs="Times New Roman"/>
          <w:color w:val="auto"/>
          <w:highlight w:val="none"/>
        </w:rPr>
        <w:t>除臭装置处理，抽风收集的气体经离子除臭装置处理后通过15m高排气筒排放。</w:t>
      </w:r>
    </w:p>
    <w:p>
      <w:pPr>
        <w:keepNext w:val="0"/>
        <w:keepLines w:val="0"/>
        <w:widowControl/>
        <w:suppressLineNumbers w:val="0"/>
        <w:ind w:left="0" w:leftChars="0" w:firstLine="480" w:firstLineChars="200"/>
        <w:jc w:val="left"/>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微软雅黑" w:cs="Times New Roman"/>
          <w:b w:val="0"/>
          <w:bCs w:val="0"/>
          <w:color w:val="auto"/>
          <w:kern w:val="0"/>
          <w:sz w:val="24"/>
          <w:szCs w:val="24"/>
          <w:highlight w:val="none"/>
          <w:lang w:val="en-US" w:eastAsia="zh-CN" w:bidi="ar"/>
        </w:rPr>
        <w:t>②</w:t>
      </w:r>
      <w:r>
        <w:rPr>
          <w:rFonts w:hint="default" w:ascii="Times New Roman" w:hAnsi="Times New Roman" w:eastAsia="宋体" w:cs="Times New Roman"/>
          <w:b w:val="0"/>
          <w:bCs w:val="0"/>
          <w:color w:val="auto"/>
          <w:kern w:val="0"/>
          <w:sz w:val="24"/>
          <w:szCs w:val="24"/>
          <w:highlight w:val="none"/>
          <w:lang w:val="en-US" w:eastAsia="zh-CN" w:bidi="ar"/>
        </w:rPr>
        <w:t>废气污染物达标排放情况</w:t>
      </w:r>
    </w:p>
    <w:p>
      <w:pPr>
        <w:ind w:firstLine="480"/>
        <w:rPr>
          <w:rFonts w:hint="default"/>
          <w:color w:val="auto"/>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bidi="ar"/>
        </w:rPr>
        <w:t>通过新疆蓝卓越环保科技有限公司对污水厂20</w:t>
      </w:r>
      <w:r>
        <w:rPr>
          <w:rFonts w:hint="eastAsia" w:ascii="Times New Roman" w:hAnsi="Times New Roman" w:eastAsia="宋体" w:cs="Times New Roman"/>
          <w:b w:val="0"/>
          <w:bCs w:val="0"/>
          <w:color w:val="auto"/>
          <w:kern w:val="0"/>
          <w:sz w:val="24"/>
          <w:szCs w:val="24"/>
          <w:highlight w:val="none"/>
          <w:lang w:val="en-US" w:eastAsia="zh-CN" w:bidi="ar"/>
        </w:rPr>
        <w:t>2</w:t>
      </w:r>
      <w:r>
        <w:rPr>
          <w:rFonts w:hint="eastAsia" w:cs="Times New Roman"/>
          <w:b w:val="0"/>
          <w:bCs w:val="0"/>
          <w:color w:val="auto"/>
          <w:kern w:val="0"/>
          <w:sz w:val="24"/>
          <w:szCs w:val="24"/>
          <w:highlight w:val="none"/>
          <w:lang w:val="en-US" w:eastAsia="zh-CN" w:bidi="ar"/>
        </w:rPr>
        <w:t>4</w:t>
      </w:r>
      <w:r>
        <w:rPr>
          <w:rFonts w:hint="default" w:ascii="Times New Roman" w:hAnsi="Times New Roman" w:eastAsia="宋体" w:cs="Times New Roman"/>
          <w:b w:val="0"/>
          <w:bCs w:val="0"/>
          <w:color w:val="auto"/>
          <w:kern w:val="0"/>
          <w:sz w:val="24"/>
          <w:szCs w:val="24"/>
          <w:highlight w:val="none"/>
          <w:lang w:val="en-US" w:eastAsia="zh-CN" w:bidi="ar"/>
        </w:rPr>
        <w:t>年</w:t>
      </w:r>
      <w:r>
        <w:rPr>
          <w:rFonts w:hint="eastAsia" w:cs="Times New Roman"/>
          <w:b w:val="0"/>
          <w:bCs w:val="0"/>
          <w:color w:val="auto"/>
          <w:kern w:val="0"/>
          <w:sz w:val="24"/>
          <w:szCs w:val="24"/>
          <w:highlight w:val="none"/>
          <w:lang w:val="en-US" w:eastAsia="zh-CN" w:bidi="ar"/>
        </w:rPr>
        <w:t>3月11日</w:t>
      </w:r>
      <w:r>
        <w:rPr>
          <w:rFonts w:hint="default" w:ascii="Times New Roman" w:hAnsi="Times New Roman" w:eastAsia="宋体" w:cs="Times New Roman"/>
          <w:b w:val="0"/>
          <w:bCs w:val="0"/>
          <w:color w:val="auto"/>
          <w:kern w:val="0"/>
          <w:sz w:val="24"/>
          <w:szCs w:val="24"/>
          <w:highlight w:val="none"/>
          <w:lang w:val="en-US" w:eastAsia="zh-CN" w:bidi="ar"/>
        </w:rPr>
        <w:t>的实测</w:t>
      </w:r>
      <w:r>
        <w:rPr>
          <w:rFonts w:hint="eastAsia" w:cs="Times New Roman"/>
          <w:b w:val="0"/>
          <w:bCs w:val="0"/>
          <w:color w:val="auto"/>
          <w:kern w:val="0"/>
          <w:sz w:val="24"/>
          <w:szCs w:val="24"/>
          <w:highlight w:val="none"/>
          <w:lang w:val="en-US" w:eastAsia="zh-CN" w:bidi="ar"/>
        </w:rPr>
        <w:t>大气污染物</w:t>
      </w:r>
      <w:r>
        <w:rPr>
          <w:rFonts w:hint="default" w:ascii="Times New Roman" w:hAnsi="Times New Roman" w:eastAsia="宋体" w:cs="Times New Roman"/>
          <w:b w:val="0"/>
          <w:bCs w:val="0"/>
          <w:color w:val="auto"/>
          <w:kern w:val="0"/>
          <w:sz w:val="24"/>
          <w:szCs w:val="24"/>
          <w:highlight w:val="none"/>
          <w:lang w:val="en-US" w:eastAsia="zh-CN" w:bidi="ar"/>
        </w:rPr>
        <w:t>进行统计分析，各污染物指标实际</w:t>
      </w:r>
      <w:r>
        <w:rPr>
          <w:rFonts w:hint="eastAsia" w:cs="Times New Roman"/>
          <w:b w:val="0"/>
          <w:bCs w:val="0"/>
          <w:color w:val="auto"/>
          <w:kern w:val="0"/>
          <w:sz w:val="24"/>
          <w:szCs w:val="24"/>
          <w:highlight w:val="none"/>
          <w:lang w:val="en-US" w:eastAsia="zh-CN" w:bidi="ar"/>
        </w:rPr>
        <w:t>污染物排放浓度</w:t>
      </w:r>
      <w:r>
        <w:rPr>
          <w:rFonts w:hint="default" w:ascii="Times New Roman" w:hAnsi="Times New Roman" w:eastAsia="宋体" w:cs="Times New Roman"/>
          <w:b w:val="0"/>
          <w:bCs w:val="0"/>
          <w:color w:val="auto"/>
          <w:kern w:val="0"/>
          <w:sz w:val="24"/>
          <w:szCs w:val="24"/>
          <w:highlight w:val="none"/>
          <w:lang w:val="en-US" w:eastAsia="zh-CN" w:bidi="ar"/>
        </w:rPr>
        <w:t>如下表。</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480" w:firstLineChars="200"/>
        <w:jc w:val="center"/>
        <w:textAlignment w:val="auto"/>
        <w:rPr>
          <w:rFonts w:hint="default" w:ascii="Times New Roman" w:hAnsi="Times New Roman" w:eastAsia="黑体" w:cs="Times New Roman"/>
          <w:b w:val="0"/>
          <w:bCs w:val="0"/>
          <w:i w:val="0"/>
          <w:iCs w:val="0"/>
          <w:color w:val="auto"/>
          <w:kern w:val="0"/>
          <w:sz w:val="24"/>
          <w:szCs w:val="24"/>
          <w:highlight w:val="none"/>
          <w:u w:val="none"/>
          <w:lang w:val="en-US" w:eastAsia="zh-CN" w:bidi="ar"/>
        </w:rPr>
      </w:pPr>
      <w:r>
        <w:rPr>
          <w:rFonts w:hint="default" w:ascii="Times New Roman" w:hAnsi="Times New Roman" w:eastAsia="黑体" w:cs="Times New Roman"/>
          <w:b w:val="0"/>
          <w:bCs w:val="0"/>
          <w:i w:val="0"/>
          <w:iCs w:val="0"/>
          <w:color w:val="auto"/>
          <w:kern w:val="0"/>
          <w:sz w:val="24"/>
          <w:szCs w:val="24"/>
          <w:highlight w:val="none"/>
          <w:u w:val="none"/>
          <w:lang w:val="en-US" w:eastAsia="zh-CN" w:bidi="ar"/>
        </w:rPr>
        <w:t>表3.1-</w:t>
      </w:r>
      <w:r>
        <w:rPr>
          <w:rFonts w:hint="eastAsia" w:eastAsia="黑体" w:cs="Times New Roman"/>
          <w:b w:val="0"/>
          <w:bCs w:val="0"/>
          <w:i w:val="0"/>
          <w:iCs w:val="0"/>
          <w:color w:val="auto"/>
          <w:kern w:val="0"/>
          <w:sz w:val="24"/>
          <w:szCs w:val="24"/>
          <w:highlight w:val="none"/>
          <w:u w:val="none"/>
          <w:lang w:val="en-US" w:eastAsia="zh-CN" w:bidi="ar"/>
        </w:rPr>
        <w:t>3</w:t>
      </w:r>
      <w:r>
        <w:rPr>
          <w:rFonts w:hint="default" w:ascii="Times New Roman" w:hAnsi="Times New Roman" w:eastAsia="黑体" w:cs="Times New Roman"/>
          <w:b w:val="0"/>
          <w:bCs w:val="0"/>
          <w:i w:val="0"/>
          <w:iCs w:val="0"/>
          <w:color w:val="auto"/>
          <w:kern w:val="0"/>
          <w:sz w:val="24"/>
          <w:szCs w:val="24"/>
          <w:highlight w:val="none"/>
          <w:u w:val="none"/>
          <w:lang w:val="en-US" w:eastAsia="zh-CN" w:bidi="ar"/>
        </w:rPr>
        <w:t>有组织废气监测结果单位：kg/h</w:t>
      </w:r>
    </w:p>
    <w:tbl>
      <w:tblPr>
        <w:tblStyle w:val="3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10"/>
        <w:gridCol w:w="950"/>
        <w:gridCol w:w="733"/>
        <w:gridCol w:w="900"/>
        <w:gridCol w:w="1330"/>
        <w:gridCol w:w="68"/>
        <w:gridCol w:w="1160"/>
        <w:gridCol w:w="750"/>
        <w:gridCol w:w="695"/>
        <w:gridCol w:w="12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测点位置</w:t>
            </w:r>
          </w:p>
        </w:tc>
        <w:tc>
          <w:tcPr>
            <w:tcW w:w="205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1#除臭间排口</w:t>
            </w:r>
          </w:p>
        </w:tc>
        <w:tc>
          <w:tcPr>
            <w:tcW w:w="204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2#除臭间排口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trPr>
        <w:tc>
          <w:tcPr>
            <w:tcW w:w="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排气筒高度m</w:t>
            </w:r>
          </w:p>
        </w:tc>
        <w:tc>
          <w:tcPr>
            <w:tcW w:w="410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 w:hRule="atLeast"/>
        </w:trPr>
        <w:tc>
          <w:tcPr>
            <w:tcW w:w="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被测设备负荷%</w:t>
            </w:r>
          </w:p>
        </w:tc>
        <w:tc>
          <w:tcPr>
            <w:tcW w:w="4101"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1" w:hRule="atLeast"/>
        </w:trPr>
        <w:tc>
          <w:tcPr>
            <w:tcW w:w="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样品编号</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bottom"/>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cs="Times New Roman"/>
                <w:i w:val="0"/>
                <w:iCs w:val="0"/>
                <w:color w:val="auto"/>
                <w:sz w:val="21"/>
                <w:szCs w:val="21"/>
                <w:highlight w:val="none"/>
                <w:u w:val="none"/>
                <w:lang w:val="en-US" w:eastAsia="zh-CN"/>
              </w:rPr>
              <w:t>1</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cs="Times New Roman"/>
                <w:i w:val="0"/>
                <w:iCs w:val="0"/>
                <w:color w:val="auto"/>
                <w:sz w:val="21"/>
                <w:szCs w:val="21"/>
                <w:highlight w:val="none"/>
                <w:u w:val="none"/>
                <w:lang w:val="en-US" w:eastAsia="zh-CN"/>
              </w:rPr>
              <w:t>2</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cs="Times New Roman"/>
                <w:i w:val="0"/>
                <w:iCs w:val="0"/>
                <w:color w:val="auto"/>
                <w:sz w:val="21"/>
                <w:szCs w:val="21"/>
                <w:highlight w:val="none"/>
                <w:u w:val="none"/>
                <w:lang w:val="en-US" w:eastAsia="zh-CN"/>
              </w:rPr>
              <w:t>3</w:t>
            </w:r>
          </w:p>
        </w:tc>
        <w:tc>
          <w:tcPr>
            <w:tcW w:w="7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限值依据GB14554-93</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sz w:val="21"/>
                <w:szCs w:val="21"/>
                <w:highlight w:val="none"/>
                <w:u w:val="none"/>
                <w:lang w:val="en-US" w:eastAsia="zh-CN"/>
              </w:rPr>
              <w:t>1</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sz w:val="21"/>
                <w:szCs w:val="21"/>
                <w:highlight w:val="none"/>
                <w:u w:val="none"/>
                <w:lang w:val="en-US" w:eastAsia="zh-CN"/>
              </w:rPr>
              <w:t>2</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sz w:val="21"/>
                <w:szCs w:val="21"/>
                <w:highlight w:val="none"/>
                <w:u w:val="none"/>
                <w:lang w:val="en-US" w:eastAsia="zh-CN"/>
              </w:rPr>
              <w:t>3</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限值依据GB14554-93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烟气流量</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标准状态下干排气流量</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m³/h</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2789</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2830</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2859</w:t>
            </w:r>
          </w:p>
        </w:tc>
        <w:tc>
          <w:tcPr>
            <w:tcW w:w="7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1299</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1308</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1280</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臭气浓度</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无量纲</w:t>
            </w:r>
            <w:r>
              <w:rPr>
                <w:rFonts w:hint="eastAsia" w:cs="Times New Roman"/>
                <w:i w:val="0"/>
                <w:iCs w:val="0"/>
                <w:color w:val="auto"/>
                <w:kern w:val="0"/>
                <w:sz w:val="21"/>
                <w:szCs w:val="21"/>
                <w:highlight w:val="none"/>
                <w:u w:val="none"/>
                <w:lang w:val="en-US" w:eastAsia="zh-CN" w:bidi="ar"/>
              </w:rPr>
              <w:t>）</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98</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132</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229</w:t>
            </w:r>
          </w:p>
        </w:tc>
        <w:tc>
          <w:tcPr>
            <w:tcW w:w="7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66</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107</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117</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排放速率</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无量纲</w:t>
            </w:r>
            <w:r>
              <w:rPr>
                <w:rFonts w:hint="eastAsia" w:cs="Times New Roman"/>
                <w:i w:val="0"/>
                <w:iCs w:val="0"/>
                <w:color w:val="auto"/>
                <w:kern w:val="0"/>
                <w:sz w:val="21"/>
                <w:szCs w:val="21"/>
                <w:highlight w:val="none"/>
                <w:u w:val="none"/>
                <w:lang w:val="en-US" w:eastAsia="zh-CN" w:bidi="ar"/>
              </w:rPr>
              <w:t>）</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0.273</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0.374</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0.655</w:t>
            </w:r>
          </w:p>
        </w:tc>
        <w:tc>
          <w:tcPr>
            <w:tcW w:w="73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2000</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8.57×10</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0.140</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0.150</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2000</w:t>
            </w:r>
          </w:p>
        </w:tc>
      </w:tr>
    </w:tbl>
    <w:p>
      <w:pPr>
        <w:keepNext w:val="0"/>
        <w:keepLines w:val="0"/>
        <w:widowControl/>
        <w:suppressLineNumbers w:val="0"/>
        <w:ind w:left="0" w:leftChars="0" w:firstLine="480" w:firstLineChars="200"/>
        <w:jc w:val="center"/>
        <w:rPr>
          <w:rFonts w:hint="eastAsia" w:ascii="黑体" w:hAnsi="黑体" w:eastAsia="黑体" w:cs="黑体"/>
          <w:b w:val="0"/>
          <w:bCs w:val="0"/>
          <w:i w:val="0"/>
          <w:iCs w:val="0"/>
          <w:color w:val="auto"/>
          <w:kern w:val="0"/>
          <w:sz w:val="24"/>
          <w:szCs w:val="24"/>
          <w:highlight w:val="none"/>
          <w:u w:val="none"/>
          <w:lang w:val="en-US" w:eastAsia="zh-CN" w:bidi="ar"/>
        </w:rPr>
      </w:pPr>
      <w:r>
        <w:rPr>
          <w:rFonts w:hint="eastAsia" w:ascii="黑体" w:hAnsi="黑体" w:eastAsia="黑体" w:cs="黑体"/>
          <w:b w:val="0"/>
          <w:bCs w:val="0"/>
          <w:i w:val="0"/>
          <w:iCs w:val="0"/>
          <w:color w:val="auto"/>
          <w:kern w:val="0"/>
          <w:sz w:val="24"/>
          <w:szCs w:val="24"/>
          <w:highlight w:val="none"/>
          <w:u w:val="none"/>
          <w:lang w:val="en-US" w:eastAsia="zh-CN" w:bidi="ar"/>
        </w:rPr>
        <w:t>表3.1-4无组织废气监测结果单位：mg/m</w:t>
      </w:r>
      <w:r>
        <w:rPr>
          <w:rFonts w:hint="eastAsia" w:ascii="黑体" w:hAnsi="黑体" w:eastAsia="黑体" w:cs="黑体"/>
          <w:b w:val="0"/>
          <w:bCs w:val="0"/>
          <w:i w:val="0"/>
          <w:iCs w:val="0"/>
          <w:color w:val="auto"/>
          <w:kern w:val="0"/>
          <w:sz w:val="24"/>
          <w:szCs w:val="24"/>
          <w:highlight w:val="none"/>
          <w:u w:val="none"/>
          <w:vertAlign w:val="superscript"/>
          <w:lang w:val="en-US" w:eastAsia="zh-CN" w:bidi="ar"/>
        </w:rPr>
        <w:t>3</w:t>
      </w:r>
      <w:r>
        <w:rPr>
          <w:rFonts w:hint="eastAsia" w:ascii="黑体" w:hAnsi="黑体" w:eastAsia="黑体" w:cs="黑体"/>
          <w:b w:val="0"/>
          <w:bCs w:val="0"/>
          <w:i w:val="0"/>
          <w:iCs w:val="0"/>
          <w:color w:val="auto"/>
          <w:kern w:val="0"/>
          <w:sz w:val="24"/>
          <w:szCs w:val="24"/>
          <w:highlight w:val="none"/>
          <w:u w:val="none"/>
          <w:lang w:val="en-US" w:eastAsia="zh-CN" w:bidi="ar"/>
        </w:rPr>
        <w:t>（臭气浓度无量纲）</w:t>
      </w:r>
    </w:p>
    <w:tbl>
      <w:tblPr>
        <w:tblStyle w:val="3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249"/>
        <w:gridCol w:w="1322"/>
        <w:gridCol w:w="1980"/>
        <w:gridCol w:w="1980"/>
        <w:gridCol w:w="19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1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测点位置</w:t>
            </w:r>
          </w:p>
        </w:tc>
        <w:tc>
          <w:tcPr>
            <w:tcW w:w="6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频次</w:t>
            </w:r>
          </w:p>
        </w:tc>
        <w:tc>
          <w:tcPr>
            <w:tcW w:w="312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检测结果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1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p>
        </w:tc>
        <w:tc>
          <w:tcPr>
            <w:tcW w:w="6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lang w:val="en-US"/>
              </w:rPr>
            </w:pPr>
            <w:r>
              <w:rPr>
                <w:rFonts w:hint="default" w:ascii="Times New Roman" w:hAnsi="Times New Roman" w:cs="Times New Roman"/>
                <w:i w:val="0"/>
                <w:iCs w:val="0"/>
                <w:color w:val="auto"/>
                <w:sz w:val="21"/>
                <w:szCs w:val="21"/>
                <w:highlight w:val="none"/>
                <w:u w:val="none"/>
                <w:lang w:val="en-US" w:eastAsia="zh-CN"/>
              </w:rPr>
              <w:t>氨</w:t>
            </w:r>
            <w:r>
              <w:rPr>
                <w:rFonts w:hint="eastAsia" w:cs="Times New Roman"/>
                <w:i w:val="0"/>
                <w:iCs w:val="0"/>
                <w:color w:val="auto"/>
                <w:sz w:val="21"/>
                <w:szCs w:val="21"/>
                <w:highlight w:val="none"/>
                <w:u w:val="none"/>
                <w:lang w:val="en-US" w:eastAsia="zh-CN"/>
              </w:rPr>
              <w:t>（</w:t>
            </w:r>
            <w:r>
              <w:rPr>
                <w:rFonts w:hint="default" w:ascii="Times New Roman" w:hAnsi="Times New Roman" w:cs="Times New Roman"/>
                <w:i w:val="0"/>
                <w:iCs w:val="0"/>
                <w:color w:val="auto"/>
                <w:sz w:val="21"/>
                <w:szCs w:val="21"/>
                <w:highlight w:val="none"/>
                <w:u w:val="none"/>
                <w:lang w:val="en-US" w:eastAsia="zh-CN"/>
              </w:rPr>
              <w:t>mg/m</w:t>
            </w:r>
            <w:r>
              <w:rPr>
                <w:rFonts w:hint="eastAsia" w:cs="Times New Roman"/>
                <w:i w:val="0"/>
                <w:iCs w:val="0"/>
                <w:color w:val="auto"/>
                <w:sz w:val="21"/>
                <w:szCs w:val="21"/>
                <w:highlight w:val="none"/>
                <w:u w:val="none"/>
                <w:vertAlign w:val="superscript"/>
                <w:lang w:val="en-US" w:eastAsia="zh-CN"/>
              </w:rPr>
              <w:t>3</w:t>
            </w:r>
            <w:r>
              <w:rPr>
                <w:rFonts w:hint="eastAsia" w:cs="Times New Roman"/>
                <w:i w:val="0"/>
                <w:iCs w:val="0"/>
                <w:color w:val="auto"/>
                <w:sz w:val="21"/>
                <w:szCs w:val="21"/>
                <w:highlight w:val="none"/>
                <w:u w:val="none"/>
                <w:lang w:val="en-US" w:eastAsia="zh-CN"/>
              </w:rPr>
              <w:t>)</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硫化氢</w:t>
            </w:r>
            <w:r>
              <w:rPr>
                <w:rFonts w:hint="eastAsia" w:cs="Times New Roman"/>
                <w:i w:val="0"/>
                <w:iCs w:val="0"/>
                <w:color w:val="auto"/>
                <w:sz w:val="21"/>
                <w:szCs w:val="21"/>
                <w:highlight w:val="none"/>
                <w:u w:val="none"/>
                <w:lang w:val="en-US" w:eastAsia="zh-CN"/>
              </w:rPr>
              <w:t>（</w:t>
            </w:r>
            <w:r>
              <w:rPr>
                <w:rFonts w:hint="default" w:ascii="Times New Roman" w:hAnsi="Times New Roman" w:cs="Times New Roman"/>
                <w:i w:val="0"/>
                <w:iCs w:val="0"/>
                <w:color w:val="auto"/>
                <w:sz w:val="21"/>
                <w:szCs w:val="21"/>
                <w:highlight w:val="none"/>
                <w:u w:val="none"/>
                <w:lang w:val="en-US" w:eastAsia="zh-CN"/>
              </w:rPr>
              <w:t>mg/m³)</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甲烷</w:t>
            </w:r>
            <w:r>
              <w:rPr>
                <w:rFonts w:hint="eastAsia" w:cs="Times New Roman"/>
                <w:i w:val="0"/>
                <w:iCs w:val="0"/>
                <w:color w:val="auto"/>
                <w:sz w:val="21"/>
                <w:szCs w:val="21"/>
                <w:highlight w:val="none"/>
                <w:u w:val="none"/>
                <w:lang w:val="en-US" w:eastAsia="zh-CN"/>
              </w:rPr>
              <w:t>（</w:t>
            </w:r>
            <w:r>
              <w:rPr>
                <w:rFonts w:hint="default" w:ascii="Times New Roman" w:hAnsi="Times New Roman" w:cs="Times New Roman"/>
                <w:i w:val="0"/>
                <w:iCs w:val="0"/>
                <w:color w:val="auto"/>
                <w:sz w:val="21"/>
                <w:szCs w:val="21"/>
                <w:highlight w:val="none"/>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1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项目区东侧外10m,1#</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第一次</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0.15</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&lt;0.005</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0.0002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1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第二次</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0.13</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&lt;0.005</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0.0002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1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第三次</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0.16</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&lt;0.005</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0.0002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1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项目区南侧外10m,2#</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第一次</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0.15</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&lt;0.005</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0.0002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1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第二次</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0.15</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&lt;0.005</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0.0002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1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第三次</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0.18</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&lt;0.005</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0.0002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1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项目区西侧外10m,3#</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第一次</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0.16</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&lt;0.005</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0.0002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1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第二次</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0.16</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&lt;0.005</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0.0002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1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第三次</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0.17</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&lt;0.005</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0.0002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1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项目区北侧外10m,4#</w:t>
            </w: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第一次</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0.14</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&lt;0.005</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0.0002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1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第二次</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0.17</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&lt;0.005</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0.0002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1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p>
        </w:tc>
        <w:tc>
          <w:tcPr>
            <w:tcW w:w="6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第三次</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0.16</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&lt;0.005</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0.0002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8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lang w:val="en-US" w:eastAsia="zh-CN"/>
              </w:rPr>
            </w:pPr>
            <w:r>
              <w:rPr>
                <w:rFonts w:hint="default" w:ascii="Times New Roman" w:hAnsi="Times New Roman" w:cs="Times New Roman"/>
                <w:i w:val="0"/>
                <w:iCs w:val="0"/>
                <w:color w:val="auto"/>
                <w:sz w:val="21"/>
                <w:szCs w:val="21"/>
                <w:highlight w:val="none"/>
                <w:u w:val="none"/>
                <w:lang w:val="en-US" w:eastAsia="zh-CN"/>
              </w:rPr>
              <w:t>限值依据</w:t>
            </w:r>
            <w:r>
              <w:rPr>
                <w:rFonts w:hint="eastAsia" w:cs="Times New Roman"/>
                <w:i w:val="0"/>
                <w:iCs w:val="0"/>
                <w:color w:val="auto"/>
                <w:sz w:val="21"/>
                <w:szCs w:val="21"/>
                <w:highlight w:val="none"/>
                <w:u w:val="none"/>
                <w:lang w:val="en-US" w:eastAsia="zh-CN"/>
              </w:rPr>
              <w:t>（</w:t>
            </w:r>
            <w:r>
              <w:rPr>
                <w:rFonts w:hint="default" w:ascii="Times New Roman" w:hAnsi="Times New Roman" w:cs="Times New Roman"/>
                <w:i w:val="0"/>
                <w:iCs w:val="0"/>
                <w:color w:val="auto"/>
                <w:sz w:val="21"/>
                <w:szCs w:val="21"/>
                <w:highlight w:val="none"/>
                <w:u w:val="none"/>
                <w:lang w:val="en-US" w:eastAsia="zh-CN"/>
              </w:rPr>
              <w:t>GB18918-2002</w:t>
            </w:r>
            <w:r>
              <w:rPr>
                <w:rFonts w:hint="eastAsia" w:cs="Times New Roman"/>
                <w:i w:val="0"/>
                <w:iCs w:val="0"/>
                <w:color w:val="auto"/>
                <w:sz w:val="21"/>
                <w:szCs w:val="21"/>
                <w:highlight w:val="none"/>
                <w:u w:val="none"/>
                <w:lang w:val="en-US" w:eastAsia="zh-CN"/>
              </w:rPr>
              <w:t>）</w:t>
            </w:r>
            <w:r>
              <w:rPr>
                <w:rFonts w:hint="default" w:ascii="Times New Roman" w:hAnsi="Times New Roman" w:cs="Times New Roman"/>
                <w:i w:val="0"/>
                <w:iCs w:val="0"/>
                <w:color w:val="auto"/>
                <w:sz w:val="21"/>
                <w:szCs w:val="21"/>
                <w:highlight w:val="none"/>
                <w:u w:val="none"/>
                <w:lang w:val="en-US" w:eastAsia="zh-CN"/>
              </w:rPr>
              <w:t>表4</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二级标准</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1.5mg/m³</w:t>
            </w:r>
          </w:p>
        </w:tc>
        <w:tc>
          <w:tcPr>
            <w:tcW w:w="10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0.06mg/m³</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highlight w:val="none"/>
                <w:u w:val="none"/>
              </w:rPr>
            </w:pPr>
            <w:r>
              <w:rPr>
                <w:rFonts w:hint="default" w:ascii="Times New Roman" w:hAnsi="Times New Roman" w:cs="Times New Roman"/>
                <w:i w:val="0"/>
                <w:iCs w:val="0"/>
                <w:color w:val="auto"/>
                <w:sz w:val="21"/>
                <w:szCs w:val="21"/>
                <w:highlight w:val="none"/>
                <w:u w:val="none"/>
                <w:lang w:val="en-US" w:eastAsia="zh-CN"/>
              </w:rPr>
              <w:t>1%</w:t>
            </w:r>
          </w:p>
        </w:tc>
      </w:tr>
    </w:tbl>
    <w:p>
      <w:pPr>
        <w:ind w:left="0" w:leftChars="0" w:firstLine="480" w:firstLineChars="200"/>
        <w:rPr>
          <w:rFonts w:hint="default"/>
          <w:color w:val="auto"/>
          <w:highlight w:val="none"/>
        </w:rPr>
      </w:pPr>
      <w:r>
        <w:rPr>
          <w:rFonts w:hint="eastAsia" w:cs="Times New Roman"/>
          <w:color w:val="auto"/>
          <w:highlight w:val="none"/>
          <w:lang w:val="en-US" w:eastAsia="zh-CN"/>
        </w:rPr>
        <w:t>根据例行监测报告，</w:t>
      </w:r>
      <w:r>
        <w:rPr>
          <w:rFonts w:hint="default" w:ascii="Times New Roman" w:hAnsi="Times New Roman" w:eastAsia="宋体" w:cs="Times New Roman"/>
          <w:color w:val="auto"/>
          <w:highlight w:val="none"/>
        </w:rPr>
        <w:t>监测期间，昌吉农业园区现代农业精深加工示范区污水处理厂两处废气有组织废气的最大</w:t>
      </w:r>
      <w:r>
        <w:rPr>
          <w:rFonts w:hint="eastAsia" w:cs="Times New Roman"/>
          <w:color w:val="auto"/>
          <w:highlight w:val="none"/>
          <w:lang w:val="en-US" w:eastAsia="zh-CN"/>
        </w:rPr>
        <w:t>臭气浓度</w:t>
      </w:r>
      <w:r>
        <w:rPr>
          <w:rFonts w:hint="default" w:ascii="Times New Roman" w:hAnsi="Times New Roman" w:eastAsia="宋体" w:cs="Times New Roman"/>
          <w:color w:val="auto"/>
          <w:highlight w:val="none"/>
        </w:rPr>
        <w:t>为</w:t>
      </w:r>
      <w:r>
        <w:rPr>
          <w:rFonts w:hint="eastAsia" w:cs="Times New Roman"/>
          <w:color w:val="auto"/>
          <w:highlight w:val="none"/>
          <w:lang w:val="en-US" w:eastAsia="zh-CN"/>
        </w:rPr>
        <w:t>229（无量纲）</w:t>
      </w:r>
      <w:r>
        <w:rPr>
          <w:rFonts w:hint="eastAsia" w:cs="Times New Roman"/>
          <w:color w:val="auto"/>
          <w:highlight w:val="none"/>
          <w:lang w:eastAsia="zh-CN"/>
        </w:rPr>
        <w:t>，</w:t>
      </w:r>
      <w:r>
        <w:rPr>
          <w:rFonts w:hint="default" w:ascii="Times New Roman" w:hAnsi="Times New Roman" w:eastAsia="宋体" w:cs="Times New Roman"/>
          <w:color w:val="auto"/>
          <w:highlight w:val="none"/>
        </w:rPr>
        <w:t>符合《恶臭污染物排放标准》</w:t>
      </w:r>
      <w:r>
        <w:rPr>
          <w:rFonts w:hint="eastAsia" w:cs="Times New Roman"/>
          <w:color w:val="auto"/>
          <w:highlight w:val="none"/>
          <w:lang w:eastAsia="zh-CN"/>
        </w:rPr>
        <w:t>（</w:t>
      </w:r>
      <w:r>
        <w:rPr>
          <w:rFonts w:hint="default" w:ascii="Times New Roman" w:hAnsi="Times New Roman" w:eastAsia="宋体" w:cs="Times New Roman"/>
          <w:color w:val="auto"/>
          <w:highlight w:val="none"/>
        </w:rPr>
        <w:t>GB14554-93</w:t>
      </w:r>
      <w:r>
        <w:rPr>
          <w:rFonts w:hint="eastAsia" w:cs="Times New Roman"/>
          <w:color w:val="auto"/>
          <w:highlight w:val="none"/>
          <w:lang w:eastAsia="zh-CN"/>
        </w:rPr>
        <w:t>）</w:t>
      </w:r>
      <w:r>
        <w:rPr>
          <w:rFonts w:hint="default" w:ascii="Times New Roman" w:hAnsi="Times New Roman" w:eastAsia="宋体" w:cs="Times New Roman"/>
          <w:color w:val="auto"/>
          <w:highlight w:val="none"/>
        </w:rPr>
        <w:t>表2限值要求；厂界无组织废气的氨最大排放浓度为</w:t>
      </w:r>
      <w:r>
        <w:rPr>
          <w:rFonts w:hint="eastAsia" w:cs="Times New Roman"/>
          <w:color w:val="auto"/>
          <w:highlight w:val="none"/>
          <w:lang w:val="en-US" w:eastAsia="zh-CN"/>
        </w:rPr>
        <w:t>0.18</w:t>
      </w:r>
      <w:r>
        <w:rPr>
          <w:rFonts w:hint="default" w:ascii="Times New Roman" w:hAnsi="Times New Roman" w:eastAsia="宋体" w:cs="Times New Roman"/>
          <w:color w:val="auto"/>
          <w:highlight w:val="none"/>
        </w:rPr>
        <w:t>mg/m</w:t>
      </w:r>
      <w:r>
        <w:rPr>
          <w:rFonts w:hint="default" w:ascii="Times New Roman" w:hAnsi="Times New Roman" w:eastAsia="宋体" w:cs="Times New Roman"/>
          <w:color w:val="auto"/>
          <w:highlight w:val="none"/>
          <w:vertAlign w:val="superscript"/>
          <w:lang w:val="en-US" w:eastAsia="zh-CN"/>
        </w:rPr>
        <w:t>3</w:t>
      </w:r>
      <w:r>
        <w:rPr>
          <w:rFonts w:hint="eastAsia" w:cs="Times New Roman"/>
          <w:color w:val="auto"/>
          <w:highlight w:val="none"/>
          <w:lang w:eastAsia="zh-CN"/>
        </w:rPr>
        <w:t>，</w:t>
      </w:r>
      <w:r>
        <w:rPr>
          <w:rFonts w:hint="default" w:ascii="Times New Roman" w:hAnsi="Times New Roman" w:eastAsia="宋体" w:cs="Times New Roman"/>
          <w:color w:val="auto"/>
          <w:highlight w:val="none"/>
        </w:rPr>
        <w:t>硫化氢最大排放浓度为</w:t>
      </w:r>
      <w:r>
        <w:rPr>
          <w:rFonts w:hint="eastAsia" w:cs="Times New Roman"/>
          <w:color w:val="auto"/>
          <w:highlight w:val="none"/>
          <w:lang w:val="en-US" w:eastAsia="zh-CN"/>
        </w:rPr>
        <w:t>小于0.005</w:t>
      </w:r>
      <w:r>
        <w:rPr>
          <w:rFonts w:hint="default" w:ascii="Times New Roman" w:hAnsi="Times New Roman" w:eastAsia="宋体" w:cs="Times New Roman"/>
          <w:color w:val="auto"/>
          <w:highlight w:val="none"/>
        </w:rPr>
        <w:t>mg/m</w:t>
      </w:r>
      <w:r>
        <w:rPr>
          <w:rFonts w:hint="default" w:ascii="Times New Roman" w:hAnsi="Times New Roman" w:eastAsia="宋体" w:cs="Times New Roman"/>
          <w:color w:val="auto"/>
          <w:highlight w:val="none"/>
          <w:vertAlign w:val="superscript"/>
          <w:lang w:val="en-US" w:eastAsia="zh-CN"/>
        </w:rPr>
        <w:t>3</w:t>
      </w:r>
      <w:r>
        <w:rPr>
          <w:rFonts w:hint="eastAsia" w:cs="Times New Roman"/>
          <w:color w:val="auto"/>
          <w:highlight w:val="none"/>
          <w:lang w:eastAsia="zh-CN"/>
        </w:rPr>
        <w:t>，</w:t>
      </w:r>
      <w:r>
        <w:rPr>
          <w:rFonts w:hint="default" w:ascii="Times New Roman" w:hAnsi="Times New Roman" w:eastAsia="宋体" w:cs="Times New Roman"/>
          <w:color w:val="auto"/>
          <w:highlight w:val="none"/>
        </w:rPr>
        <w:t>符合《城镇污水处理厂污染物排放标准》</w:t>
      </w:r>
      <w:r>
        <w:rPr>
          <w:rFonts w:hint="eastAsia" w:cs="Times New Roman"/>
          <w:color w:val="auto"/>
          <w:highlight w:val="none"/>
          <w:lang w:eastAsia="zh-CN"/>
        </w:rPr>
        <w:t>（</w:t>
      </w:r>
      <w:r>
        <w:rPr>
          <w:rFonts w:hint="default" w:ascii="Times New Roman" w:hAnsi="Times New Roman" w:eastAsia="宋体" w:cs="Times New Roman"/>
          <w:color w:val="auto"/>
          <w:highlight w:val="none"/>
        </w:rPr>
        <w:t>GB18918-2002</w:t>
      </w:r>
      <w:r>
        <w:rPr>
          <w:rFonts w:hint="eastAsia" w:cs="Times New Roman"/>
          <w:color w:val="auto"/>
          <w:highlight w:val="none"/>
          <w:lang w:eastAsia="zh-CN"/>
        </w:rPr>
        <w:t>）</w:t>
      </w:r>
      <w:r>
        <w:rPr>
          <w:rFonts w:hint="default" w:ascii="Times New Roman" w:hAnsi="Times New Roman" w:eastAsia="宋体" w:cs="Times New Roman"/>
          <w:color w:val="auto"/>
          <w:highlight w:val="none"/>
        </w:rPr>
        <w:t>表4二级标准限值要求。</w:t>
      </w:r>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废水</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①污水处理工程废水</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污水处理厂建成后，园区生活污水及工业废水、生活污水经处理达标后排放，将使污水中的主要污染物BOD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、CODcr、SS、NH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-N和TP均得到大幅度削减，同时，污水处理厂尾水经过尾水管线排入中水池中，冬天储存，夏季用于绿化灌溉。</w:t>
      </w:r>
    </w:p>
    <w:p>
      <w:pPr>
        <w:ind w:firstLine="480"/>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cs="Times New Roman"/>
          <w:b w:val="0"/>
          <w:bCs w:val="0"/>
          <w:color w:val="auto"/>
          <w:highlight w:val="none"/>
        </w:rPr>
        <w:t>②</w:t>
      </w:r>
      <w:r>
        <w:rPr>
          <w:rFonts w:hint="default" w:ascii="Times New Roman" w:hAnsi="Times New Roman" w:eastAsia="宋体" w:cs="Times New Roman"/>
          <w:b w:val="0"/>
          <w:bCs w:val="0"/>
          <w:color w:val="auto"/>
          <w:kern w:val="0"/>
          <w:sz w:val="24"/>
          <w:szCs w:val="24"/>
          <w:highlight w:val="none"/>
          <w:lang w:val="en-US" w:eastAsia="zh-CN" w:bidi="ar"/>
        </w:rPr>
        <w:t>废水污染物达标排放情况</w:t>
      </w:r>
    </w:p>
    <w:p>
      <w:pPr>
        <w:ind w:firstLine="480"/>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通过新疆蓝卓越环保科技有限公司对污水厂20</w:t>
      </w:r>
      <w:r>
        <w:rPr>
          <w:rFonts w:hint="eastAsia" w:ascii="Times New Roman" w:hAnsi="Times New Roman" w:eastAsia="宋体" w:cs="Times New Roman"/>
          <w:b w:val="0"/>
          <w:bCs w:val="0"/>
          <w:color w:val="auto"/>
          <w:kern w:val="0"/>
          <w:sz w:val="24"/>
          <w:szCs w:val="24"/>
          <w:highlight w:val="none"/>
          <w:lang w:val="en-US" w:eastAsia="zh-CN" w:bidi="ar"/>
        </w:rPr>
        <w:t>2</w:t>
      </w:r>
      <w:r>
        <w:rPr>
          <w:rFonts w:hint="eastAsia" w:cs="Times New Roman"/>
          <w:b w:val="0"/>
          <w:bCs w:val="0"/>
          <w:color w:val="auto"/>
          <w:kern w:val="0"/>
          <w:sz w:val="24"/>
          <w:szCs w:val="24"/>
          <w:highlight w:val="none"/>
          <w:lang w:val="en-US" w:eastAsia="zh-CN" w:bidi="ar"/>
        </w:rPr>
        <w:t>4</w:t>
      </w:r>
      <w:r>
        <w:rPr>
          <w:rFonts w:hint="default" w:ascii="Times New Roman" w:hAnsi="Times New Roman" w:eastAsia="宋体" w:cs="Times New Roman"/>
          <w:b w:val="0"/>
          <w:bCs w:val="0"/>
          <w:color w:val="auto"/>
          <w:kern w:val="0"/>
          <w:sz w:val="24"/>
          <w:szCs w:val="24"/>
          <w:highlight w:val="none"/>
          <w:lang w:val="en-US" w:eastAsia="zh-CN" w:bidi="ar"/>
        </w:rPr>
        <w:t>年</w:t>
      </w:r>
      <w:r>
        <w:rPr>
          <w:rFonts w:hint="eastAsia" w:ascii="Times New Roman" w:hAnsi="Times New Roman" w:eastAsia="宋体" w:cs="Times New Roman"/>
          <w:b w:val="0"/>
          <w:bCs w:val="0"/>
          <w:color w:val="auto"/>
          <w:kern w:val="0"/>
          <w:sz w:val="24"/>
          <w:szCs w:val="24"/>
          <w:highlight w:val="none"/>
          <w:lang w:val="en-US" w:eastAsia="zh-CN" w:bidi="ar"/>
        </w:rPr>
        <w:t>1</w:t>
      </w:r>
      <w:r>
        <w:rPr>
          <w:rFonts w:hint="eastAsia" w:cs="Times New Roman"/>
          <w:b w:val="0"/>
          <w:bCs w:val="0"/>
          <w:color w:val="auto"/>
          <w:kern w:val="0"/>
          <w:sz w:val="24"/>
          <w:szCs w:val="24"/>
          <w:highlight w:val="none"/>
          <w:lang w:val="en-US" w:eastAsia="zh-CN" w:bidi="ar"/>
        </w:rPr>
        <w:t>月9日</w:t>
      </w:r>
      <w:r>
        <w:rPr>
          <w:rFonts w:hint="default" w:ascii="Times New Roman" w:hAnsi="Times New Roman" w:eastAsia="宋体" w:cs="Times New Roman"/>
          <w:b w:val="0"/>
          <w:bCs w:val="0"/>
          <w:color w:val="auto"/>
          <w:kern w:val="0"/>
          <w:sz w:val="24"/>
          <w:szCs w:val="24"/>
          <w:highlight w:val="none"/>
          <w:lang w:val="en-US" w:eastAsia="zh-CN" w:bidi="ar"/>
        </w:rPr>
        <w:t>的实测出水水质进行统计分析，各污染物指标实际出水水质</w:t>
      </w:r>
      <w:r>
        <w:rPr>
          <w:rFonts w:hint="eastAsia" w:cs="Times New Roman"/>
          <w:b w:val="0"/>
          <w:bCs w:val="0"/>
          <w:color w:val="auto"/>
          <w:kern w:val="0"/>
          <w:sz w:val="24"/>
          <w:szCs w:val="24"/>
          <w:highlight w:val="none"/>
          <w:lang w:val="en-US" w:eastAsia="zh-CN" w:bidi="ar"/>
        </w:rPr>
        <w:t>见</w:t>
      </w:r>
      <w:r>
        <w:rPr>
          <w:rFonts w:hint="default" w:ascii="Times New Roman" w:hAnsi="Times New Roman" w:eastAsia="宋体" w:cs="Times New Roman"/>
          <w:b w:val="0"/>
          <w:bCs w:val="0"/>
          <w:color w:val="auto"/>
          <w:kern w:val="0"/>
          <w:sz w:val="24"/>
          <w:szCs w:val="24"/>
          <w:highlight w:val="none"/>
          <w:lang w:val="en-US" w:eastAsia="zh-CN" w:bidi="ar"/>
        </w:rPr>
        <w:t>下表。</w:t>
      </w:r>
    </w:p>
    <w:p>
      <w:pPr>
        <w:ind w:firstLine="480"/>
        <w:jc w:val="center"/>
        <w:rPr>
          <w:rFonts w:hint="eastAsia" w:eastAsia="黑体" w:cs="Times New Roman"/>
          <w:b w:val="0"/>
          <w:bCs w:val="0"/>
          <w:color w:val="auto"/>
          <w:highlight w:val="none"/>
          <w:u w:val="none"/>
          <w:lang w:val="en-US" w:eastAsia="zh-CN" w:bidi="ar"/>
        </w:rPr>
      </w:pPr>
      <w:r>
        <w:rPr>
          <w:rFonts w:hint="default" w:ascii="Times New Roman" w:hAnsi="Times New Roman" w:eastAsia="黑体" w:cs="Times New Roman"/>
          <w:b w:val="0"/>
          <w:bCs w:val="0"/>
          <w:color w:val="auto"/>
          <w:highlight w:val="none"/>
          <w:u w:val="none"/>
          <w:lang w:val="en-US" w:eastAsia="zh-CN" w:bidi="ar"/>
        </w:rPr>
        <w:t>表3.1-</w:t>
      </w:r>
      <w:r>
        <w:rPr>
          <w:rFonts w:hint="eastAsia" w:eastAsia="黑体" w:cs="Times New Roman"/>
          <w:b w:val="0"/>
          <w:bCs w:val="0"/>
          <w:color w:val="auto"/>
          <w:highlight w:val="none"/>
          <w:u w:val="none"/>
          <w:lang w:val="en-US" w:eastAsia="zh-CN" w:bidi="ar"/>
        </w:rPr>
        <w:t>5</w:t>
      </w:r>
      <w:r>
        <w:rPr>
          <w:rFonts w:hint="default" w:ascii="Times New Roman" w:hAnsi="Times New Roman" w:eastAsia="黑体" w:cs="Times New Roman"/>
          <w:b w:val="0"/>
          <w:bCs w:val="0"/>
          <w:color w:val="auto"/>
          <w:highlight w:val="none"/>
          <w:u w:val="none"/>
          <w:lang w:val="en-US" w:eastAsia="zh-CN" w:bidi="ar"/>
        </w:rPr>
        <w:t>废水监测结果统计表单位：</w:t>
      </w:r>
      <w:r>
        <w:rPr>
          <w:rFonts w:hint="eastAsia" w:eastAsia="黑体" w:cs="Times New Roman"/>
          <w:b w:val="0"/>
          <w:bCs w:val="0"/>
          <w:color w:val="auto"/>
          <w:highlight w:val="none"/>
          <w:u w:val="none"/>
          <w:lang w:val="en-US" w:eastAsia="zh-CN" w:bidi="ar"/>
        </w:rPr>
        <w:t>（</w:t>
      </w:r>
      <w:r>
        <w:rPr>
          <w:rFonts w:hint="default" w:ascii="Times New Roman" w:hAnsi="Times New Roman" w:eastAsia="黑体" w:cs="Times New Roman"/>
          <w:b w:val="0"/>
          <w:bCs w:val="0"/>
          <w:color w:val="auto"/>
          <w:highlight w:val="none"/>
          <w:u w:val="none"/>
          <w:lang w:val="en-US" w:eastAsia="zh-CN" w:bidi="ar"/>
        </w:rPr>
        <w:t>mg/L)(pH、色度除外</w:t>
      </w:r>
      <w:r>
        <w:rPr>
          <w:rFonts w:hint="eastAsia" w:eastAsia="黑体" w:cs="Times New Roman"/>
          <w:b w:val="0"/>
          <w:bCs w:val="0"/>
          <w:color w:val="auto"/>
          <w:highlight w:val="none"/>
          <w:u w:val="none"/>
          <w:lang w:val="en-US" w:eastAsia="zh-CN" w:bidi="ar"/>
        </w:rPr>
        <w:t>）</w:t>
      </w:r>
    </w:p>
    <w:tbl>
      <w:tblPr>
        <w:tblStyle w:val="3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00"/>
        <w:gridCol w:w="1961"/>
        <w:gridCol w:w="976"/>
        <w:gridCol w:w="4027"/>
        <w:gridCol w:w="20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180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采样点位</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总排口</w:t>
            </w:r>
          </w:p>
        </w:tc>
        <w:tc>
          <w:tcPr>
            <w:tcW w:w="10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限值依据</w:t>
            </w:r>
          </w:p>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(GB18918-2002)</w:t>
            </w:r>
          </w:p>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一级A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180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样品编号</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XLZY-2024-S-025-00</w:t>
            </w:r>
          </w:p>
        </w:tc>
        <w:tc>
          <w:tcPr>
            <w:tcW w:w="10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180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样品状态</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无色、透明、无异味</w:t>
            </w:r>
          </w:p>
        </w:tc>
        <w:tc>
          <w:tcPr>
            <w:tcW w:w="10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序号</w:t>
            </w:r>
          </w:p>
        </w:tc>
        <w:tc>
          <w:tcPr>
            <w:tcW w:w="10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检测项目</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单位</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检测结果</w:t>
            </w:r>
          </w:p>
        </w:tc>
        <w:tc>
          <w:tcPr>
            <w:tcW w:w="10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10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pH值</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无量纲</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7.8</w:t>
            </w:r>
          </w:p>
        </w:tc>
        <w:tc>
          <w:tcPr>
            <w:tcW w:w="10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w:t>
            </w:r>
          </w:p>
        </w:tc>
        <w:tc>
          <w:tcPr>
            <w:tcW w:w="10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流量</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L/s</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4.6</w:t>
            </w:r>
          </w:p>
        </w:tc>
        <w:tc>
          <w:tcPr>
            <w:tcW w:w="10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w:t>
            </w:r>
          </w:p>
        </w:tc>
        <w:tc>
          <w:tcPr>
            <w:tcW w:w="10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悬浮物</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mg/L</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8</w:t>
            </w:r>
          </w:p>
        </w:tc>
        <w:tc>
          <w:tcPr>
            <w:tcW w:w="10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10mg/L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4</w:t>
            </w:r>
          </w:p>
        </w:tc>
        <w:tc>
          <w:tcPr>
            <w:tcW w:w="10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色度</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倍</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&lt;2</w:t>
            </w:r>
          </w:p>
        </w:tc>
        <w:tc>
          <w:tcPr>
            <w:tcW w:w="10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30倍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w:t>
            </w:r>
          </w:p>
        </w:tc>
        <w:tc>
          <w:tcPr>
            <w:tcW w:w="10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五日生化需氧量</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mg/L</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1.4</w:t>
            </w:r>
          </w:p>
        </w:tc>
        <w:tc>
          <w:tcPr>
            <w:tcW w:w="10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10mg/L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w:t>
            </w:r>
          </w:p>
        </w:tc>
        <w:tc>
          <w:tcPr>
            <w:tcW w:w="10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阴离子表面活性剂</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mg/L</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0.076</w:t>
            </w:r>
          </w:p>
        </w:tc>
        <w:tc>
          <w:tcPr>
            <w:tcW w:w="10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0.5mg/L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7</w:t>
            </w:r>
          </w:p>
        </w:tc>
        <w:tc>
          <w:tcPr>
            <w:tcW w:w="10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石油类</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mg/L</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&lt;0.06</w:t>
            </w:r>
          </w:p>
        </w:tc>
        <w:tc>
          <w:tcPr>
            <w:tcW w:w="10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8</w:t>
            </w:r>
          </w:p>
        </w:tc>
        <w:tc>
          <w:tcPr>
            <w:tcW w:w="10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动植物油类</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mg/L</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0.14</w:t>
            </w:r>
          </w:p>
        </w:tc>
        <w:tc>
          <w:tcPr>
            <w:tcW w:w="10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9</w:t>
            </w:r>
          </w:p>
        </w:tc>
        <w:tc>
          <w:tcPr>
            <w:tcW w:w="10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粪大肠菌群</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MPN/L</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&lt;20</w:t>
            </w:r>
          </w:p>
        </w:tc>
        <w:tc>
          <w:tcPr>
            <w:tcW w:w="10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1000个/L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10</w:t>
            </w:r>
          </w:p>
        </w:tc>
        <w:tc>
          <w:tcPr>
            <w:tcW w:w="10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总汞</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μg/L</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0.26</w:t>
            </w:r>
          </w:p>
        </w:tc>
        <w:tc>
          <w:tcPr>
            <w:tcW w:w="10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0.001mg/L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11</w:t>
            </w:r>
          </w:p>
        </w:tc>
        <w:tc>
          <w:tcPr>
            <w:tcW w:w="10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镉</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μg/L</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&lt;0.5</w:t>
            </w:r>
          </w:p>
        </w:tc>
        <w:tc>
          <w:tcPr>
            <w:tcW w:w="10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0.01mg/L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12</w:t>
            </w:r>
          </w:p>
        </w:tc>
        <w:tc>
          <w:tcPr>
            <w:tcW w:w="10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铅</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μg/L</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10.2</w:t>
            </w:r>
          </w:p>
        </w:tc>
        <w:tc>
          <w:tcPr>
            <w:tcW w:w="10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13</w:t>
            </w:r>
          </w:p>
        </w:tc>
        <w:tc>
          <w:tcPr>
            <w:tcW w:w="10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砷</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μg/L</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&lt;0.3</w:t>
            </w:r>
          </w:p>
        </w:tc>
        <w:tc>
          <w:tcPr>
            <w:tcW w:w="10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14</w:t>
            </w:r>
          </w:p>
        </w:tc>
        <w:tc>
          <w:tcPr>
            <w:tcW w:w="10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总铬</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mg/L</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0.042</w:t>
            </w:r>
          </w:p>
        </w:tc>
        <w:tc>
          <w:tcPr>
            <w:tcW w:w="10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0.1mg/L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15</w:t>
            </w:r>
          </w:p>
        </w:tc>
        <w:tc>
          <w:tcPr>
            <w:tcW w:w="10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六价铬</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mg/L</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0.022</w:t>
            </w:r>
          </w:p>
        </w:tc>
        <w:tc>
          <w:tcPr>
            <w:tcW w:w="10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0.05mg/L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16</w:t>
            </w:r>
          </w:p>
        </w:tc>
        <w:tc>
          <w:tcPr>
            <w:tcW w:w="10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化学需氧量</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mg/L</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4.82</w:t>
            </w:r>
          </w:p>
        </w:tc>
        <w:tc>
          <w:tcPr>
            <w:tcW w:w="10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50mg/L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17</w:t>
            </w:r>
          </w:p>
        </w:tc>
        <w:tc>
          <w:tcPr>
            <w:tcW w:w="10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氨氮</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mg/L</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0.256</w:t>
            </w:r>
          </w:p>
        </w:tc>
        <w:tc>
          <w:tcPr>
            <w:tcW w:w="10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5mg/L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18</w:t>
            </w:r>
          </w:p>
        </w:tc>
        <w:tc>
          <w:tcPr>
            <w:tcW w:w="10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总磷</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mg/L</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0.44</w:t>
            </w:r>
          </w:p>
        </w:tc>
        <w:tc>
          <w:tcPr>
            <w:tcW w:w="10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0.5mg/L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19</w:t>
            </w:r>
          </w:p>
        </w:tc>
        <w:tc>
          <w:tcPr>
            <w:tcW w:w="10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总氮</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mg/L</w:t>
            </w:r>
          </w:p>
        </w:tc>
        <w:tc>
          <w:tcPr>
            <w:tcW w:w="21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6.72</w:t>
            </w:r>
          </w:p>
        </w:tc>
        <w:tc>
          <w:tcPr>
            <w:tcW w:w="10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15mg/L</w:t>
            </w:r>
          </w:p>
        </w:tc>
      </w:tr>
    </w:tbl>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监测期间，昌吉农业园区现代农业精深加工示范区污水处理厂处理后外排水中12项检测指标中排放浓度均符合《城镇污水处理厂污染物排放标准》</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GB18918-2002</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表1一级A标准限值要求。</w:t>
      </w:r>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噪声</w:t>
      </w:r>
    </w:p>
    <w:p>
      <w:pPr>
        <w:pStyle w:val="15"/>
        <w:rPr>
          <w:rFonts w:hint="default" w:ascii="Times New Roman" w:hAnsi="Times New Roman" w:eastAsia="宋体" w:cs="Times New Roman"/>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default" w:ascii="Times New Roman" w:hAnsi="Times New Roman" w:cs="Times New Roman"/>
          <w:color w:val="auto"/>
          <w:highlight w:val="none"/>
          <w:lang w:val="en-US" w:eastAsia="zh-CN"/>
        </w:rPr>
        <w:t>噪声治理措施</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项目区在设备安装时均设置了基础</w:t>
      </w:r>
      <w:r>
        <w:rPr>
          <w:rFonts w:hint="eastAsia" w:cs="Times New Roman"/>
          <w:color w:val="auto"/>
          <w:highlight w:val="none"/>
          <w:lang w:val="en-US" w:eastAsia="zh-CN"/>
        </w:rPr>
        <w:t>减震</w:t>
      </w:r>
      <w:r>
        <w:rPr>
          <w:rFonts w:hint="default" w:ascii="Times New Roman" w:hAnsi="Times New Roman" w:cs="Times New Roman"/>
          <w:color w:val="auto"/>
          <w:highlight w:val="none"/>
        </w:rPr>
        <w:t>，机房采用塑钢中空玻璃窗或双层隔声窗，对风机采用消声器、在设备外壳加隔声吸声材料等措施后，噪声满足《</w:t>
      </w:r>
      <w:r>
        <w:rPr>
          <w:rFonts w:hint="default" w:ascii="Times New Roman" w:hAnsi="Times New Roman" w:cs="Times New Roman"/>
          <w:color w:val="auto"/>
          <w:highlight w:val="none"/>
          <w:lang w:eastAsia="zh-CN"/>
        </w:rPr>
        <w:t>工业企业厂界环境噪声排放标准</w:t>
      </w:r>
      <w:r>
        <w:rPr>
          <w:rFonts w:hint="default" w:ascii="Times New Roman" w:hAnsi="Times New Roman" w:cs="Times New Roman"/>
          <w:color w:val="auto"/>
          <w:highlight w:val="none"/>
        </w:rPr>
        <w:t>》（GB12348-2008）中3类标准限值要求。</w:t>
      </w:r>
    </w:p>
    <w:p>
      <w:pPr>
        <w:ind w:firstLine="480"/>
        <w:rPr>
          <w:rFonts w:hint="default" w:ascii="Times New Roman" w:hAnsi="Times New Roman" w:eastAsia="黑体" w:cs="Times New Roman"/>
          <w:color w:val="auto"/>
          <w:highlight w:val="none"/>
        </w:rPr>
      </w:pPr>
      <w:r>
        <w:rPr>
          <w:rFonts w:hint="eastAsia" w:cs="Times New Roman"/>
          <w:b w:val="0"/>
          <w:bCs w:val="0"/>
          <w:color w:val="auto"/>
          <w:highlight w:val="none"/>
          <w:lang w:eastAsia="zh-CN"/>
        </w:rPr>
        <w:t>（</w:t>
      </w:r>
      <w:r>
        <w:rPr>
          <w:rFonts w:hint="eastAsia" w:cs="Times New Roman"/>
          <w:b w:val="0"/>
          <w:bCs w:val="0"/>
          <w:color w:val="auto"/>
          <w:highlight w:val="none"/>
          <w:lang w:val="en-US" w:eastAsia="zh-CN"/>
        </w:rPr>
        <w:t>2</w:t>
      </w:r>
      <w:r>
        <w:rPr>
          <w:rFonts w:hint="eastAsia" w:cs="Times New Roman"/>
          <w:b w:val="0"/>
          <w:bCs w:val="0"/>
          <w:color w:val="auto"/>
          <w:highlight w:val="none"/>
          <w:lang w:eastAsia="zh-CN"/>
        </w:rPr>
        <w:t>）</w:t>
      </w:r>
      <w:r>
        <w:rPr>
          <w:rFonts w:hint="default" w:ascii="Times New Roman" w:hAnsi="Times New Roman" w:eastAsia="宋体" w:cs="Times New Roman"/>
          <w:b w:val="0"/>
          <w:bCs w:val="0"/>
          <w:color w:val="auto"/>
          <w:kern w:val="0"/>
          <w:sz w:val="24"/>
          <w:szCs w:val="24"/>
          <w:highlight w:val="none"/>
          <w:lang w:val="en-US" w:eastAsia="zh-CN" w:bidi="ar"/>
        </w:rPr>
        <w:t>噪声污染物达标排放情况</w:t>
      </w:r>
    </w:p>
    <w:p>
      <w:pPr>
        <w:ind w:firstLine="48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表</w:t>
      </w:r>
      <w:r>
        <w:rPr>
          <w:rFonts w:hint="default" w:ascii="Times New Roman" w:hAnsi="Times New Roman" w:eastAsia="黑体" w:cs="Times New Roman"/>
          <w:color w:val="auto"/>
          <w:highlight w:val="none"/>
          <w:lang w:val="en-US" w:eastAsia="zh-CN"/>
        </w:rPr>
        <w:t>3.1-</w:t>
      </w:r>
      <w:r>
        <w:rPr>
          <w:rFonts w:hint="eastAsia" w:eastAsia="黑体" w:cs="Times New Roman"/>
          <w:color w:val="auto"/>
          <w:highlight w:val="none"/>
          <w:lang w:val="en-US" w:eastAsia="zh-CN"/>
        </w:rPr>
        <w:t>6</w:t>
      </w:r>
      <w:r>
        <w:rPr>
          <w:rFonts w:hint="default" w:ascii="Times New Roman" w:hAnsi="Times New Roman" w:eastAsia="黑体" w:cs="Times New Roman"/>
          <w:color w:val="auto"/>
          <w:highlight w:val="none"/>
        </w:rPr>
        <w:t>噪声监测结果单位：[dB(A)]</w:t>
      </w:r>
    </w:p>
    <w:tbl>
      <w:tblPr>
        <w:tblStyle w:val="3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87"/>
        <w:gridCol w:w="1897"/>
        <w:gridCol w:w="2287"/>
        <w:gridCol w:w="2095"/>
        <w:gridCol w:w="16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8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时间段</w:t>
            </w:r>
          </w:p>
        </w:tc>
        <w:tc>
          <w:tcPr>
            <w:tcW w:w="9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监测点位</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监测日期</w:t>
            </w:r>
          </w:p>
        </w:tc>
        <w:tc>
          <w:tcPr>
            <w:tcW w:w="11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标准限值</w:t>
            </w:r>
          </w:p>
        </w:tc>
        <w:tc>
          <w:tcPr>
            <w:tcW w:w="8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达标情况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8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9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sz w:val="21"/>
                <w:szCs w:val="21"/>
                <w:highlight w:val="none"/>
                <w:u w:val="none"/>
                <w:lang w:val="en-US" w:eastAsia="zh-CN"/>
              </w:rPr>
              <w:t>2</w:t>
            </w:r>
            <w:r>
              <w:rPr>
                <w:rFonts w:hint="eastAsia" w:cs="Times New Roman"/>
                <w:i w:val="0"/>
                <w:iCs w:val="0"/>
                <w:color w:val="auto"/>
                <w:sz w:val="21"/>
                <w:szCs w:val="21"/>
                <w:highlight w:val="none"/>
                <w:u w:val="none"/>
                <w:lang w:val="en-US" w:eastAsia="zh-CN"/>
              </w:rPr>
              <w:t>023.3.11</w:t>
            </w:r>
          </w:p>
        </w:tc>
        <w:tc>
          <w:tcPr>
            <w:tcW w:w="11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8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8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昼间</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1#</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48</w:t>
            </w:r>
          </w:p>
        </w:tc>
        <w:tc>
          <w:tcPr>
            <w:tcW w:w="11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65</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8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2#</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47</w:t>
            </w:r>
          </w:p>
        </w:tc>
        <w:tc>
          <w:tcPr>
            <w:tcW w:w="11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8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3#</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46</w:t>
            </w:r>
          </w:p>
        </w:tc>
        <w:tc>
          <w:tcPr>
            <w:tcW w:w="11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8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4#</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47</w:t>
            </w:r>
          </w:p>
        </w:tc>
        <w:tc>
          <w:tcPr>
            <w:tcW w:w="11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8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夜间</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1#</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43</w:t>
            </w:r>
          </w:p>
        </w:tc>
        <w:tc>
          <w:tcPr>
            <w:tcW w:w="11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55</w:t>
            </w: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8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2#</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44</w:t>
            </w:r>
          </w:p>
        </w:tc>
        <w:tc>
          <w:tcPr>
            <w:tcW w:w="11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8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3#</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44</w:t>
            </w:r>
          </w:p>
        </w:tc>
        <w:tc>
          <w:tcPr>
            <w:tcW w:w="11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8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4#</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42</w:t>
            </w:r>
          </w:p>
        </w:tc>
        <w:tc>
          <w:tcPr>
            <w:tcW w:w="11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达标</w:t>
            </w:r>
          </w:p>
        </w:tc>
      </w:tr>
    </w:tbl>
    <w:p>
      <w:pPr>
        <w:keepNext w:val="0"/>
        <w:keepLines w:val="0"/>
        <w:pageBreakBefore w:val="0"/>
        <w:widowControl/>
        <w:kinsoku/>
        <w:wordWrap/>
        <w:overflowPunct/>
        <w:topLinePunct w:val="0"/>
        <w:autoSpaceDE w:val="0"/>
        <w:autoSpaceDN w:val="0"/>
        <w:bidi w:val="0"/>
        <w:adjustRightInd/>
        <w:snapToGrid/>
        <w:ind w:firstLine="480"/>
        <w:jc w:val="both"/>
        <w:textAlignment w:val="auto"/>
        <w:rPr>
          <w:rFonts w:hint="default" w:ascii="Times New Roman" w:hAnsi="Times New Roman" w:cs="Times New Roman"/>
          <w:color w:val="auto"/>
          <w:highlight w:val="none"/>
        </w:rPr>
      </w:pPr>
      <w:r>
        <w:rPr>
          <w:color w:val="auto"/>
          <w:highlight w:val="none"/>
          <w:lang w:val="en-US" w:bidi="ar"/>
        </w:rPr>
        <w:t>监测结果表明：202</w:t>
      </w:r>
      <w:r>
        <w:rPr>
          <w:rFonts w:hint="eastAsia"/>
          <w:color w:val="auto"/>
          <w:highlight w:val="none"/>
          <w:lang w:val="en-US" w:eastAsia="zh-CN" w:bidi="ar"/>
        </w:rPr>
        <w:t>4</w:t>
      </w:r>
      <w:r>
        <w:rPr>
          <w:color w:val="auto"/>
          <w:highlight w:val="none"/>
          <w:lang w:val="en-US" w:bidi="ar"/>
        </w:rPr>
        <w:t>年第</w:t>
      </w:r>
      <w:r>
        <w:rPr>
          <w:rFonts w:hint="eastAsia"/>
          <w:color w:val="auto"/>
          <w:highlight w:val="none"/>
          <w:lang w:val="en-US" w:eastAsia="zh-CN" w:bidi="ar"/>
        </w:rPr>
        <w:t>一</w:t>
      </w:r>
      <w:r>
        <w:rPr>
          <w:color w:val="auto"/>
          <w:highlight w:val="none"/>
          <w:lang w:val="en-US" w:bidi="ar"/>
        </w:rPr>
        <w:t>季度厂界噪声监督性监测值均满足《工业企业厂界环境噪声排放标准》（GB12348-2008）3类功能区的标准限值要求。</w:t>
      </w:r>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固体废物</w:t>
      </w:r>
    </w:p>
    <w:p>
      <w:pPr>
        <w:ind w:firstLine="480"/>
        <w:rPr>
          <w:rFonts w:hint="default"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1</w:t>
      </w:r>
      <w:r>
        <w:rPr>
          <w:rFonts w:hint="eastAsia" w:cs="Times New Roman"/>
          <w:color w:val="auto"/>
          <w:highlight w:val="none"/>
          <w:lang w:eastAsia="zh-CN"/>
        </w:rPr>
        <w:t>）</w:t>
      </w:r>
      <w:r>
        <w:rPr>
          <w:rFonts w:hint="default" w:ascii="Times New Roman" w:hAnsi="Times New Roman" w:cs="Times New Roman"/>
          <w:color w:val="auto"/>
          <w:highlight w:val="none"/>
        </w:rPr>
        <w:t>污泥</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本项目产生的格栅渣、沉砂和污泥产生约</w:t>
      </w:r>
      <w:r>
        <w:rPr>
          <w:rFonts w:hint="eastAsia" w:cs="Times New Roman"/>
          <w:color w:val="auto"/>
          <w:highlight w:val="none"/>
          <w:lang w:val="en-US" w:eastAsia="zh-CN"/>
        </w:rPr>
        <w:t>507t/a</w:t>
      </w:r>
      <w:r>
        <w:rPr>
          <w:rFonts w:hint="default" w:ascii="Times New Roman" w:hAnsi="Times New Roman" w:cs="Times New Roman"/>
          <w:color w:val="auto"/>
          <w:highlight w:val="none"/>
        </w:rPr>
        <w:t>，经处理含水率小于60%后，按照当地环卫部门要求送往昌吉市生活垃圾填埋场。</w:t>
      </w:r>
    </w:p>
    <w:p>
      <w:pPr>
        <w:numPr>
          <w:ilvl w:val="0"/>
          <w:numId w:val="5"/>
        </w:num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生活垃圾</w:t>
      </w:r>
      <w:r>
        <w:rPr>
          <w:rFonts w:hint="eastAsia" w:cs="Times New Roman"/>
          <w:color w:val="auto"/>
          <w:highlight w:val="none"/>
          <w:lang w:eastAsia="zh-CN"/>
        </w:rPr>
        <w:t>现有项目</w:t>
      </w:r>
      <w:r>
        <w:rPr>
          <w:rFonts w:hint="default" w:ascii="Times New Roman" w:hAnsi="Times New Roman" w:cs="Times New Roman"/>
          <w:color w:val="auto"/>
          <w:highlight w:val="none"/>
        </w:rPr>
        <w:t>生活垃圾产生量为8t/a，按照当地环卫部门要求送往昌吉市生活垃圾填埋场。</w:t>
      </w:r>
    </w:p>
    <w:p>
      <w:pPr>
        <w:autoSpaceDE w:val="0"/>
        <w:autoSpaceDN w:val="0"/>
        <w:adjustRightInd w:val="0"/>
        <w:spacing w:line="360" w:lineRule="auto"/>
        <w:ind w:firstLine="476" w:firstLineChars="200"/>
        <w:rPr>
          <w:rFonts w:hint="eastAsia" w:ascii="Times New Roman" w:hAnsi="Times New Roman" w:eastAsia="宋体" w:cs="Times New Roman"/>
          <w:color w:val="FF0000"/>
          <w:sz w:val="24"/>
          <w:highlight w:val="none"/>
          <w:lang w:val="en-US" w:eastAsia="zh-CN"/>
        </w:rPr>
      </w:pPr>
      <w:r>
        <w:rPr>
          <w:rFonts w:ascii="Times New Roman" w:hAnsi="Times New Roman" w:eastAsia="Times New Roman" w:cs="Times New Roman"/>
          <w:color w:val="FF0000"/>
          <w:spacing w:val="-1"/>
          <w:sz w:val="24"/>
          <w:szCs w:val="24"/>
          <w:highlight w:val="none"/>
        </w:rPr>
        <w:t>2019</w:t>
      </w:r>
      <w:r>
        <w:rPr>
          <w:rFonts w:ascii="Times New Roman" w:hAnsi="Times New Roman" w:eastAsia="宋体" w:cs="Times New Roman"/>
          <w:color w:val="FF0000"/>
          <w:spacing w:val="-1"/>
          <w:sz w:val="24"/>
          <w:szCs w:val="24"/>
          <w:highlight w:val="none"/>
        </w:rPr>
        <w:t>年</w:t>
      </w:r>
      <w:r>
        <w:rPr>
          <w:rFonts w:hint="eastAsia" w:ascii="Times New Roman" w:hAnsi="Times New Roman" w:eastAsia="宋体" w:cs="Times New Roman"/>
          <w:color w:val="FF0000"/>
          <w:spacing w:val="-1"/>
          <w:sz w:val="24"/>
          <w:szCs w:val="24"/>
          <w:highlight w:val="none"/>
          <w:lang w:val="en-US" w:eastAsia="zh-CN"/>
        </w:rPr>
        <w:t>12</w:t>
      </w:r>
      <w:r>
        <w:rPr>
          <w:rFonts w:ascii="Times New Roman" w:hAnsi="Times New Roman" w:eastAsia="宋体" w:cs="Times New Roman"/>
          <w:color w:val="FF0000"/>
          <w:spacing w:val="-1"/>
          <w:sz w:val="24"/>
          <w:szCs w:val="24"/>
          <w:highlight w:val="none"/>
        </w:rPr>
        <w:t>月，</w:t>
      </w:r>
      <w:r>
        <w:rPr>
          <w:rFonts w:hint="eastAsia" w:ascii="Times New Roman" w:hAnsi="Times New Roman" w:eastAsia="宋体" w:cs="Times New Roman"/>
          <w:color w:val="FF0000"/>
          <w:spacing w:val="-1"/>
          <w:sz w:val="24"/>
          <w:szCs w:val="24"/>
          <w:highlight w:val="none"/>
          <w:lang w:val="en-US" w:eastAsia="zh-CN"/>
        </w:rPr>
        <w:t>南京环境科学研究所出具的</w:t>
      </w:r>
      <w:r>
        <w:rPr>
          <w:rFonts w:hint="eastAsia" w:ascii="Times New Roman" w:hAnsi="Times New Roman" w:eastAsia="宋体" w:cs="Times New Roman"/>
          <w:color w:val="FF0000"/>
          <w:spacing w:val="-1"/>
          <w:sz w:val="24"/>
          <w:szCs w:val="24"/>
          <w:highlight w:val="none"/>
          <w:lang w:eastAsia="zh-CN"/>
        </w:rPr>
        <w:t>《</w:t>
      </w:r>
      <w:r>
        <w:rPr>
          <w:rFonts w:ascii="Times New Roman" w:hAnsi="Times New Roman" w:eastAsia="宋体" w:cs="Times New Roman"/>
          <w:color w:val="FF0000"/>
          <w:spacing w:val="-3"/>
          <w:sz w:val="24"/>
          <w:szCs w:val="24"/>
          <w:highlight w:val="none"/>
        </w:rPr>
        <w:t>昌吉国家农业科技园区现代农业精深加工示范区污水处理厂</w:t>
      </w:r>
      <w:r>
        <w:rPr>
          <w:rFonts w:hint="eastAsia" w:ascii="Times New Roman" w:hAnsi="Times New Roman" w:eastAsia="宋体" w:cs="Times New Roman"/>
          <w:color w:val="FF0000"/>
          <w:spacing w:val="-3"/>
          <w:sz w:val="24"/>
          <w:szCs w:val="24"/>
          <w:highlight w:val="none"/>
          <w:lang w:val="en-US" w:eastAsia="zh-CN"/>
        </w:rPr>
        <w:t>的污泥鉴定报告</w:t>
      </w:r>
      <w:r>
        <w:rPr>
          <w:rFonts w:hint="eastAsia" w:ascii="Times New Roman" w:hAnsi="Times New Roman" w:eastAsia="宋体" w:cs="Times New Roman"/>
          <w:color w:val="FF0000"/>
          <w:spacing w:val="-1"/>
          <w:sz w:val="24"/>
          <w:szCs w:val="24"/>
          <w:highlight w:val="none"/>
          <w:lang w:eastAsia="zh-CN"/>
        </w:rPr>
        <w:t>》</w:t>
      </w:r>
      <w:r>
        <w:rPr>
          <w:rFonts w:hint="eastAsia" w:ascii="Times New Roman" w:hAnsi="Times New Roman" w:eastAsia="宋体" w:cs="Times New Roman"/>
          <w:color w:val="FF0000"/>
          <w:spacing w:val="-3"/>
          <w:sz w:val="24"/>
          <w:szCs w:val="24"/>
          <w:highlight w:val="none"/>
          <w:lang w:eastAsia="zh-CN"/>
        </w:rPr>
        <w:t>，</w:t>
      </w:r>
      <w:r>
        <w:rPr>
          <w:rFonts w:hint="default" w:ascii="Times New Roman" w:hAnsi="Times New Roman" w:eastAsia="宋体" w:cs="Times New Roman"/>
          <w:color w:val="FF0000"/>
          <w:sz w:val="24"/>
          <w:highlight w:val="none"/>
          <w:lang w:val="en-US" w:eastAsia="en-US"/>
        </w:rPr>
        <w:t>根据《危险废物鉴别标准浸出毒性鉴别》（GB5085.3-2007）</w:t>
      </w:r>
      <w:r>
        <w:rPr>
          <w:rFonts w:hint="eastAsia" w:cs="Times New Roman"/>
          <w:color w:val="FF0000"/>
          <w:sz w:val="24"/>
          <w:highlight w:val="none"/>
          <w:lang w:val="en-US" w:eastAsia="zh-CN"/>
        </w:rPr>
        <w:t>和《生活垃圾填埋场污染控制标准》（GB 16889-2008）</w:t>
      </w:r>
      <w:r>
        <w:rPr>
          <w:rFonts w:hint="default" w:ascii="Times New Roman" w:hAnsi="Times New Roman" w:eastAsia="宋体" w:cs="Times New Roman"/>
          <w:color w:val="FF0000"/>
          <w:sz w:val="24"/>
          <w:highlight w:val="none"/>
          <w:lang w:val="en-US" w:eastAsia="en-US"/>
        </w:rPr>
        <w:t>，对污泥进行了初筛检测</w:t>
      </w:r>
      <w:r>
        <w:rPr>
          <w:rFonts w:hint="eastAsia" w:ascii="Times New Roman" w:hAnsi="Times New Roman" w:eastAsia="宋体" w:cs="Times New Roman"/>
          <w:color w:val="FF0000"/>
          <w:sz w:val="24"/>
          <w:highlight w:val="none"/>
          <w:lang w:val="en-US" w:eastAsia="zh-CN"/>
        </w:rPr>
        <w:t>。</w:t>
      </w:r>
    </w:p>
    <w:p>
      <w:pPr>
        <w:spacing w:line="240" w:lineRule="auto"/>
        <w:ind w:firstLine="0" w:firstLineChars="0"/>
        <w:jc w:val="center"/>
        <w:rPr>
          <w:rFonts w:hint="default" w:ascii="Times New Roman" w:hAnsi="Times New Roman" w:eastAsia="黑体" w:cs="Times New Roman"/>
          <w:color w:val="FF0000"/>
          <w:sz w:val="24"/>
          <w:highlight w:val="none"/>
          <w:lang w:eastAsia="en-US"/>
        </w:rPr>
      </w:pPr>
      <w:r>
        <w:rPr>
          <w:rFonts w:hint="eastAsia" w:ascii="Times New Roman" w:hAnsi="Times New Roman" w:eastAsia="黑体" w:cs="Times New Roman"/>
          <w:color w:val="FF0000"/>
          <w:sz w:val="24"/>
          <w:highlight w:val="none"/>
          <w:lang w:val="en-US" w:eastAsia="zh-CN"/>
        </w:rPr>
        <w:t>表3.</w:t>
      </w:r>
      <w:r>
        <w:rPr>
          <w:rFonts w:hint="eastAsia" w:eastAsia="黑体" w:cs="Times New Roman"/>
          <w:color w:val="FF0000"/>
          <w:sz w:val="24"/>
          <w:highlight w:val="none"/>
          <w:lang w:val="en-US" w:eastAsia="zh-CN"/>
        </w:rPr>
        <w:t>1-7</w:t>
      </w:r>
      <w:r>
        <w:rPr>
          <w:rFonts w:hint="default" w:ascii="Times New Roman" w:hAnsi="Times New Roman" w:eastAsia="黑体" w:cs="Times New Roman"/>
          <w:color w:val="FF0000"/>
          <w:sz w:val="24"/>
          <w:highlight w:val="none"/>
          <w:lang w:eastAsia="en-US"/>
        </w:rPr>
        <w:t>污泥样品中的</w:t>
      </w:r>
      <w:r>
        <w:rPr>
          <w:rFonts w:hint="eastAsia" w:ascii="Times New Roman" w:hAnsi="Times New Roman" w:eastAsia="黑体" w:cs="Times New Roman"/>
          <w:color w:val="FF0000"/>
          <w:sz w:val="24"/>
          <w:highlight w:val="none"/>
          <w:lang w:val="en-US" w:eastAsia="zh-CN"/>
        </w:rPr>
        <w:t>浸出毒</w:t>
      </w:r>
      <w:r>
        <w:rPr>
          <w:rFonts w:hint="default" w:ascii="Times New Roman" w:hAnsi="Times New Roman" w:eastAsia="黑体" w:cs="Times New Roman"/>
          <w:color w:val="FF0000"/>
          <w:sz w:val="24"/>
          <w:highlight w:val="none"/>
          <w:lang w:eastAsia="en-US"/>
        </w:rPr>
        <w:t>性定量检测结果表(mg/L)</w:t>
      </w:r>
    </w:p>
    <w:tbl>
      <w:tblPr>
        <w:tblStyle w:val="57"/>
        <w:tblW w:w="504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65"/>
        <w:gridCol w:w="1529"/>
        <w:gridCol w:w="1378"/>
        <w:gridCol w:w="2855"/>
        <w:gridCol w:w="19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5000" w:type="pct"/>
            <w:gridSpan w:val="5"/>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无机元素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887"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检测因子</w:t>
            </w:r>
          </w:p>
        </w:tc>
        <w:tc>
          <w:tcPr>
            <w:tcW w:w="814"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检出限污泥-1</w:t>
            </w:r>
          </w:p>
        </w:tc>
        <w:tc>
          <w:tcPr>
            <w:tcW w:w="734"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污泥-2</w:t>
            </w:r>
          </w:p>
        </w:tc>
        <w:tc>
          <w:tcPr>
            <w:tcW w:w="1520"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eastAsia" w:ascii="Times New Roman" w:hAnsi="Times New Roman" w:eastAsia="宋体" w:cs="Times New Roman"/>
                <w:color w:val="FF0000"/>
                <w:sz w:val="21"/>
                <w:szCs w:val="20"/>
                <w:highlight w:val="none"/>
                <w:lang w:val="en-US" w:eastAsia="zh-CN"/>
              </w:rPr>
              <w:t>《危险废物鉴别标准浸出毒性鉴别》（GB5085.3-2007）浸出液浓度限值</w:t>
            </w:r>
          </w:p>
        </w:tc>
        <w:tc>
          <w:tcPr>
            <w:tcW w:w="1043" w:type="pct"/>
            <w:tcBorders>
              <w:tl2br w:val="nil"/>
              <w:tr2bl w:val="nil"/>
            </w:tcBorders>
            <w:vAlign w:val="top"/>
          </w:tcPr>
          <w:p>
            <w:pPr>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eastAsia" w:ascii="Times New Roman" w:hAnsi="Times New Roman" w:eastAsia="宋体" w:cs="Times New Roman"/>
                <w:color w:val="FF0000"/>
                <w:sz w:val="21"/>
                <w:szCs w:val="20"/>
                <w:highlight w:val="none"/>
                <w:lang w:val="en-US" w:eastAsia="zh-CN"/>
              </w:rPr>
              <w:t>《生活垃圾填埋场污染控制标准》（GB 16889-2008）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887"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氟化物</w:t>
            </w:r>
          </w:p>
        </w:tc>
        <w:tc>
          <w:tcPr>
            <w:tcW w:w="814"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0.05</w:t>
            </w:r>
          </w:p>
        </w:tc>
        <w:tc>
          <w:tcPr>
            <w:tcW w:w="734"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0.253</w:t>
            </w:r>
          </w:p>
        </w:tc>
        <w:tc>
          <w:tcPr>
            <w:tcW w:w="1520"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0.155</w:t>
            </w:r>
          </w:p>
        </w:tc>
        <w:tc>
          <w:tcPr>
            <w:tcW w:w="1043"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eastAsia" w:cs="Times New Roman"/>
                <w:color w:val="FF0000"/>
                <w:sz w:val="21"/>
                <w:szCs w:val="20"/>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887"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氰化物</w:t>
            </w:r>
          </w:p>
        </w:tc>
        <w:tc>
          <w:tcPr>
            <w:tcW w:w="814"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0.0005</w:t>
            </w:r>
          </w:p>
        </w:tc>
        <w:tc>
          <w:tcPr>
            <w:tcW w:w="734"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ND</w:t>
            </w:r>
          </w:p>
        </w:tc>
        <w:tc>
          <w:tcPr>
            <w:tcW w:w="1520"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0.004</w:t>
            </w:r>
          </w:p>
        </w:tc>
        <w:tc>
          <w:tcPr>
            <w:tcW w:w="1043" w:type="pct"/>
            <w:tcBorders>
              <w:tl2br w:val="nil"/>
              <w:tr2bl w:val="nil"/>
            </w:tcBorders>
            <w:vAlign w:val="top"/>
          </w:tcPr>
          <w:p>
            <w:pPr>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eastAsia" w:cs="Times New Roman"/>
                <w:color w:val="FF0000"/>
                <w:sz w:val="21"/>
                <w:szCs w:val="20"/>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 w:hRule="atLeast"/>
        </w:trPr>
        <w:tc>
          <w:tcPr>
            <w:tcW w:w="887"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铜(Cu)</w:t>
            </w:r>
          </w:p>
        </w:tc>
        <w:tc>
          <w:tcPr>
            <w:tcW w:w="814"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0.0025</w:t>
            </w:r>
          </w:p>
        </w:tc>
        <w:tc>
          <w:tcPr>
            <w:tcW w:w="734"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0.19</w:t>
            </w:r>
          </w:p>
        </w:tc>
        <w:tc>
          <w:tcPr>
            <w:tcW w:w="1520"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0.03</w:t>
            </w:r>
          </w:p>
        </w:tc>
        <w:tc>
          <w:tcPr>
            <w:tcW w:w="1043"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eastAsia" w:cs="Times New Roman"/>
                <w:color w:val="FF0000"/>
                <w:sz w:val="21"/>
                <w:szCs w:val="20"/>
                <w:highlight w:val="none"/>
                <w:lang w:val="en-US" w:eastAsia="zh-CN"/>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887"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铬(Cr)</w:t>
            </w:r>
          </w:p>
        </w:tc>
        <w:tc>
          <w:tcPr>
            <w:tcW w:w="814"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0.002</w:t>
            </w:r>
          </w:p>
        </w:tc>
        <w:tc>
          <w:tcPr>
            <w:tcW w:w="734"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0.014</w:t>
            </w:r>
          </w:p>
        </w:tc>
        <w:tc>
          <w:tcPr>
            <w:tcW w:w="1520"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0.017</w:t>
            </w:r>
          </w:p>
        </w:tc>
        <w:tc>
          <w:tcPr>
            <w:tcW w:w="1043"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eastAsia" w:cs="Times New Roman"/>
                <w:color w:val="FF0000"/>
                <w:sz w:val="21"/>
                <w:szCs w:val="20"/>
                <w:highlight w:val="none"/>
                <w:lang w:val="en-US" w:eastAsia="zh-CN"/>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887"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镍(Ni)</w:t>
            </w:r>
          </w:p>
        </w:tc>
        <w:tc>
          <w:tcPr>
            <w:tcW w:w="814"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0.0038</w:t>
            </w:r>
          </w:p>
        </w:tc>
        <w:tc>
          <w:tcPr>
            <w:tcW w:w="734"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0.069</w:t>
            </w:r>
          </w:p>
        </w:tc>
        <w:tc>
          <w:tcPr>
            <w:tcW w:w="1520"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0.035</w:t>
            </w:r>
          </w:p>
        </w:tc>
        <w:tc>
          <w:tcPr>
            <w:tcW w:w="1043"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eastAsia" w:cs="Times New Roman"/>
                <w:color w:val="FF0000"/>
                <w:sz w:val="21"/>
                <w:szCs w:val="20"/>
                <w:highlight w:val="none"/>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887"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锌(Zn)</w:t>
            </w:r>
          </w:p>
        </w:tc>
        <w:tc>
          <w:tcPr>
            <w:tcW w:w="814"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0.0064</w:t>
            </w:r>
          </w:p>
        </w:tc>
        <w:tc>
          <w:tcPr>
            <w:tcW w:w="734"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0.391</w:t>
            </w:r>
          </w:p>
        </w:tc>
        <w:tc>
          <w:tcPr>
            <w:tcW w:w="1520"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0.254</w:t>
            </w:r>
          </w:p>
        </w:tc>
        <w:tc>
          <w:tcPr>
            <w:tcW w:w="1043"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eastAsia" w:cs="Times New Roman"/>
                <w:color w:val="FF0000"/>
                <w:sz w:val="21"/>
                <w:szCs w:val="20"/>
                <w:highlight w:val="none"/>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887"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银(Ag</w:t>
            </w:r>
          </w:p>
        </w:tc>
        <w:tc>
          <w:tcPr>
            <w:tcW w:w="814"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0.0029</w:t>
            </w:r>
          </w:p>
        </w:tc>
        <w:tc>
          <w:tcPr>
            <w:tcW w:w="734"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0.0008</w:t>
            </w:r>
          </w:p>
        </w:tc>
        <w:tc>
          <w:tcPr>
            <w:tcW w:w="1520"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0.0006</w:t>
            </w:r>
          </w:p>
        </w:tc>
        <w:tc>
          <w:tcPr>
            <w:tcW w:w="1043" w:type="pct"/>
            <w:tcBorders>
              <w:tl2br w:val="nil"/>
              <w:tr2bl w:val="nil"/>
            </w:tcBorders>
            <w:vAlign w:val="top"/>
          </w:tcPr>
          <w:p>
            <w:pPr>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eastAsia" w:cs="Times New Roman"/>
                <w:color w:val="FF0000"/>
                <w:sz w:val="21"/>
                <w:szCs w:val="20"/>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887"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铅(Pb)</w:t>
            </w:r>
          </w:p>
        </w:tc>
        <w:tc>
          <w:tcPr>
            <w:tcW w:w="814"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0.0042</w:t>
            </w:r>
          </w:p>
        </w:tc>
        <w:tc>
          <w:tcPr>
            <w:tcW w:w="734"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ND</w:t>
            </w:r>
          </w:p>
        </w:tc>
        <w:tc>
          <w:tcPr>
            <w:tcW w:w="1520"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ND</w:t>
            </w:r>
          </w:p>
        </w:tc>
        <w:tc>
          <w:tcPr>
            <w:tcW w:w="1043"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eastAsia" w:cs="Times New Roman"/>
                <w:color w:val="FF0000"/>
                <w:sz w:val="21"/>
                <w:szCs w:val="20"/>
                <w:highlight w:val="none"/>
                <w:lang w:val="en-US" w:eastAsia="zh-CN"/>
              </w:rPr>
              <w:t>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 w:hRule="atLeast"/>
        </w:trPr>
        <w:tc>
          <w:tcPr>
            <w:tcW w:w="887"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镉(Cd)</w:t>
            </w:r>
          </w:p>
        </w:tc>
        <w:tc>
          <w:tcPr>
            <w:tcW w:w="814"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0.0012</w:t>
            </w:r>
          </w:p>
        </w:tc>
        <w:tc>
          <w:tcPr>
            <w:tcW w:w="734"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ND</w:t>
            </w:r>
          </w:p>
        </w:tc>
        <w:tc>
          <w:tcPr>
            <w:tcW w:w="1520"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ND</w:t>
            </w:r>
          </w:p>
        </w:tc>
        <w:tc>
          <w:tcPr>
            <w:tcW w:w="1043"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eastAsia" w:cs="Times New Roman"/>
                <w:color w:val="FF0000"/>
                <w:sz w:val="21"/>
                <w:szCs w:val="20"/>
                <w:highlight w:val="none"/>
                <w:lang w:val="en-US" w:eastAsia="zh-CN"/>
              </w:rPr>
              <w:t>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 w:hRule="atLeast"/>
        </w:trPr>
        <w:tc>
          <w:tcPr>
            <w:tcW w:w="887"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铍(Be)</w:t>
            </w:r>
          </w:p>
        </w:tc>
        <w:tc>
          <w:tcPr>
            <w:tcW w:w="814"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0.0007</w:t>
            </w:r>
          </w:p>
        </w:tc>
        <w:tc>
          <w:tcPr>
            <w:tcW w:w="734"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0.0004</w:t>
            </w:r>
          </w:p>
        </w:tc>
        <w:tc>
          <w:tcPr>
            <w:tcW w:w="1520"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0.0013</w:t>
            </w:r>
          </w:p>
        </w:tc>
        <w:tc>
          <w:tcPr>
            <w:tcW w:w="1043"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eastAsia" w:cs="Times New Roman"/>
                <w:color w:val="FF0000"/>
                <w:sz w:val="21"/>
                <w:szCs w:val="20"/>
                <w:highlight w:val="none"/>
                <w:lang w:val="en-US" w:eastAsia="zh-CN"/>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 w:hRule="atLeast"/>
        </w:trPr>
        <w:tc>
          <w:tcPr>
            <w:tcW w:w="887"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砷(As)</w:t>
            </w:r>
          </w:p>
        </w:tc>
        <w:tc>
          <w:tcPr>
            <w:tcW w:w="814"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0.001</w:t>
            </w:r>
          </w:p>
        </w:tc>
        <w:tc>
          <w:tcPr>
            <w:tcW w:w="734"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0.0225</w:t>
            </w:r>
          </w:p>
        </w:tc>
        <w:tc>
          <w:tcPr>
            <w:tcW w:w="1520"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0.0206</w:t>
            </w:r>
          </w:p>
        </w:tc>
        <w:tc>
          <w:tcPr>
            <w:tcW w:w="1043"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eastAsia" w:cs="Times New Roman"/>
                <w:color w:val="FF0000"/>
                <w:sz w:val="21"/>
                <w:szCs w:val="20"/>
                <w:highlight w:val="none"/>
                <w:lang w:val="en-US" w:eastAsia="zh-CN"/>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887"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硒(Sc)</w:t>
            </w:r>
          </w:p>
        </w:tc>
        <w:tc>
          <w:tcPr>
            <w:tcW w:w="814"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0.0013</w:t>
            </w:r>
          </w:p>
        </w:tc>
        <w:tc>
          <w:tcPr>
            <w:tcW w:w="734"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0.0007</w:t>
            </w:r>
          </w:p>
        </w:tc>
        <w:tc>
          <w:tcPr>
            <w:tcW w:w="1520"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0.0003</w:t>
            </w:r>
          </w:p>
        </w:tc>
        <w:tc>
          <w:tcPr>
            <w:tcW w:w="1043"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eastAsia" w:cs="Times New Roman"/>
                <w:color w:val="FF0000"/>
                <w:sz w:val="21"/>
                <w:szCs w:val="20"/>
                <w:highlight w:val="none"/>
                <w:lang w:val="en-US" w:eastAsia="zh-CN"/>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 w:hRule="atLeast"/>
        </w:trPr>
        <w:tc>
          <w:tcPr>
            <w:tcW w:w="887"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钡(Ba)</w:t>
            </w:r>
          </w:p>
        </w:tc>
        <w:tc>
          <w:tcPr>
            <w:tcW w:w="814"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0.0018</w:t>
            </w:r>
          </w:p>
        </w:tc>
        <w:tc>
          <w:tcPr>
            <w:tcW w:w="734"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0.094</w:t>
            </w:r>
          </w:p>
        </w:tc>
        <w:tc>
          <w:tcPr>
            <w:tcW w:w="1520"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0.248</w:t>
            </w:r>
          </w:p>
        </w:tc>
        <w:tc>
          <w:tcPr>
            <w:tcW w:w="1043"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eastAsia" w:cs="Times New Roman"/>
                <w:color w:val="FF0000"/>
                <w:sz w:val="21"/>
                <w:szCs w:val="20"/>
                <w:highlight w:val="none"/>
                <w:lang w:val="en-US" w:eastAsia="zh-CN"/>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 w:hRule="atLeast"/>
        </w:trPr>
        <w:tc>
          <w:tcPr>
            <w:tcW w:w="887" w:type="pct"/>
            <w:tcBorders>
              <w:tl2br w:val="nil"/>
              <w:tr2bl w:val="nil"/>
            </w:tcBorders>
            <w:vAlign w:val="top"/>
          </w:tcPr>
          <w:p>
            <w:pPr>
              <w:spacing w:line="240" w:lineRule="auto"/>
              <w:ind w:firstLine="0" w:firstLineChars="0"/>
              <w:jc w:val="center"/>
              <w:rPr>
                <w:rFonts w:hint="eastAsia" w:ascii="Times New Roman" w:hAnsi="Times New Roman" w:eastAsia="宋体" w:cs="Times New Roman"/>
                <w:color w:val="FF0000"/>
                <w:sz w:val="21"/>
                <w:szCs w:val="20"/>
                <w:highlight w:val="none"/>
                <w:lang w:eastAsia="zh-CN"/>
              </w:rPr>
            </w:pPr>
            <w:r>
              <w:rPr>
                <w:rFonts w:hint="default" w:ascii="Times New Roman" w:hAnsi="Times New Roman" w:eastAsia="宋体" w:cs="Times New Roman"/>
                <w:color w:val="FF0000"/>
                <w:sz w:val="21"/>
                <w:szCs w:val="20"/>
                <w:highlight w:val="none"/>
                <w:lang w:eastAsia="en-US"/>
              </w:rPr>
              <w:t>汞(Hg</w:t>
            </w:r>
            <w:r>
              <w:rPr>
                <w:rFonts w:hint="eastAsia" w:cs="Times New Roman"/>
                <w:color w:val="FF0000"/>
                <w:sz w:val="21"/>
                <w:szCs w:val="20"/>
                <w:highlight w:val="none"/>
                <w:lang w:eastAsia="zh-CN"/>
              </w:rPr>
              <w:t>）</w:t>
            </w:r>
          </w:p>
        </w:tc>
        <w:tc>
          <w:tcPr>
            <w:tcW w:w="814"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0.00002</w:t>
            </w:r>
          </w:p>
        </w:tc>
        <w:tc>
          <w:tcPr>
            <w:tcW w:w="734"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ND</w:t>
            </w:r>
          </w:p>
        </w:tc>
        <w:tc>
          <w:tcPr>
            <w:tcW w:w="1520"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ND</w:t>
            </w:r>
          </w:p>
        </w:tc>
        <w:tc>
          <w:tcPr>
            <w:tcW w:w="1043"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eastAsia" w:cs="Times New Roman"/>
                <w:color w:val="FF0000"/>
                <w:sz w:val="21"/>
                <w:szCs w:val="20"/>
                <w:highlight w:val="none"/>
                <w:lang w:val="en-US" w:eastAsia="zh-CN"/>
              </w:rPr>
              <w:t>0.05</w:t>
            </w:r>
          </w:p>
        </w:tc>
      </w:tr>
    </w:tbl>
    <w:p>
      <w:pPr>
        <w:autoSpaceDE w:val="0"/>
        <w:autoSpaceDN w:val="0"/>
        <w:adjustRightInd w:val="0"/>
        <w:spacing w:line="360" w:lineRule="auto"/>
        <w:ind w:firstLine="480" w:firstLineChars="200"/>
        <w:rPr>
          <w:rFonts w:hint="default" w:ascii="Times New Roman" w:hAnsi="Times New Roman" w:eastAsia="宋体" w:cs="Times New Roman"/>
          <w:color w:val="FF0000"/>
          <w:sz w:val="24"/>
          <w:highlight w:val="none"/>
          <w:lang w:val="en-US" w:eastAsia="en-US"/>
        </w:rPr>
      </w:pPr>
      <w:r>
        <w:rPr>
          <w:rFonts w:hint="default" w:ascii="Times New Roman" w:hAnsi="Times New Roman" w:eastAsia="宋体" w:cs="Times New Roman"/>
          <w:color w:val="FF0000"/>
          <w:sz w:val="24"/>
          <w:highlight w:val="none"/>
          <w:lang w:val="en-US" w:eastAsia="en-US"/>
        </w:rPr>
        <w:t>初步样品分析表明，固体样品浸出液中氰化物、钡、银、硒、铍、砷、铜、锌、铬、镍和氟化物均有检出。</w:t>
      </w:r>
      <w:r>
        <w:rPr>
          <w:rFonts w:hint="eastAsia" w:ascii="Times New Roman" w:hAnsi="Times New Roman" w:eastAsia="宋体" w:cs="Times New Roman"/>
          <w:color w:val="FF0000"/>
          <w:sz w:val="24"/>
          <w:highlight w:val="none"/>
          <w:lang w:val="en-US" w:eastAsia="zh-CN"/>
        </w:rPr>
        <w:t>但均为超过</w:t>
      </w:r>
      <w:r>
        <w:rPr>
          <w:rFonts w:hint="default" w:ascii="Times New Roman" w:hAnsi="Times New Roman" w:eastAsia="宋体" w:cs="Times New Roman"/>
          <w:color w:val="FF0000"/>
          <w:sz w:val="24"/>
          <w:highlight w:val="none"/>
          <w:lang w:val="en-US" w:eastAsia="en-US"/>
        </w:rPr>
        <w:t>HJ/T299-2007的固体废物浸出液中任何一种危害成分含量的浓度限值，则判定该固体废物是</w:t>
      </w:r>
      <w:r>
        <w:rPr>
          <w:rFonts w:hint="eastAsia" w:ascii="Times New Roman" w:hAnsi="Times New Roman" w:eastAsia="宋体" w:cs="Times New Roman"/>
          <w:color w:val="FF0000"/>
          <w:sz w:val="24"/>
          <w:highlight w:val="none"/>
          <w:lang w:val="en-US" w:eastAsia="zh-CN"/>
        </w:rPr>
        <w:t>不</w:t>
      </w:r>
      <w:r>
        <w:rPr>
          <w:rFonts w:hint="default" w:ascii="Times New Roman" w:hAnsi="Times New Roman" w:eastAsia="宋体" w:cs="Times New Roman"/>
          <w:color w:val="FF0000"/>
          <w:sz w:val="24"/>
          <w:highlight w:val="none"/>
          <w:lang w:val="en-US" w:eastAsia="en-US"/>
        </w:rPr>
        <w:t>具有浸出毒性特征的危险废物。</w:t>
      </w:r>
    </w:p>
    <w:p>
      <w:pPr>
        <w:autoSpaceDE w:val="0"/>
        <w:autoSpaceDN w:val="0"/>
        <w:adjustRightInd w:val="0"/>
        <w:spacing w:line="360" w:lineRule="auto"/>
        <w:ind w:firstLine="468" w:firstLineChars="200"/>
        <w:rPr>
          <w:rFonts w:ascii="Times New Roman" w:hAnsi="Times New Roman" w:eastAsia="宋体" w:cs="Times New Roman"/>
          <w:color w:val="FF0000"/>
          <w:sz w:val="24"/>
          <w:szCs w:val="24"/>
          <w:highlight w:val="none"/>
        </w:rPr>
      </w:pPr>
      <w:r>
        <w:rPr>
          <w:rFonts w:ascii="Times New Roman" w:hAnsi="Times New Roman" w:eastAsia="宋体" w:cs="Times New Roman"/>
          <w:color w:val="FF0000"/>
          <w:spacing w:val="-3"/>
          <w:sz w:val="24"/>
          <w:szCs w:val="24"/>
          <w:highlight w:val="none"/>
        </w:rPr>
        <w:t>依据申请资料和现场核查资料以及初筛样品检</w:t>
      </w:r>
      <w:r>
        <w:rPr>
          <w:rFonts w:ascii="Times New Roman" w:hAnsi="Times New Roman" w:eastAsia="宋体" w:cs="Times New Roman"/>
          <w:color w:val="FF0000"/>
          <w:spacing w:val="-4"/>
          <w:sz w:val="24"/>
          <w:szCs w:val="24"/>
          <w:highlight w:val="none"/>
        </w:rPr>
        <w:t>测结果等方面确定，该污泥无</w:t>
      </w:r>
      <w:r>
        <w:rPr>
          <w:rFonts w:ascii="Times New Roman" w:hAnsi="Times New Roman" w:eastAsia="宋体" w:cs="Times New Roman"/>
          <w:color w:val="FF0000"/>
          <w:spacing w:val="-8"/>
          <w:sz w:val="24"/>
          <w:szCs w:val="24"/>
          <w:highlight w:val="none"/>
        </w:rPr>
        <w:t>需进行腐蚀性、易燃性、毒性物质含量、急性毒性鉴别，为进一步识别固废属性，</w:t>
      </w:r>
      <w:r>
        <w:rPr>
          <w:rFonts w:ascii="Times New Roman" w:hAnsi="Times New Roman" w:eastAsia="宋体" w:cs="Times New Roman"/>
          <w:color w:val="FF0000"/>
          <w:spacing w:val="-3"/>
          <w:sz w:val="24"/>
          <w:szCs w:val="24"/>
          <w:highlight w:val="none"/>
        </w:rPr>
        <w:t>明确可能存在的危险特性，需要对鉴别对象进行反应性（硫化物</w:t>
      </w:r>
      <w:r>
        <w:rPr>
          <w:rFonts w:ascii="Times New Roman" w:hAnsi="Times New Roman" w:eastAsia="宋体" w:cs="Times New Roman"/>
          <w:color w:val="FF0000"/>
          <w:spacing w:val="-4"/>
          <w:sz w:val="24"/>
          <w:szCs w:val="24"/>
          <w:highlight w:val="none"/>
        </w:rPr>
        <w:t>）、浸出液中氰</w:t>
      </w:r>
      <w:r>
        <w:rPr>
          <w:rFonts w:ascii="Times New Roman" w:hAnsi="Times New Roman" w:eastAsia="宋体" w:cs="Times New Roman"/>
          <w:color w:val="FF0000"/>
          <w:spacing w:val="-1"/>
          <w:sz w:val="24"/>
          <w:szCs w:val="24"/>
          <w:highlight w:val="none"/>
        </w:rPr>
        <w:t>化物、钡、银、硒、铍、砷、铜、锌、铬、镍和氟化物进行鉴别。</w:t>
      </w:r>
    </w:p>
    <w:p>
      <w:pPr>
        <w:spacing w:line="240" w:lineRule="auto"/>
        <w:ind w:firstLine="0" w:firstLineChars="0"/>
        <w:jc w:val="center"/>
        <w:rPr>
          <w:rFonts w:hint="default" w:ascii="Times New Roman" w:hAnsi="Times New Roman" w:eastAsia="黑体" w:cs="Times New Roman"/>
          <w:color w:val="FF0000"/>
          <w:sz w:val="24"/>
          <w:highlight w:val="none"/>
          <w:lang w:val="en-US" w:eastAsia="en-US"/>
        </w:rPr>
      </w:pPr>
      <w:r>
        <w:rPr>
          <w:rFonts w:hint="default" w:ascii="Times New Roman" w:hAnsi="Times New Roman" w:eastAsia="黑体" w:cs="Times New Roman"/>
          <w:color w:val="FF0000"/>
          <w:sz w:val="24"/>
          <w:highlight w:val="none"/>
          <w:lang w:val="en-US" w:eastAsia="en-US"/>
        </w:rPr>
        <w:t>表</w:t>
      </w:r>
      <w:r>
        <w:rPr>
          <w:rFonts w:hint="eastAsia" w:ascii="Times New Roman" w:hAnsi="Times New Roman" w:eastAsia="黑体" w:cs="Times New Roman"/>
          <w:color w:val="FF0000"/>
          <w:sz w:val="24"/>
          <w:highlight w:val="none"/>
          <w:lang w:val="en-US" w:eastAsia="zh-CN"/>
        </w:rPr>
        <w:t>3</w:t>
      </w:r>
      <w:r>
        <w:rPr>
          <w:rFonts w:hint="eastAsia" w:eastAsia="黑体" w:cs="Times New Roman"/>
          <w:color w:val="FF0000"/>
          <w:sz w:val="24"/>
          <w:highlight w:val="none"/>
          <w:lang w:val="en-US" w:eastAsia="zh-CN"/>
        </w:rPr>
        <w:t>.1-8</w:t>
      </w:r>
      <w:r>
        <w:rPr>
          <w:rFonts w:hint="default" w:ascii="Times New Roman" w:hAnsi="Times New Roman" w:eastAsia="黑体" w:cs="Times New Roman"/>
          <w:color w:val="FF0000"/>
          <w:sz w:val="24"/>
          <w:highlight w:val="none"/>
          <w:lang w:val="en-US" w:eastAsia="en-US"/>
        </w:rPr>
        <w:t>固体废物浸出毒性分析项目</w:t>
      </w:r>
    </w:p>
    <w:tbl>
      <w:tblPr>
        <w:tblStyle w:val="57"/>
        <w:tblW w:w="4999" w:type="pct"/>
        <w:tblInd w:w="0" w:type="dxa"/>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autofit"/>
        <w:tblCellMar>
          <w:top w:w="0" w:type="dxa"/>
          <w:left w:w="0" w:type="dxa"/>
          <w:bottom w:w="0" w:type="dxa"/>
          <w:right w:w="0" w:type="dxa"/>
        </w:tblCellMar>
      </w:tblPr>
      <w:tblGrid>
        <w:gridCol w:w="1306"/>
        <w:gridCol w:w="3031"/>
        <w:gridCol w:w="4965"/>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702"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en-US"/>
              </w:rPr>
            </w:pPr>
            <w:r>
              <w:rPr>
                <w:rFonts w:hint="default" w:ascii="Times New Roman" w:hAnsi="Times New Roman" w:eastAsia="宋体" w:cs="Times New Roman"/>
                <w:color w:val="FF0000"/>
                <w:sz w:val="21"/>
                <w:szCs w:val="20"/>
                <w:highlight w:val="none"/>
                <w:lang w:val="en-US" w:eastAsia="en-US"/>
              </w:rPr>
              <w:t>序号</w:t>
            </w:r>
          </w:p>
        </w:tc>
        <w:tc>
          <w:tcPr>
            <w:tcW w:w="1629"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en-US"/>
              </w:rPr>
            </w:pPr>
            <w:r>
              <w:rPr>
                <w:rFonts w:hint="default" w:ascii="Times New Roman" w:hAnsi="Times New Roman" w:eastAsia="宋体" w:cs="Times New Roman"/>
                <w:color w:val="FF0000"/>
                <w:sz w:val="21"/>
                <w:szCs w:val="20"/>
                <w:highlight w:val="none"/>
                <w:lang w:val="en-US" w:eastAsia="en-US"/>
              </w:rPr>
              <w:t>危害成分项目</w:t>
            </w:r>
          </w:p>
        </w:tc>
        <w:tc>
          <w:tcPr>
            <w:tcW w:w="2668"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en-US"/>
              </w:rPr>
            </w:pPr>
            <w:r>
              <w:rPr>
                <w:rFonts w:hint="default" w:ascii="Times New Roman" w:hAnsi="Times New Roman" w:eastAsia="宋体" w:cs="Times New Roman"/>
                <w:color w:val="FF0000"/>
                <w:sz w:val="21"/>
                <w:szCs w:val="20"/>
                <w:highlight w:val="none"/>
                <w:lang w:val="en-US" w:eastAsia="en-US"/>
              </w:rPr>
              <w:t>分析方法</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702"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1</w:t>
            </w:r>
          </w:p>
        </w:tc>
        <w:tc>
          <w:tcPr>
            <w:tcW w:w="1629"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en-US"/>
              </w:rPr>
            </w:pPr>
            <w:r>
              <w:rPr>
                <w:rFonts w:hint="default" w:ascii="Times New Roman" w:hAnsi="Times New Roman" w:eastAsia="宋体" w:cs="Times New Roman"/>
                <w:color w:val="FF0000"/>
                <w:sz w:val="21"/>
                <w:szCs w:val="20"/>
                <w:highlight w:val="none"/>
                <w:lang w:val="en-US" w:eastAsia="en-US"/>
              </w:rPr>
              <w:t>氟化物</w:t>
            </w:r>
          </w:p>
        </w:tc>
        <w:tc>
          <w:tcPr>
            <w:tcW w:w="2668"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en-US"/>
              </w:rPr>
            </w:pPr>
            <w:r>
              <w:rPr>
                <w:rFonts w:hint="default" w:ascii="Times New Roman" w:hAnsi="Times New Roman" w:eastAsia="宋体" w:cs="Times New Roman"/>
                <w:color w:val="FF0000"/>
                <w:sz w:val="21"/>
                <w:szCs w:val="20"/>
                <w:highlight w:val="none"/>
                <w:lang w:val="en-US" w:eastAsia="en-US"/>
              </w:rPr>
              <w:t>GB5085.3-2007附录F</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702"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2</w:t>
            </w:r>
          </w:p>
        </w:tc>
        <w:tc>
          <w:tcPr>
            <w:tcW w:w="1629"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en-US"/>
              </w:rPr>
            </w:pPr>
            <w:r>
              <w:rPr>
                <w:rFonts w:hint="default" w:ascii="Times New Roman" w:hAnsi="Times New Roman" w:eastAsia="宋体" w:cs="Times New Roman"/>
                <w:color w:val="FF0000"/>
                <w:sz w:val="21"/>
                <w:szCs w:val="20"/>
                <w:highlight w:val="none"/>
                <w:lang w:val="en-US" w:eastAsia="en-US"/>
              </w:rPr>
              <w:t>钡</w:t>
            </w:r>
          </w:p>
        </w:tc>
        <w:tc>
          <w:tcPr>
            <w:tcW w:w="2668"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en-US"/>
              </w:rPr>
            </w:pPr>
            <w:r>
              <w:rPr>
                <w:rFonts w:hint="default" w:ascii="Times New Roman" w:hAnsi="Times New Roman" w:eastAsia="宋体" w:cs="Times New Roman"/>
                <w:color w:val="FF0000"/>
                <w:sz w:val="21"/>
                <w:szCs w:val="20"/>
                <w:highlight w:val="none"/>
                <w:lang w:val="en-US" w:eastAsia="en-US"/>
              </w:rPr>
              <w:t>GB5085.3-2007附录C</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702"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3</w:t>
            </w:r>
          </w:p>
        </w:tc>
        <w:tc>
          <w:tcPr>
            <w:tcW w:w="1629"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en-US"/>
              </w:rPr>
            </w:pPr>
            <w:r>
              <w:rPr>
                <w:rFonts w:hint="default" w:ascii="Times New Roman" w:hAnsi="Times New Roman" w:eastAsia="宋体" w:cs="Times New Roman"/>
                <w:color w:val="FF0000"/>
                <w:sz w:val="21"/>
                <w:szCs w:val="20"/>
                <w:highlight w:val="none"/>
                <w:lang w:val="en-US" w:eastAsia="en-US"/>
              </w:rPr>
              <w:t>银</w:t>
            </w:r>
          </w:p>
        </w:tc>
        <w:tc>
          <w:tcPr>
            <w:tcW w:w="2668"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en-US"/>
              </w:rPr>
            </w:pPr>
            <w:r>
              <w:rPr>
                <w:rFonts w:hint="default" w:ascii="Times New Roman" w:hAnsi="Times New Roman" w:eastAsia="宋体" w:cs="Times New Roman"/>
                <w:color w:val="FF0000"/>
                <w:sz w:val="21"/>
                <w:szCs w:val="20"/>
                <w:highlight w:val="none"/>
                <w:lang w:val="en-US" w:eastAsia="en-US"/>
              </w:rPr>
              <w:t>GB5085.3-2007附录C</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02"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4</w:t>
            </w:r>
          </w:p>
        </w:tc>
        <w:tc>
          <w:tcPr>
            <w:tcW w:w="1629"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en-US"/>
              </w:rPr>
            </w:pPr>
            <w:r>
              <w:rPr>
                <w:rFonts w:hint="default" w:ascii="Times New Roman" w:hAnsi="Times New Roman" w:eastAsia="宋体" w:cs="Times New Roman"/>
                <w:color w:val="FF0000"/>
                <w:sz w:val="21"/>
                <w:szCs w:val="20"/>
                <w:highlight w:val="none"/>
                <w:lang w:val="en-US" w:eastAsia="en-US"/>
              </w:rPr>
              <w:t>硒</w:t>
            </w:r>
          </w:p>
        </w:tc>
        <w:tc>
          <w:tcPr>
            <w:tcW w:w="2668"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en-US"/>
              </w:rPr>
            </w:pPr>
            <w:r>
              <w:rPr>
                <w:rFonts w:hint="default" w:ascii="Times New Roman" w:hAnsi="Times New Roman" w:eastAsia="宋体" w:cs="Times New Roman"/>
                <w:color w:val="FF0000"/>
                <w:sz w:val="21"/>
                <w:szCs w:val="20"/>
                <w:highlight w:val="none"/>
                <w:lang w:val="en-US" w:eastAsia="en-US"/>
              </w:rPr>
              <w:t>GB5085.3-2007附录E</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702"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5</w:t>
            </w:r>
          </w:p>
        </w:tc>
        <w:tc>
          <w:tcPr>
            <w:tcW w:w="1629"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en-US"/>
              </w:rPr>
            </w:pPr>
            <w:r>
              <w:rPr>
                <w:rFonts w:hint="default" w:ascii="Times New Roman" w:hAnsi="Times New Roman" w:eastAsia="宋体" w:cs="Times New Roman"/>
                <w:color w:val="FF0000"/>
                <w:sz w:val="21"/>
                <w:szCs w:val="20"/>
                <w:highlight w:val="none"/>
                <w:lang w:val="en-US" w:eastAsia="en-US"/>
              </w:rPr>
              <w:t>铍</w:t>
            </w:r>
          </w:p>
        </w:tc>
        <w:tc>
          <w:tcPr>
            <w:tcW w:w="2668"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en-US"/>
              </w:rPr>
            </w:pPr>
            <w:r>
              <w:rPr>
                <w:rFonts w:hint="default" w:ascii="Times New Roman" w:hAnsi="Times New Roman" w:eastAsia="宋体" w:cs="Times New Roman"/>
                <w:color w:val="FF0000"/>
                <w:sz w:val="21"/>
                <w:szCs w:val="20"/>
                <w:highlight w:val="none"/>
                <w:lang w:val="en-US" w:eastAsia="en-US"/>
              </w:rPr>
              <w:t>GB5085.3-2007附录C</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02"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6</w:t>
            </w:r>
          </w:p>
        </w:tc>
        <w:tc>
          <w:tcPr>
            <w:tcW w:w="1629"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en-US"/>
              </w:rPr>
            </w:pPr>
            <w:r>
              <w:rPr>
                <w:rFonts w:hint="default" w:ascii="Times New Roman" w:hAnsi="Times New Roman" w:eastAsia="宋体" w:cs="Times New Roman"/>
                <w:color w:val="FF0000"/>
                <w:sz w:val="21"/>
                <w:szCs w:val="20"/>
                <w:highlight w:val="none"/>
                <w:lang w:val="en-US" w:eastAsia="en-US"/>
              </w:rPr>
              <w:t>砷</w:t>
            </w:r>
          </w:p>
        </w:tc>
        <w:tc>
          <w:tcPr>
            <w:tcW w:w="2668"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en-US"/>
              </w:rPr>
            </w:pPr>
            <w:r>
              <w:rPr>
                <w:rFonts w:hint="default" w:ascii="Times New Roman" w:hAnsi="Times New Roman" w:eastAsia="宋体" w:cs="Times New Roman"/>
                <w:color w:val="FF0000"/>
                <w:sz w:val="21"/>
                <w:szCs w:val="20"/>
                <w:highlight w:val="none"/>
                <w:lang w:val="en-US" w:eastAsia="en-US"/>
              </w:rPr>
              <w:t>GB5085.3-2007附录E</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702"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7</w:t>
            </w:r>
          </w:p>
        </w:tc>
        <w:tc>
          <w:tcPr>
            <w:tcW w:w="1629"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en-US"/>
              </w:rPr>
            </w:pPr>
            <w:r>
              <w:rPr>
                <w:rFonts w:hint="default" w:ascii="Times New Roman" w:hAnsi="Times New Roman" w:eastAsia="宋体" w:cs="Times New Roman"/>
                <w:color w:val="FF0000"/>
                <w:sz w:val="21"/>
                <w:szCs w:val="20"/>
                <w:highlight w:val="none"/>
                <w:lang w:val="en-US" w:eastAsia="en-US"/>
              </w:rPr>
              <w:t>铜</w:t>
            </w:r>
          </w:p>
        </w:tc>
        <w:tc>
          <w:tcPr>
            <w:tcW w:w="2668"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en-US"/>
              </w:rPr>
            </w:pPr>
            <w:r>
              <w:rPr>
                <w:rFonts w:hint="default" w:ascii="Times New Roman" w:hAnsi="Times New Roman" w:eastAsia="宋体" w:cs="Times New Roman"/>
                <w:color w:val="FF0000"/>
                <w:sz w:val="21"/>
                <w:szCs w:val="20"/>
                <w:highlight w:val="none"/>
                <w:lang w:val="en-US" w:eastAsia="en-US"/>
              </w:rPr>
              <w:t>GB5085.3-2007附录D</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02"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8</w:t>
            </w:r>
          </w:p>
        </w:tc>
        <w:tc>
          <w:tcPr>
            <w:tcW w:w="1629"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en-US"/>
              </w:rPr>
            </w:pPr>
            <w:r>
              <w:rPr>
                <w:rFonts w:hint="default" w:ascii="Times New Roman" w:hAnsi="Times New Roman" w:eastAsia="宋体" w:cs="Times New Roman"/>
                <w:color w:val="FF0000"/>
                <w:sz w:val="21"/>
                <w:szCs w:val="20"/>
                <w:highlight w:val="none"/>
                <w:lang w:val="en-US" w:eastAsia="en-US"/>
              </w:rPr>
              <w:t>锌</w:t>
            </w:r>
          </w:p>
        </w:tc>
        <w:tc>
          <w:tcPr>
            <w:tcW w:w="2668"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en-US"/>
              </w:rPr>
            </w:pPr>
            <w:r>
              <w:rPr>
                <w:rFonts w:hint="default" w:ascii="Times New Roman" w:hAnsi="Times New Roman" w:eastAsia="宋体" w:cs="Times New Roman"/>
                <w:color w:val="FF0000"/>
                <w:sz w:val="21"/>
                <w:szCs w:val="20"/>
                <w:highlight w:val="none"/>
                <w:lang w:val="en-US" w:eastAsia="en-US"/>
              </w:rPr>
              <w:t>GB5085.3-2007附录D</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02"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9</w:t>
            </w:r>
          </w:p>
        </w:tc>
        <w:tc>
          <w:tcPr>
            <w:tcW w:w="1629"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en-US"/>
              </w:rPr>
            </w:pPr>
            <w:r>
              <w:rPr>
                <w:rFonts w:hint="default" w:ascii="Times New Roman" w:hAnsi="Times New Roman" w:eastAsia="宋体" w:cs="Times New Roman"/>
                <w:color w:val="FF0000"/>
                <w:sz w:val="21"/>
                <w:szCs w:val="20"/>
                <w:highlight w:val="none"/>
                <w:lang w:val="en-US" w:eastAsia="en-US"/>
              </w:rPr>
              <w:t>铅</w:t>
            </w:r>
          </w:p>
        </w:tc>
        <w:tc>
          <w:tcPr>
            <w:tcW w:w="2668"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en-US"/>
              </w:rPr>
            </w:pPr>
            <w:r>
              <w:rPr>
                <w:rFonts w:hint="default" w:ascii="Times New Roman" w:hAnsi="Times New Roman" w:eastAsia="宋体" w:cs="Times New Roman"/>
                <w:color w:val="FF0000"/>
                <w:sz w:val="21"/>
                <w:szCs w:val="20"/>
                <w:highlight w:val="none"/>
                <w:lang w:val="en-US" w:eastAsia="en-US"/>
              </w:rPr>
              <w:t>GB5085.3-2007附录C</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702"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10</w:t>
            </w:r>
          </w:p>
        </w:tc>
        <w:tc>
          <w:tcPr>
            <w:tcW w:w="1629"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en-US"/>
              </w:rPr>
            </w:pPr>
            <w:r>
              <w:rPr>
                <w:rFonts w:hint="default" w:ascii="Times New Roman" w:hAnsi="Times New Roman" w:eastAsia="宋体" w:cs="Times New Roman"/>
                <w:color w:val="FF0000"/>
                <w:sz w:val="21"/>
                <w:szCs w:val="20"/>
                <w:highlight w:val="none"/>
                <w:lang w:val="en-US" w:eastAsia="en-US"/>
              </w:rPr>
              <w:t>镍</w:t>
            </w:r>
          </w:p>
        </w:tc>
        <w:tc>
          <w:tcPr>
            <w:tcW w:w="2668"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en-US"/>
              </w:rPr>
            </w:pPr>
            <w:r>
              <w:rPr>
                <w:rFonts w:hint="default" w:ascii="Times New Roman" w:hAnsi="Times New Roman" w:eastAsia="宋体" w:cs="Times New Roman"/>
                <w:color w:val="FF0000"/>
                <w:sz w:val="21"/>
                <w:szCs w:val="20"/>
                <w:highlight w:val="none"/>
                <w:lang w:val="en-US" w:eastAsia="en-US"/>
              </w:rPr>
              <w:t>GB5085.3-2007附录C</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702"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11</w:t>
            </w:r>
          </w:p>
        </w:tc>
        <w:tc>
          <w:tcPr>
            <w:tcW w:w="1629"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en-US"/>
              </w:rPr>
            </w:pPr>
            <w:r>
              <w:rPr>
                <w:rFonts w:hint="default" w:ascii="Times New Roman" w:hAnsi="Times New Roman" w:eastAsia="宋体" w:cs="Times New Roman"/>
                <w:color w:val="FF0000"/>
                <w:sz w:val="21"/>
                <w:szCs w:val="20"/>
                <w:highlight w:val="none"/>
                <w:lang w:val="en-US" w:eastAsia="en-US"/>
              </w:rPr>
              <w:t>氰化物</w:t>
            </w:r>
          </w:p>
        </w:tc>
        <w:tc>
          <w:tcPr>
            <w:tcW w:w="2668" w:type="pct"/>
            <w:tcBorders>
              <w:tl2br w:val="nil"/>
              <w:tr2bl w:val="nil"/>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eastAsia="en-US"/>
              </w:rPr>
            </w:pPr>
            <w:r>
              <w:rPr>
                <w:rFonts w:hint="default" w:ascii="Times New Roman" w:hAnsi="Times New Roman" w:eastAsia="宋体" w:cs="Times New Roman"/>
                <w:color w:val="FF0000"/>
                <w:sz w:val="21"/>
                <w:szCs w:val="20"/>
                <w:highlight w:val="none"/>
                <w:lang w:eastAsia="en-US"/>
              </w:rPr>
              <w:t>CJ/T221-2005</w:t>
            </w:r>
          </w:p>
        </w:tc>
      </w:tr>
    </w:tbl>
    <w:p>
      <w:pPr>
        <w:spacing w:line="240" w:lineRule="auto"/>
        <w:ind w:firstLine="0" w:firstLineChars="0"/>
        <w:jc w:val="center"/>
        <w:rPr>
          <w:rFonts w:hint="default" w:ascii="Times New Roman" w:hAnsi="Times New Roman" w:eastAsia="黑体" w:cs="Times New Roman"/>
          <w:color w:val="FF0000"/>
          <w:sz w:val="24"/>
          <w:highlight w:val="none"/>
          <w:lang w:val="en-US" w:eastAsia="en-US"/>
        </w:rPr>
      </w:pPr>
      <w:r>
        <w:rPr>
          <w:rFonts w:hint="default" w:ascii="Times New Roman" w:hAnsi="Times New Roman" w:eastAsia="黑体" w:cs="Times New Roman"/>
          <w:color w:val="FF0000"/>
          <w:sz w:val="24"/>
          <w:highlight w:val="none"/>
          <w:lang w:val="en-US" w:eastAsia="en-US"/>
        </w:rPr>
        <w:t>表</w:t>
      </w:r>
      <w:r>
        <w:rPr>
          <w:rFonts w:hint="eastAsia" w:ascii="Times New Roman" w:hAnsi="Times New Roman" w:eastAsia="黑体" w:cs="Times New Roman"/>
          <w:color w:val="FF0000"/>
          <w:sz w:val="24"/>
          <w:highlight w:val="none"/>
          <w:lang w:val="en-US" w:eastAsia="zh-CN"/>
        </w:rPr>
        <w:t>3.</w:t>
      </w:r>
      <w:r>
        <w:rPr>
          <w:rFonts w:hint="eastAsia" w:eastAsia="黑体" w:cs="Times New Roman"/>
          <w:color w:val="FF0000"/>
          <w:sz w:val="24"/>
          <w:highlight w:val="none"/>
          <w:lang w:val="en-US" w:eastAsia="zh-CN"/>
        </w:rPr>
        <w:t>1-9</w:t>
      </w:r>
      <w:r>
        <w:rPr>
          <w:rFonts w:hint="default" w:ascii="Times New Roman" w:hAnsi="Times New Roman" w:eastAsia="黑体" w:cs="Times New Roman"/>
          <w:color w:val="FF0000"/>
          <w:sz w:val="24"/>
          <w:highlight w:val="none"/>
          <w:lang w:val="en-US" w:eastAsia="en-US"/>
        </w:rPr>
        <w:t>固体废物反应性检测结果（mg/kg）</w:t>
      </w:r>
    </w:p>
    <w:tbl>
      <w:tblPr>
        <w:tblStyle w:val="57"/>
        <w:tblW w:w="4998" w:type="pct"/>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autofit"/>
        <w:tblCellMar>
          <w:top w:w="0" w:type="dxa"/>
          <w:left w:w="0" w:type="dxa"/>
          <w:bottom w:w="0" w:type="dxa"/>
          <w:right w:w="0" w:type="dxa"/>
        </w:tblCellMar>
      </w:tblPr>
      <w:tblGrid>
        <w:gridCol w:w="930"/>
        <w:gridCol w:w="2559"/>
        <w:gridCol w:w="2605"/>
        <w:gridCol w:w="2177"/>
        <w:gridCol w:w="102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8" w:hRule="atLeast"/>
        </w:trPr>
        <w:tc>
          <w:tcPr>
            <w:tcW w:w="500" w:type="pct"/>
            <w:tcBorders>
              <w:top w:val="single" w:color="000000" w:sz="2" w:space="0"/>
              <w:left w:val="single" w:color="000000" w:sz="2" w:space="0"/>
              <w:bottom w:val="single" w:color="000000" w:sz="4" w:space="0"/>
              <w:right w:val="single" w:color="000000" w:sz="4" w:space="0"/>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en-US"/>
              </w:rPr>
            </w:pPr>
            <w:r>
              <w:rPr>
                <w:rFonts w:hint="default" w:ascii="Times New Roman" w:hAnsi="Times New Roman" w:eastAsia="宋体" w:cs="Times New Roman"/>
                <w:color w:val="FF0000"/>
                <w:sz w:val="21"/>
                <w:szCs w:val="20"/>
                <w:highlight w:val="none"/>
                <w:lang w:val="en-US" w:eastAsia="en-US"/>
              </w:rPr>
              <w:t>序号</w:t>
            </w:r>
          </w:p>
        </w:tc>
        <w:tc>
          <w:tcPr>
            <w:tcW w:w="1375" w:type="pct"/>
            <w:tcBorders>
              <w:top w:val="single" w:color="000000" w:sz="2" w:space="0"/>
              <w:left w:val="single" w:color="000000" w:sz="4" w:space="0"/>
              <w:bottom w:val="single" w:color="000000" w:sz="4" w:space="0"/>
              <w:right w:val="single" w:color="000000" w:sz="4" w:space="0"/>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en-US"/>
              </w:rPr>
            </w:pPr>
            <w:r>
              <w:rPr>
                <w:rFonts w:hint="default" w:ascii="Times New Roman" w:hAnsi="Times New Roman" w:eastAsia="宋体" w:cs="Times New Roman"/>
                <w:color w:val="FF0000"/>
                <w:sz w:val="21"/>
                <w:szCs w:val="20"/>
                <w:highlight w:val="none"/>
                <w:lang w:val="en-US" w:eastAsia="en-US"/>
              </w:rPr>
              <w:t>样品编号</w:t>
            </w:r>
          </w:p>
        </w:tc>
        <w:tc>
          <w:tcPr>
            <w:tcW w:w="1400" w:type="pct"/>
            <w:tcBorders>
              <w:top w:val="single" w:color="000000" w:sz="2" w:space="0"/>
              <w:left w:val="single" w:color="000000" w:sz="4" w:space="0"/>
              <w:bottom w:val="single" w:color="000000" w:sz="4" w:space="0"/>
              <w:right w:val="single" w:color="000000" w:sz="4" w:space="0"/>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en-US"/>
              </w:rPr>
            </w:pPr>
            <w:r>
              <w:rPr>
                <w:rFonts w:hint="default" w:ascii="Times New Roman" w:hAnsi="Times New Roman" w:eastAsia="宋体" w:cs="Times New Roman"/>
                <w:color w:val="FF0000"/>
                <w:sz w:val="21"/>
                <w:szCs w:val="20"/>
                <w:highlight w:val="none"/>
                <w:lang w:val="en-US" w:eastAsia="en-US"/>
              </w:rPr>
              <w:t>总有效硫化氢</w:t>
            </w:r>
          </w:p>
        </w:tc>
        <w:tc>
          <w:tcPr>
            <w:tcW w:w="1170" w:type="pct"/>
            <w:tcBorders>
              <w:top w:val="single" w:color="000000" w:sz="2" w:space="0"/>
              <w:left w:val="single" w:color="000000" w:sz="4" w:space="0"/>
              <w:bottom w:val="single" w:color="000000" w:sz="4" w:space="0"/>
              <w:right w:val="single" w:color="000000" w:sz="4" w:space="0"/>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en-US"/>
              </w:rPr>
            </w:pPr>
            <w:r>
              <w:rPr>
                <w:rFonts w:hint="default" w:ascii="Times New Roman" w:hAnsi="Times New Roman" w:eastAsia="宋体" w:cs="Times New Roman"/>
                <w:color w:val="FF0000"/>
                <w:sz w:val="21"/>
                <w:szCs w:val="20"/>
                <w:highlight w:val="none"/>
                <w:lang w:val="en-US" w:eastAsia="en-US"/>
              </w:rPr>
              <w:t>方法检出限</w:t>
            </w:r>
          </w:p>
        </w:tc>
        <w:tc>
          <w:tcPr>
            <w:tcW w:w="553" w:type="pct"/>
            <w:tcBorders>
              <w:top w:val="single" w:color="000000" w:sz="2" w:space="0"/>
              <w:left w:val="single" w:color="000000" w:sz="4" w:space="0"/>
              <w:bottom w:val="single" w:color="000000" w:sz="4" w:space="0"/>
              <w:right w:val="single" w:color="000000" w:sz="2" w:space="0"/>
            </w:tcBorders>
            <w:vAlign w:val="top"/>
          </w:tcPr>
          <w:p>
            <w:pPr>
              <w:spacing w:line="240" w:lineRule="auto"/>
              <w:ind w:firstLine="0" w:firstLineChars="0"/>
              <w:jc w:val="center"/>
              <w:rPr>
                <w:rFonts w:hint="default" w:ascii="Times New Roman" w:hAnsi="Times New Roman" w:eastAsia="宋体" w:cs="Times New Roman"/>
                <w:color w:val="FF0000"/>
                <w:sz w:val="21"/>
                <w:szCs w:val="20"/>
                <w:highlight w:val="none"/>
                <w:lang w:val="en-US" w:eastAsia="en-US"/>
              </w:rPr>
            </w:pPr>
            <w:r>
              <w:rPr>
                <w:rFonts w:hint="default" w:ascii="Times New Roman" w:hAnsi="Times New Roman" w:eastAsia="宋体" w:cs="Times New Roman"/>
                <w:color w:val="FF0000"/>
                <w:sz w:val="21"/>
                <w:szCs w:val="20"/>
                <w:highlight w:val="none"/>
                <w:lang w:val="en-US" w:eastAsia="en-US"/>
              </w:rPr>
              <w:t>限值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3" w:hRule="atLeast"/>
        </w:trPr>
        <w:tc>
          <w:tcPr>
            <w:tcW w:w="500" w:type="pct"/>
            <w:tcBorders>
              <w:top w:val="single" w:color="000000" w:sz="4" w:space="0"/>
              <w:left w:val="single" w:color="000000" w:sz="2" w:space="0"/>
              <w:bottom w:val="single" w:color="000000" w:sz="4" w:space="0"/>
              <w:right w:val="single" w:color="000000" w:sz="4" w:space="0"/>
            </w:tcBorders>
            <w:vAlign w:val="top"/>
          </w:tcPr>
          <w:p>
            <w:pPr>
              <w:widowControl/>
              <w:kinsoku w:val="0"/>
              <w:autoSpaceDE w:val="0"/>
              <w:autoSpaceDN w:val="0"/>
              <w:adjustRightInd w:val="0"/>
              <w:snapToGrid w:val="0"/>
              <w:spacing w:before="46" w:line="184" w:lineRule="auto"/>
              <w:ind w:left="293"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kern w:val="0"/>
                <w:sz w:val="20"/>
                <w:szCs w:val="20"/>
                <w:highlight w:val="none"/>
                <w:lang w:eastAsia="en-US"/>
              </w:rPr>
              <w:t>1</w:t>
            </w:r>
          </w:p>
        </w:tc>
        <w:tc>
          <w:tcPr>
            <w:tcW w:w="1375"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46" w:line="184" w:lineRule="auto"/>
              <w:ind w:left="132" w:firstLine="0" w:firstLineChars="0"/>
              <w:jc w:val="center"/>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3"/>
                <w:kern w:val="0"/>
                <w:sz w:val="20"/>
                <w:szCs w:val="20"/>
                <w:highlight w:val="none"/>
                <w:lang w:eastAsia="en-US"/>
              </w:rPr>
              <w:t>190813H11F001</w:t>
            </w:r>
          </w:p>
        </w:tc>
        <w:tc>
          <w:tcPr>
            <w:tcW w:w="1400"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46" w:line="184" w:lineRule="auto"/>
              <w:ind w:left="703" w:firstLine="0" w:firstLineChars="0"/>
              <w:jc w:val="center"/>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3"/>
                <w:kern w:val="0"/>
                <w:sz w:val="20"/>
                <w:szCs w:val="20"/>
                <w:highlight w:val="none"/>
                <w:lang w:eastAsia="en-US"/>
              </w:rPr>
              <w:t>2.62</w:t>
            </w:r>
          </w:p>
        </w:tc>
        <w:tc>
          <w:tcPr>
            <w:tcW w:w="1170"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46" w:line="184" w:lineRule="auto"/>
              <w:ind w:left="708" w:firstLine="0" w:firstLineChars="0"/>
              <w:jc w:val="center"/>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4"/>
                <w:kern w:val="0"/>
                <w:sz w:val="20"/>
                <w:szCs w:val="20"/>
                <w:highlight w:val="none"/>
                <w:lang w:eastAsia="en-US"/>
              </w:rPr>
              <w:t>1.8</w:t>
            </w:r>
          </w:p>
        </w:tc>
        <w:tc>
          <w:tcPr>
            <w:tcW w:w="553" w:type="pct"/>
            <w:tcBorders>
              <w:top w:val="single" w:color="000000" w:sz="4" w:space="0"/>
              <w:left w:val="single" w:color="000000" w:sz="4" w:space="0"/>
              <w:bottom w:val="single" w:color="000000" w:sz="4" w:space="0"/>
              <w:right w:val="single" w:color="000000" w:sz="2" w:space="0"/>
            </w:tcBorders>
            <w:vAlign w:val="top"/>
          </w:tcPr>
          <w:p>
            <w:pPr>
              <w:widowControl/>
              <w:kinsoku w:val="0"/>
              <w:autoSpaceDE w:val="0"/>
              <w:autoSpaceDN w:val="0"/>
              <w:adjustRightInd w:val="0"/>
              <w:snapToGrid w:val="0"/>
              <w:spacing w:before="46" w:line="184" w:lineRule="auto"/>
              <w:ind w:left="221" w:firstLine="0" w:firstLineChars="0"/>
              <w:jc w:val="center"/>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1"/>
                <w:kern w:val="0"/>
                <w:sz w:val="20"/>
                <w:szCs w:val="20"/>
                <w:highlight w:val="none"/>
                <w:lang w:eastAsia="en-US"/>
              </w:rPr>
              <w:t>500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8" w:hRule="atLeast"/>
        </w:trPr>
        <w:tc>
          <w:tcPr>
            <w:tcW w:w="500" w:type="pct"/>
            <w:tcBorders>
              <w:top w:val="single" w:color="000000" w:sz="4" w:space="0"/>
              <w:left w:val="single" w:color="000000" w:sz="2" w:space="0"/>
              <w:bottom w:val="single" w:color="000000" w:sz="4" w:space="0"/>
              <w:right w:val="single" w:color="000000" w:sz="4" w:space="0"/>
            </w:tcBorders>
            <w:vAlign w:val="top"/>
          </w:tcPr>
          <w:p>
            <w:pPr>
              <w:widowControl/>
              <w:kinsoku w:val="0"/>
              <w:autoSpaceDE w:val="0"/>
              <w:autoSpaceDN w:val="0"/>
              <w:adjustRightInd w:val="0"/>
              <w:snapToGrid w:val="0"/>
              <w:spacing w:before="53" w:line="182" w:lineRule="auto"/>
              <w:ind w:left="273"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kern w:val="0"/>
                <w:sz w:val="20"/>
                <w:szCs w:val="20"/>
                <w:highlight w:val="none"/>
                <w:lang w:eastAsia="en-US"/>
              </w:rPr>
              <w:t>2</w:t>
            </w:r>
          </w:p>
        </w:tc>
        <w:tc>
          <w:tcPr>
            <w:tcW w:w="1375"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53" w:line="182" w:lineRule="auto"/>
              <w:ind w:left="132" w:firstLine="0" w:firstLineChars="0"/>
              <w:jc w:val="center"/>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3"/>
                <w:kern w:val="0"/>
                <w:sz w:val="20"/>
                <w:szCs w:val="20"/>
                <w:highlight w:val="none"/>
                <w:lang w:eastAsia="en-US"/>
              </w:rPr>
              <w:t>190819H10F001</w:t>
            </w:r>
          </w:p>
        </w:tc>
        <w:tc>
          <w:tcPr>
            <w:tcW w:w="1400"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53" w:line="182" w:lineRule="auto"/>
              <w:ind w:left="702" w:firstLine="0" w:firstLineChars="0"/>
              <w:jc w:val="center"/>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3"/>
                <w:kern w:val="0"/>
                <w:sz w:val="20"/>
                <w:szCs w:val="20"/>
                <w:highlight w:val="none"/>
                <w:lang w:eastAsia="en-US"/>
              </w:rPr>
              <w:t>4.34</w:t>
            </w:r>
          </w:p>
        </w:tc>
        <w:tc>
          <w:tcPr>
            <w:tcW w:w="1170"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53" w:line="182" w:lineRule="auto"/>
              <w:ind w:left="708" w:firstLine="0" w:firstLineChars="0"/>
              <w:jc w:val="center"/>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4"/>
                <w:kern w:val="0"/>
                <w:sz w:val="20"/>
                <w:szCs w:val="20"/>
                <w:highlight w:val="none"/>
                <w:lang w:eastAsia="en-US"/>
              </w:rPr>
              <w:t>1.8</w:t>
            </w:r>
          </w:p>
        </w:tc>
        <w:tc>
          <w:tcPr>
            <w:tcW w:w="553" w:type="pct"/>
            <w:tcBorders>
              <w:top w:val="single" w:color="000000" w:sz="4" w:space="0"/>
              <w:left w:val="single" w:color="000000" w:sz="4" w:space="0"/>
              <w:bottom w:val="single" w:color="000000" w:sz="4" w:space="0"/>
              <w:right w:val="single" w:color="000000" w:sz="2" w:space="0"/>
            </w:tcBorders>
            <w:vAlign w:val="top"/>
          </w:tcPr>
          <w:p>
            <w:pPr>
              <w:widowControl/>
              <w:kinsoku w:val="0"/>
              <w:autoSpaceDE w:val="0"/>
              <w:autoSpaceDN w:val="0"/>
              <w:adjustRightInd w:val="0"/>
              <w:snapToGrid w:val="0"/>
              <w:spacing w:before="53" w:line="182" w:lineRule="auto"/>
              <w:ind w:left="221" w:firstLine="0" w:firstLineChars="0"/>
              <w:jc w:val="center"/>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1"/>
                <w:kern w:val="0"/>
                <w:sz w:val="20"/>
                <w:szCs w:val="20"/>
                <w:highlight w:val="none"/>
                <w:lang w:eastAsia="en-US"/>
              </w:rPr>
              <w:t>500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0" w:hRule="atLeast"/>
        </w:trPr>
        <w:tc>
          <w:tcPr>
            <w:tcW w:w="500" w:type="pct"/>
            <w:tcBorders>
              <w:top w:val="single" w:color="000000" w:sz="4" w:space="0"/>
              <w:left w:val="single" w:color="000000" w:sz="2" w:space="0"/>
              <w:bottom w:val="single" w:color="000000" w:sz="4" w:space="0"/>
              <w:right w:val="single" w:color="000000" w:sz="4" w:space="0"/>
            </w:tcBorders>
            <w:vAlign w:val="top"/>
          </w:tcPr>
          <w:p>
            <w:pPr>
              <w:widowControl/>
              <w:kinsoku w:val="0"/>
              <w:autoSpaceDE w:val="0"/>
              <w:autoSpaceDN w:val="0"/>
              <w:adjustRightInd w:val="0"/>
              <w:snapToGrid w:val="0"/>
              <w:spacing w:before="58" w:line="179" w:lineRule="auto"/>
              <w:ind w:left="277"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kern w:val="0"/>
                <w:sz w:val="20"/>
                <w:szCs w:val="20"/>
                <w:highlight w:val="none"/>
                <w:lang w:eastAsia="en-US"/>
              </w:rPr>
              <w:t>3</w:t>
            </w:r>
          </w:p>
        </w:tc>
        <w:tc>
          <w:tcPr>
            <w:tcW w:w="1375"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58" w:line="179" w:lineRule="auto"/>
              <w:ind w:left="132" w:firstLine="0" w:firstLineChars="0"/>
              <w:jc w:val="center"/>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3"/>
                <w:kern w:val="0"/>
                <w:sz w:val="20"/>
                <w:szCs w:val="20"/>
                <w:highlight w:val="none"/>
                <w:lang w:eastAsia="en-US"/>
              </w:rPr>
              <w:t>190821H02F001</w:t>
            </w:r>
          </w:p>
        </w:tc>
        <w:tc>
          <w:tcPr>
            <w:tcW w:w="1400"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58" w:line="179" w:lineRule="auto"/>
              <w:ind w:left="671" w:firstLine="0" w:firstLineChars="0"/>
              <w:jc w:val="center"/>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1"/>
                <w:kern w:val="0"/>
                <w:sz w:val="20"/>
                <w:szCs w:val="20"/>
                <w:highlight w:val="none"/>
                <w:lang w:eastAsia="en-US"/>
              </w:rPr>
              <w:t>18.39</w:t>
            </w:r>
          </w:p>
        </w:tc>
        <w:tc>
          <w:tcPr>
            <w:tcW w:w="1170"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58" w:line="179" w:lineRule="auto"/>
              <w:ind w:left="708" w:firstLine="0" w:firstLineChars="0"/>
              <w:jc w:val="center"/>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4"/>
                <w:kern w:val="0"/>
                <w:sz w:val="20"/>
                <w:szCs w:val="20"/>
                <w:highlight w:val="none"/>
                <w:lang w:eastAsia="en-US"/>
              </w:rPr>
              <w:t>1.8</w:t>
            </w:r>
          </w:p>
        </w:tc>
        <w:tc>
          <w:tcPr>
            <w:tcW w:w="553" w:type="pct"/>
            <w:tcBorders>
              <w:top w:val="single" w:color="000000" w:sz="4" w:space="0"/>
              <w:left w:val="single" w:color="000000" w:sz="4" w:space="0"/>
              <w:bottom w:val="single" w:color="000000" w:sz="4" w:space="0"/>
              <w:right w:val="single" w:color="000000" w:sz="2" w:space="0"/>
            </w:tcBorders>
            <w:vAlign w:val="top"/>
          </w:tcPr>
          <w:p>
            <w:pPr>
              <w:widowControl/>
              <w:kinsoku w:val="0"/>
              <w:autoSpaceDE w:val="0"/>
              <w:autoSpaceDN w:val="0"/>
              <w:adjustRightInd w:val="0"/>
              <w:snapToGrid w:val="0"/>
              <w:spacing w:before="58" w:line="179" w:lineRule="auto"/>
              <w:ind w:left="221" w:firstLine="0" w:firstLineChars="0"/>
              <w:jc w:val="center"/>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1"/>
                <w:kern w:val="0"/>
                <w:sz w:val="20"/>
                <w:szCs w:val="20"/>
                <w:highlight w:val="none"/>
                <w:lang w:eastAsia="en-US"/>
              </w:rPr>
              <w:t>500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9" w:hRule="atLeast"/>
        </w:trPr>
        <w:tc>
          <w:tcPr>
            <w:tcW w:w="500" w:type="pct"/>
            <w:tcBorders>
              <w:top w:val="single" w:color="000000" w:sz="4" w:space="0"/>
              <w:left w:val="single" w:color="000000" w:sz="2" w:space="0"/>
              <w:bottom w:val="single" w:color="000000" w:sz="4" w:space="0"/>
              <w:right w:val="single" w:color="000000" w:sz="4" w:space="0"/>
            </w:tcBorders>
            <w:vAlign w:val="top"/>
          </w:tcPr>
          <w:p>
            <w:pPr>
              <w:widowControl/>
              <w:kinsoku w:val="0"/>
              <w:autoSpaceDE w:val="0"/>
              <w:autoSpaceDN w:val="0"/>
              <w:adjustRightInd w:val="0"/>
              <w:snapToGrid w:val="0"/>
              <w:spacing w:before="60" w:line="176" w:lineRule="auto"/>
              <w:ind w:left="272"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1"/>
                <w:kern w:val="0"/>
                <w:sz w:val="20"/>
                <w:szCs w:val="20"/>
                <w:highlight w:val="none"/>
                <w:lang w:eastAsia="en-US"/>
              </w:rPr>
              <w:t>4</w:t>
            </w:r>
          </w:p>
        </w:tc>
        <w:tc>
          <w:tcPr>
            <w:tcW w:w="1375"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60" w:line="176" w:lineRule="auto"/>
              <w:ind w:left="132" w:firstLine="0" w:firstLineChars="0"/>
              <w:jc w:val="center"/>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3"/>
                <w:kern w:val="0"/>
                <w:sz w:val="20"/>
                <w:szCs w:val="20"/>
                <w:highlight w:val="none"/>
                <w:lang w:eastAsia="en-US"/>
              </w:rPr>
              <w:t>190826H02F001</w:t>
            </w:r>
          </w:p>
        </w:tc>
        <w:tc>
          <w:tcPr>
            <w:tcW w:w="1400"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60" w:line="176" w:lineRule="auto"/>
              <w:ind w:left="655" w:firstLine="0" w:firstLineChars="0"/>
              <w:jc w:val="center"/>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3"/>
                <w:kern w:val="0"/>
                <w:sz w:val="20"/>
                <w:szCs w:val="20"/>
                <w:highlight w:val="none"/>
                <w:lang w:eastAsia="en-US"/>
              </w:rPr>
              <w:t>32.32</w:t>
            </w:r>
          </w:p>
        </w:tc>
        <w:tc>
          <w:tcPr>
            <w:tcW w:w="1170"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60" w:line="176" w:lineRule="auto"/>
              <w:ind w:left="708" w:firstLine="0" w:firstLineChars="0"/>
              <w:jc w:val="center"/>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4"/>
                <w:kern w:val="0"/>
                <w:sz w:val="20"/>
                <w:szCs w:val="20"/>
                <w:highlight w:val="none"/>
                <w:lang w:eastAsia="en-US"/>
              </w:rPr>
              <w:t>1.8</w:t>
            </w:r>
          </w:p>
        </w:tc>
        <w:tc>
          <w:tcPr>
            <w:tcW w:w="553" w:type="pct"/>
            <w:tcBorders>
              <w:top w:val="single" w:color="000000" w:sz="4" w:space="0"/>
              <w:left w:val="single" w:color="000000" w:sz="4" w:space="0"/>
              <w:bottom w:val="single" w:color="000000" w:sz="4" w:space="0"/>
              <w:right w:val="single" w:color="000000" w:sz="2" w:space="0"/>
            </w:tcBorders>
            <w:vAlign w:val="top"/>
          </w:tcPr>
          <w:p>
            <w:pPr>
              <w:widowControl/>
              <w:kinsoku w:val="0"/>
              <w:autoSpaceDE w:val="0"/>
              <w:autoSpaceDN w:val="0"/>
              <w:adjustRightInd w:val="0"/>
              <w:snapToGrid w:val="0"/>
              <w:spacing w:before="60" w:line="176" w:lineRule="auto"/>
              <w:ind w:left="221" w:firstLine="0" w:firstLineChars="0"/>
              <w:jc w:val="center"/>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1"/>
                <w:kern w:val="0"/>
                <w:sz w:val="20"/>
                <w:szCs w:val="20"/>
                <w:highlight w:val="none"/>
                <w:lang w:eastAsia="en-US"/>
              </w:rPr>
              <w:t>500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8" w:hRule="atLeast"/>
        </w:trPr>
        <w:tc>
          <w:tcPr>
            <w:tcW w:w="500" w:type="pct"/>
            <w:tcBorders>
              <w:top w:val="single" w:color="000000" w:sz="4" w:space="0"/>
              <w:left w:val="single" w:color="000000" w:sz="2" w:space="0"/>
              <w:bottom w:val="single" w:color="000000" w:sz="4" w:space="0"/>
              <w:right w:val="single" w:color="000000" w:sz="4" w:space="0"/>
            </w:tcBorders>
            <w:vAlign w:val="top"/>
          </w:tcPr>
          <w:p>
            <w:pPr>
              <w:widowControl/>
              <w:kinsoku w:val="0"/>
              <w:autoSpaceDE w:val="0"/>
              <w:autoSpaceDN w:val="0"/>
              <w:adjustRightInd w:val="0"/>
              <w:snapToGrid w:val="0"/>
              <w:spacing w:before="64" w:line="171" w:lineRule="auto"/>
              <w:ind w:left="278"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kern w:val="0"/>
                <w:sz w:val="20"/>
                <w:szCs w:val="20"/>
                <w:highlight w:val="none"/>
                <w:lang w:eastAsia="en-US"/>
              </w:rPr>
              <w:t>5</w:t>
            </w:r>
          </w:p>
        </w:tc>
        <w:tc>
          <w:tcPr>
            <w:tcW w:w="1375"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61" w:line="174" w:lineRule="auto"/>
              <w:ind w:left="132" w:firstLine="0" w:firstLineChars="0"/>
              <w:jc w:val="center"/>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3"/>
                <w:kern w:val="0"/>
                <w:sz w:val="20"/>
                <w:szCs w:val="20"/>
                <w:highlight w:val="none"/>
                <w:lang w:eastAsia="en-US"/>
              </w:rPr>
              <w:t>190902H02F001</w:t>
            </w:r>
          </w:p>
        </w:tc>
        <w:tc>
          <w:tcPr>
            <w:tcW w:w="1400"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61" w:line="174" w:lineRule="auto"/>
              <w:ind w:left="643" w:firstLine="0" w:firstLineChars="0"/>
              <w:jc w:val="center"/>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3"/>
                <w:kern w:val="0"/>
                <w:sz w:val="20"/>
                <w:szCs w:val="20"/>
                <w:highlight w:val="none"/>
                <w:lang w:eastAsia="en-US"/>
              </w:rPr>
              <w:t>&lt;1.80</w:t>
            </w:r>
          </w:p>
        </w:tc>
        <w:tc>
          <w:tcPr>
            <w:tcW w:w="1170"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61" w:line="174" w:lineRule="auto"/>
              <w:ind w:left="708" w:firstLine="0" w:firstLineChars="0"/>
              <w:jc w:val="center"/>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4"/>
                <w:kern w:val="0"/>
                <w:sz w:val="20"/>
                <w:szCs w:val="20"/>
                <w:highlight w:val="none"/>
                <w:lang w:eastAsia="en-US"/>
              </w:rPr>
              <w:t>1.8</w:t>
            </w:r>
          </w:p>
        </w:tc>
        <w:tc>
          <w:tcPr>
            <w:tcW w:w="553" w:type="pct"/>
            <w:tcBorders>
              <w:top w:val="single" w:color="000000" w:sz="4" w:space="0"/>
              <w:left w:val="single" w:color="000000" w:sz="4" w:space="0"/>
              <w:bottom w:val="single" w:color="000000" w:sz="4" w:space="0"/>
              <w:right w:val="single" w:color="000000" w:sz="2" w:space="0"/>
            </w:tcBorders>
            <w:vAlign w:val="top"/>
          </w:tcPr>
          <w:p>
            <w:pPr>
              <w:widowControl/>
              <w:kinsoku w:val="0"/>
              <w:autoSpaceDE w:val="0"/>
              <w:autoSpaceDN w:val="0"/>
              <w:adjustRightInd w:val="0"/>
              <w:snapToGrid w:val="0"/>
              <w:spacing w:before="61" w:line="174" w:lineRule="auto"/>
              <w:ind w:left="221" w:firstLine="0" w:firstLineChars="0"/>
              <w:jc w:val="center"/>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1"/>
                <w:kern w:val="0"/>
                <w:sz w:val="20"/>
                <w:szCs w:val="20"/>
                <w:highlight w:val="none"/>
                <w:lang w:eastAsia="en-US"/>
              </w:rPr>
              <w:t>500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8" w:hRule="atLeast"/>
        </w:trPr>
        <w:tc>
          <w:tcPr>
            <w:tcW w:w="500" w:type="pct"/>
            <w:tcBorders>
              <w:top w:val="single" w:color="000000" w:sz="4" w:space="0"/>
              <w:left w:val="single" w:color="000000" w:sz="2" w:space="0"/>
              <w:bottom w:val="single" w:color="000000" w:sz="4" w:space="0"/>
              <w:right w:val="single" w:color="000000" w:sz="4" w:space="0"/>
            </w:tcBorders>
            <w:vAlign w:val="top"/>
          </w:tcPr>
          <w:p>
            <w:pPr>
              <w:widowControl/>
              <w:kinsoku w:val="0"/>
              <w:autoSpaceDE w:val="0"/>
              <w:autoSpaceDN w:val="0"/>
              <w:adjustRightInd w:val="0"/>
              <w:snapToGrid w:val="0"/>
              <w:spacing w:before="66" w:line="169" w:lineRule="auto"/>
              <w:ind w:left="277"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kern w:val="0"/>
                <w:sz w:val="20"/>
                <w:szCs w:val="20"/>
                <w:highlight w:val="none"/>
                <w:lang w:eastAsia="en-US"/>
              </w:rPr>
              <w:t>6</w:t>
            </w:r>
          </w:p>
        </w:tc>
        <w:tc>
          <w:tcPr>
            <w:tcW w:w="1375"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66" w:line="169" w:lineRule="auto"/>
              <w:ind w:left="132" w:firstLine="0" w:firstLineChars="0"/>
              <w:jc w:val="center"/>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3"/>
                <w:kern w:val="0"/>
                <w:sz w:val="20"/>
                <w:szCs w:val="20"/>
                <w:highlight w:val="none"/>
                <w:lang w:eastAsia="en-US"/>
              </w:rPr>
              <w:t>190904H18F001</w:t>
            </w:r>
          </w:p>
        </w:tc>
        <w:tc>
          <w:tcPr>
            <w:tcW w:w="1400"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66" w:line="169" w:lineRule="auto"/>
              <w:ind w:left="643" w:firstLine="0" w:firstLineChars="0"/>
              <w:jc w:val="center"/>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3"/>
                <w:kern w:val="0"/>
                <w:sz w:val="20"/>
                <w:szCs w:val="20"/>
                <w:highlight w:val="none"/>
                <w:lang w:eastAsia="en-US"/>
              </w:rPr>
              <w:t>&lt;1.80</w:t>
            </w:r>
          </w:p>
        </w:tc>
        <w:tc>
          <w:tcPr>
            <w:tcW w:w="1170"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66" w:line="169" w:lineRule="auto"/>
              <w:ind w:left="708" w:firstLine="0" w:firstLineChars="0"/>
              <w:jc w:val="center"/>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4"/>
                <w:kern w:val="0"/>
                <w:sz w:val="20"/>
                <w:szCs w:val="20"/>
                <w:highlight w:val="none"/>
                <w:lang w:eastAsia="en-US"/>
              </w:rPr>
              <w:t>1.8</w:t>
            </w:r>
          </w:p>
        </w:tc>
        <w:tc>
          <w:tcPr>
            <w:tcW w:w="553" w:type="pct"/>
            <w:tcBorders>
              <w:top w:val="single" w:color="000000" w:sz="4" w:space="0"/>
              <w:left w:val="single" w:color="000000" w:sz="4" w:space="0"/>
              <w:bottom w:val="single" w:color="000000" w:sz="4" w:space="0"/>
              <w:right w:val="single" w:color="000000" w:sz="2" w:space="0"/>
            </w:tcBorders>
            <w:vAlign w:val="top"/>
          </w:tcPr>
          <w:p>
            <w:pPr>
              <w:widowControl/>
              <w:kinsoku w:val="0"/>
              <w:autoSpaceDE w:val="0"/>
              <w:autoSpaceDN w:val="0"/>
              <w:adjustRightInd w:val="0"/>
              <w:snapToGrid w:val="0"/>
              <w:spacing w:before="66" w:line="169" w:lineRule="auto"/>
              <w:ind w:left="221" w:firstLine="0" w:firstLineChars="0"/>
              <w:jc w:val="center"/>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1"/>
                <w:kern w:val="0"/>
                <w:sz w:val="20"/>
                <w:szCs w:val="20"/>
                <w:highlight w:val="none"/>
                <w:lang w:eastAsia="en-US"/>
              </w:rPr>
              <w:t>500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9" w:hRule="atLeast"/>
        </w:trPr>
        <w:tc>
          <w:tcPr>
            <w:tcW w:w="500" w:type="pct"/>
            <w:tcBorders>
              <w:top w:val="single" w:color="000000" w:sz="4" w:space="0"/>
              <w:left w:val="single" w:color="000000" w:sz="2" w:space="0"/>
              <w:bottom w:val="single" w:color="000000" w:sz="4" w:space="0"/>
              <w:right w:val="single" w:color="000000" w:sz="4" w:space="0"/>
            </w:tcBorders>
            <w:vAlign w:val="top"/>
          </w:tcPr>
          <w:p>
            <w:pPr>
              <w:widowControl/>
              <w:kinsoku w:val="0"/>
              <w:autoSpaceDE w:val="0"/>
              <w:autoSpaceDN w:val="0"/>
              <w:adjustRightInd w:val="0"/>
              <w:snapToGrid w:val="0"/>
              <w:spacing w:before="70" w:line="165" w:lineRule="auto"/>
              <w:ind w:left="276"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kern w:val="0"/>
                <w:sz w:val="20"/>
                <w:szCs w:val="20"/>
                <w:highlight w:val="none"/>
                <w:lang w:eastAsia="en-US"/>
              </w:rPr>
              <w:t>7</w:t>
            </w:r>
          </w:p>
        </w:tc>
        <w:tc>
          <w:tcPr>
            <w:tcW w:w="1375"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68" w:line="168" w:lineRule="auto"/>
              <w:ind w:left="132" w:firstLine="0" w:firstLineChars="0"/>
              <w:jc w:val="center"/>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3"/>
                <w:kern w:val="0"/>
                <w:sz w:val="20"/>
                <w:szCs w:val="20"/>
                <w:highlight w:val="none"/>
                <w:lang w:eastAsia="en-US"/>
              </w:rPr>
              <w:t>190909H04F001</w:t>
            </w:r>
          </w:p>
        </w:tc>
        <w:tc>
          <w:tcPr>
            <w:tcW w:w="1400"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68" w:line="168" w:lineRule="auto"/>
              <w:ind w:left="643" w:firstLine="0" w:firstLineChars="0"/>
              <w:jc w:val="center"/>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3"/>
                <w:kern w:val="0"/>
                <w:sz w:val="20"/>
                <w:szCs w:val="20"/>
                <w:highlight w:val="none"/>
                <w:lang w:eastAsia="en-US"/>
              </w:rPr>
              <w:t>&lt;1.80</w:t>
            </w:r>
          </w:p>
        </w:tc>
        <w:tc>
          <w:tcPr>
            <w:tcW w:w="1170"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68" w:line="168" w:lineRule="auto"/>
              <w:ind w:left="708" w:firstLine="0" w:firstLineChars="0"/>
              <w:jc w:val="center"/>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4"/>
                <w:kern w:val="0"/>
                <w:sz w:val="20"/>
                <w:szCs w:val="20"/>
                <w:highlight w:val="none"/>
                <w:lang w:eastAsia="en-US"/>
              </w:rPr>
              <w:t>1.8</w:t>
            </w:r>
          </w:p>
        </w:tc>
        <w:tc>
          <w:tcPr>
            <w:tcW w:w="553" w:type="pct"/>
            <w:tcBorders>
              <w:top w:val="single" w:color="000000" w:sz="4" w:space="0"/>
              <w:left w:val="single" w:color="000000" w:sz="4" w:space="0"/>
              <w:bottom w:val="single" w:color="000000" w:sz="4" w:space="0"/>
              <w:right w:val="single" w:color="000000" w:sz="2" w:space="0"/>
            </w:tcBorders>
            <w:vAlign w:val="top"/>
          </w:tcPr>
          <w:p>
            <w:pPr>
              <w:widowControl/>
              <w:kinsoku w:val="0"/>
              <w:autoSpaceDE w:val="0"/>
              <w:autoSpaceDN w:val="0"/>
              <w:adjustRightInd w:val="0"/>
              <w:snapToGrid w:val="0"/>
              <w:spacing w:before="68" w:line="168" w:lineRule="auto"/>
              <w:ind w:left="221" w:firstLine="0" w:firstLineChars="0"/>
              <w:jc w:val="center"/>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1"/>
                <w:kern w:val="0"/>
                <w:sz w:val="20"/>
                <w:szCs w:val="20"/>
                <w:highlight w:val="none"/>
                <w:lang w:eastAsia="en-US"/>
              </w:rPr>
              <w:t>500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4" w:hRule="atLeast"/>
        </w:trPr>
        <w:tc>
          <w:tcPr>
            <w:tcW w:w="500" w:type="pct"/>
            <w:tcBorders>
              <w:top w:val="single" w:color="000000" w:sz="4" w:space="0"/>
              <w:left w:val="single" w:color="000000" w:sz="2" w:space="0"/>
              <w:bottom w:val="single" w:color="000000" w:sz="2" w:space="0"/>
              <w:right w:val="single" w:color="000000" w:sz="4" w:space="0"/>
            </w:tcBorders>
            <w:vAlign w:val="top"/>
          </w:tcPr>
          <w:p>
            <w:pPr>
              <w:widowControl/>
              <w:kinsoku w:val="0"/>
              <w:autoSpaceDE w:val="0"/>
              <w:autoSpaceDN w:val="0"/>
              <w:adjustRightInd w:val="0"/>
              <w:snapToGrid w:val="0"/>
              <w:spacing w:before="70" w:line="191" w:lineRule="auto"/>
              <w:ind w:left="281"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kern w:val="0"/>
                <w:sz w:val="20"/>
                <w:szCs w:val="20"/>
                <w:highlight w:val="none"/>
                <w:lang w:eastAsia="en-US"/>
              </w:rPr>
              <w:t>8</w:t>
            </w:r>
          </w:p>
        </w:tc>
        <w:tc>
          <w:tcPr>
            <w:tcW w:w="1375" w:type="pct"/>
            <w:tcBorders>
              <w:top w:val="single" w:color="000000" w:sz="4" w:space="0"/>
              <w:left w:val="single" w:color="000000" w:sz="4" w:space="0"/>
              <w:bottom w:val="single" w:color="000000" w:sz="2" w:space="0"/>
              <w:right w:val="single" w:color="000000" w:sz="4" w:space="0"/>
            </w:tcBorders>
            <w:vAlign w:val="top"/>
          </w:tcPr>
          <w:p>
            <w:pPr>
              <w:widowControl/>
              <w:kinsoku w:val="0"/>
              <w:autoSpaceDE w:val="0"/>
              <w:autoSpaceDN w:val="0"/>
              <w:adjustRightInd w:val="0"/>
              <w:snapToGrid w:val="0"/>
              <w:spacing w:before="70" w:line="191" w:lineRule="auto"/>
              <w:ind w:left="132" w:firstLine="0" w:firstLineChars="0"/>
              <w:jc w:val="center"/>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3"/>
                <w:kern w:val="0"/>
                <w:sz w:val="20"/>
                <w:szCs w:val="20"/>
                <w:highlight w:val="none"/>
                <w:lang w:eastAsia="en-US"/>
              </w:rPr>
              <w:t>190912H01F001</w:t>
            </w:r>
          </w:p>
        </w:tc>
        <w:tc>
          <w:tcPr>
            <w:tcW w:w="1400" w:type="pct"/>
            <w:tcBorders>
              <w:top w:val="single" w:color="000000" w:sz="4" w:space="0"/>
              <w:left w:val="single" w:color="000000" w:sz="4" w:space="0"/>
              <w:bottom w:val="single" w:color="000000" w:sz="2" w:space="0"/>
              <w:right w:val="single" w:color="000000" w:sz="4" w:space="0"/>
            </w:tcBorders>
            <w:vAlign w:val="top"/>
          </w:tcPr>
          <w:p>
            <w:pPr>
              <w:widowControl/>
              <w:kinsoku w:val="0"/>
              <w:autoSpaceDE w:val="0"/>
              <w:autoSpaceDN w:val="0"/>
              <w:adjustRightInd w:val="0"/>
              <w:snapToGrid w:val="0"/>
              <w:spacing w:before="73" w:line="188" w:lineRule="auto"/>
              <w:ind w:left="786" w:firstLine="0" w:firstLineChars="0"/>
              <w:jc w:val="center"/>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1"/>
                <w:kern w:val="0"/>
                <w:sz w:val="20"/>
                <w:szCs w:val="20"/>
                <w:highlight w:val="none"/>
                <w:lang w:eastAsia="en-US"/>
              </w:rPr>
              <w:t>75</w:t>
            </w:r>
          </w:p>
        </w:tc>
        <w:tc>
          <w:tcPr>
            <w:tcW w:w="1170" w:type="pct"/>
            <w:tcBorders>
              <w:top w:val="single" w:color="000000" w:sz="4" w:space="0"/>
              <w:left w:val="single" w:color="000000" w:sz="4" w:space="0"/>
              <w:bottom w:val="single" w:color="000000" w:sz="2" w:space="0"/>
              <w:right w:val="single" w:color="000000" w:sz="4" w:space="0"/>
            </w:tcBorders>
            <w:vAlign w:val="top"/>
          </w:tcPr>
          <w:p>
            <w:pPr>
              <w:widowControl/>
              <w:kinsoku w:val="0"/>
              <w:autoSpaceDE w:val="0"/>
              <w:autoSpaceDN w:val="0"/>
              <w:adjustRightInd w:val="0"/>
              <w:snapToGrid w:val="0"/>
              <w:spacing w:before="70" w:line="191" w:lineRule="auto"/>
              <w:ind w:left="708" w:firstLine="0" w:firstLineChars="0"/>
              <w:jc w:val="center"/>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4"/>
                <w:kern w:val="0"/>
                <w:sz w:val="20"/>
                <w:szCs w:val="20"/>
                <w:highlight w:val="none"/>
                <w:lang w:eastAsia="en-US"/>
              </w:rPr>
              <w:t>1.8</w:t>
            </w:r>
          </w:p>
        </w:tc>
        <w:tc>
          <w:tcPr>
            <w:tcW w:w="553" w:type="pct"/>
            <w:tcBorders>
              <w:top w:val="single" w:color="000000" w:sz="4" w:space="0"/>
              <w:left w:val="single" w:color="000000" w:sz="4" w:space="0"/>
              <w:bottom w:val="single" w:color="000000" w:sz="2" w:space="0"/>
              <w:right w:val="single" w:color="000000" w:sz="2" w:space="0"/>
            </w:tcBorders>
            <w:vAlign w:val="top"/>
          </w:tcPr>
          <w:p>
            <w:pPr>
              <w:widowControl/>
              <w:kinsoku w:val="0"/>
              <w:autoSpaceDE w:val="0"/>
              <w:autoSpaceDN w:val="0"/>
              <w:adjustRightInd w:val="0"/>
              <w:snapToGrid w:val="0"/>
              <w:spacing w:before="70" w:line="191" w:lineRule="auto"/>
              <w:ind w:left="221" w:firstLine="0" w:firstLineChars="0"/>
              <w:jc w:val="center"/>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1"/>
                <w:kern w:val="0"/>
                <w:sz w:val="20"/>
                <w:szCs w:val="20"/>
                <w:highlight w:val="none"/>
                <w:lang w:eastAsia="en-US"/>
              </w:rPr>
              <w:t>500</w:t>
            </w:r>
          </w:p>
        </w:tc>
      </w:tr>
    </w:tbl>
    <w:p>
      <w:pPr>
        <w:widowControl w:val="0"/>
        <w:tabs>
          <w:tab w:val="left" w:pos="-2486"/>
        </w:tabs>
        <w:spacing w:before="210" w:line="354" w:lineRule="auto"/>
        <w:ind w:left="25" w:right="13" w:firstLine="468" w:firstLineChars="200"/>
        <w:jc w:val="both"/>
        <w:rPr>
          <w:rFonts w:hint="default" w:ascii="Times New Roman" w:hAnsi="Times New Roman" w:cs="Times New Roman"/>
          <w:color w:val="auto"/>
          <w:highlight w:val="none"/>
        </w:rPr>
      </w:pPr>
      <w:r>
        <w:rPr>
          <w:rFonts w:ascii="Times New Roman" w:hAnsi="Times New Roman" w:eastAsia="宋体" w:cs="Times New Roman"/>
          <w:color w:val="FF0000"/>
          <w:spacing w:val="-3"/>
          <w:kern w:val="0"/>
          <w:sz w:val="24"/>
          <w:szCs w:val="24"/>
          <w:highlight w:val="none"/>
          <w:lang w:val="en-US" w:eastAsia="zh-CN" w:bidi="ar-SA"/>
        </w:rPr>
        <w:t>根据以上分析可知，昌吉国家农业科技园区现</w:t>
      </w:r>
      <w:r>
        <w:rPr>
          <w:rFonts w:ascii="Times New Roman" w:hAnsi="Times New Roman" w:eastAsia="宋体" w:cs="Times New Roman"/>
          <w:color w:val="FF0000"/>
          <w:spacing w:val="-4"/>
          <w:kern w:val="0"/>
          <w:sz w:val="24"/>
          <w:szCs w:val="24"/>
          <w:highlight w:val="none"/>
          <w:lang w:val="en-US" w:eastAsia="zh-CN" w:bidi="ar-SA"/>
        </w:rPr>
        <w:t>代农业精深加工示范区污水处</w:t>
      </w:r>
      <w:r>
        <w:rPr>
          <w:rFonts w:ascii="Times New Roman" w:hAnsi="Times New Roman" w:eastAsia="宋体" w:cs="Times New Roman"/>
          <w:color w:val="FF0000"/>
          <w:spacing w:val="-5"/>
          <w:kern w:val="0"/>
          <w:sz w:val="24"/>
          <w:szCs w:val="24"/>
          <w:highlight w:val="none"/>
          <w:lang w:val="en-US" w:eastAsia="zh-CN" w:bidi="ar-SA"/>
        </w:rPr>
        <w:t>理厂的污泥此次采样量为</w:t>
      </w:r>
      <w:r>
        <w:rPr>
          <w:rFonts w:ascii="Times New Roman" w:hAnsi="Times New Roman" w:eastAsia="Times New Roman" w:cs="Times New Roman"/>
          <w:color w:val="FF0000"/>
          <w:spacing w:val="-5"/>
          <w:kern w:val="0"/>
          <w:sz w:val="24"/>
          <w:szCs w:val="24"/>
          <w:highlight w:val="none"/>
          <w:lang w:val="en-US" w:eastAsia="zh-CN" w:bidi="ar-SA"/>
        </w:rPr>
        <w:t>8</w:t>
      </w:r>
      <w:r>
        <w:rPr>
          <w:rFonts w:ascii="Times New Roman" w:hAnsi="Times New Roman" w:eastAsia="宋体" w:cs="Times New Roman"/>
          <w:color w:val="FF0000"/>
          <w:spacing w:val="-5"/>
          <w:kern w:val="0"/>
          <w:sz w:val="24"/>
          <w:szCs w:val="24"/>
          <w:highlight w:val="none"/>
          <w:lang w:val="en-US" w:eastAsia="zh-CN" w:bidi="ar-SA"/>
        </w:rPr>
        <w:t>份，对该</w:t>
      </w:r>
      <w:r>
        <w:rPr>
          <w:rFonts w:ascii="Times New Roman" w:hAnsi="Times New Roman" w:eastAsia="Times New Roman" w:cs="Times New Roman"/>
          <w:color w:val="FF0000"/>
          <w:spacing w:val="-5"/>
          <w:kern w:val="0"/>
          <w:sz w:val="24"/>
          <w:szCs w:val="24"/>
          <w:highlight w:val="none"/>
          <w:lang w:val="en-US" w:eastAsia="zh-CN" w:bidi="ar-SA"/>
        </w:rPr>
        <w:t>8</w:t>
      </w:r>
      <w:r>
        <w:rPr>
          <w:rFonts w:ascii="Times New Roman" w:hAnsi="Times New Roman" w:eastAsia="宋体" w:cs="Times New Roman"/>
          <w:color w:val="FF0000"/>
          <w:spacing w:val="-5"/>
          <w:kern w:val="0"/>
          <w:sz w:val="24"/>
          <w:szCs w:val="24"/>
          <w:highlight w:val="none"/>
          <w:lang w:val="en-US" w:eastAsia="zh-CN" w:bidi="ar-SA"/>
        </w:rPr>
        <w:t>份污泥进行检测分析，据《危险废物鉴别</w:t>
      </w:r>
      <w:r>
        <w:rPr>
          <w:rFonts w:ascii="Times New Roman" w:hAnsi="Times New Roman" w:eastAsia="宋体" w:cs="Times New Roman"/>
          <w:color w:val="FF0000"/>
          <w:spacing w:val="-14"/>
          <w:kern w:val="0"/>
          <w:sz w:val="24"/>
          <w:szCs w:val="24"/>
          <w:highlight w:val="none"/>
          <w:lang w:val="en-US" w:eastAsia="zh-CN" w:bidi="ar-SA"/>
        </w:rPr>
        <w:t>标准浸出毒性鉴别》（</w:t>
      </w:r>
      <w:r>
        <w:rPr>
          <w:rFonts w:ascii="Times New Roman" w:hAnsi="Times New Roman" w:eastAsia="Times New Roman" w:cs="Times New Roman"/>
          <w:color w:val="FF0000"/>
          <w:spacing w:val="-14"/>
          <w:kern w:val="0"/>
          <w:sz w:val="24"/>
          <w:szCs w:val="24"/>
          <w:highlight w:val="none"/>
          <w:lang w:val="en-US" w:eastAsia="zh-CN" w:bidi="ar-SA"/>
        </w:rPr>
        <w:t>GB5085.3-2007</w:t>
      </w:r>
      <w:r>
        <w:rPr>
          <w:rFonts w:ascii="Times New Roman" w:hAnsi="Times New Roman" w:eastAsia="宋体" w:cs="Times New Roman"/>
          <w:color w:val="FF0000"/>
          <w:spacing w:val="-14"/>
          <w:kern w:val="0"/>
          <w:sz w:val="24"/>
          <w:szCs w:val="24"/>
          <w:highlight w:val="none"/>
          <w:lang w:val="en-US" w:eastAsia="zh-CN" w:bidi="ar-SA"/>
        </w:rPr>
        <w:t>）及《危险废物鉴别标准反应性鉴别》（</w:t>
      </w:r>
      <w:r>
        <w:rPr>
          <w:rFonts w:ascii="Times New Roman" w:hAnsi="Times New Roman" w:eastAsia="Times New Roman" w:cs="Times New Roman"/>
          <w:color w:val="FF0000"/>
          <w:spacing w:val="-14"/>
          <w:kern w:val="0"/>
          <w:sz w:val="24"/>
          <w:szCs w:val="24"/>
          <w:highlight w:val="none"/>
          <w:lang w:val="en-US" w:eastAsia="zh-CN" w:bidi="ar-SA"/>
        </w:rPr>
        <w:t>GB</w:t>
      </w:r>
      <w:r>
        <w:rPr>
          <w:rFonts w:ascii="Times New Roman" w:hAnsi="Times New Roman" w:eastAsia="Times New Roman" w:cs="Times New Roman"/>
          <w:color w:val="FF0000"/>
          <w:spacing w:val="-3"/>
          <w:kern w:val="0"/>
          <w:sz w:val="24"/>
          <w:szCs w:val="24"/>
          <w:highlight w:val="none"/>
          <w:lang w:val="en-US" w:eastAsia="zh-CN" w:bidi="ar-SA"/>
        </w:rPr>
        <w:t>5085.5-2007</w:t>
      </w:r>
      <w:r>
        <w:rPr>
          <w:rFonts w:ascii="Times New Roman" w:hAnsi="Times New Roman" w:eastAsia="宋体" w:cs="Times New Roman"/>
          <w:color w:val="FF0000"/>
          <w:spacing w:val="-3"/>
          <w:kern w:val="0"/>
          <w:sz w:val="24"/>
          <w:szCs w:val="24"/>
          <w:highlight w:val="none"/>
          <w:lang w:val="en-US" w:eastAsia="zh-CN" w:bidi="ar-SA"/>
        </w:rPr>
        <w:t>）未发现其中有样品超过标准限值，在排除浸出毒性和反应</w:t>
      </w:r>
      <w:r>
        <w:rPr>
          <w:rFonts w:ascii="Times New Roman" w:hAnsi="Times New Roman" w:eastAsia="宋体" w:cs="Times New Roman"/>
          <w:color w:val="FF0000"/>
          <w:spacing w:val="-4"/>
          <w:kern w:val="0"/>
          <w:sz w:val="24"/>
          <w:szCs w:val="24"/>
          <w:highlight w:val="none"/>
          <w:lang w:val="en-US" w:eastAsia="zh-CN" w:bidi="ar-SA"/>
        </w:rPr>
        <w:t>性这两个</w:t>
      </w:r>
      <w:r>
        <w:rPr>
          <w:rFonts w:ascii="Times New Roman" w:hAnsi="Times New Roman" w:eastAsia="宋体" w:cs="Times New Roman"/>
          <w:color w:val="FF0000"/>
          <w:spacing w:val="-3"/>
          <w:kern w:val="0"/>
          <w:sz w:val="24"/>
          <w:szCs w:val="24"/>
          <w:highlight w:val="none"/>
          <w:lang w:val="en-US" w:eastAsia="zh-CN" w:bidi="ar-SA"/>
        </w:rPr>
        <w:t>危险特性的情况下，可判定昌吉国家农业科技园区现代农业精深加工示范区</w:t>
      </w:r>
      <w:r>
        <w:rPr>
          <w:rFonts w:ascii="Times New Roman" w:hAnsi="Times New Roman" w:eastAsia="宋体" w:cs="Times New Roman"/>
          <w:color w:val="FF0000"/>
          <w:spacing w:val="-4"/>
          <w:kern w:val="0"/>
          <w:sz w:val="24"/>
          <w:szCs w:val="24"/>
          <w:highlight w:val="none"/>
          <w:lang w:val="en-US" w:eastAsia="zh-CN" w:bidi="ar-SA"/>
        </w:rPr>
        <w:t>污水</w:t>
      </w:r>
      <w:r>
        <w:rPr>
          <w:rFonts w:ascii="Times New Roman" w:hAnsi="Times New Roman" w:eastAsia="宋体" w:cs="Times New Roman"/>
          <w:color w:val="FF0000"/>
          <w:spacing w:val="-1"/>
          <w:kern w:val="0"/>
          <w:sz w:val="24"/>
          <w:szCs w:val="24"/>
          <w:highlight w:val="none"/>
          <w:lang w:val="en-US" w:eastAsia="zh-CN" w:bidi="ar-SA"/>
        </w:rPr>
        <w:t>处理厂产生的生化污泥不具有危险特性，不属于危险废物。</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环保制度执行情况</w:t>
      </w:r>
    </w:p>
    <w:p>
      <w:pPr>
        <w:autoSpaceDE w:val="0"/>
        <w:autoSpaceDN w:val="0"/>
        <w:bidi w:val="0"/>
        <w:ind w:firstLine="400"/>
        <w:jc w:val="left"/>
        <w:rPr>
          <w:rFonts w:hint="default" w:ascii="Times New Roman" w:hAnsi="Times New Roman" w:eastAsia="宋体" w:cs="Times New Roman"/>
          <w:color w:val="auto"/>
          <w:kern w:val="0"/>
          <w:highlight w:val="none"/>
          <w:lang w:val="zh-CN" w:bidi="zh-CN"/>
        </w:rPr>
      </w:pPr>
      <w:r>
        <w:rPr>
          <w:rFonts w:hint="eastAsia" w:ascii="Times New Roman" w:hAnsi="Times New Roman" w:eastAsia="宋体" w:cs="Times New Roman"/>
          <w:color w:val="auto"/>
          <w:kern w:val="0"/>
          <w:highlight w:val="none"/>
          <w:lang w:val="zh-CN" w:eastAsia="zh-CN" w:bidi="zh-CN"/>
        </w:rPr>
        <w:t>（</w:t>
      </w:r>
      <w:r>
        <w:rPr>
          <w:rFonts w:hint="eastAsia" w:ascii="Times New Roman" w:hAnsi="Times New Roman" w:eastAsia="宋体" w:cs="Times New Roman"/>
          <w:color w:val="auto"/>
          <w:kern w:val="0"/>
          <w:highlight w:val="none"/>
          <w:lang w:val="en-US" w:eastAsia="zh-CN" w:bidi="zh-CN"/>
        </w:rPr>
        <w:t>1</w:t>
      </w:r>
      <w:r>
        <w:rPr>
          <w:rFonts w:hint="eastAsia" w:ascii="Times New Roman" w:hAnsi="Times New Roman" w:eastAsia="宋体" w:cs="Times New Roman"/>
          <w:color w:val="auto"/>
          <w:kern w:val="0"/>
          <w:highlight w:val="none"/>
          <w:lang w:val="zh-CN" w:eastAsia="zh-CN" w:bidi="zh-CN"/>
        </w:rPr>
        <w:t>）</w:t>
      </w:r>
      <w:r>
        <w:rPr>
          <w:rFonts w:hint="default" w:ascii="Times New Roman" w:hAnsi="Times New Roman" w:eastAsia="宋体" w:cs="Times New Roman"/>
          <w:color w:val="auto"/>
          <w:kern w:val="0"/>
          <w:highlight w:val="none"/>
          <w:lang w:val="zh-CN" w:bidi="zh-CN"/>
        </w:rPr>
        <w:t>环境保护档案资料管理</w:t>
      </w:r>
    </w:p>
    <w:p>
      <w:pPr>
        <w:autoSpaceDE w:val="0"/>
        <w:autoSpaceDN w:val="0"/>
        <w:bidi w:val="0"/>
        <w:ind w:firstLine="400"/>
        <w:jc w:val="left"/>
        <w:rPr>
          <w:rFonts w:hint="default" w:ascii="Times New Roman" w:hAnsi="Times New Roman" w:eastAsia="宋体" w:cs="Times New Roman"/>
          <w:color w:val="auto"/>
          <w:kern w:val="0"/>
          <w:highlight w:val="none"/>
          <w:lang w:val="zh-CN" w:bidi="zh-CN"/>
        </w:rPr>
      </w:pPr>
      <w:r>
        <w:rPr>
          <w:rFonts w:hint="default" w:ascii="Times New Roman" w:hAnsi="Times New Roman" w:eastAsia="宋体" w:cs="Times New Roman"/>
          <w:color w:val="auto"/>
          <w:kern w:val="0"/>
          <w:highlight w:val="none"/>
          <w:lang w:val="zh-CN" w:bidi="zh-CN"/>
        </w:rPr>
        <w:t>经检查，</w:t>
      </w:r>
      <w:r>
        <w:rPr>
          <w:rFonts w:hint="eastAsia" w:cs="Times New Roman"/>
          <w:color w:val="auto"/>
          <w:kern w:val="0"/>
          <w:highlight w:val="none"/>
          <w:lang w:val="zh-CN" w:bidi="zh-CN"/>
        </w:rPr>
        <w:t>现有工程</w:t>
      </w:r>
      <w:r>
        <w:rPr>
          <w:rFonts w:hint="default" w:ascii="Times New Roman" w:hAnsi="Times New Roman" w:eastAsia="宋体" w:cs="Times New Roman"/>
          <w:color w:val="auto"/>
          <w:kern w:val="0"/>
          <w:highlight w:val="none"/>
          <w:lang w:val="zh-CN" w:bidi="zh-CN"/>
        </w:rPr>
        <w:t>从设计阶段、施工阶段到生产阶段的相关环境保护资料由新疆金马再生资源开发有限公司统一管理，专柜分类保存，各种与环保相关的设备、设施的文件资料、说明书、图纸、招投标书等均能归档管理。</w:t>
      </w:r>
    </w:p>
    <w:p>
      <w:pPr>
        <w:autoSpaceDE w:val="0"/>
        <w:autoSpaceDN w:val="0"/>
        <w:bidi w:val="0"/>
        <w:ind w:firstLine="400"/>
        <w:jc w:val="left"/>
        <w:rPr>
          <w:rFonts w:hint="default" w:ascii="Times New Roman" w:hAnsi="Times New Roman" w:eastAsia="宋体" w:cs="Times New Roman"/>
          <w:color w:val="auto"/>
          <w:kern w:val="0"/>
          <w:highlight w:val="none"/>
          <w:lang w:val="zh-CN" w:bidi="zh-CN"/>
        </w:rPr>
      </w:pPr>
      <w:r>
        <w:rPr>
          <w:rFonts w:hint="eastAsia" w:ascii="Times New Roman" w:hAnsi="Times New Roman" w:eastAsia="宋体" w:cs="Times New Roman"/>
          <w:color w:val="auto"/>
          <w:kern w:val="0"/>
          <w:highlight w:val="none"/>
          <w:lang w:val="zh-CN" w:eastAsia="zh-CN" w:bidi="zh-CN"/>
        </w:rPr>
        <w:t>（</w:t>
      </w:r>
      <w:r>
        <w:rPr>
          <w:rFonts w:hint="eastAsia" w:ascii="Times New Roman" w:hAnsi="Times New Roman" w:eastAsia="宋体" w:cs="Times New Roman"/>
          <w:color w:val="auto"/>
          <w:kern w:val="0"/>
          <w:highlight w:val="none"/>
          <w:lang w:val="en-US" w:eastAsia="zh-CN" w:bidi="zh-CN"/>
        </w:rPr>
        <w:t>2</w:t>
      </w:r>
      <w:r>
        <w:rPr>
          <w:rFonts w:hint="eastAsia" w:ascii="Times New Roman" w:hAnsi="Times New Roman" w:eastAsia="宋体" w:cs="Times New Roman"/>
          <w:color w:val="auto"/>
          <w:kern w:val="0"/>
          <w:highlight w:val="none"/>
          <w:lang w:val="zh-CN" w:eastAsia="zh-CN" w:bidi="zh-CN"/>
        </w:rPr>
        <w:t>）</w:t>
      </w:r>
      <w:r>
        <w:rPr>
          <w:rFonts w:hint="default" w:ascii="Times New Roman" w:hAnsi="Times New Roman" w:eastAsia="宋体" w:cs="Times New Roman"/>
          <w:color w:val="auto"/>
          <w:kern w:val="0"/>
          <w:highlight w:val="none"/>
          <w:lang w:val="zh-CN" w:bidi="zh-CN"/>
        </w:rPr>
        <w:t>环保组织机构及规章管理制度及执行情况</w:t>
      </w:r>
    </w:p>
    <w:p>
      <w:pPr>
        <w:autoSpaceDE w:val="0"/>
        <w:autoSpaceDN w:val="0"/>
        <w:bidi w:val="0"/>
        <w:ind w:firstLine="400"/>
        <w:jc w:val="left"/>
        <w:rPr>
          <w:rFonts w:hint="default" w:ascii="Times New Roman" w:hAnsi="Times New Roman" w:eastAsia="宋体" w:cs="Times New Roman"/>
          <w:color w:val="auto"/>
          <w:kern w:val="0"/>
          <w:highlight w:val="none"/>
          <w:lang w:val="zh-CN" w:bidi="zh-CN"/>
        </w:rPr>
      </w:pPr>
      <w:r>
        <w:rPr>
          <w:rFonts w:hint="eastAsia" w:ascii="Times New Roman" w:hAnsi="Times New Roman" w:eastAsia="宋体" w:cs="Times New Roman"/>
          <w:color w:val="auto"/>
          <w:kern w:val="0"/>
          <w:highlight w:val="none"/>
          <w:lang w:val="en-US" w:bidi="zh-CN"/>
        </w:rPr>
        <w:t>现有</w:t>
      </w:r>
      <w:r>
        <w:rPr>
          <w:rFonts w:hint="default" w:ascii="Times New Roman" w:hAnsi="Times New Roman" w:eastAsia="宋体" w:cs="Times New Roman"/>
          <w:color w:val="auto"/>
          <w:kern w:val="0"/>
          <w:highlight w:val="none"/>
          <w:lang w:val="zh-CN" w:bidi="zh-CN"/>
        </w:rPr>
        <w:t>工程设置专职安全环保人员，共</w:t>
      </w:r>
      <w:r>
        <w:rPr>
          <w:rFonts w:hint="eastAsia" w:ascii="Times New Roman" w:hAnsi="Times New Roman" w:eastAsia="宋体" w:cs="Times New Roman"/>
          <w:color w:val="auto"/>
          <w:kern w:val="0"/>
          <w:highlight w:val="none"/>
          <w:lang w:val="en-US" w:eastAsia="zh-CN" w:bidi="zh-CN"/>
        </w:rPr>
        <w:t>.3</w:t>
      </w:r>
      <w:r>
        <w:rPr>
          <w:rFonts w:hint="default" w:ascii="Times New Roman" w:hAnsi="Times New Roman" w:eastAsia="宋体" w:cs="Times New Roman"/>
          <w:color w:val="auto"/>
          <w:kern w:val="0"/>
          <w:highlight w:val="none"/>
          <w:lang w:val="zh-CN" w:bidi="zh-CN"/>
        </w:rPr>
        <w:t>人。</w:t>
      </w:r>
      <w:r>
        <w:rPr>
          <w:rFonts w:hint="eastAsia" w:cs="Times New Roman"/>
          <w:color w:val="auto"/>
          <w:kern w:val="0"/>
          <w:highlight w:val="none"/>
          <w:lang w:val="zh-CN" w:bidi="zh-CN"/>
        </w:rPr>
        <w:t>现有工程</w:t>
      </w:r>
      <w:r>
        <w:rPr>
          <w:rFonts w:hint="default" w:ascii="Times New Roman" w:hAnsi="Times New Roman" w:eastAsia="宋体" w:cs="Times New Roman"/>
          <w:color w:val="auto"/>
          <w:kern w:val="0"/>
          <w:highlight w:val="none"/>
          <w:lang w:val="zh-CN" w:bidi="zh-CN"/>
        </w:rPr>
        <w:t>的环境保护管理制度已制定并将制度上墙公示，环保安全人员定时对公司员工进行环保规章制度和环保安全进行培训。</w:t>
      </w:r>
    </w:p>
    <w:p>
      <w:pPr>
        <w:autoSpaceDE w:val="0"/>
        <w:autoSpaceDN w:val="0"/>
        <w:bidi w:val="0"/>
        <w:ind w:firstLine="400"/>
        <w:jc w:val="left"/>
        <w:rPr>
          <w:rFonts w:hint="eastAsia" w:ascii="Times New Roman" w:hAnsi="Times New Roman" w:eastAsia="宋体" w:cs="Times New Roman"/>
          <w:color w:val="auto"/>
          <w:kern w:val="0"/>
          <w:highlight w:val="none"/>
          <w:lang w:val="zh-CN" w:eastAsia="zh-CN" w:bidi="zh-CN"/>
        </w:rPr>
      </w:pPr>
      <w:r>
        <w:rPr>
          <w:rFonts w:hint="eastAsia" w:ascii="Times New Roman" w:hAnsi="Times New Roman" w:eastAsia="宋体" w:cs="Times New Roman"/>
          <w:color w:val="auto"/>
          <w:kern w:val="0"/>
          <w:highlight w:val="none"/>
          <w:lang w:val="zh-CN" w:eastAsia="zh-CN" w:bidi="zh-CN"/>
        </w:rPr>
        <w:t>（</w:t>
      </w:r>
      <w:r>
        <w:rPr>
          <w:rFonts w:hint="eastAsia" w:ascii="Times New Roman" w:hAnsi="Times New Roman" w:eastAsia="宋体" w:cs="Times New Roman"/>
          <w:color w:val="auto"/>
          <w:kern w:val="0"/>
          <w:highlight w:val="none"/>
          <w:lang w:val="en-US" w:eastAsia="zh-CN" w:bidi="zh-CN"/>
        </w:rPr>
        <w:t>3</w:t>
      </w:r>
      <w:r>
        <w:rPr>
          <w:rFonts w:hint="eastAsia" w:ascii="Times New Roman" w:hAnsi="Times New Roman" w:eastAsia="宋体" w:cs="Times New Roman"/>
          <w:color w:val="auto"/>
          <w:kern w:val="0"/>
          <w:highlight w:val="none"/>
          <w:lang w:val="zh-CN" w:eastAsia="zh-CN" w:bidi="zh-CN"/>
        </w:rPr>
        <w:t>）建设期间和生产阶段是否发生扰民和污染事故</w:t>
      </w:r>
    </w:p>
    <w:p>
      <w:pPr>
        <w:autoSpaceDE w:val="0"/>
        <w:autoSpaceDN w:val="0"/>
        <w:bidi w:val="0"/>
        <w:ind w:firstLine="400"/>
        <w:jc w:val="left"/>
        <w:rPr>
          <w:rFonts w:hint="eastAsia" w:ascii="Times New Roman" w:hAnsi="Times New Roman" w:eastAsia="宋体" w:cs="Times New Roman"/>
          <w:color w:val="auto"/>
          <w:kern w:val="0"/>
          <w:highlight w:val="none"/>
          <w:lang w:val="zh-CN" w:eastAsia="zh-CN" w:bidi="zh-CN"/>
        </w:rPr>
      </w:pPr>
      <w:r>
        <w:rPr>
          <w:rFonts w:hint="eastAsia" w:ascii="Times New Roman" w:hAnsi="Times New Roman" w:eastAsia="宋体" w:cs="Times New Roman"/>
          <w:color w:val="auto"/>
          <w:kern w:val="0"/>
          <w:highlight w:val="none"/>
          <w:lang w:val="zh-CN" w:eastAsia="zh-CN" w:bidi="zh-CN"/>
        </w:rPr>
        <w:t>通过对附近村民和</w:t>
      </w:r>
      <w:r>
        <w:rPr>
          <w:rFonts w:hint="eastAsia" w:ascii="Times New Roman" w:hAnsi="Times New Roman" w:eastAsia="宋体" w:cs="Times New Roman"/>
          <w:color w:val="auto"/>
          <w:kern w:val="0"/>
          <w:highlight w:val="none"/>
          <w:lang w:val="en-US" w:eastAsia="zh-CN" w:bidi="zh-CN"/>
        </w:rPr>
        <w:t>昌吉市</w:t>
      </w:r>
      <w:r>
        <w:rPr>
          <w:rFonts w:hint="eastAsia" w:ascii="Times New Roman" w:hAnsi="Times New Roman" w:eastAsia="宋体" w:cs="Times New Roman"/>
          <w:color w:val="auto"/>
          <w:kern w:val="0"/>
          <w:highlight w:val="none"/>
          <w:lang w:val="zh-CN" w:eastAsia="zh-CN" w:bidi="zh-CN"/>
        </w:rPr>
        <w:t>生态环境局的走访调查表明，近三年，在</w:t>
      </w:r>
      <w:r>
        <w:rPr>
          <w:rFonts w:hint="eastAsia" w:ascii="Times New Roman" w:hAnsi="Times New Roman" w:eastAsia="宋体" w:cs="Times New Roman"/>
          <w:color w:val="auto"/>
          <w:kern w:val="0"/>
          <w:highlight w:val="none"/>
          <w:lang w:val="en-US" w:eastAsia="zh-CN" w:bidi="zh-CN"/>
        </w:rPr>
        <w:t>现有</w:t>
      </w:r>
      <w:r>
        <w:rPr>
          <w:rFonts w:hint="eastAsia" w:ascii="Times New Roman" w:hAnsi="Times New Roman" w:eastAsia="宋体" w:cs="Times New Roman"/>
          <w:color w:val="auto"/>
          <w:kern w:val="0"/>
          <w:highlight w:val="none"/>
          <w:lang w:val="zh-CN" w:eastAsia="zh-CN" w:bidi="zh-CN"/>
        </w:rPr>
        <w:t>工程建设期间和生产期无扰民事件和环保投诉发生。</w:t>
      </w:r>
    </w:p>
    <w:p>
      <w:pPr>
        <w:autoSpaceDE w:val="0"/>
        <w:autoSpaceDN w:val="0"/>
        <w:bidi w:val="0"/>
        <w:ind w:firstLine="400"/>
        <w:jc w:val="left"/>
        <w:rPr>
          <w:rFonts w:hint="eastAsia" w:ascii="Times New Roman" w:hAnsi="Times New Roman" w:eastAsia="宋体" w:cs="Times New Roman"/>
          <w:color w:val="auto"/>
          <w:kern w:val="0"/>
          <w:highlight w:val="none"/>
          <w:lang w:val="en-US" w:eastAsia="zh-CN" w:bidi="zh-CN"/>
        </w:rPr>
      </w:pPr>
      <w:r>
        <w:rPr>
          <w:rFonts w:hint="eastAsia" w:ascii="Times New Roman" w:hAnsi="Times New Roman" w:eastAsia="宋体" w:cs="Times New Roman"/>
          <w:color w:val="auto"/>
          <w:kern w:val="0"/>
          <w:highlight w:val="none"/>
          <w:lang w:val="en-US" w:eastAsia="zh-CN" w:bidi="zh-CN"/>
        </w:rPr>
        <w:t>（4）排污许可及自行监测、年报等执行情况</w:t>
      </w:r>
    </w:p>
    <w:p>
      <w:pPr>
        <w:autoSpaceDE/>
        <w:autoSpaceDN/>
        <w:ind w:firstLine="480"/>
        <w:jc w:val="both"/>
        <w:rPr>
          <w:rFonts w:ascii="Times New Roman" w:hAnsi="Times New Roman" w:eastAsia="宋体" w:cs="Times New Roman"/>
          <w:color w:val="auto"/>
          <w:kern w:val="2"/>
          <w:highlight w:val="none"/>
          <w:lang w:val="en-US" w:bidi="ar-SA"/>
        </w:rPr>
      </w:pPr>
      <w:r>
        <w:rPr>
          <w:rFonts w:hint="default" w:ascii="Times New Roman" w:hAnsi="Times New Roman" w:eastAsia="宋体" w:cs="Times New Roman"/>
          <w:color w:val="auto"/>
          <w:highlight w:val="none"/>
          <w:lang w:val="en-US" w:eastAsia="zh-CN"/>
        </w:rPr>
        <w:t>污水处理厂</w:t>
      </w:r>
      <w:r>
        <w:rPr>
          <w:rFonts w:ascii="Times New Roman" w:hAnsi="Times New Roman" w:eastAsia="宋体" w:cs="Times New Roman"/>
          <w:color w:val="auto"/>
          <w:kern w:val="2"/>
          <w:highlight w:val="none"/>
          <w:lang w:val="en-US" w:bidi="ar-SA"/>
        </w:rPr>
        <w:t>于</w:t>
      </w:r>
      <w:r>
        <w:rPr>
          <w:rFonts w:hint="eastAsia" w:ascii="Times New Roman" w:hAnsi="Times New Roman" w:eastAsia="宋体" w:cs="Times New Roman"/>
          <w:color w:val="auto"/>
          <w:kern w:val="2"/>
          <w:highlight w:val="none"/>
          <w:lang w:val="en-US" w:bidi="ar-SA"/>
        </w:rPr>
        <w:t>2019</w:t>
      </w:r>
      <w:r>
        <w:rPr>
          <w:rFonts w:hint="eastAsia" w:ascii="Times New Roman" w:hAnsi="Times New Roman" w:eastAsia="宋体" w:cs="Times New Roman"/>
          <w:color w:val="auto"/>
          <w:kern w:val="2"/>
          <w:highlight w:val="none"/>
          <w:lang w:val="en-US" w:eastAsia="zh-CN" w:bidi="ar-SA"/>
        </w:rPr>
        <w:t>年</w:t>
      </w:r>
      <w:r>
        <w:rPr>
          <w:rFonts w:hint="eastAsia" w:ascii="Times New Roman" w:hAnsi="Times New Roman" w:eastAsia="宋体" w:cs="Times New Roman"/>
          <w:color w:val="auto"/>
          <w:kern w:val="2"/>
          <w:highlight w:val="none"/>
          <w:lang w:val="en-US" w:bidi="ar-SA"/>
        </w:rPr>
        <w:t>06</w:t>
      </w:r>
      <w:r>
        <w:rPr>
          <w:rFonts w:hint="eastAsia" w:ascii="Times New Roman" w:hAnsi="Times New Roman" w:eastAsia="宋体" w:cs="Times New Roman"/>
          <w:color w:val="auto"/>
          <w:kern w:val="2"/>
          <w:highlight w:val="none"/>
          <w:lang w:val="en-US" w:eastAsia="zh-CN" w:bidi="ar-SA"/>
        </w:rPr>
        <w:t>月</w:t>
      </w:r>
      <w:r>
        <w:rPr>
          <w:rFonts w:hint="eastAsia" w:ascii="Times New Roman" w:hAnsi="Times New Roman" w:eastAsia="宋体" w:cs="Times New Roman"/>
          <w:color w:val="auto"/>
          <w:kern w:val="2"/>
          <w:highlight w:val="none"/>
          <w:lang w:val="en-US" w:bidi="ar-SA"/>
        </w:rPr>
        <w:t>25</w:t>
      </w:r>
      <w:r>
        <w:rPr>
          <w:rFonts w:hint="eastAsia" w:ascii="Times New Roman" w:hAnsi="Times New Roman" w:eastAsia="宋体" w:cs="Times New Roman"/>
          <w:color w:val="auto"/>
          <w:kern w:val="2"/>
          <w:highlight w:val="none"/>
          <w:lang w:val="en-US" w:eastAsia="zh-CN" w:bidi="ar-SA"/>
        </w:rPr>
        <w:t>日</w:t>
      </w:r>
      <w:r>
        <w:rPr>
          <w:rFonts w:ascii="Times New Roman" w:hAnsi="Times New Roman" w:eastAsia="宋体" w:cs="Times New Roman"/>
          <w:color w:val="auto"/>
          <w:kern w:val="2"/>
          <w:highlight w:val="none"/>
          <w:lang w:val="en-US" w:bidi="ar-SA"/>
        </w:rPr>
        <w:t>首次申请了排污许可证，</w:t>
      </w:r>
      <w:r>
        <w:rPr>
          <w:rFonts w:hint="eastAsia" w:ascii="Times New Roman" w:hAnsi="Times New Roman" w:eastAsia="宋体" w:cs="Times New Roman"/>
          <w:color w:val="auto"/>
          <w:kern w:val="2"/>
          <w:highlight w:val="none"/>
          <w:lang w:val="en-US" w:eastAsia="zh-CN" w:bidi="ar-SA"/>
        </w:rPr>
        <w:t>2022</w:t>
      </w:r>
      <w:r>
        <w:rPr>
          <w:rFonts w:ascii="Times New Roman" w:hAnsi="Times New Roman" w:eastAsia="宋体" w:cs="Times New Roman"/>
          <w:color w:val="auto"/>
          <w:kern w:val="2"/>
          <w:highlight w:val="none"/>
          <w:lang w:val="en-US" w:bidi="ar-SA"/>
        </w:rPr>
        <w:t>年</w:t>
      </w:r>
      <w:r>
        <w:rPr>
          <w:rFonts w:hint="eastAsia" w:ascii="Times New Roman" w:hAnsi="Times New Roman" w:eastAsia="宋体" w:cs="Times New Roman"/>
          <w:color w:val="auto"/>
          <w:kern w:val="2"/>
          <w:highlight w:val="none"/>
          <w:lang w:val="en-US" w:eastAsia="zh-CN" w:bidi="ar-SA"/>
        </w:rPr>
        <w:t>6</w:t>
      </w:r>
      <w:r>
        <w:rPr>
          <w:rFonts w:ascii="Times New Roman" w:hAnsi="Times New Roman" w:eastAsia="宋体" w:cs="Times New Roman"/>
          <w:color w:val="auto"/>
          <w:kern w:val="2"/>
          <w:highlight w:val="none"/>
          <w:lang w:val="en-US" w:bidi="ar-SA"/>
        </w:rPr>
        <w:t>月</w:t>
      </w:r>
      <w:r>
        <w:rPr>
          <w:rFonts w:hint="eastAsia" w:ascii="Times New Roman" w:hAnsi="Times New Roman" w:eastAsia="宋体" w:cs="Times New Roman"/>
          <w:color w:val="auto"/>
          <w:kern w:val="2"/>
          <w:highlight w:val="none"/>
          <w:lang w:val="en-US" w:eastAsia="zh-CN" w:bidi="ar-SA"/>
        </w:rPr>
        <w:t>23日</w:t>
      </w:r>
      <w:r>
        <w:rPr>
          <w:rFonts w:ascii="Times New Roman" w:hAnsi="Times New Roman" w:eastAsia="宋体" w:cs="Times New Roman"/>
          <w:color w:val="auto"/>
          <w:kern w:val="2"/>
          <w:highlight w:val="none"/>
          <w:lang w:val="en-US" w:bidi="ar-SA"/>
        </w:rPr>
        <w:t>延续排污许可证时间，现有许可证编号为</w:t>
      </w:r>
      <w:r>
        <w:rPr>
          <w:rFonts w:hint="eastAsia" w:ascii="Times New Roman" w:hAnsi="Times New Roman" w:eastAsia="宋体" w:cs="Times New Roman"/>
          <w:color w:val="auto"/>
          <w:kern w:val="2"/>
          <w:highlight w:val="none"/>
          <w:lang w:val="en-US" w:bidi="ar-SA"/>
        </w:rPr>
        <w:t>916523005762282517001V</w:t>
      </w:r>
      <w:r>
        <w:rPr>
          <w:rFonts w:ascii="Times New Roman" w:hAnsi="Times New Roman" w:eastAsia="宋体" w:cs="Times New Roman"/>
          <w:color w:val="auto"/>
          <w:kern w:val="2"/>
          <w:highlight w:val="none"/>
          <w:lang w:val="en-US" w:bidi="ar-SA"/>
        </w:rPr>
        <w:t>，有效期至</w:t>
      </w:r>
      <w:r>
        <w:rPr>
          <w:rFonts w:hint="eastAsia" w:ascii="Times New Roman" w:hAnsi="Times New Roman" w:eastAsia="宋体" w:cs="Times New Roman"/>
          <w:color w:val="auto"/>
          <w:kern w:val="2"/>
          <w:highlight w:val="none"/>
          <w:lang w:val="en-US" w:eastAsia="zh-CN" w:bidi="ar-SA"/>
        </w:rPr>
        <w:t>2027年6</w:t>
      </w:r>
      <w:r>
        <w:rPr>
          <w:rFonts w:ascii="Times New Roman" w:hAnsi="Times New Roman" w:eastAsia="宋体" w:cs="Times New Roman"/>
          <w:color w:val="auto"/>
          <w:kern w:val="2"/>
          <w:highlight w:val="none"/>
          <w:lang w:val="en-US" w:bidi="ar-SA"/>
        </w:rPr>
        <w:t>月</w:t>
      </w:r>
      <w:r>
        <w:rPr>
          <w:rFonts w:hint="eastAsia" w:ascii="Times New Roman" w:hAnsi="Times New Roman" w:eastAsia="宋体" w:cs="Times New Roman"/>
          <w:color w:val="auto"/>
          <w:kern w:val="2"/>
          <w:highlight w:val="none"/>
          <w:lang w:val="en-US" w:eastAsia="zh-CN" w:bidi="ar-SA"/>
        </w:rPr>
        <w:t>24</w:t>
      </w:r>
      <w:r>
        <w:rPr>
          <w:rFonts w:ascii="Times New Roman" w:hAnsi="Times New Roman" w:eastAsia="宋体" w:cs="Times New Roman"/>
          <w:color w:val="auto"/>
          <w:kern w:val="2"/>
          <w:highlight w:val="none"/>
          <w:lang w:val="en-US" w:bidi="ar-SA"/>
        </w:rPr>
        <w:t>日。自20</w:t>
      </w:r>
      <w:r>
        <w:rPr>
          <w:rFonts w:hint="eastAsia" w:ascii="Times New Roman" w:hAnsi="Times New Roman" w:eastAsia="宋体" w:cs="Times New Roman"/>
          <w:color w:val="auto"/>
          <w:kern w:val="2"/>
          <w:highlight w:val="none"/>
          <w:lang w:val="en-US" w:eastAsia="zh-CN" w:bidi="ar-SA"/>
        </w:rPr>
        <w:t>19</w:t>
      </w:r>
      <w:r>
        <w:rPr>
          <w:rFonts w:ascii="Times New Roman" w:hAnsi="Times New Roman" w:eastAsia="宋体" w:cs="Times New Roman"/>
          <w:color w:val="auto"/>
          <w:kern w:val="2"/>
          <w:highlight w:val="none"/>
          <w:lang w:val="en-US" w:bidi="ar-SA"/>
        </w:rPr>
        <w:t>年申报排污许可证以来，建设单位定期开展自行监测工作并公示其月报、季报、年报。</w:t>
      </w:r>
    </w:p>
    <w:p>
      <w:pPr>
        <w:autoSpaceDE/>
        <w:autoSpaceDN/>
        <w:bidi w:val="0"/>
        <w:ind w:firstLine="420"/>
        <w:jc w:val="both"/>
        <w:rPr>
          <w:rFonts w:ascii="Times New Roman" w:hAnsi="Times New Roman" w:eastAsia="宋体" w:cs="Times New Roman"/>
          <w:color w:val="auto"/>
          <w:kern w:val="2"/>
          <w:highlight w:val="none"/>
          <w:lang w:val="en-US" w:bidi="ar-SA"/>
        </w:rPr>
      </w:pPr>
      <w:r>
        <w:rPr>
          <w:rFonts w:ascii="Times New Roman" w:hAnsi="Times New Roman" w:eastAsia="宋体" w:cs="Times New Roman"/>
          <w:color w:val="auto"/>
          <w:kern w:val="2"/>
          <w:highlight w:val="none"/>
          <w:lang w:val="en-US" w:bidi="ar-SA"/>
        </w:rPr>
        <w:t>根据建设单位在</w:t>
      </w:r>
      <w:r>
        <w:rPr>
          <w:rFonts w:hint="eastAsia" w:ascii="Times New Roman" w:hAnsi="Times New Roman" w:eastAsia="宋体" w:cs="Times New Roman"/>
          <w:color w:val="auto"/>
          <w:kern w:val="2"/>
          <w:highlight w:val="none"/>
          <w:lang w:val="en-US" w:bidi="ar-SA"/>
        </w:rPr>
        <w:t>http://http://permit.mee.gov.cn/</w:t>
      </w:r>
      <w:r>
        <w:rPr>
          <w:rFonts w:ascii="Times New Roman" w:hAnsi="Times New Roman" w:eastAsia="宋体" w:cs="Times New Roman"/>
          <w:color w:val="auto"/>
          <w:kern w:val="2"/>
          <w:highlight w:val="none"/>
          <w:lang w:val="en-US" w:bidi="ar-SA"/>
        </w:rPr>
        <w:t>公示的202</w:t>
      </w:r>
      <w:r>
        <w:rPr>
          <w:rFonts w:hint="eastAsia" w:cs="Times New Roman"/>
          <w:color w:val="auto"/>
          <w:kern w:val="2"/>
          <w:highlight w:val="none"/>
          <w:lang w:val="en-US" w:eastAsia="zh-CN" w:bidi="ar-SA"/>
        </w:rPr>
        <w:t>3</w:t>
      </w:r>
      <w:r>
        <w:rPr>
          <w:rFonts w:ascii="Times New Roman" w:hAnsi="Times New Roman" w:eastAsia="宋体" w:cs="Times New Roman"/>
          <w:color w:val="auto"/>
          <w:kern w:val="2"/>
          <w:highlight w:val="none"/>
          <w:lang w:val="en-US" w:bidi="ar-SA"/>
        </w:rPr>
        <w:t>年年报。</w:t>
      </w:r>
    </w:p>
    <w:p>
      <w:pPr>
        <w:autoSpaceDE/>
        <w:autoSpaceDN/>
        <w:bidi w:val="0"/>
        <w:spacing w:line="360" w:lineRule="auto"/>
        <w:ind w:firstLine="480" w:firstLineChars="200"/>
        <w:jc w:val="both"/>
        <w:rPr>
          <w:rFonts w:ascii="Times New Roman" w:hAnsi="Times New Roman" w:eastAsia="宋体" w:cs="Times New Roman"/>
          <w:color w:val="auto"/>
          <w:kern w:val="2"/>
          <w:sz w:val="24"/>
          <w:highlight w:val="none"/>
          <w:lang w:val="en-US" w:bidi="ar-SA"/>
        </w:rPr>
      </w:pPr>
      <w:r>
        <w:rPr>
          <w:rFonts w:ascii="Times New Roman" w:hAnsi="Times New Roman" w:eastAsia="宋体" w:cs="Times New Roman"/>
          <w:color w:val="auto"/>
          <w:kern w:val="2"/>
          <w:sz w:val="24"/>
          <w:highlight w:val="none"/>
          <w:lang w:val="en-US" w:bidi="ar-SA"/>
        </w:rPr>
        <w:t>202</w:t>
      </w:r>
      <w:r>
        <w:rPr>
          <w:rFonts w:hint="eastAsia" w:cs="Times New Roman"/>
          <w:color w:val="auto"/>
          <w:kern w:val="2"/>
          <w:sz w:val="24"/>
          <w:highlight w:val="none"/>
          <w:lang w:val="en-US" w:eastAsia="zh-CN" w:bidi="ar-SA"/>
        </w:rPr>
        <w:t>3</w:t>
      </w:r>
      <w:r>
        <w:rPr>
          <w:rFonts w:ascii="Times New Roman" w:hAnsi="Times New Roman" w:eastAsia="宋体" w:cs="Times New Roman"/>
          <w:color w:val="auto"/>
          <w:kern w:val="2"/>
          <w:sz w:val="24"/>
          <w:highlight w:val="none"/>
          <w:lang w:val="en-US" w:bidi="ar-SA"/>
        </w:rPr>
        <w:t>年全年，</w:t>
      </w:r>
      <w:r>
        <w:rPr>
          <w:rFonts w:hint="eastAsia" w:ascii="Times New Roman" w:hAnsi="Times New Roman" w:eastAsia="宋体" w:cs="Times New Roman"/>
          <w:color w:val="auto"/>
          <w:kern w:val="2"/>
          <w:sz w:val="24"/>
          <w:highlight w:val="none"/>
          <w:lang w:val="en-US" w:bidi="ar-SA"/>
        </w:rPr>
        <w:t>新疆昌吉国家农业高新技术产业示范区现代农业精深加工示范区污水处理厂</w:t>
      </w:r>
      <w:r>
        <w:rPr>
          <w:rFonts w:ascii="Times New Roman" w:hAnsi="Times New Roman" w:eastAsia="宋体" w:cs="Times New Roman"/>
          <w:color w:val="auto"/>
          <w:kern w:val="2"/>
          <w:sz w:val="24"/>
          <w:highlight w:val="none"/>
          <w:lang w:val="en-US" w:bidi="ar-SA"/>
        </w:rPr>
        <w:t>对</w:t>
      </w:r>
      <w:r>
        <w:rPr>
          <w:rFonts w:hint="eastAsia" w:ascii="Times New Roman" w:hAnsi="Times New Roman" w:eastAsia="宋体" w:cs="Times New Roman"/>
          <w:color w:val="auto"/>
          <w:kern w:val="2"/>
          <w:sz w:val="24"/>
          <w:highlight w:val="none"/>
          <w:vertAlign w:val="baseline"/>
          <w:lang w:val="en-US" w:eastAsia="zh-CN" w:bidi="ar-SA"/>
        </w:rPr>
        <w:t>大气污染物、</w:t>
      </w:r>
      <w:r>
        <w:rPr>
          <w:rFonts w:ascii="Times New Roman" w:hAnsi="Times New Roman" w:eastAsia="宋体" w:cs="Times New Roman"/>
          <w:color w:val="auto"/>
          <w:kern w:val="2"/>
          <w:sz w:val="24"/>
          <w:highlight w:val="none"/>
          <w:lang w:val="en-US" w:bidi="ar-SA"/>
        </w:rPr>
        <w:t>厂界噪声、无组织</w:t>
      </w:r>
      <w:r>
        <w:rPr>
          <w:rFonts w:hint="eastAsia" w:ascii="Times New Roman" w:hAnsi="Times New Roman" w:eastAsia="宋体" w:cs="Times New Roman"/>
          <w:color w:val="auto"/>
          <w:kern w:val="2"/>
          <w:sz w:val="24"/>
          <w:highlight w:val="none"/>
          <w:lang w:val="en-US" w:eastAsia="zh-CN" w:bidi="ar-SA"/>
        </w:rPr>
        <w:t>废气排放、废水排放</w:t>
      </w:r>
      <w:r>
        <w:rPr>
          <w:rFonts w:ascii="Times New Roman" w:hAnsi="Times New Roman" w:eastAsia="宋体" w:cs="Times New Roman"/>
          <w:color w:val="auto"/>
          <w:kern w:val="2"/>
          <w:sz w:val="24"/>
          <w:highlight w:val="none"/>
          <w:lang w:val="en-US" w:bidi="ar-SA"/>
        </w:rPr>
        <w:t>进行委托第三方监测，结果均达标；202</w:t>
      </w:r>
      <w:r>
        <w:rPr>
          <w:rFonts w:hint="eastAsia" w:cs="Times New Roman"/>
          <w:color w:val="auto"/>
          <w:kern w:val="2"/>
          <w:sz w:val="24"/>
          <w:highlight w:val="none"/>
          <w:lang w:val="en-US" w:eastAsia="zh-CN" w:bidi="ar-SA"/>
        </w:rPr>
        <w:t>3</w:t>
      </w:r>
      <w:r>
        <w:rPr>
          <w:rFonts w:ascii="Times New Roman" w:hAnsi="Times New Roman" w:eastAsia="宋体" w:cs="Times New Roman"/>
          <w:color w:val="auto"/>
          <w:kern w:val="2"/>
          <w:sz w:val="24"/>
          <w:highlight w:val="none"/>
          <w:lang w:val="en-US" w:bidi="ar-SA"/>
        </w:rPr>
        <w:t>年全年，</w:t>
      </w:r>
      <w:r>
        <w:rPr>
          <w:rFonts w:hint="eastAsia" w:ascii="Times New Roman" w:hAnsi="Times New Roman" w:eastAsia="宋体" w:cs="Times New Roman"/>
          <w:color w:val="auto"/>
          <w:kern w:val="2"/>
          <w:sz w:val="24"/>
          <w:highlight w:val="none"/>
          <w:lang w:val="en-US" w:bidi="ar-SA"/>
        </w:rPr>
        <w:t>新疆昌吉国家农业高新技术产业示范区现代农业精深加工示范区污水处理厂</w:t>
      </w:r>
      <w:r>
        <w:rPr>
          <w:rFonts w:ascii="Times New Roman" w:hAnsi="Times New Roman" w:eastAsia="宋体" w:cs="Times New Roman"/>
          <w:color w:val="auto"/>
          <w:kern w:val="2"/>
          <w:sz w:val="24"/>
          <w:highlight w:val="none"/>
          <w:lang w:val="en-US" w:bidi="ar-SA"/>
        </w:rPr>
        <w:t>全年开展手工季度监测四次，监测结果均低于各项污染物排放标准限值。</w:t>
      </w:r>
    </w:p>
    <w:p>
      <w:pPr>
        <w:autoSpaceDE/>
        <w:autoSpaceDN/>
        <w:bidi w:val="0"/>
        <w:ind w:firstLine="420"/>
        <w:jc w:val="both"/>
        <w:rPr>
          <w:rFonts w:ascii="Times New Roman" w:hAnsi="Times New Roman" w:eastAsia="宋体" w:cs="Times New Roman"/>
          <w:color w:val="auto"/>
          <w:kern w:val="2"/>
          <w:highlight w:val="none"/>
          <w:lang w:val="en-US" w:bidi="ar-SA"/>
        </w:rPr>
      </w:pPr>
      <w:r>
        <w:rPr>
          <w:rFonts w:ascii="Times New Roman" w:hAnsi="Times New Roman" w:eastAsia="宋体" w:cs="Times New Roman"/>
          <w:color w:val="auto"/>
          <w:kern w:val="2"/>
          <w:highlight w:val="none"/>
          <w:lang w:val="en-US" w:bidi="ar-SA"/>
        </w:rPr>
        <w:t>建设单位</w:t>
      </w:r>
      <w:r>
        <w:rPr>
          <w:rFonts w:hint="eastAsia"/>
          <w:color w:val="auto"/>
          <w:highlight w:val="none"/>
          <w:lang w:val="en-US" w:eastAsia="zh-CN"/>
        </w:rPr>
        <w:t>现有项目例行监测数据不符合要求，风量过小，污染物未检测氨和硫化氢。废水的手动监测和</w:t>
      </w:r>
      <w:r>
        <w:rPr>
          <w:rFonts w:ascii="Times New Roman" w:hAnsi="Times New Roman" w:eastAsia="宋体" w:cs="Times New Roman"/>
          <w:color w:val="auto"/>
          <w:kern w:val="2"/>
          <w:highlight w:val="none"/>
          <w:lang w:val="en-US" w:bidi="ar-SA"/>
        </w:rPr>
        <w:t>在</w:t>
      </w:r>
      <w:r>
        <w:rPr>
          <w:rFonts w:hint="eastAsia" w:ascii="Times New Roman" w:hAnsi="Times New Roman" w:eastAsia="宋体" w:cs="Times New Roman"/>
          <w:color w:val="auto"/>
          <w:kern w:val="2"/>
          <w:highlight w:val="none"/>
          <w:lang w:val="en-US" w:bidi="ar-SA"/>
        </w:rPr>
        <w:t>线</w:t>
      </w:r>
      <w:r>
        <w:rPr>
          <w:rFonts w:ascii="Times New Roman" w:hAnsi="Times New Roman" w:eastAsia="宋体" w:cs="Times New Roman"/>
          <w:color w:val="auto"/>
          <w:kern w:val="2"/>
          <w:highlight w:val="none"/>
          <w:lang w:val="en-US" w:bidi="ar-SA"/>
        </w:rPr>
        <w:t>监测满足排污要求。</w:t>
      </w:r>
    </w:p>
    <w:p>
      <w:pPr>
        <w:autoSpaceDE/>
        <w:autoSpaceDN/>
        <w:bidi w:val="0"/>
        <w:ind w:firstLine="420"/>
        <w:jc w:val="both"/>
        <w:rPr>
          <w:rFonts w:hint="default" w:ascii="Times New Roman" w:hAnsi="Times New Roman" w:eastAsia="宋体" w:cs="Times New Roman"/>
          <w:color w:val="auto"/>
          <w:kern w:val="2"/>
          <w:highlight w:val="none"/>
          <w:lang w:val="en-US" w:bidi="ar-SA"/>
        </w:rPr>
      </w:pPr>
      <w:r>
        <w:rPr>
          <w:rFonts w:hint="default" w:ascii="Times New Roman" w:hAnsi="Times New Roman" w:eastAsia="宋体" w:cs="Times New Roman"/>
          <w:color w:val="auto"/>
          <w:kern w:val="2"/>
          <w:highlight w:val="none"/>
          <w:lang w:val="en-US" w:bidi="ar-SA"/>
        </w:rPr>
        <w:t>企业</w:t>
      </w:r>
      <w:r>
        <w:rPr>
          <w:rFonts w:hint="eastAsia" w:ascii="Times New Roman" w:hAnsi="Times New Roman" w:eastAsia="宋体" w:cs="Times New Roman"/>
          <w:color w:val="auto"/>
          <w:kern w:val="2"/>
          <w:highlight w:val="none"/>
          <w:lang w:val="en-US" w:eastAsia="zh-CN" w:bidi="ar-SA"/>
        </w:rPr>
        <w:t>已</w:t>
      </w:r>
      <w:r>
        <w:rPr>
          <w:rFonts w:hint="default" w:ascii="Times New Roman" w:hAnsi="Times New Roman" w:eastAsia="宋体" w:cs="Times New Roman"/>
          <w:color w:val="auto"/>
          <w:kern w:val="2"/>
          <w:highlight w:val="none"/>
          <w:lang w:val="en-US" w:bidi="ar-SA"/>
        </w:rPr>
        <w:t>建立环境管理台账制度，设置专职人员进行台账的记录、整理、维护和管理，并对台账记录结果的真实性、准确性、完整性负责。</w:t>
      </w:r>
    </w:p>
    <w:p>
      <w:pPr>
        <w:autoSpaceDE/>
        <w:autoSpaceDN/>
        <w:bidi w:val="0"/>
        <w:ind w:firstLine="420"/>
        <w:jc w:val="both"/>
        <w:rPr>
          <w:rFonts w:hint="default" w:ascii="Times New Roman" w:hAnsi="Times New Roman" w:eastAsia="宋体" w:cs="Times New Roman"/>
          <w:color w:val="auto"/>
          <w:kern w:val="2"/>
          <w:highlight w:val="none"/>
          <w:lang w:val="en-US" w:bidi="ar-SA"/>
        </w:rPr>
      </w:pPr>
      <w:r>
        <w:rPr>
          <w:rFonts w:hint="default" w:ascii="Times New Roman" w:hAnsi="Times New Roman" w:eastAsia="宋体" w:cs="Times New Roman"/>
          <w:color w:val="auto"/>
          <w:kern w:val="2"/>
          <w:highlight w:val="none"/>
          <w:lang w:val="en-US" w:bidi="ar-SA"/>
        </w:rPr>
        <w:t>为实现台账便于携带、作为许可证执行情况佐证并长时间储存的目的以及导出原始数据，加工分析、综合判断运行情况的功能，台账按照电子化储存和纸质储存两种形式同步管理。台账保存期限不少于三年。</w:t>
      </w:r>
    </w:p>
    <w:p>
      <w:pPr>
        <w:autoSpaceDE/>
        <w:autoSpaceDN/>
        <w:bidi w:val="0"/>
        <w:ind w:firstLine="420"/>
        <w:jc w:val="both"/>
        <w:rPr>
          <w:rFonts w:hint="eastAsia" w:ascii="Times New Roman" w:hAnsi="Times New Roman" w:eastAsia="宋体" w:cs="Times New Roman"/>
          <w:color w:val="auto"/>
          <w:kern w:val="0"/>
          <w:highlight w:val="none"/>
          <w:lang w:val="zh-CN" w:eastAsia="zh-CN" w:bidi="zh-CN"/>
        </w:rPr>
      </w:pPr>
      <w:r>
        <w:rPr>
          <w:rFonts w:hint="eastAsia" w:ascii="Times New Roman" w:hAnsi="Times New Roman" w:eastAsia="宋体" w:cs="Times New Roman"/>
          <w:color w:val="auto"/>
          <w:kern w:val="2"/>
          <w:highlight w:val="none"/>
          <w:lang w:val="en-US" w:eastAsia="zh-CN" w:bidi="ar-SA"/>
        </w:rPr>
        <w:t>根据台账可知，本项目危险废物产生量为</w:t>
      </w:r>
      <w:r>
        <w:rPr>
          <w:rFonts w:hint="eastAsia" w:cs="Times New Roman"/>
          <w:color w:val="auto"/>
          <w:kern w:val="2"/>
          <w:highlight w:val="none"/>
          <w:lang w:val="en-US" w:eastAsia="zh-CN" w:bidi="ar-SA"/>
        </w:rPr>
        <w:t>0.5</w:t>
      </w:r>
      <w:r>
        <w:rPr>
          <w:rFonts w:hint="eastAsia" w:ascii="Times New Roman" w:hAnsi="Times New Roman" w:eastAsia="宋体" w:cs="Times New Roman"/>
          <w:color w:val="auto"/>
          <w:kern w:val="2"/>
          <w:highlight w:val="none"/>
          <w:lang w:val="en-US" w:eastAsia="zh-CN" w:bidi="ar-SA"/>
        </w:rPr>
        <w:t>t/a，一般工业固废产生量为507t/a，生活垃圾产生量为</w:t>
      </w:r>
      <w:r>
        <w:rPr>
          <w:rFonts w:hint="eastAsia" w:cs="Times New Roman"/>
          <w:color w:val="auto"/>
          <w:kern w:val="2"/>
          <w:highlight w:val="none"/>
          <w:lang w:val="en-US" w:eastAsia="zh-CN" w:bidi="ar-SA"/>
        </w:rPr>
        <w:t>3.65</w:t>
      </w:r>
      <w:r>
        <w:rPr>
          <w:rFonts w:hint="eastAsia" w:ascii="Times New Roman" w:hAnsi="Times New Roman" w:eastAsia="宋体" w:cs="Times New Roman"/>
          <w:color w:val="auto"/>
          <w:kern w:val="2"/>
          <w:highlight w:val="none"/>
          <w:lang w:val="en-US" w:eastAsia="zh-CN" w:bidi="ar-SA"/>
        </w:rPr>
        <w:t>t/a。</w:t>
      </w:r>
    </w:p>
    <w:p>
      <w:pPr>
        <w:autoSpaceDE w:val="0"/>
        <w:autoSpaceDN w:val="0"/>
        <w:bidi w:val="0"/>
        <w:ind w:firstLine="400"/>
        <w:jc w:val="left"/>
        <w:rPr>
          <w:rFonts w:hint="default" w:ascii="Times New Roman" w:hAnsi="Times New Roman" w:eastAsia="宋体" w:cs="Times New Roman"/>
          <w:color w:val="auto"/>
          <w:kern w:val="0"/>
          <w:highlight w:val="none"/>
          <w:lang w:val="zh-CN" w:bidi="zh-CN"/>
        </w:rPr>
      </w:pPr>
      <w:r>
        <w:rPr>
          <w:rFonts w:hint="eastAsia" w:ascii="Times New Roman" w:hAnsi="Times New Roman" w:eastAsia="宋体" w:cs="Times New Roman"/>
          <w:color w:val="auto"/>
          <w:kern w:val="0"/>
          <w:highlight w:val="none"/>
          <w:lang w:val="zh-CN" w:eastAsia="zh-CN" w:bidi="zh-CN"/>
        </w:rPr>
        <w:t>（</w:t>
      </w:r>
      <w:r>
        <w:rPr>
          <w:rFonts w:hint="eastAsia" w:ascii="Times New Roman" w:hAnsi="Times New Roman" w:eastAsia="宋体" w:cs="Times New Roman"/>
          <w:color w:val="auto"/>
          <w:kern w:val="0"/>
          <w:highlight w:val="none"/>
          <w:lang w:val="en-US" w:eastAsia="zh-CN" w:bidi="zh-CN"/>
        </w:rPr>
        <w:t>5</w:t>
      </w:r>
      <w:r>
        <w:rPr>
          <w:rFonts w:hint="eastAsia" w:ascii="Times New Roman" w:hAnsi="Times New Roman" w:eastAsia="宋体" w:cs="Times New Roman"/>
          <w:color w:val="auto"/>
          <w:kern w:val="0"/>
          <w:highlight w:val="none"/>
          <w:lang w:val="zh-CN" w:eastAsia="zh-CN" w:bidi="zh-CN"/>
        </w:rPr>
        <w:t>）</w:t>
      </w:r>
      <w:r>
        <w:rPr>
          <w:rFonts w:hint="default" w:ascii="Times New Roman" w:hAnsi="Times New Roman" w:eastAsia="宋体" w:cs="Times New Roman"/>
          <w:color w:val="auto"/>
          <w:kern w:val="0"/>
          <w:highlight w:val="none"/>
          <w:lang w:val="zh-CN" w:bidi="zh-CN"/>
        </w:rPr>
        <w:t>突发环境事件应急措施</w:t>
      </w:r>
    </w:p>
    <w:p>
      <w:pPr>
        <w:autoSpaceDE w:val="0"/>
        <w:autoSpaceDN w:val="0"/>
        <w:bidi w:val="0"/>
        <w:ind w:firstLine="400"/>
        <w:jc w:val="left"/>
        <w:rPr>
          <w:rFonts w:hint="default" w:ascii="Times New Roman" w:hAnsi="Times New Roman" w:eastAsia="宋体" w:cs="Times New Roman"/>
          <w:color w:val="auto"/>
          <w:kern w:val="0"/>
          <w:highlight w:val="none"/>
          <w:lang w:val="zh-CN" w:bidi="zh-CN"/>
        </w:rPr>
      </w:pPr>
      <w:r>
        <w:rPr>
          <w:rFonts w:hint="eastAsia" w:ascii="Times New Roman" w:hAnsi="Times New Roman" w:eastAsia="宋体" w:cs="Times New Roman"/>
          <w:color w:val="auto"/>
          <w:kern w:val="0"/>
          <w:highlight w:val="none"/>
          <w:lang w:val="en-US" w:bidi="zh-CN"/>
        </w:rPr>
        <w:t>现有</w:t>
      </w:r>
      <w:r>
        <w:rPr>
          <w:rFonts w:hint="default" w:ascii="Times New Roman" w:hAnsi="Times New Roman" w:eastAsia="宋体" w:cs="Times New Roman"/>
          <w:color w:val="auto"/>
          <w:kern w:val="0"/>
          <w:highlight w:val="none"/>
          <w:lang w:val="zh-CN" w:bidi="zh-CN"/>
        </w:rPr>
        <w:t>工程按环境管理要求制定了环境突发事故应急预案，并向</w:t>
      </w:r>
      <w:r>
        <w:rPr>
          <w:rFonts w:hint="eastAsia" w:ascii="Times New Roman" w:hAnsi="Times New Roman" w:eastAsia="宋体" w:cs="Times New Roman"/>
          <w:color w:val="auto"/>
          <w:kern w:val="0"/>
          <w:highlight w:val="none"/>
          <w:lang w:val="en-US" w:eastAsia="zh-CN" w:bidi="zh-CN"/>
        </w:rPr>
        <w:t>新疆昌吉国家农业科技园区安全生产生态环境局</w:t>
      </w:r>
      <w:r>
        <w:rPr>
          <w:rFonts w:hint="default" w:ascii="Times New Roman" w:hAnsi="Times New Roman" w:eastAsia="宋体" w:cs="Times New Roman"/>
          <w:color w:val="auto"/>
          <w:kern w:val="0"/>
          <w:highlight w:val="none"/>
          <w:lang w:val="zh-CN" w:bidi="zh-CN"/>
        </w:rPr>
        <w:t>备案</w:t>
      </w:r>
      <w:r>
        <w:rPr>
          <w:rFonts w:hint="eastAsia" w:ascii="Times New Roman" w:hAnsi="Times New Roman" w:eastAsia="宋体" w:cs="Times New Roman"/>
          <w:color w:val="auto"/>
          <w:kern w:val="0"/>
          <w:highlight w:val="none"/>
          <w:lang w:val="zh-CN" w:eastAsia="zh-CN" w:bidi="zh-CN"/>
        </w:rPr>
        <w:t>（</w:t>
      </w:r>
      <w:r>
        <w:rPr>
          <w:rFonts w:hint="eastAsia" w:ascii="Times New Roman" w:hAnsi="Times New Roman" w:eastAsia="宋体" w:cs="Times New Roman"/>
          <w:color w:val="auto"/>
          <w:kern w:val="0"/>
          <w:highlight w:val="none"/>
          <w:lang w:val="en-US" w:eastAsia="zh-CN" w:bidi="zh-CN"/>
        </w:rPr>
        <w:t>备案编号为652381-2023-003-L</w:t>
      </w:r>
      <w:r>
        <w:rPr>
          <w:rFonts w:hint="eastAsia" w:ascii="Times New Roman" w:hAnsi="Times New Roman" w:eastAsia="宋体" w:cs="Times New Roman"/>
          <w:color w:val="auto"/>
          <w:kern w:val="0"/>
          <w:highlight w:val="none"/>
          <w:lang w:val="zh-CN" w:eastAsia="zh-CN" w:bidi="zh-CN"/>
        </w:rPr>
        <w:t>）</w:t>
      </w:r>
      <w:r>
        <w:rPr>
          <w:rFonts w:hint="default" w:ascii="Times New Roman" w:hAnsi="Times New Roman" w:eastAsia="宋体" w:cs="Times New Roman"/>
          <w:color w:val="auto"/>
          <w:kern w:val="0"/>
          <w:highlight w:val="none"/>
          <w:lang w:val="zh-CN" w:bidi="zh-CN"/>
        </w:rPr>
        <w:t>，成立了应急处理领导小组和应急救援队伍，在应急处理领导小组的领导下，负责组织抢险救援工作。一旦发生突发性环境污染事故，立即启动应急预案，同时报告当地人民政府及相关部门，立即组织有关部门开展抢险救援工作。</w:t>
      </w:r>
    </w:p>
    <w:p>
      <w:pPr>
        <w:autoSpaceDE w:val="0"/>
        <w:autoSpaceDN w:val="0"/>
        <w:bidi w:val="0"/>
        <w:ind w:firstLine="40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highlight w:val="none"/>
          <w:lang w:val="zh-CN" w:bidi="zh-CN"/>
        </w:rPr>
        <w:t>为应对突发性环境污染事故，企业在资金、装备、通讯、人力资源等方面制定强有力的保障措施，加强应急抢险救援人员培训与演练，加强项目场区安全巡视与观测，尤其是汛期的安全防范工作，通过加强安全生产与环境保护宣传教育，提高职工的安全环保意识，避免突发性环境污染事故的发生。</w:t>
      </w:r>
    </w:p>
    <w:p>
      <w:pPr>
        <w:pStyle w:val="5"/>
        <w:rPr>
          <w:rFonts w:hint="default" w:ascii="Times New Roman" w:hAnsi="Times New Roman" w:cs="Times New Roman"/>
          <w:color w:val="FF0000"/>
          <w:highlight w:val="none"/>
        </w:rPr>
      </w:pPr>
      <w:r>
        <w:rPr>
          <w:rFonts w:hint="default" w:ascii="Times New Roman" w:hAnsi="Times New Roman" w:cs="Times New Roman"/>
          <w:color w:val="FF0000"/>
          <w:highlight w:val="none"/>
        </w:rPr>
        <w:t>存在的问题</w:t>
      </w:r>
    </w:p>
    <w:p>
      <w:pPr>
        <w:ind w:firstLine="480"/>
        <w:rPr>
          <w:rFonts w:hint="default" w:ascii="Times New Roman" w:hAnsi="Times New Roman" w:cs="Times New Roman"/>
          <w:color w:val="FF0000"/>
          <w:highlight w:val="none"/>
        </w:rPr>
      </w:pPr>
      <w:r>
        <w:rPr>
          <w:rFonts w:hint="default" w:ascii="Times New Roman" w:hAnsi="Times New Roman" w:cs="Times New Roman"/>
          <w:color w:val="FF0000"/>
          <w:highlight w:val="none"/>
        </w:rPr>
        <w:t>根据相关技术规范及现场资料收集与调查，项目污染物产生后已采取相应治理措施，项目可以做到达标排放，污染物已得到有效处理，存在环境问题如下：</w:t>
      </w:r>
    </w:p>
    <w:p>
      <w:pPr>
        <w:numPr>
          <w:ilvl w:val="0"/>
          <w:numId w:val="6"/>
        </w:numPr>
        <w:ind w:firstLine="480"/>
        <w:rPr>
          <w:rFonts w:hint="default" w:ascii="Times New Roman" w:hAnsi="Times New Roman" w:cs="Times New Roman"/>
          <w:color w:val="FF0000"/>
          <w:highlight w:val="none"/>
        </w:rPr>
      </w:pPr>
      <w:r>
        <w:rPr>
          <w:rFonts w:hint="default" w:ascii="Times New Roman" w:hAnsi="Times New Roman" w:cs="Times New Roman"/>
          <w:color w:val="FF0000"/>
          <w:highlight w:val="none"/>
        </w:rPr>
        <w:t>现状污水处理厂的处理规模为5000m³/d，根据园区的发展情况，目前污水处理厂已经在满负荷运行，随着2024年新茄食品有限责任公司及新润泽食品有限责任公司的投产运行，总的排水量将达到3万m³/d，现状污水厂的处理能力严重不足，急需要扩建。</w:t>
      </w:r>
    </w:p>
    <w:p>
      <w:pPr>
        <w:numPr>
          <w:ilvl w:val="0"/>
          <w:numId w:val="6"/>
        </w:numPr>
        <w:ind w:firstLine="480"/>
        <w:rPr>
          <w:rFonts w:hint="default" w:eastAsia="宋体"/>
          <w:color w:val="FF0000"/>
          <w:highlight w:val="none"/>
          <w:lang w:val="en-US" w:eastAsia="zh-CN"/>
        </w:rPr>
      </w:pPr>
      <w:r>
        <w:rPr>
          <w:rFonts w:hint="eastAsia" w:cs="Times New Roman"/>
          <w:color w:val="FF0000"/>
          <w:highlight w:val="none"/>
          <w:lang w:val="en-US" w:eastAsia="zh-CN"/>
        </w:rPr>
        <w:t>现有废气处理装置等离子除臭装置无法满足现行环保要求，且密闭设施不符合要求。</w:t>
      </w:r>
    </w:p>
    <w:p>
      <w:pPr>
        <w:numPr>
          <w:ilvl w:val="0"/>
          <w:numId w:val="6"/>
        </w:numPr>
        <w:ind w:firstLine="480"/>
        <w:rPr>
          <w:rFonts w:hint="eastAsia"/>
          <w:color w:val="FF0000"/>
          <w:highlight w:val="none"/>
          <w:lang w:val="en-US" w:eastAsia="zh-CN"/>
        </w:rPr>
      </w:pPr>
      <w:r>
        <w:rPr>
          <w:rFonts w:hint="eastAsia"/>
          <w:color w:val="FF0000"/>
          <w:highlight w:val="none"/>
          <w:lang w:val="en-US" w:eastAsia="zh-CN"/>
        </w:rPr>
        <w:t>现有项目例行监测数据不符合要求，</w:t>
      </w:r>
      <w:r>
        <w:rPr>
          <w:rFonts w:hint="default" w:ascii="Calibri" w:hAnsi="Calibri" w:cs="Calibri"/>
          <w:color w:val="FF0000"/>
          <w:highlight w:val="none"/>
          <w:lang w:val="en-US" w:eastAsia="zh-CN"/>
        </w:rPr>
        <w:t>①</w:t>
      </w:r>
      <w:r>
        <w:rPr>
          <w:rFonts w:hint="eastAsia"/>
          <w:color w:val="FF0000"/>
          <w:highlight w:val="none"/>
          <w:lang w:val="en-US" w:eastAsia="zh-CN"/>
        </w:rPr>
        <w:t>废气风量过小；</w:t>
      </w:r>
      <w:r>
        <w:rPr>
          <w:rFonts w:hint="default" w:ascii="Calibri" w:hAnsi="Calibri" w:cs="Calibri"/>
          <w:color w:val="FF0000"/>
          <w:highlight w:val="none"/>
          <w:lang w:val="en-US" w:eastAsia="zh-CN"/>
        </w:rPr>
        <w:t>②</w:t>
      </w:r>
      <w:r>
        <w:rPr>
          <w:rFonts w:hint="eastAsia"/>
          <w:color w:val="FF0000"/>
          <w:highlight w:val="none"/>
          <w:lang w:val="en-US" w:eastAsia="zh-CN"/>
        </w:rPr>
        <w:t>有组织废气污染物未检测氨和硫化氢；</w:t>
      </w:r>
      <w:r>
        <w:rPr>
          <w:rFonts w:hint="default" w:ascii="Calibri" w:hAnsi="Calibri" w:cs="Calibri"/>
          <w:color w:val="FF0000"/>
          <w:highlight w:val="none"/>
          <w:lang w:val="en-US" w:eastAsia="zh-CN"/>
        </w:rPr>
        <w:t>③</w:t>
      </w:r>
      <w:r>
        <w:rPr>
          <w:rFonts w:hint="eastAsia" w:ascii="Calibri" w:hAnsi="Calibri" w:cs="Calibri"/>
          <w:color w:val="FF0000"/>
          <w:highlight w:val="none"/>
          <w:lang w:val="en-US" w:eastAsia="zh-CN"/>
        </w:rPr>
        <w:t>无</w:t>
      </w:r>
      <w:r>
        <w:rPr>
          <w:rFonts w:hint="eastAsia"/>
          <w:color w:val="FF0000"/>
          <w:highlight w:val="none"/>
          <w:lang w:val="en-US" w:eastAsia="zh-CN"/>
        </w:rPr>
        <w:t>组织废气污染物未检测臭气浓度；</w:t>
      </w:r>
      <w:r>
        <w:rPr>
          <w:rFonts w:hint="eastAsia" w:ascii="微软雅黑" w:hAnsi="微软雅黑" w:eastAsia="微软雅黑" w:cs="微软雅黑"/>
          <w:color w:val="FF0000"/>
          <w:highlight w:val="none"/>
          <w:lang w:val="en-US" w:eastAsia="zh-CN"/>
        </w:rPr>
        <w:t>④</w:t>
      </w:r>
      <w:r>
        <w:rPr>
          <w:rFonts w:hint="eastAsia"/>
          <w:color w:val="FF0000"/>
          <w:highlight w:val="none"/>
          <w:lang w:val="en-US" w:eastAsia="zh-CN"/>
        </w:rPr>
        <w:t>甲烷不应在厂外监测，应该在厂区内监测。</w:t>
      </w:r>
      <w:r>
        <w:rPr>
          <w:rFonts w:hint="eastAsia" w:ascii="微软雅黑" w:hAnsi="微软雅黑" w:eastAsia="微软雅黑" w:cs="微软雅黑"/>
          <w:color w:val="FF0000"/>
          <w:highlight w:val="none"/>
          <w:lang w:val="en-US" w:eastAsia="zh-CN"/>
        </w:rPr>
        <w:t>⑤</w:t>
      </w:r>
      <w:r>
        <w:rPr>
          <w:rFonts w:hint="eastAsia"/>
          <w:color w:val="FF0000"/>
          <w:highlight w:val="none"/>
          <w:lang w:val="en-US" w:eastAsia="zh-CN"/>
        </w:rPr>
        <w:t>废水监测应监测余氯。</w:t>
      </w:r>
    </w:p>
    <w:p>
      <w:pPr>
        <w:pStyle w:val="5"/>
        <w:rPr>
          <w:rFonts w:hint="default" w:ascii="Times New Roman" w:hAnsi="Times New Roman" w:cs="Times New Roman"/>
          <w:color w:val="FF0000"/>
          <w:highlight w:val="none"/>
        </w:rPr>
      </w:pPr>
      <w:r>
        <w:rPr>
          <w:rFonts w:hint="default" w:ascii="Times New Roman" w:hAnsi="Times New Roman" w:cs="Times New Roman"/>
          <w:color w:val="FF0000"/>
          <w:highlight w:val="none"/>
        </w:rPr>
        <w:t>“以新带老”措施</w:t>
      </w:r>
    </w:p>
    <w:p>
      <w:pPr>
        <w:numPr>
          <w:ilvl w:val="0"/>
          <w:numId w:val="7"/>
        </w:numPr>
        <w:ind w:firstLine="480"/>
        <w:rPr>
          <w:rFonts w:hint="default" w:eastAsia="宋体"/>
          <w:color w:val="FF0000"/>
          <w:highlight w:val="none"/>
          <w:lang w:val="en-US" w:eastAsia="zh-CN"/>
        </w:rPr>
      </w:pPr>
      <w:r>
        <w:rPr>
          <w:rFonts w:hint="eastAsia" w:ascii="Times New Roman" w:hAnsi="Times New Roman" w:cs="Times New Roman"/>
          <w:color w:val="FF0000"/>
          <w:highlight w:val="none"/>
          <w:lang w:val="en-US" w:eastAsia="zh-CN"/>
        </w:rPr>
        <w:t>对</w:t>
      </w:r>
      <w:r>
        <w:rPr>
          <w:rFonts w:hint="default" w:ascii="Times New Roman" w:hAnsi="Times New Roman" w:cs="Times New Roman"/>
          <w:color w:val="FF0000"/>
          <w:highlight w:val="none"/>
        </w:rPr>
        <w:t>现状污水厂的处理能力</w:t>
      </w:r>
      <w:r>
        <w:rPr>
          <w:rFonts w:hint="eastAsia" w:ascii="Times New Roman" w:hAnsi="Times New Roman" w:cs="Times New Roman"/>
          <w:color w:val="FF0000"/>
          <w:highlight w:val="none"/>
          <w:lang w:val="en-US" w:eastAsia="zh-CN"/>
        </w:rPr>
        <w:t>进行扩建满足园区企业的处理规模的要求</w:t>
      </w:r>
      <w:r>
        <w:rPr>
          <w:rFonts w:hint="default" w:ascii="Times New Roman" w:hAnsi="Times New Roman" w:cs="Times New Roman"/>
          <w:color w:val="FF0000"/>
          <w:highlight w:val="none"/>
        </w:rPr>
        <w:t>。</w:t>
      </w:r>
    </w:p>
    <w:p>
      <w:pPr>
        <w:numPr>
          <w:ilvl w:val="0"/>
          <w:numId w:val="7"/>
        </w:numPr>
        <w:ind w:firstLine="480"/>
        <w:rPr>
          <w:rFonts w:hint="default" w:eastAsia="宋体"/>
          <w:color w:val="FF0000"/>
          <w:highlight w:val="none"/>
          <w:lang w:val="en-US" w:eastAsia="zh-CN"/>
        </w:rPr>
      </w:pPr>
      <w:r>
        <w:rPr>
          <w:rFonts w:hint="eastAsia" w:cs="Times New Roman"/>
          <w:color w:val="FF0000"/>
          <w:highlight w:val="none"/>
          <w:lang w:val="en-US" w:eastAsia="zh-CN"/>
        </w:rPr>
        <w:t>现有废气处理装置等离子除臭装置无法满足现行环保要求，本次新建生物除臭系统，将恶臭气体收集处理达标后经排气筒排放。去除率为90%。</w:t>
      </w:r>
    </w:p>
    <w:p>
      <w:pPr>
        <w:numPr>
          <w:ilvl w:val="0"/>
          <w:numId w:val="0"/>
        </w:numPr>
        <w:ind w:firstLine="480" w:firstLineChars="200"/>
        <w:rPr>
          <w:rFonts w:hint="default" w:eastAsia="宋体"/>
          <w:color w:val="FF0000"/>
          <w:highlight w:val="none"/>
          <w:lang w:val="en-US" w:eastAsia="zh-CN"/>
        </w:rPr>
      </w:pPr>
      <w:r>
        <w:rPr>
          <w:rFonts w:hint="eastAsia"/>
          <w:color w:val="FF0000"/>
          <w:highlight w:val="none"/>
          <w:lang w:val="en-US" w:eastAsia="zh-CN"/>
        </w:rPr>
        <w:t>（3）对现有项目例行监测进行整改，恶臭通过本次改扩建的采用</w:t>
      </w:r>
      <w:r>
        <w:rPr>
          <w:rFonts w:hint="eastAsia" w:cs="Times New Roman"/>
          <w:color w:val="FF0000"/>
          <w:highlight w:val="none"/>
          <w:lang w:val="en-US" w:eastAsia="zh-CN"/>
        </w:rPr>
        <w:t>生物滤池处理后，</w:t>
      </w:r>
      <w:r>
        <w:rPr>
          <w:rFonts w:hint="eastAsia"/>
          <w:color w:val="FF0000"/>
          <w:highlight w:val="none"/>
          <w:lang w:val="en-US" w:eastAsia="zh-CN"/>
        </w:rPr>
        <w:t>按要求进行有组织监测氨、硫化氢和臭气浓度；无组织监测氨、硫化氢和臭气浓度、甲烷，废水补充余氯的监测，满足要求用于生态林灌溉要求。</w:t>
      </w:r>
    </w:p>
    <w:p>
      <w:pPr>
        <w:pStyle w:val="5"/>
        <w:bidi w:val="0"/>
        <w:rPr>
          <w:rFonts w:hint="default"/>
          <w:color w:val="auto"/>
          <w:highlight w:val="none"/>
        </w:rPr>
      </w:pPr>
      <w:r>
        <w:rPr>
          <w:rFonts w:hint="default"/>
          <w:color w:val="auto"/>
          <w:highlight w:val="none"/>
        </w:rPr>
        <w:t>现有项目污染物排放</w:t>
      </w:r>
      <w:r>
        <w:rPr>
          <w:rFonts w:hint="eastAsia"/>
          <w:color w:val="auto"/>
          <w:highlight w:val="none"/>
          <w:lang w:val="en-US" w:eastAsia="zh-CN"/>
        </w:rPr>
        <w:t>清单</w:t>
      </w:r>
    </w:p>
    <w:p>
      <w:pPr>
        <w:ind w:firstLine="0" w:firstLineChars="0"/>
        <w:jc w:val="center"/>
        <w:rPr>
          <w:rFonts w:hint="eastAsia" w:ascii="黑体" w:hAnsi="黑体" w:eastAsia="黑体" w:cs="黑体"/>
          <w:b w:val="0"/>
          <w:bCs w:val="0"/>
          <w:color w:val="auto"/>
          <w:highlight w:val="none"/>
        </w:rPr>
      </w:pPr>
      <w:r>
        <w:rPr>
          <w:rFonts w:hint="eastAsia" w:ascii="黑体" w:hAnsi="黑体" w:eastAsia="黑体" w:cs="黑体"/>
          <w:b w:val="0"/>
          <w:bCs w:val="0"/>
          <w:color w:val="auto"/>
          <w:highlight w:val="none"/>
        </w:rPr>
        <w:t>表3.1-</w:t>
      </w:r>
      <w:r>
        <w:rPr>
          <w:rFonts w:hint="eastAsia" w:ascii="黑体" w:hAnsi="黑体" w:eastAsia="黑体" w:cs="黑体"/>
          <w:b w:val="0"/>
          <w:bCs w:val="0"/>
          <w:color w:val="auto"/>
          <w:highlight w:val="none"/>
          <w:lang w:val="en-US" w:eastAsia="zh-CN"/>
        </w:rPr>
        <w:t>10</w:t>
      </w:r>
      <w:r>
        <w:rPr>
          <w:rFonts w:hint="eastAsia" w:ascii="黑体" w:hAnsi="黑体" w:eastAsia="黑体" w:cs="黑体"/>
          <w:b w:val="0"/>
          <w:bCs w:val="0"/>
          <w:color w:val="auto"/>
          <w:highlight w:val="none"/>
        </w:rPr>
        <w:t>现有项目污染物排放</w:t>
      </w:r>
    </w:p>
    <w:tbl>
      <w:tblPr>
        <w:tblStyle w:val="33"/>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70"/>
        <w:gridCol w:w="3381"/>
        <w:gridCol w:w="35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352"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污染物种类</w:t>
            </w:r>
          </w:p>
        </w:tc>
        <w:tc>
          <w:tcPr>
            <w:tcW w:w="1778"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1868" w:type="pct"/>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现有工程实际排放量</w:t>
            </w:r>
            <w:r>
              <w:rPr>
                <w:rFonts w:hint="eastAsia" w:cs="Times New Roman"/>
                <w:color w:val="auto"/>
                <w:sz w:val="21"/>
                <w:szCs w:val="21"/>
                <w:highlight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352" w:type="pct"/>
            <w:vMerge w:val="restar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1778" w:type="pct"/>
            <w:vAlign w:val="center"/>
          </w:tcPr>
          <w:p>
            <w:pPr>
              <w:spacing w:line="240" w:lineRule="auto"/>
              <w:ind w:firstLine="0" w:firstLineChars="0"/>
              <w:jc w:val="center"/>
              <w:rPr>
                <w:rFonts w:hint="default" w:ascii="Times New Roman" w:hAnsi="Times New Roman" w:cs="Times New Roman"/>
                <w:bCs/>
                <w:color w:val="auto"/>
                <w:sz w:val="21"/>
                <w:szCs w:val="21"/>
                <w:highlight w:val="none"/>
                <w:lang w:bidi="zh-CN"/>
              </w:rPr>
            </w:pPr>
            <w:r>
              <w:rPr>
                <w:rFonts w:hint="default" w:ascii="Times New Roman" w:hAnsi="Times New Roman" w:cs="Times New Roman"/>
                <w:color w:val="auto"/>
                <w:sz w:val="21"/>
                <w:szCs w:val="21"/>
                <w:highlight w:val="none"/>
              </w:rPr>
              <w:t>氨</w:t>
            </w:r>
          </w:p>
        </w:tc>
        <w:tc>
          <w:tcPr>
            <w:tcW w:w="1868" w:type="pct"/>
            <w:vAlign w:val="center"/>
          </w:tcPr>
          <w:p>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352"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1778" w:type="pct"/>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1"/>
                <w:highlight w:val="none"/>
              </w:rPr>
              <w:t>硫化氢</w:t>
            </w:r>
          </w:p>
        </w:tc>
        <w:tc>
          <w:tcPr>
            <w:tcW w:w="1868" w:type="pct"/>
            <w:vAlign w:val="center"/>
          </w:tcPr>
          <w:p>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352" w:type="pct"/>
            <w:vMerge w:val="restart"/>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1"/>
                <w:highlight w:val="none"/>
                <w:lang w:bidi="zh-CN"/>
              </w:rPr>
              <w:t>废水</w:t>
            </w:r>
          </w:p>
        </w:tc>
        <w:tc>
          <w:tcPr>
            <w:tcW w:w="1778" w:type="pct"/>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1"/>
                <w:highlight w:val="none"/>
                <w:lang w:bidi="zh-CN"/>
              </w:rPr>
              <w:t>尾水</w:t>
            </w:r>
          </w:p>
        </w:tc>
        <w:tc>
          <w:tcPr>
            <w:tcW w:w="1868" w:type="pct"/>
            <w:vAlign w:val="center"/>
          </w:tcPr>
          <w:p>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1825000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352"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p>
        </w:tc>
        <w:tc>
          <w:tcPr>
            <w:tcW w:w="1778"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21"/>
                <w:szCs w:val="21"/>
                <w:highlight w:val="none"/>
                <w:lang w:bidi="zh-CN"/>
              </w:rPr>
            </w:pPr>
            <w:r>
              <w:rPr>
                <w:rFonts w:hint="default" w:ascii="Times New Roman" w:hAnsi="Times New Roman" w:eastAsia="宋体" w:cs="Times New Roman"/>
                <w:color w:val="FF0000"/>
                <w:sz w:val="21"/>
                <w:szCs w:val="20"/>
                <w:highlight w:val="none"/>
                <w:lang w:val="en-US" w:eastAsia="zh-CN"/>
              </w:rPr>
              <w:t>COD</w:t>
            </w:r>
          </w:p>
        </w:tc>
        <w:tc>
          <w:tcPr>
            <w:tcW w:w="1868"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8.797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352"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p>
        </w:tc>
        <w:tc>
          <w:tcPr>
            <w:tcW w:w="1778"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21"/>
                <w:szCs w:val="21"/>
                <w:highlight w:val="none"/>
                <w:lang w:bidi="zh-CN"/>
              </w:rPr>
            </w:pPr>
            <w:r>
              <w:rPr>
                <w:rFonts w:hint="default" w:ascii="Times New Roman" w:hAnsi="Times New Roman" w:eastAsia="宋体" w:cs="Times New Roman"/>
                <w:color w:val="FF0000"/>
                <w:sz w:val="21"/>
                <w:szCs w:val="20"/>
                <w:highlight w:val="none"/>
                <w:lang w:val="en-US" w:eastAsia="zh-CN"/>
              </w:rPr>
              <w:t>BOD5</w:t>
            </w:r>
          </w:p>
        </w:tc>
        <w:tc>
          <w:tcPr>
            <w:tcW w:w="1868" w:type="pct"/>
            <w:vAlign w:val="center"/>
          </w:tcPr>
          <w:p>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2.555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352"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p>
        </w:tc>
        <w:tc>
          <w:tcPr>
            <w:tcW w:w="1778"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21"/>
                <w:szCs w:val="21"/>
                <w:highlight w:val="none"/>
                <w:lang w:bidi="zh-CN"/>
              </w:rPr>
            </w:pPr>
            <w:r>
              <w:rPr>
                <w:rFonts w:hint="default" w:ascii="Times New Roman" w:hAnsi="Times New Roman" w:eastAsia="宋体" w:cs="Times New Roman"/>
                <w:color w:val="FF0000"/>
                <w:sz w:val="21"/>
                <w:szCs w:val="20"/>
                <w:highlight w:val="none"/>
                <w:lang w:val="en-US" w:eastAsia="zh-CN"/>
              </w:rPr>
              <w:t>SS</w:t>
            </w:r>
          </w:p>
        </w:tc>
        <w:tc>
          <w:tcPr>
            <w:tcW w:w="1868"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352"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p>
        </w:tc>
        <w:tc>
          <w:tcPr>
            <w:tcW w:w="1778"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21"/>
                <w:szCs w:val="21"/>
                <w:highlight w:val="none"/>
                <w:lang w:bidi="zh-CN"/>
              </w:rPr>
            </w:pPr>
            <w:r>
              <w:rPr>
                <w:rFonts w:hint="eastAsia" w:ascii="Times New Roman" w:hAnsi="Times New Roman" w:eastAsia="宋体" w:cs="Times New Roman"/>
                <w:color w:val="FF0000"/>
                <w:sz w:val="21"/>
                <w:szCs w:val="20"/>
                <w:highlight w:val="none"/>
                <w:lang w:val="en-US" w:eastAsia="zh-CN"/>
              </w:rPr>
              <w:t>氨氮</w:t>
            </w:r>
          </w:p>
        </w:tc>
        <w:tc>
          <w:tcPr>
            <w:tcW w:w="1868"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352"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p>
        </w:tc>
        <w:tc>
          <w:tcPr>
            <w:tcW w:w="1778"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21"/>
                <w:szCs w:val="21"/>
                <w:highlight w:val="none"/>
                <w:lang w:bidi="zh-CN"/>
              </w:rPr>
            </w:pPr>
            <w:r>
              <w:rPr>
                <w:rFonts w:hint="eastAsia" w:ascii="Times New Roman" w:hAnsi="Times New Roman" w:eastAsia="宋体" w:cs="Times New Roman"/>
                <w:color w:val="FF0000"/>
                <w:sz w:val="21"/>
                <w:szCs w:val="20"/>
                <w:highlight w:val="none"/>
                <w:lang w:val="en-US" w:eastAsia="zh-CN"/>
              </w:rPr>
              <w:t>总氮</w:t>
            </w:r>
          </w:p>
        </w:tc>
        <w:tc>
          <w:tcPr>
            <w:tcW w:w="1868"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352"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p>
        </w:tc>
        <w:tc>
          <w:tcPr>
            <w:tcW w:w="1778"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21"/>
                <w:szCs w:val="21"/>
                <w:highlight w:val="none"/>
                <w:lang w:bidi="zh-CN"/>
              </w:rPr>
            </w:pPr>
            <w:r>
              <w:rPr>
                <w:rFonts w:hint="default" w:ascii="Times New Roman" w:hAnsi="Times New Roman" w:eastAsia="宋体" w:cs="Times New Roman"/>
                <w:color w:val="FF0000"/>
                <w:sz w:val="21"/>
                <w:szCs w:val="20"/>
                <w:highlight w:val="none"/>
                <w:lang w:val="en-US" w:eastAsia="zh-CN"/>
              </w:rPr>
              <w:t>TP</w:t>
            </w:r>
          </w:p>
        </w:tc>
        <w:tc>
          <w:tcPr>
            <w:tcW w:w="1868" w:type="pct"/>
            <w:vAlign w:val="center"/>
          </w:tcPr>
          <w:p>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0.803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352" w:type="pct"/>
            <w:vMerge w:val="restart"/>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1"/>
                <w:highlight w:val="none"/>
                <w:lang w:bidi="zh-CN"/>
              </w:rPr>
              <w:t>固体废物</w:t>
            </w:r>
          </w:p>
        </w:tc>
        <w:tc>
          <w:tcPr>
            <w:tcW w:w="1778" w:type="pct"/>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0"/>
                <w:highlight w:val="none"/>
                <w:lang w:val="zh-CN"/>
              </w:rPr>
              <w:t>污泥（含水率</w:t>
            </w:r>
            <w:r>
              <w:rPr>
                <w:rFonts w:hint="default" w:ascii="Times New Roman" w:hAnsi="Times New Roman" w:cs="Times New Roman"/>
                <w:color w:val="auto"/>
                <w:sz w:val="21"/>
                <w:szCs w:val="20"/>
                <w:highlight w:val="none"/>
              </w:rPr>
              <w:t>60</w:t>
            </w:r>
            <w:r>
              <w:rPr>
                <w:rFonts w:hint="default" w:ascii="Times New Roman" w:hAnsi="Times New Roman" w:cs="Times New Roman"/>
                <w:color w:val="auto"/>
                <w:sz w:val="21"/>
                <w:szCs w:val="20"/>
                <w:highlight w:val="none"/>
                <w:lang w:val="zh-CN"/>
              </w:rPr>
              <w:t>%）</w:t>
            </w:r>
          </w:p>
        </w:tc>
        <w:tc>
          <w:tcPr>
            <w:tcW w:w="1868"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352"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p>
        </w:tc>
        <w:tc>
          <w:tcPr>
            <w:tcW w:w="1778" w:type="pct"/>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0"/>
                <w:highlight w:val="none"/>
                <w:lang w:val="zh-CN"/>
              </w:rPr>
              <w:t>栅渣及沉砂</w:t>
            </w:r>
          </w:p>
        </w:tc>
        <w:tc>
          <w:tcPr>
            <w:tcW w:w="1868" w:type="pct"/>
            <w:vAlign w:val="center"/>
          </w:tcPr>
          <w:p>
            <w:pPr>
              <w:autoSpaceDE w:val="0"/>
              <w:autoSpaceDN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352"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p>
        </w:tc>
        <w:tc>
          <w:tcPr>
            <w:tcW w:w="1778" w:type="pct"/>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0"/>
                <w:highlight w:val="none"/>
                <w:lang w:val="zh-CN"/>
              </w:rPr>
              <w:t>生活垃圾</w:t>
            </w:r>
          </w:p>
        </w:tc>
        <w:tc>
          <w:tcPr>
            <w:tcW w:w="1868" w:type="pct"/>
            <w:vAlign w:val="center"/>
          </w:tcPr>
          <w:p>
            <w:pPr>
              <w:autoSpaceDE w:val="0"/>
              <w:autoSpaceDN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352"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p>
        </w:tc>
        <w:tc>
          <w:tcPr>
            <w:tcW w:w="1778" w:type="pct"/>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0"/>
                <w:highlight w:val="none"/>
              </w:rPr>
              <w:t>废润滑油</w:t>
            </w:r>
          </w:p>
        </w:tc>
        <w:tc>
          <w:tcPr>
            <w:tcW w:w="1868" w:type="pct"/>
            <w:vAlign w:val="center"/>
          </w:tcPr>
          <w:p>
            <w:pPr>
              <w:autoSpaceDE w:val="0"/>
              <w:autoSpaceDN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352"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p>
        </w:tc>
        <w:tc>
          <w:tcPr>
            <w:tcW w:w="1778" w:type="pct"/>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0"/>
                <w:highlight w:val="none"/>
                <w:lang w:val="zh-CN"/>
              </w:rPr>
              <w:t>废抹布、手套</w:t>
            </w:r>
          </w:p>
        </w:tc>
        <w:tc>
          <w:tcPr>
            <w:tcW w:w="1868" w:type="pct"/>
            <w:vAlign w:val="center"/>
          </w:tcPr>
          <w:p>
            <w:pPr>
              <w:autoSpaceDE w:val="0"/>
              <w:autoSpaceDN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r>
    </w:tbl>
    <w:p>
      <w:pPr>
        <w:pStyle w:val="4"/>
        <w:bidi w:val="0"/>
        <w:rPr>
          <w:rFonts w:hint="default"/>
          <w:color w:val="auto"/>
          <w:highlight w:val="none"/>
        </w:rPr>
      </w:pPr>
      <w:bookmarkStart w:id="70" w:name="_Toc30488"/>
      <w:bookmarkStart w:id="71" w:name="_Toc22331"/>
      <w:r>
        <w:rPr>
          <w:rFonts w:hint="default"/>
          <w:color w:val="auto"/>
          <w:highlight w:val="none"/>
        </w:rPr>
        <w:t>拟建工程概况</w:t>
      </w:r>
      <w:bookmarkEnd w:id="70"/>
      <w:bookmarkEnd w:id="71"/>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基本情况</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项目名称：新疆昌吉国家农业高新技术产业示范区现代农业精深加工示范区污水处理厂改造扩容项目；</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建设单位：新疆昌吉国家农业高新技术产业示范区管理委员会；</w:t>
      </w:r>
    </w:p>
    <w:p>
      <w:pPr>
        <w:pStyle w:val="15"/>
        <w:rPr>
          <w:rFonts w:hint="eastAsia" w:eastAsia="宋体"/>
          <w:color w:val="auto"/>
          <w:highlight w:val="none"/>
          <w:lang w:eastAsia="zh-CN"/>
        </w:rPr>
      </w:pPr>
      <w:r>
        <w:rPr>
          <w:rFonts w:hint="eastAsia"/>
          <w:color w:val="auto"/>
          <w:highlight w:val="none"/>
          <w:lang w:val="en-US" w:eastAsia="zh-CN"/>
        </w:rPr>
        <w:t>运维单位/管理单位：</w:t>
      </w:r>
      <w:r>
        <w:rPr>
          <w:rFonts w:hint="default" w:ascii="Times New Roman" w:hAnsi="Times New Roman" w:cs="Times New Roman"/>
          <w:color w:val="auto"/>
          <w:highlight w:val="none"/>
        </w:rPr>
        <w:t>新疆昌吉农业科技园区城建管理投资有限责任公司</w:t>
      </w:r>
      <w:r>
        <w:rPr>
          <w:rFonts w:hint="eastAsia" w:cs="Times New Roman"/>
          <w:color w:val="auto"/>
          <w:highlight w:val="none"/>
          <w:lang w:eastAsia="zh-CN"/>
        </w:rPr>
        <w:t>；</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建设地点：新疆昌吉国家农业科技园区高新农业产业园</w:t>
      </w:r>
      <w:r>
        <w:rPr>
          <w:rFonts w:hint="eastAsia" w:cs="Times New Roman"/>
          <w:color w:val="auto"/>
          <w:highlight w:val="none"/>
          <w:lang w:val="en-US" w:eastAsia="zh-CN"/>
        </w:rPr>
        <w:t>现有污水处理厂内的预留地</w:t>
      </w:r>
      <w:r>
        <w:rPr>
          <w:rFonts w:hint="default" w:ascii="Times New Roman" w:hAnsi="Times New Roman" w:cs="Times New Roman"/>
          <w:color w:val="auto"/>
          <w:highlight w:val="none"/>
        </w:rPr>
        <w:t>，项目距离乌奎高速互通立交16</w:t>
      </w:r>
      <w:r>
        <w:rPr>
          <w:rFonts w:hint="eastAsia"/>
          <w:color w:val="auto"/>
          <w:highlight w:val="none"/>
          <w:lang w:val="en-US" w:eastAsia="zh-CN"/>
        </w:rPr>
        <w:t>km</w:t>
      </w:r>
      <w:r>
        <w:rPr>
          <w:rFonts w:hint="default" w:ascii="Times New Roman" w:hAnsi="Times New Roman" w:cs="Times New Roman"/>
          <w:color w:val="auto"/>
          <w:highlight w:val="none"/>
        </w:rPr>
        <w:t>，昌吉市中心城区28</w:t>
      </w:r>
      <w:r>
        <w:rPr>
          <w:rFonts w:hint="eastAsia"/>
          <w:color w:val="auto"/>
          <w:highlight w:val="none"/>
          <w:lang w:val="en-US" w:eastAsia="zh-CN"/>
        </w:rPr>
        <w:t>km</w:t>
      </w:r>
      <w:r>
        <w:rPr>
          <w:rFonts w:hint="default" w:ascii="Times New Roman" w:hAnsi="Times New Roman" w:cs="Times New Roman"/>
          <w:color w:val="auto"/>
          <w:highlight w:val="none"/>
        </w:rPr>
        <w:t>（中心</w:t>
      </w:r>
      <w:r>
        <w:rPr>
          <w:rFonts w:hint="eastAsia" w:cs="Times New Roman"/>
          <w:color w:val="auto"/>
          <w:highlight w:val="none"/>
          <w:lang w:val="en-US" w:eastAsia="zh-CN"/>
        </w:rPr>
        <w:t>坐标</w:t>
      </w:r>
      <w:r>
        <w:rPr>
          <w:rFonts w:hint="default" w:ascii="Times New Roman" w:hAnsi="Times New Roman" w:cs="Times New Roman"/>
          <w:color w:val="auto"/>
          <w:highlight w:val="none"/>
        </w:rPr>
        <w:t>为E87°5′54.257″,44°12′19.553″）；</w:t>
      </w:r>
    </w:p>
    <w:p>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建设性质：</w:t>
      </w:r>
      <w:r>
        <w:rPr>
          <w:rFonts w:hint="eastAsia"/>
          <w:color w:val="auto"/>
          <w:highlight w:val="none"/>
          <w:lang w:val="en-US" w:eastAsia="zh-CN"/>
        </w:rPr>
        <w:t>改扩建</w:t>
      </w:r>
      <w:r>
        <w:rPr>
          <w:rFonts w:hint="default" w:ascii="Times New Roman" w:hAnsi="Times New Roman" w:cs="Times New Roman"/>
          <w:color w:val="auto"/>
          <w:highlight w:val="none"/>
        </w:rPr>
        <w:t>；</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项目占地：规划总用地面积49044.78m</w:t>
      </w:r>
      <w:r>
        <w:rPr>
          <w:rFonts w:hint="default" w:ascii="Times New Roman" w:hAnsi="Times New Roman" w:cs="Times New Roman"/>
          <w:color w:val="auto"/>
          <w:highlight w:val="none"/>
          <w:vertAlign w:val="superscript"/>
        </w:rPr>
        <w:t>2</w:t>
      </w:r>
      <w:r>
        <w:rPr>
          <w:rFonts w:hint="eastAsia" w:cs="Times New Roman"/>
          <w:color w:val="auto"/>
          <w:highlight w:val="none"/>
          <w:lang w:eastAsia="zh-CN"/>
        </w:rPr>
        <w:t>，</w:t>
      </w:r>
      <w:r>
        <w:rPr>
          <w:rFonts w:hint="eastAsia" w:cs="Times New Roman"/>
          <w:color w:val="auto"/>
          <w:highlight w:val="none"/>
          <w:lang w:val="en-US" w:eastAsia="zh-CN"/>
        </w:rPr>
        <w:t>已取得建设用地规划许可证（见附件3）</w:t>
      </w:r>
      <w:r>
        <w:rPr>
          <w:rFonts w:hint="default" w:ascii="Times New Roman" w:hAnsi="Times New Roman" w:cs="Times New Roman"/>
          <w:color w:val="auto"/>
          <w:highlight w:val="none"/>
        </w:rPr>
        <w:t>；</w:t>
      </w:r>
    </w:p>
    <w:p>
      <w:pPr>
        <w:ind w:firstLine="480"/>
        <w:rPr>
          <w:rFonts w:hint="default" w:ascii="Times New Roman" w:hAnsi="Times New Roman" w:cs="Times New Roman"/>
          <w:color w:val="auto"/>
          <w:highlight w:val="none"/>
        </w:rPr>
      </w:pPr>
      <w:r>
        <w:rPr>
          <w:rFonts w:hint="default" w:ascii="Times New Roman" w:hAnsi="Times New Roman" w:cs="Times New Roman"/>
          <w:bCs/>
          <w:color w:val="auto"/>
          <w:highlight w:val="none"/>
        </w:rPr>
        <w:t>本项目纳污范围：</w:t>
      </w:r>
      <w:r>
        <w:rPr>
          <w:rFonts w:hint="default" w:ascii="Times New Roman" w:hAnsi="Times New Roman" w:cs="Times New Roman"/>
          <w:color w:val="auto"/>
          <w:highlight w:val="none"/>
        </w:rPr>
        <w:t>主要收集新疆昌吉国家农业科技园区高新农业产业园生活污水及生产废水；</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管网建设：排水管网、绿化管网均已建成，中水回用管网另做环评。本项目不接纳重金属及有毒有害、难降解有机污染物的废水。</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建设内容：（1）对现状污水厂的部分建、构筑物进行改造，主要改造建（构）筑物有粗格栅及提升泵站、鼓风机房、加氯加药间和污泥脱水车间等；</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（2）本次扩建规模为2.5万m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olor w:val="auto"/>
          <w:highlight w:val="none"/>
          <w:lang w:val="en-US" w:eastAsia="zh-CN"/>
        </w:rPr>
        <w:t>改</w:t>
      </w:r>
      <w:r>
        <w:rPr>
          <w:rFonts w:hint="eastAsia" w:cs="Times New Roman"/>
          <w:color w:val="auto"/>
          <w:highlight w:val="none"/>
          <w:lang w:val="en-US" w:eastAsia="zh-CN"/>
        </w:rPr>
        <w:t>扩建后</w:t>
      </w:r>
      <w:r>
        <w:rPr>
          <w:rFonts w:hint="default" w:ascii="Times New Roman" w:hAnsi="Times New Roman" w:cs="Times New Roman"/>
          <w:color w:val="auto"/>
          <w:highlight w:val="none"/>
        </w:rPr>
        <w:t>总规模达到3万m³/d。主要</w:t>
      </w:r>
      <w:r>
        <w:rPr>
          <w:rFonts w:hint="eastAsia" w:cs="Times New Roman"/>
          <w:color w:val="auto"/>
          <w:highlight w:val="none"/>
          <w:lang w:eastAsia="zh-CN"/>
        </w:rPr>
        <w:t>新建</w:t>
      </w:r>
      <w:r>
        <w:rPr>
          <w:rFonts w:hint="default" w:ascii="Times New Roman" w:hAnsi="Times New Roman" w:cs="Times New Roman"/>
          <w:color w:val="auto"/>
          <w:highlight w:val="none"/>
        </w:rPr>
        <w:t>（构）筑物有一体化提升泵站、细格栅及旋流沉砂池、配水井、一体化生化池、高效沉淀池车间、反硝化深床滤池车间、接触消毒池、排泥调节池、厂区废水池、变配电室等。本项目处理后的污水达到</w:t>
      </w:r>
      <w:r>
        <w:rPr>
          <w:rFonts w:hint="eastAsia" w:cs="Times New Roman"/>
          <w:color w:val="auto"/>
          <w:highlight w:val="none"/>
          <w:lang w:eastAsia="zh-CN"/>
        </w:rPr>
        <w:t>《城镇污水处理厂污染物排放标准》（GB18918-2002）及修改单的一级A标准</w:t>
      </w:r>
      <w:r>
        <w:rPr>
          <w:rFonts w:hint="default" w:ascii="Times New Roman" w:hAnsi="Times New Roman" w:cs="Times New Roman"/>
          <w:color w:val="auto"/>
          <w:highlight w:val="none"/>
        </w:rPr>
        <w:t>，同时满足《</w:t>
      </w:r>
      <w:r>
        <w:rPr>
          <w:rFonts w:hint="eastAsia" w:cs="Times New Roman"/>
          <w:color w:val="auto"/>
          <w:highlight w:val="none"/>
          <w:lang w:eastAsia="zh-CN"/>
        </w:rPr>
        <w:t>城市污水再生利用城市杂用水水质》（GB/T18920-2020）</w:t>
      </w:r>
      <w:r>
        <w:rPr>
          <w:rFonts w:hint="default" w:ascii="Times New Roman" w:hAnsi="Times New Roman" w:cs="Times New Roman"/>
          <w:color w:val="auto"/>
          <w:highlight w:val="none"/>
        </w:rPr>
        <w:t>和《城市污水再生利用绿地灌溉水质》（GB/T25499-2010）</w:t>
      </w:r>
      <w:r>
        <w:rPr>
          <w:rFonts w:hint="eastAsia" w:cs="Times New Roman"/>
          <w:color w:val="auto"/>
          <w:highlight w:val="none"/>
          <w:lang w:val="en-US" w:eastAsia="zh-CN"/>
        </w:rPr>
        <w:t>绿化用水要求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夏季用于</w:t>
      </w:r>
      <w:r>
        <w:rPr>
          <w:rFonts w:hint="eastAsia" w:cs="Times New Roman"/>
          <w:color w:val="auto"/>
          <w:highlight w:val="none"/>
          <w:lang w:val="en-US" w:eastAsia="zh-CN"/>
        </w:rPr>
        <w:t>园区绿化及</w:t>
      </w:r>
      <w:r>
        <w:rPr>
          <w:rFonts w:hint="default" w:ascii="Times New Roman" w:hAnsi="Times New Roman" w:cs="Times New Roman"/>
          <w:color w:val="auto"/>
          <w:highlight w:val="none"/>
        </w:rPr>
        <w:t>灌溉示范区的林地，冬季储存于</w:t>
      </w:r>
      <w:r>
        <w:rPr>
          <w:rFonts w:hint="eastAsia" w:cs="Times New Roman"/>
          <w:color w:val="auto"/>
          <w:highlight w:val="none"/>
          <w:lang w:eastAsia="zh-CN"/>
        </w:rPr>
        <w:t>中水池</w:t>
      </w:r>
      <w:r>
        <w:rPr>
          <w:rFonts w:hint="default" w:ascii="Times New Roman" w:hAnsi="Times New Roman" w:cs="Times New Roman"/>
          <w:color w:val="auto"/>
          <w:highlight w:val="none"/>
        </w:rPr>
        <w:t>中，实现污水有效利用。</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项目投资：总投资约为8000万元，</w:t>
      </w:r>
      <w:r>
        <w:rPr>
          <w:rFonts w:hint="eastAsia" w:cs="Times New Roman"/>
          <w:color w:val="auto"/>
          <w:highlight w:val="none"/>
          <w:lang w:val="en-US" w:eastAsia="zh-CN"/>
        </w:rPr>
        <w:t>本项目为环境治理项目，</w:t>
      </w:r>
      <w:r>
        <w:rPr>
          <w:rFonts w:hint="default" w:ascii="Times New Roman" w:hAnsi="Times New Roman" w:cs="Times New Roman"/>
          <w:color w:val="auto"/>
          <w:highlight w:val="none"/>
        </w:rPr>
        <w:t>环保投资</w:t>
      </w:r>
      <w:r>
        <w:rPr>
          <w:rFonts w:hint="eastAsia" w:cs="Times New Roman"/>
          <w:color w:val="auto"/>
          <w:highlight w:val="none"/>
          <w:lang w:eastAsia="zh-CN"/>
        </w:rPr>
        <w:t>8000</w:t>
      </w:r>
      <w:r>
        <w:rPr>
          <w:rFonts w:hint="default" w:ascii="Times New Roman" w:hAnsi="Times New Roman" w:cs="Times New Roman"/>
          <w:color w:val="auto"/>
          <w:highlight w:val="none"/>
        </w:rPr>
        <w:t>万元。</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劳动定员及工作制度：污水处理厂</w:t>
      </w:r>
      <w:r>
        <w:rPr>
          <w:rFonts w:hint="eastAsia"/>
          <w:color w:val="auto"/>
          <w:highlight w:val="none"/>
          <w:lang w:val="en-US" w:eastAsia="zh-CN"/>
        </w:rPr>
        <w:t>新增</w:t>
      </w:r>
      <w:r>
        <w:rPr>
          <w:rFonts w:hint="default" w:ascii="Times New Roman" w:hAnsi="Times New Roman" w:cs="Times New Roman"/>
          <w:color w:val="auto"/>
          <w:kern w:val="0"/>
          <w:highlight w:val="none"/>
        </w:rPr>
        <w:t>定员12人</w:t>
      </w:r>
      <w:r>
        <w:rPr>
          <w:rFonts w:hint="default" w:ascii="Times New Roman" w:hAnsi="Times New Roman" w:cs="Times New Roman"/>
          <w:color w:val="auto"/>
          <w:highlight w:val="none"/>
        </w:rPr>
        <w:t>。采用三班两运转制；全年运营时间为365天。</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建设规模及服务范围</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建设规模</w:t>
      </w:r>
    </w:p>
    <w:p>
      <w:pPr>
        <w:pStyle w:val="15"/>
        <w:rPr>
          <w:rFonts w:ascii="宋体" w:hAnsi="宋体" w:eastAsia="宋体" w:cs="宋体"/>
          <w:b w:val="0"/>
          <w:bCs w:val="0"/>
          <w:color w:val="auto"/>
          <w:sz w:val="24"/>
          <w:szCs w:val="24"/>
          <w:highlight w:val="none"/>
        </w:rPr>
      </w:pPr>
      <w:r>
        <w:rPr>
          <w:rFonts w:ascii="宋体" w:hAnsi="宋体" w:eastAsia="宋体" w:cs="宋体"/>
          <w:b w:val="0"/>
          <w:bCs w:val="0"/>
          <w:color w:val="auto"/>
          <w:sz w:val="24"/>
          <w:szCs w:val="24"/>
          <w:highlight w:val="none"/>
        </w:rPr>
        <w:t>本次扩容改造主要内容包括：</w:t>
      </w:r>
    </w:p>
    <w:p>
      <w:pPr>
        <w:pStyle w:val="15"/>
        <w:numPr>
          <w:ilvl w:val="0"/>
          <w:numId w:val="8"/>
        </w:numPr>
        <w:rPr>
          <w:rFonts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预处理单元</w:t>
      </w:r>
    </w:p>
    <w:p>
      <w:pPr>
        <w:pStyle w:val="15"/>
        <w:numPr>
          <w:ilvl w:val="0"/>
          <w:numId w:val="0"/>
        </w:numPr>
        <w:ind w:firstLine="480" w:firstLineChars="200"/>
        <w:rPr>
          <w:rFonts w:hint="default" w:ascii="宋体" w:hAnsi="宋体" w:eastAsia="宋体" w:cs="宋体"/>
          <w:b w:val="0"/>
          <w:bCs w:val="0"/>
          <w:color w:val="auto"/>
          <w:sz w:val="24"/>
          <w:szCs w:val="24"/>
          <w:highlight w:val="none"/>
          <w:lang w:val="en-US"/>
        </w:rPr>
      </w:pPr>
      <w:r>
        <w:rPr>
          <w:rFonts w:hint="eastAsia" w:cs="Times New Roman"/>
          <w:b w:val="0"/>
          <w:bCs w:val="0"/>
          <w:color w:val="auto"/>
          <w:highlight w:val="none"/>
          <w:lang w:val="en-US" w:eastAsia="zh-CN"/>
        </w:rPr>
        <w:t>新建一体化提升泵站（1</w:t>
      </w:r>
      <w:r>
        <w:rPr>
          <w:rFonts w:hint="default" w:ascii="Times New Roman" w:hAnsi="Times New Roman" w:cs="Times New Roman"/>
          <w:b w:val="0"/>
          <w:bCs w:val="0"/>
          <w:color w:val="auto"/>
          <w:highlight w:val="none"/>
        </w:rPr>
        <w:t>万m</w:t>
      </w:r>
      <w:r>
        <w:rPr>
          <w:rFonts w:hint="default" w:ascii="Times New Roman" w:hAnsi="Times New Roman" w:cs="Times New Roman"/>
          <w:b w:val="0"/>
          <w:bCs w:val="0"/>
          <w:color w:val="auto"/>
          <w:highlight w:val="none"/>
          <w:vertAlign w:val="superscript"/>
        </w:rPr>
        <w:t>3</w:t>
      </w:r>
      <w:r>
        <w:rPr>
          <w:rFonts w:hint="default" w:ascii="Times New Roman" w:hAnsi="Times New Roman" w:cs="Times New Roman"/>
          <w:b w:val="0"/>
          <w:bCs w:val="0"/>
          <w:color w:val="auto"/>
          <w:highlight w:val="none"/>
        </w:rPr>
        <w:t>/d</w:t>
      </w:r>
      <w:r>
        <w:rPr>
          <w:rFonts w:hint="eastAsia" w:cs="Times New Roman"/>
          <w:b w:val="0"/>
          <w:bCs w:val="0"/>
          <w:color w:val="auto"/>
          <w:highlight w:val="none"/>
          <w:lang w:val="en-US" w:eastAsia="zh-CN"/>
        </w:rPr>
        <w:t>）、细格栅及旋流沉砂池车间（1</w:t>
      </w:r>
      <w:r>
        <w:rPr>
          <w:rFonts w:hint="default" w:ascii="Times New Roman" w:hAnsi="Times New Roman" w:cs="Times New Roman"/>
          <w:b w:val="0"/>
          <w:bCs w:val="0"/>
          <w:color w:val="auto"/>
          <w:highlight w:val="none"/>
        </w:rPr>
        <w:t>万m</w:t>
      </w:r>
      <w:r>
        <w:rPr>
          <w:rFonts w:hint="default" w:ascii="Times New Roman" w:hAnsi="Times New Roman" w:cs="Times New Roman"/>
          <w:b w:val="0"/>
          <w:bCs w:val="0"/>
          <w:color w:val="auto"/>
          <w:highlight w:val="none"/>
          <w:vertAlign w:val="superscript"/>
        </w:rPr>
        <w:t>3</w:t>
      </w:r>
      <w:r>
        <w:rPr>
          <w:rFonts w:hint="default" w:ascii="Times New Roman" w:hAnsi="Times New Roman" w:cs="Times New Roman"/>
          <w:b w:val="0"/>
          <w:bCs w:val="0"/>
          <w:color w:val="auto"/>
          <w:highlight w:val="none"/>
        </w:rPr>
        <w:t>/d</w:t>
      </w:r>
      <w:r>
        <w:rPr>
          <w:rFonts w:hint="eastAsia" w:cs="Times New Roman"/>
          <w:b w:val="0"/>
          <w:bCs w:val="0"/>
          <w:color w:val="auto"/>
          <w:highlight w:val="none"/>
          <w:lang w:val="en-US" w:eastAsia="zh-CN"/>
        </w:rPr>
        <w:t>），与更换现状3台水泵的现有提升泵（2万m³/d），将总规模提升至3.0</w:t>
      </w:r>
      <w:r>
        <w:rPr>
          <w:rFonts w:hint="default" w:ascii="Times New Roman" w:hAnsi="Times New Roman" w:cs="Times New Roman"/>
          <w:b w:val="0"/>
          <w:bCs w:val="0"/>
          <w:color w:val="auto"/>
          <w:highlight w:val="none"/>
        </w:rPr>
        <w:t>万m</w:t>
      </w:r>
      <w:r>
        <w:rPr>
          <w:rFonts w:hint="default" w:ascii="Times New Roman" w:hAnsi="Times New Roman" w:cs="Times New Roman"/>
          <w:b w:val="0"/>
          <w:bCs w:val="0"/>
          <w:color w:val="auto"/>
          <w:highlight w:val="none"/>
          <w:vertAlign w:val="superscript"/>
        </w:rPr>
        <w:t>3</w:t>
      </w:r>
      <w:r>
        <w:rPr>
          <w:rFonts w:hint="default" w:ascii="Times New Roman" w:hAnsi="Times New Roman" w:cs="Times New Roman"/>
          <w:b w:val="0"/>
          <w:bCs w:val="0"/>
          <w:color w:val="auto"/>
          <w:highlight w:val="none"/>
        </w:rPr>
        <w:t>/</w:t>
      </w:r>
      <w:r>
        <w:rPr>
          <w:rFonts w:hint="eastAsia" w:cs="Times New Roman"/>
          <w:b w:val="0"/>
          <w:bCs w:val="0"/>
          <w:color w:val="auto"/>
          <w:highlight w:val="none"/>
          <w:lang w:val="en-US" w:eastAsia="zh-CN"/>
        </w:rPr>
        <w:t>d。</w:t>
      </w:r>
    </w:p>
    <w:p>
      <w:pPr>
        <w:pStyle w:val="15"/>
        <w:numPr>
          <w:ilvl w:val="0"/>
          <w:numId w:val="8"/>
        </w:numPr>
        <w:rPr>
          <w:rFonts w:ascii="宋体" w:hAnsi="宋体" w:eastAsia="宋体" w:cs="宋体"/>
          <w:b w:val="0"/>
          <w:bCs w:val="0"/>
          <w:color w:val="auto"/>
          <w:sz w:val="24"/>
          <w:szCs w:val="24"/>
          <w:highlight w:val="none"/>
        </w:rPr>
      </w:pPr>
      <w:r>
        <w:rPr>
          <w:rFonts w:ascii="宋体" w:hAnsi="宋体" w:eastAsia="宋体" w:cs="宋体"/>
          <w:b w:val="0"/>
          <w:bCs w:val="0"/>
          <w:color w:val="auto"/>
          <w:sz w:val="24"/>
          <w:szCs w:val="24"/>
          <w:highlight w:val="none"/>
        </w:rPr>
        <w:t>二级生化处理单元</w:t>
      </w:r>
    </w:p>
    <w:p>
      <w:pPr>
        <w:pStyle w:val="15"/>
        <w:numPr>
          <w:ilvl w:val="0"/>
          <w:numId w:val="0"/>
        </w:numPr>
        <w:ind w:firstLine="480" w:firstLineChars="200"/>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新建一体化生化池（处理能力2.5</w:t>
      </w:r>
      <w:r>
        <w:rPr>
          <w:rFonts w:hint="default" w:ascii="Times New Roman" w:hAnsi="Times New Roman" w:cs="Times New Roman"/>
          <w:b w:val="0"/>
          <w:bCs w:val="0"/>
          <w:color w:val="auto"/>
          <w:highlight w:val="none"/>
        </w:rPr>
        <w:t>万m</w:t>
      </w:r>
      <w:r>
        <w:rPr>
          <w:rFonts w:hint="default" w:ascii="Times New Roman" w:hAnsi="Times New Roman" w:cs="Times New Roman"/>
          <w:b w:val="0"/>
          <w:bCs w:val="0"/>
          <w:color w:val="auto"/>
          <w:highlight w:val="none"/>
          <w:vertAlign w:val="superscript"/>
        </w:rPr>
        <w:t>3</w:t>
      </w:r>
      <w:r>
        <w:rPr>
          <w:rFonts w:hint="default" w:ascii="Times New Roman" w:hAnsi="Times New Roman" w:cs="Times New Roman"/>
          <w:b w:val="0"/>
          <w:bCs w:val="0"/>
          <w:color w:val="auto"/>
          <w:highlight w:val="none"/>
        </w:rPr>
        <w:t>/d</w:t>
      </w:r>
      <w:r>
        <w:rPr>
          <w:rFonts w:hint="eastAsia" w:cs="Times New Roman"/>
          <w:b w:val="0"/>
          <w:bCs w:val="0"/>
          <w:color w:val="auto"/>
          <w:highlight w:val="none"/>
          <w:lang w:val="en-US" w:eastAsia="zh-CN"/>
        </w:rPr>
        <w:t>），新建1座高效沉淀池（处理能力1.25</w:t>
      </w:r>
      <w:r>
        <w:rPr>
          <w:rFonts w:hint="default" w:ascii="Times New Roman" w:hAnsi="Times New Roman" w:cs="Times New Roman"/>
          <w:b w:val="0"/>
          <w:bCs w:val="0"/>
          <w:color w:val="auto"/>
          <w:highlight w:val="none"/>
        </w:rPr>
        <w:t>万m</w:t>
      </w:r>
      <w:r>
        <w:rPr>
          <w:rFonts w:hint="default" w:ascii="Times New Roman" w:hAnsi="Times New Roman" w:cs="Times New Roman"/>
          <w:b w:val="0"/>
          <w:bCs w:val="0"/>
          <w:color w:val="auto"/>
          <w:highlight w:val="none"/>
          <w:vertAlign w:val="superscript"/>
        </w:rPr>
        <w:t>3</w:t>
      </w:r>
      <w:r>
        <w:rPr>
          <w:rFonts w:hint="default" w:ascii="Times New Roman" w:hAnsi="Times New Roman" w:cs="Times New Roman"/>
          <w:b w:val="0"/>
          <w:bCs w:val="0"/>
          <w:color w:val="auto"/>
          <w:highlight w:val="none"/>
        </w:rPr>
        <w:t>/d</w:t>
      </w:r>
      <w:r>
        <w:rPr>
          <w:rFonts w:hint="eastAsia" w:cs="Times New Roman"/>
          <w:b w:val="0"/>
          <w:bCs w:val="0"/>
          <w:color w:val="auto"/>
          <w:highlight w:val="none"/>
          <w:lang w:val="en-US" w:eastAsia="zh-CN"/>
        </w:rPr>
        <w:t>），与现有水解酸化池+CAST池（处理能力0.5万m³/d）和现有1座高效沉淀池+纤维滤池（处理能力1.75万m³/d），将总规模提升至3.0</w:t>
      </w:r>
      <w:r>
        <w:rPr>
          <w:rFonts w:hint="default" w:ascii="Times New Roman" w:hAnsi="Times New Roman" w:cs="Times New Roman"/>
          <w:b w:val="0"/>
          <w:bCs w:val="0"/>
          <w:color w:val="auto"/>
          <w:highlight w:val="none"/>
        </w:rPr>
        <w:t>万m</w:t>
      </w:r>
      <w:r>
        <w:rPr>
          <w:rFonts w:hint="default" w:ascii="Times New Roman" w:hAnsi="Times New Roman" w:cs="Times New Roman"/>
          <w:b w:val="0"/>
          <w:bCs w:val="0"/>
          <w:color w:val="auto"/>
          <w:highlight w:val="none"/>
          <w:vertAlign w:val="superscript"/>
        </w:rPr>
        <w:t>3</w:t>
      </w:r>
      <w:r>
        <w:rPr>
          <w:rFonts w:hint="default" w:ascii="Times New Roman" w:hAnsi="Times New Roman" w:cs="Times New Roman"/>
          <w:b w:val="0"/>
          <w:bCs w:val="0"/>
          <w:color w:val="auto"/>
          <w:highlight w:val="none"/>
        </w:rPr>
        <w:t>/</w:t>
      </w:r>
      <w:r>
        <w:rPr>
          <w:rFonts w:hint="eastAsia" w:cs="Times New Roman"/>
          <w:b w:val="0"/>
          <w:bCs w:val="0"/>
          <w:color w:val="auto"/>
          <w:highlight w:val="none"/>
          <w:lang w:val="en-US" w:eastAsia="zh-CN"/>
        </w:rPr>
        <w:t>d。</w:t>
      </w:r>
    </w:p>
    <w:p>
      <w:pPr>
        <w:pStyle w:val="15"/>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（3）深度处理单元</w:t>
      </w:r>
    </w:p>
    <w:p>
      <w:pPr>
        <w:pStyle w:val="15"/>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新建反硝化深床滤池车间（处理能力1.25</w:t>
      </w:r>
      <w:r>
        <w:rPr>
          <w:rFonts w:hint="default" w:ascii="Times New Roman" w:hAnsi="Times New Roman" w:cs="Times New Roman"/>
          <w:b w:val="0"/>
          <w:bCs w:val="0"/>
          <w:color w:val="auto"/>
          <w:highlight w:val="none"/>
        </w:rPr>
        <w:t>万m</w:t>
      </w:r>
      <w:r>
        <w:rPr>
          <w:rFonts w:hint="default" w:ascii="Times New Roman" w:hAnsi="Times New Roman" w:cs="Times New Roman"/>
          <w:b w:val="0"/>
          <w:bCs w:val="0"/>
          <w:color w:val="auto"/>
          <w:highlight w:val="none"/>
          <w:vertAlign w:val="superscript"/>
        </w:rPr>
        <w:t>3</w:t>
      </w:r>
      <w:r>
        <w:rPr>
          <w:rFonts w:hint="default" w:ascii="Times New Roman" w:hAnsi="Times New Roman" w:cs="Times New Roman"/>
          <w:b w:val="0"/>
          <w:bCs w:val="0"/>
          <w:color w:val="auto"/>
          <w:highlight w:val="none"/>
        </w:rPr>
        <w:t>/d</w:t>
      </w:r>
      <w:r>
        <w:rPr>
          <w:rFonts w:hint="eastAsia" w:cs="Times New Roman"/>
          <w:b w:val="0"/>
          <w:bCs w:val="0"/>
          <w:color w:val="auto"/>
          <w:highlight w:val="none"/>
          <w:lang w:val="en-US" w:eastAsia="zh-CN"/>
        </w:rPr>
        <w:t>）与现有1座纤维滤池（处理能力1.75万m</w:t>
      </w:r>
      <w:r>
        <w:rPr>
          <w:rFonts w:hint="eastAsia" w:cs="Times New Roman"/>
          <w:b w:val="0"/>
          <w:bCs w:val="0"/>
          <w:color w:val="auto"/>
          <w:highlight w:val="none"/>
          <w:vertAlign w:val="superscript"/>
          <w:lang w:val="en-US" w:eastAsia="zh-CN"/>
        </w:rPr>
        <w:t>3</w:t>
      </w:r>
      <w:r>
        <w:rPr>
          <w:rFonts w:hint="eastAsia" w:cs="Times New Roman"/>
          <w:b w:val="0"/>
          <w:bCs w:val="0"/>
          <w:color w:val="auto"/>
          <w:highlight w:val="none"/>
          <w:lang w:val="en-US" w:eastAsia="zh-CN"/>
        </w:rPr>
        <w:t>/d），将总规模提升至3.0</w:t>
      </w:r>
      <w:r>
        <w:rPr>
          <w:rFonts w:hint="default" w:ascii="Times New Roman" w:hAnsi="Times New Roman" w:cs="Times New Roman"/>
          <w:b w:val="0"/>
          <w:bCs w:val="0"/>
          <w:color w:val="auto"/>
          <w:highlight w:val="none"/>
        </w:rPr>
        <w:t>万m</w:t>
      </w:r>
      <w:r>
        <w:rPr>
          <w:rFonts w:hint="default" w:ascii="Times New Roman" w:hAnsi="Times New Roman" w:cs="Times New Roman"/>
          <w:b w:val="0"/>
          <w:bCs w:val="0"/>
          <w:color w:val="auto"/>
          <w:highlight w:val="none"/>
          <w:vertAlign w:val="superscript"/>
        </w:rPr>
        <w:t>3</w:t>
      </w:r>
      <w:r>
        <w:rPr>
          <w:rFonts w:hint="default" w:ascii="Times New Roman" w:hAnsi="Times New Roman" w:cs="Times New Roman"/>
          <w:b w:val="0"/>
          <w:bCs w:val="0"/>
          <w:color w:val="auto"/>
          <w:highlight w:val="none"/>
        </w:rPr>
        <w:t>/</w:t>
      </w:r>
      <w:r>
        <w:rPr>
          <w:rFonts w:hint="eastAsia" w:cs="Times New Roman"/>
          <w:b w:val="0"/>
          <w:bCs w:val="0"/>
          <w:color w:val="auto"/>
          <w:highlight w:val="none"/>
          <w:lang w:val="en-US" w:eastAsia="zh-CN"/>
        </w:rPr>
        <w:t>d。</w:t>
      </w:r>
    </w:p>
    <w:p>
      <w:pPr>
        <w:pStyle w:val="15"/>
        <w:numPr>
          <w:ilvl w:val="0"/>
          <w:numId w:val="0"/>
        </w:numPr>
        <w:ind w:leftChars="20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（4）接触消毒池</w:t>
      </w:r>
    </w:p>
    <w:p>
      <w:pPr>
        <w:pStyle w:val="15"/>
        <w:numPr>
          <w:ilvl w:val="0"/>
          <w:numId w:val="0"/>
        </w:numPr>
        <w:ind w:firstLine="480" w:firstLineChars="20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新建接触消毒池（处理能力1.25</w:t>
      </w:r>
      <w:r>
        <w:rPr>
          <w:rFonts w:hint="default" w:ascii="Times New Roman" w:hAnsi="Times New Roman" w:cs="Times New Roman"/>
          <w:b w:val="0"/>
          <w:bCs w:val="0"/>
          <w:color w:val="auto"/>
          <w:highlight w:val="none"/>
        </w:rPr>
        <w:t>万m</w:t>
      </w:r>
      <w:r>
        <w:rPr>
          <w:rFonts w:hint="default" w:ascii="Times New Roman" w:hAnsi="Times New Roman" w:cs="Times New Roman"/>
          <w:b w:val="0"/>
          <w:bCs w:val="0"/>
          <w:color w:val="auto"/>
          <w:highlight w:val="none"/>
          <w:vertAlign w:val="superscript"/>
        </w:rPr>
        <w:t>3</w:t>
      </w:r>
      <w:r>
        <w:rPr>
          <w:rFonts w:hint="default" w:ascii="Times New Roman" w:hAnsi="Times New Roman" w:cs="Times New Roman"/>
          <w:b w:val="0"/>
          <w:bCs w:val="0"/>
          <w:color w:val="auto"/>
          <w:highlight w:val="none"/>
        </w:rPr>
        <w:t>/d</w:t>
      </w:r>
      <w:r>
        <w:rPr>
          <w:rFonts w:hint="eastAsia" w:cs="Times New Roman"/>
          <w:b w:val="0"/>
          <w:bCs w:val="0"/>
          <w:color w:val="auto"/>
          <w:highlight w:val="none"/>
          <w:lang w:val="en-US" w:eastAsia="zh-CN"/>
        </w:rPr>
        <w:t>）与现有1座接触消毒池（处理能力1.75万m³/d），将总规模提升至3.0</w:t>
      </w:r>
      <w:r>
        <w:rPr>
          <w:rFonts w:hint="default" w:ascii="Times New Roman" w:hAnsi="Times New Roman" w:cs="Times New Roman"/>
          <w:b w:val="0"/>
          <w:bCs w:val="0"/>
          <w:color w:val="auto"/>
          <w:highlight w:val="none"/>
        </w:rPr>
        <w:t>万m</w:t>
      </w:r>
      <w:r>
        <w:rPr>
          <w:rFonts w:hint="default" w:ascii="Times New Roman" w:hAnsi="Times New Roman" w:cs="Times New Roman"/>
          <w:b w:val="0"/>
          <w:bCs w:val="0"/>
          <w:color w:val="auto"/>
          <w:highlight w:val="none"/>
          <w:vertAlign w:val="superscript"/>
        </w:rPr>
        <w:t>3</w:t>
      </w:r>
      <w:r>
        <w:rPr>
          <w:rFonts w:hint="default" w:ascii="Times New Roman" w:hAnsi="Times New Roman" w:cs="Times New Roman"/>
          <w:b w:val="0"/>
          <w:bCs w:val="0"/>
          <w:color w:val="auto"/>
          <w:highlight w:val="none"/>
        </w:rPr>
        <w:t>/</w:t>
      </w:r>
      <w:r>
        <w:rPr>
          <w:rFonts w:hint="eastAsia" w:cs="Times New Roman"/>
          <w:b w:val="0"/>
          <w:bCs w:val="0"/>
          <w:color w:val="auto"/>
          <w:highlight w:val="none"/>
          <w:lang w:val="en-US" w:eastAsia="zh-CN"/>
        </w:rPr>
        <w:t>d。</w:t>
      </w:r>
    </w:p>
    <w:p>
      <w:pPr>
        <w:pStyle w:val="15"/>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（5）现状鼓风机房</w:t>
      </w:r>
      <w:r>
        <w:rPr>
          <w:rFonts w:hint="eastAsia" w:cs="Times New Roman"/>
          <w:b w:val="0"/>
          <w:bCs w:val="0"/>
          <w:color w:val="auto"/>
          <w:highlight w:val="none"/>
          <w:lang w:val="en-US" w:eastAsia="zh-CN"/>
        </w:rPr>
        <w:tab/>
      </w:r>
    </w:p>
    <w:p>
      <w:pPr>
        <w:pStyle w:val="15"/>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现状鼓风机房面积为118.32m</w:t>
      </w:r>
      <w:r>
        <w:rPr>
          <w:rFonts w:hint="eastAsia" w:cs="Times New Roman"/>
          <w:b w:val="0"/>
          <w:bCs w:val="0"/>
          <w:color w:val="auto"/>
          <w:highlight w:val="none"/>
          <w:vertAlign w:val="superscript"/>
          <w:lang w:val="en-US" w:eastAsia="zh-CN"/>
        </w:rPr>
        <w:t>2</w:t>
      </w:r>
      <w:r>
        <w:rPr>
          <w:rFonts w:hint="eastAsia" w:cs="Times New Roman"/>
          <w:b w:val="0"/>
          <w:bCs w:val="0"/>
          <w:color w:val="auto"/>
          <w:highlight w:val="none"/>
          <w:lang w:val="en-US" w:eastAsia="zh-CN"/>
        </w:rPr>
        <w:t>，且为远期扩建预留位置，本期不新建鼓风机房，在现状鼓风机房内增加3台磁悬浮鼓风机（2用1备），满足2.5万m³生化池的曝气需求。</w:t>
      </w:r>
    </w:p>
    <w:p>
      <w:pPr>
        <w:pStyle w:val="15"/>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（6）现状加氯加药间</w:t>
      </w:r>
      <w:r>
        <w:rPr>
          <w:rFonts w:hint="eastAsia" w:cs="Times New Roman"/>
          <w:b w:val="0"/>
          <w:bCs w:val="0"/>
          <w:color w:val="auto"/>
          <w:highlight w:val="none"/>
          <w:lang w:val="en-US" w:eastAsia="zh-CN"/>
        </w:rPr>
        <w:tab/>
      </w:r>
    </w:p>
    <w:p>
      <w:pPr>
        <w:pStyle w:val="15"/>
        <w:numPr>
          <w:ilvl w:val="0"/>
          <w:numId w:val="0"/>
        </w:numPr>
        <w:ind w:firstLine="480" w:firstLineChars="200"/>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更换4套设备，分别为2台DEXF-L-6000型电解法二氧化氯协同消毒剂发生器（1用1备），单套有效产氯量6kg/h，单台功率为40kW，给现状接触消毒池投加二氧化氯。单台尺寸为L×W×H（cm）=360×450×150。配套电控柜，水射器等附件。满足3.0</w:t>
      </w:r>
      <w:r>
        <w:rPr>
          <w:rFonts w:hint="default" w:ascii="Times New Roman" w:hAnsi="Times New Roman" w:cs="Times New Roman"/>
          <w:b w:val="0"/>
          <w:bCs w:val="0"/>
          <w:color w:val="auto"/>
          <w:highlight w:val="none"/>
        </w:rPr>
        <w:t>万m</w:t>
      </w:r>
      <w:r>
        <w:rPr>
          <w:rFonts w:hint="default" w:ascii="Times New Roman" w:hAnsi="Times New Roman" w:cs="Times New Roman"/>
          <w:b w:val="0"/>
          <w:bCs w:val="0"/>
          <w:color w:val="auto"/>
          <w:highlight w:val="none"/>
          <w:vertAlign w:val="superscript"/>
        </w:rPr>
        <w:t>3</w:t>
      </w:r>
      <w:r>
        <w:rPr>
          <w:rFonts w:hint="default" w:ascii="Times New Roman" w:hAnsi="Times New Roman" w:cs="Times New Roman"/>
          <w:b w:val="0"/>
          <w:bCs w:val="0"/>
          <w:color w:val="auto"/>
          <w:highlight w:val="none"/>
        </w:rPr>
        <w:t>/</w:t>
      </w:r>
      <w:r>
        <w:rPr>
          <w:rFonts w:hint="eastAsia" w:cs="Times New Roman"/>
          <w:b w:val="0"/>
          <w:bCs w:val="0"/>
          <w:color w:val="auto"/>
          <w:highlight w:val="none"/>
          <w:lang w:val="en-US" w:eastAsia="zh-CN"/>
        </w:rPr>
        <w:t>d加药消毒要求。</w:t>
      </w:r>
    </w:p>
    <w:p>
      <w:pPr>
        <w:pStyle w:val="15"/>
        <w:numPr>
          <w:ilvl w:val="0"/>
          <w:numId w:val="0"/>
        </w:numPr>
        <w:ind w:leftChars="20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（7）现状污泥脱水间</w:t>
      </w:r>
      <w:r>
        <w:rPr>
          <w:rFonts w:hint="eastAsia" w:cs="Times New Roman"/>
          <w:b w:val="0"/>
          <w:bCs w:val="0"/>
          <w:color w:val="auto"/>
          <w:highlight w:val="none"/>
          <w:lang w:val="en-US" w:eastAsia="zh-CN"/>
        </w:rPr>
        <w:tab/>
      </w:r>
    </w:p>
    <w:p>
      <w:pPr>
        <w:pStyle w:val="15"/>
        <w:numPr>
          <w:ilvl w:val="0"/>
          <w:numId w:val="0"/>
        </w:numPr>
        <w:ind w:firstLine="480" w:firstLineChars="200"/>
        <w:rPr>
          <w:rFonts w:hint="default" w:cs="Times New Roman"/>
          <w:b w:val="0"/>
          <w:bCs w:val="0"/>
          <w:color w:val="auto"/>
          <w:highlight w:val="none"/>
          <w:lang w:val="en-US" w:eastAsia="zh-CN"/>
        </w:rPr>
      </w:pPr>
      <w:r>
        <w:rPr>
          <w:rFonts w:hint="eastAsia" w:cs="Times New Roman"/>
          <w:b w:val="0"/>
          <w:bCs w:val="0"/>
          <w:color w:val="auto"/>
          <w:highlight w:val="none"/>
          <w:lang w:val="en-US" w:eastAsia="zh-CN"/>
        </w:rPr>
        <w:t>污泥脱水间利旧。脱水间内安装多重圆板脱水机及高压带式污泥深度脱水机，及配套PaM、改性剂投加装置，无轴螺旋输送机、空压机、清洗装置等。满足3.0</w:t>
      </w:r>
      <w:r>
        <w:rPr>
          <w:rFonts w:hint="default" w:ascii="Times New Roman" w:hAnsi="Times New Roman" w:cs="Times New Roman"/>
          <w:b w:val="0"/>
          <w:bCs w:val="0"/>
          <w:color w:val="auto"/>
          <w:highlight w:val="none"/>
        </w:rPr>
        <w:t>万m</w:t>
      </w:r>
      <w:r>
        <w:rPr>
          <w:rFonts w:hint="default" w:ascii="Times New Roman" w:hAnsi="Times New Roman" w:cs="Times New Roman"/>
          <w:b w:val="0"/>
          <w:bCs w:val="0"/>
          <w:color w:val="auto"/>
          <w:highlight w:val="none"/>
          <w:vertAlign w:val="superscript"/>
        </w:rPr>
        <w:t>3</w:t>
      </w:r>
      <w:r>
        <w:rPr>
          <w:rFonts w:hint="default" w:ascii="Times New Roman" w:hAnsi="Times New Roman" w:cs="Times New Roman"/>
          <w:b w:val="0"/>
          <w:bCs w:val="0"/>
          <w:color w:val="auto"/>
          <w:highlight w:val="none"/>
        </w:rPr>
        <w:t>/</w:t>
      </w:r>
      <w:r>
        <w:rPr>
          <w:rFonts w:hint="eastAsia" w:cs="Times New Roman"/>
          <w:b w:val="0"/>
          <w:bCs w:val="0"/>
          <w:color w:val="auto"/>
          <w:highlight w:val="none"/>
          <w:lang w:val="en-US" w:eastAsia="zh-CN"/>
        </w:rPr>
        <w:t>d污泥脱水要求。</w:t>
      </w:r>
    </w:p>
    <w:p>
      <w:pPr>
        <w:pStyle w:val="15"/>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（8）现状除臭车间</w:t>
      </w:r>
      <w:r>
        <w:rPr>
          <w:rFonts w:hint="eastAsia" w:cs="Times New Roman"/>
          <w:b w:val="0"/>
          <w:bCs w:val="0"/>
          <w:color w:val="auto"/>
          <w:highlight w:val="none"/>
          <w:lang w:val="en-US" w:eastAsia="zh-CN"/>
        </w:rPr>
        <w:tab/>
      </w:r>
    </w:p>
    <w:p>
      <w:pPr>
        <w:pStyle w:val="15"/>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更换为除臭风机参数为Q=10000m³/h，P=1500Pa，N=7.5kW，尺寸为3600mm×1500mm×1500mm。更换设备后可以满足本期除臭要求。</w:t>
      </w:r>
    </w:p>
    <w:p>
      <w:pPr>
        <w:pStyle w:val="15"/>
        <w:rPr>
          <w:rFonts w:hint="default" w:ascii="Times New Roman" w:hAnsi="Times New Roman" w:cs="Times New Roman"/>
          <w:color w:val="auto"/>
          <w:highlight w:val="none"/>
        </w:rPr>
      </w:pPr>
      <w:r>
        <w:rPr>
          <w:rFonts w:hint="default" w:ascii="Times New Roman" w:hAnsi="Times New Roman" w:cs="Times New Roman"/>
          <w:b/>
          <w:bCs/>
          <w:color w:val="auto"/>
          <w:highlight w:val="none"/>
        </w:rPr>
        <w:t>现状污水厂规模为5000m</w:t>
      </w:r>
      <w:r>
        <w:rPr>
          <w:rFonts w:hint="default" w:ascii="Times New Roman" w:hAnsi="Times New Roman" w:cs="Times New Roman"/>
          <w:b/>
          <w:bCs/>
          <w:color w:val="auto"/>
          <w:highlight w:val="none"/>
          <w:vertAlign w:val="superscript"/>
        </w:rPr>
        <w:t>3</w:t>
      </w:r>
      <w:r>
        <w:rPr>
          <w:rFonts w:hint="default" w:ascii="Times New Roman" w:hAnsi="Times New Roman" w:cs="Times New Roman"/>
          <w:b/>
          <w:bCs/>
          <w:color w:val="auto"/>
          <w:highlight w:val="none"/>
        </w:rPr>
        <w:t>/d，本次</w:t>
      </w:r>
      <w:r>
        <w:rPr>
          <w:rFonts w:hint="eastAsia" w:cs="Times New Roman"/>
          <w:b/>
          <w:bCs/>
          <w:color w:val="auto"/>
          <w:highlight w:val="none"/>
          <w:lang w:val="en-US" w:eastAsia="zh-CN"/>
        </w:rPr>
        <w:t>改</w:t>
      </w:r>
      <w:r>
        <w:rPr>
          <w:rFonts w:hint="default" w:ascii="Times New Roman" w:hAnsi="Times New Roman" w:cs="Times New Roman"/>
          <w:b/>
          <w:bCs/>
          <w:color w:val="auto"/>
          <w:highlight w:val="none"/>
        </w:rPr>
        <w:t>扩建规模为2.5万m</w:t>
      </w:r>
      <w:r>
        <w:rPr>
          <w:rFonts w:hint="default" w:ascii="Times New Roman" w:hAnsi="Times New Roman" w:cs="Times New Roman"/>
          <w:b/>
          <w:bCs/>
          <w:color w:val="auto"/>
          <w:highlight w:val="none"/>
          <w:vertAlign w:val="superscript"/>
        </w:rPr>
        <w:t>3</w:t>
      </w:r>
      <w:r>
        <w:rPr>
          <w:rFonts w:hint="default" w:ascii="Times New Roman" w:hAnsi="Times New Roman" w:cs="Times New Roman"/>
          <w:b/>
          <w:bCs/>
          <w:color w:val="auto"/>
          <w:highlight w:val="none"/>
        </w:rPr>
        <w:t>/d</w:t>
      </w:r>
      <w:r>
        <w:rPr>
          <w:rFonts w:hint="eastAsia" w:cs="Times New Roman"/>
          <w:b/>
          <w:bCs/>
          <w:color w:val="auto"/>
          <w:highlight w:val="none"/>
          <w:lang w:val="en-US" w:eastAsia="zh-CN"/>
        </w:rPr>
        <w:t>，扩建后</w:t>
      </w:r>
      <w:r>
        <w:rPr>
          <w:rFonts w:hint="default" w:ascii="Times New Roman" w:hAnsi="Times New Roman" w:cs="Times New Roman"/>
          <w:b/>
          <w:bCs/>
          <w:color w:val="auto"/>
          <w:highlight w:val="none"/>
        </w:rPr>
        <w:t>总规模</w:t>
      </w:r>
      <w:r>
        <w:rPr>
          <w:rFonts w:hint="eastAsia" w:cs="Times New Roman"/>
          <w:b/>
          <w:bCs/>
          <w:color w:val="auto"/>
          <w:highlight w:val="none"/>
          <w:lang w:val="en-US" w:eastAsia="zh-CN"/>
        </w:rPr>
        <w:t>可以</w:t>
      </w:r>
      <w:r>
        <w:rPr>
          <w:rFonts w:hint="default" w:ascii="Times New Roman" w:hAnsi="Times New Roman" w:cs="Times New Roman"/>
          <w:b/>
          <w:bCs/>
          <w:color w:val="auto"/>
          <w:highlight w:val="none"/>
        </w:rPr>
        <w:t>达到3万m³/d</w:t>
      </w:r>
      <w:r>
        <w:rPr>
          <w:rFonts w:hint="eastAsia" w:cs="Times New Roman"/>
          <w:b/>
          <w:bCs/>
          <w:color w:val="auto"/>
          <w:highlight w:val="none"/>
          <w:lang w:eastAsia="zh-CN"/>
        </w:rPr>
        <w:t>，</w:t>
      </w:r>
      <w:r>
        <w:rPr>
          <w:rFonts w:hint="eastAsia" w:cs="Times New Roman"/>
          <w:b/>
          <w:bCs/>
          <w:color w:val="auto"/>
          <w:highlight w:val="none"/>
          <w:lang w:val="en-US" w:eastAsia="zh-CN"/>
        </w:rPr>
        <w:t>满足污水处理的规模要求</w:t>
      </w:r>
      <w:r>
        <w:rPr>
          <w:rFonts w:hint="default" w:ascii="Times New Roman" w:hAnsi="Times New Roman" w:cs="Times New Roman"/>
          <w:b/>
          <w:bCs/>
          <w:color w:val="auto"/>
          <w:highlight w:val="none"/>
        </w:rPr>
        <w:t>。</w:t>
      </w:r>
      <w:r>
        <w:rPr>
          <w:rFonts w:hint="eastAsia"/>
          <w:color w:val="auto"/>
          <w:highlight w:val="none"/>
          <w:lang w:val="en-US" w:eastAsia="zh-CN"/>
        </w:rPr>
        <w:t>本项目扩建污水处理工艺</w:t>
      </w:r>
      <w:r>
        <w:rPr>
          <w:rFonts w:hint="default" w:ascii="Times New Roman" w:hAnsi="Times New Roman" w:cs="Times New Roman"/>
          <w:color w:val="auto"/>
          <w:highlight w:val="none"/>
        </w:rPr>
        <w:t>采用</w:t>
      </w:r>
      <w:r>
        <w:rPr>
          <w:rFonts w:hint="eastAsia" w:cs="Times New Roman"/>
          <w:color w:val="auto"/>
          <w:highlight w:val="none"/>
          <w:lang w:eastAsia="zh-CN"/>
        </w:rPr>
        <w:t>“预处理+调节池+AAO生物池＋高效沉淀池+反硝化深床滤池+接触消毒池”</w:t>
      </w:r>
      <w:r>
        <w:rPr>
          <w:rFonts w:hint="default" w:ascii="Times New Roman" w:hAnsi="Times New Roman" w:cs="Times New Roman"/>
          <w:color w:val="auto"/>
          <w:highlight w:val="none"/>
        </w:rPr>
        <w:t>处理工艺。新疆昌吉国家农业高新技术产业示范区现代农业精深加工示范区生活污水和工业废水合并处理</w:t>
      </w:r>
      <w:r>
        <w:rPr>
          <w:rFonts w:hint="eastAsia" w:cs="Times New Roman"/>
          <w:color w:val="auto"/>
          <w:highlight w:val="none"/>
          <w:lang w:val="en-US" w:eastAsia="zh-CN"/>
        </w:rPr>
        <w:t>后尾水</w:t>
      </w:r>
      <w:r>
        <w:rPr>
          <w:rFonts w:hint="default" w:ascii="Times New Roman" w:hAnsi="Times New Roman" w:cs="Times New Roman"/>
          <w:color w:val="auto"/>
          <w:highlight w:val="none"/>
        </w:rPr>
        <w:t>达到</w:t>
      </w:r>
      <w:r>
        <w:rPr>
          <w:rFonts w:hint="eastAsia" w:cs="Times New Roman"/>
          <w:color w:val="auto"/>
          <w:highlight w:val="none"/>
          <w:lang w:eastAsia="zh-CN"/>
        </w:rPr>
        <w:t>《城镇污水处理厂污染物排放标准》（GB18918-2002）及修改单的一级A标准</w:t>
      </w:r>
      <w:r>
        <w:rPr>
          <w:rFonts w:hint="default" w:ascii="Times New Roman" w:hAnsi="Times New Roman" w:cs="Times New Roman"/>
          <w:color w:val="auto"/>
          <w:highlight w:val="none"/>
        </w:rPr>
        <w:t>，同时满足《</w:t>
      </w:r>
      <w:r>
        <w:rPr>
          <w:rFonts w:hint="eastAsia" w:cs="Times New Roman"/>
          <w:color w:val="auto"/>
          <w:highlight w:val="none"/>
          <w:lang w:eastAsia="zh-CN"/>
        </w:rPr>
        <w:t>城市污水再生利用城市杂用水水质》（GB/T18920-2020）</w:t>
      </w:r>
      <w:r>
        <w:rPr>
          <w:rFonts w:hint="default" w:ascii="Times New Roman" w:hAnsi="Times New Roman" w:cs="Times New Roman"/>
          <w:color w:val="auto"/>
          <w:highlight w:val="none"/>
        </w:rPr>
        <w:t>和《城市污水再生利用绿地灌溉水质》（GB/T25499-2010）</w:t>
      </w:r>
      <w:r>
        <w:rPr>
          <w:rFonts w:hint="eastAsia" w:cs="Times New Roman"/>
          <w:color w:val="auto"/>
          <w:highlight w:val="none"/>
          <w:lang w:val="en-US" w:eastAsia="zh-CN"/>
        </w:rPr>
        <w:t>的绿化用水要求</w:t>
      </w:r>
      <w:r>
        <w:rPr>
          <w:rFonts w:hint="default" w:ascii="Times New Roman" w:hAnsi="Times New Roman" w:cs="Times New Roman"/>
          <w:color w:val="auto"/>
          <w:highlight w:val="none"/>
        </w:rPr>
        <w:t>。尾水经专用管道夏季用于灌溉示范区的林地，冬季储存于</w:t>
      </w:r>
      <w:r>
        <w:rPr>
          <w:rFonts w:hint="eastAsia" w:cs="Times New Roman"/>
          <w:color w:val="auto"/>
          <w:highlight w:val="none"/>
          <w:lang w:eastAsia="zh-CN"/>
        </w:rPr>
        <w:t>中水池</w:t>
      </w:r>
      <w:r>
        <w:rPr>
          <w:rFonts w:hint="default" w:ascii="Times New Roman" w:hAnsi="Times New Roman" w:cs="Times New Roman"/>
          <w:color w:val="auto"/>
          <w:highlight w:val="none"/>
        </w:rPr>
        <w:t>中，实现污水有效利用。污泥处理工艺：采用装多重圆板脱水机及高压带式污泥深度脱水机</w:t>
      </w:r>
      <w:r>
        <w:rPr>
          <w:rFonts w:hint="eastAsia" w:cs="Times New Roman"/>
          <w:color w:val="auto"/>
          <w:highlight w:val="none"/>
          <w:lang w:eastAsia="zh-CN"/>
        </w:rPr>
        <w:t>，</w:t>
      </w:r>
      <w:r>
        <w:rPr>
          <w:rFonts w:hint="eastAsia"/>
          <w:color w:val="auto"/>
          <w:highlight w:val="none"/>
          <w:lang w:val="en-US" w:eastAsia="zh-CN"/>
        </w:rPr>
        <w:t>脱水后污泥含水量小于60%</w:t>
      </w:r>
      <w:r>
        <w:rPr>
          <w:rFonts w:hint="default" w:ascii="Times New Roman" w:hAnsi="Times New Roman" w:cs="Times New Roman"/>
          <w:color w:val="auto"/>
          <w:highlight w:val="none"/>
        </w:rPr>
        <w:t>；臭气处理工艺：生物滤池除臭。</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本次评价范围仅包括新疆昌吉国家农业高新技术产业示范区现代农业精深加工示范区污水处理厂改造扩容项目近期处理规模及相应设施，不涉及收集管网的建设内容。</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服务范围</w:t>
      </w:r>
    </w:p>
    <w:p>
      <w:pPr>
        <w:ind w:firstLine="480"/>
        <w:rPr>
          <w:rFonts w:hint="eastAsia" w:eastAsia="宋体"/>
          <w:color w:val="auto"/>
          <w:highlight w:val="none"/>
          <w:lang w:eastAsia="zh-CN"/>
        </w:rPr>
      </w:pPr>
      <w:r>
        <w:rPr>
          <w:rFonts w:hint="default" w:ascii="Times New Roman" w:hAnsi="Times New Roman" w:cs="Times New Roman"/>
          <w:color w:val="auto"/>
          <w:highlight w:val="none"/>
        </w:rPr>
        <w:t>新疆昌吉国家农业高新技术产业示范区现代农业精深加工示范区污水处理厂改造扩容项目</w:t>
      </w:r>
      <w:r>
        <w:rPr>
          <w:rFonts w:hint="eastAsia" w:cs="Times New Roman"/>
          <w:color w:val="auto"/>
          <w:highlight w:val="none"/>
          <w:lang w:eastAsia="zh-CN"/>
        </w:rPr>
        <w:t>，</w:t>
      </w:r>
      <w:r>
        <w:rPr>
          <w:rFonts w:hint="default" w:ascii="Times New Roman" w:hAnsi="Times New Roman" w:cs="Times New Roman"/>
          <w:color w:val="auto"/>
          <w:highlight w:val="none"/>
        </w:rPr>
        <w:t>纳污范围主要为新疆昌吉国家农业高新技术产业示范区的</w:t>
      </w:r>
      <w:r>
        <w:rPr>
          <w:rFonts w:hint="eastAsia" w:cs="Times New Roman"/>
          <w:color w:val="FF0000"/>
          <w:highlight w:val="none"/>
          <w:lang w:val="en-US" w:eastAsia="zh-CN"/>
        </w:rPr>
        <w:t>生活污水和</w:t>
      </w:r>
      <w:r>
        <w:rPr>
          <w:rFonts w:hint="default" w:ascii="Times New Roman" w:hAnsi="Times New Roman" w:cs="Times New Roman"/>
          <w:color w:val="FF0000"/>
          <w:highlight w:val="none"/>
        </w:rPr>
        <w:t>生产废水</w:t>
      </w:r>
      <w:r>
        <w:rPr>
          <w:rFonts w:hint="eastAsia" w:cs="Times New Roman"/>
          <w:color w:val="FF0000"/>
          <w:highlight w:val="none"/>
          <w:lang w:eastAsia="zh-CN"/>
        </w:rPr>
        <w:t>。</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主要建设内容</w:t>
      </w:r>
    </w:p>
    <w:p>
      <w:pPr>
        <w:ind w:firstLine="480"/>
        <w:rPr>
          <w:rFonts w:hint="eastAsia" w:cs="Times New Roman"/>
          <w:color w:val="auto"/>
          <w:highlight w:val="none"/>
          <w:lang w:val="en-US" w:eastAsia="zh-CN"/>
        </w:rPr>
      </w:pPr>
      <w:r>
        <w:rPr>
          <w:rFonts w:hint="eastAsia" w:cs="Times New Roman"/>
          <w:color w:val="auto"/>
          <w:highlight w:val="none"/>
          <w:lang w:val="en-US" w:eastAsia="zh-CN"/>
        </w:rPr>
        <w:t>本项目不涉及构筑物拆除，改建部分均为设备更换。</w:t>
      </w:r>
    </w:p>
    <w:p>
      <w:pPr>
        <w:ind w:firstLine="480"/>
        <w:rPr>
          <w:rFonts w:hint="default" w:ascii="Times New Roman" w:hAnsi="Times New Roman" w:cs="Times New Roman"/>
          <w:color w:val="auto"/>
          <w:highlight w:val="none"/>
        </w:rPr>
      </w:pPr>
      <w:r>
        <w:rPr>
          <w:rFonts w:hint="eastAsia" w:cs="Times New Roman"/>
          <w:color w:val="auto"/>
          <w:highlight w:val="none"/>
          <w:lang w:eastAsia="zh-CN"/>
        </w:rPr>
        <w:t>本项目</w:t>
      </w:r>
      <w:r>
        <w:rPr>
          <w:rFonts w:hint="default" w:ascii="Times New Roman" w:hAnsi="Times New Roman" w:cs="Times New Roman"/>
          <w:color w:val="auto"/>
          <w:highlight w:val="none"/>
        </w:rPr>
        <w:t>具体建设内容见</w:t>
      </w:r>
      <w:r>
        <w:rPr>
          <w:rFonts w:hint="eastAsia" w:ascii="Times New Roman" w:hAnsi="Times New Roman" w:cs="Times New Roman"/>
          <w:color w:val="auto"/>
          <w:highlight w:val="none"/>
          <w:lang w:val="en-US" w:eastAsia="zh-CN"/>
        </w:rPr>
        <w:t>下</w:t>
      </w:r>
      <w:r>
        <w:rPr>
          <w:rFonts w:hint="default" w:ascii="Times New Roman" w:hAnsi="Times New Roman" w:cs="Times New Roman"/>
          <w:color w:val="auto"/>
          <w:highlight w:val="none"/>
        </w:rPr>
        <w:t>表。</w:t>
      </w:r>
    </w:p>
    <w:p>
      <w:pPr>
        <w:pStyle w:val="15"/>
        <w:rPr>
          <w:rFonts w:hint="default" w:ascii="Times New Roman" w:hAnsi="Times New Roman" w:cs="Times New Roman"/>
          <w:color w:val="auto"/>
          <w:highlight w:val="none"/>
        </w:rPr>
        <w:sectPr>
          <w:pgSz w:w="11906" w:h="16838"/>
          <w:pgMar w:top="1440" w:right="1304" w:bottom="1440" w:left="1304" w:header="851" w:footer="992" w:gutter="0"/>
          <w:pgBorders>
            <w:top w:val="none" w:sz="0" w:space="0"/>
            <w:left w:val="none" w:sz="0" w:space="0"/>
            <w:bottom w:val="none" w:sz="0" w:space="0"/>
            <w:right w:val="none" w:sz="0" w:space="0"/>
          </w:pgBorders>
          <w:pgNumType w:fmt="numberInDash"/>
          <w:cols w:space="0" w:num="1"/>
          <w:docGrid w:type="lines" w:linePitch="312" w:charSpace="0"/>
        </w:sectPr>
      </w:pPr>
    </w:p>
    <w:p>
      <w:pPr>
        <w:pStyle w:val="16"/>
        <w:rPr>
          <w:rFonts w:hint="default"/>
          <w:color w:val="auto"/>
          <w:highlight w:val="none"/>
        </w:rPr>
      </w:pPr>
      <w:r>
        <w:rPr>
          <w:rFonts w:hint="default" w:ascii="Times New Roman" w:hAnsi="Times New Roman" w:eastAsia="黑体" w:cs="Times New Roman"/>
          <w:color w:val="auto"/>
          <w:highlight w:val="none"/>
        </w:rPr>
        <w:t>表3.2-1</w:t>
      </w:r>
      <w:r>
        <w:rPr>
          <w:rFonts w:hint="eastAsia" w:eastAsia="黑体" w:cs="Times New Roman"/>
          <w:color w:val="auto"/>
          <w:highlight w:val="none"/>
          <w:lang w:eastAsia="zh-CN"/>
        </w:rPr>
        <w:t>本项目</w:t>
      </w:r>
      <w:r>
        <w:rPr>
          <w:rFonts w:hint="default" w:ascii="Times New Roman" w:hAnsi="Times New Roman" w:eastAsia="黑体" w:cs="Times New Roman"/>
          <w:color w:val="auto"/>
          <w:highlight w:val="none"/>
        </w:rPr>
        <w:t>主要建设内容一览表</w:t>
      </w:r>
    </w:p>
    <w:tbl>
      <w:tblPr>
        <w:tblStyle w:val="33"/>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62"/>
        <w:gridCol w:w="703"/>
        <w:gridCol w:w="1238"/>
        <w:gridCol w:w="1601"/>
        <w:gridCol w:w="4840"/>
        <w:gridCol w:w="1066"/>
        <w:gridCol w:w="2539"/>
        <w:gridCol w:w="17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trPr>
        <w:tc>
          <w:tcPr>
            <w:tcW w:w="163" w:type="pct"/>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序号</w:t>
            </w:r>
          </w:p>
        </w:tc>
        <w:tc>
          <w:tcPr>
            <w:tcW w:w="248" w:type="pct"/>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项目</w:t>
            </w:r>
          </w:p>
        </w:tc>
        <w:tc>
          <w:tcPr>
            <w:tcW w:w="3086" w:type="pct"/>
            <w:gridSpan w:val="4"/>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本项目建设内容</w:t>
            </w:r>
          </w:p>
        </w:tc>
        <w:tc>
          <w:tcPr>
            <w:tcW w:w="896" w:type="pct"/>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与现有工程及改造工程的关系</w:t>
            </w:r>
          </w:p>
        </w:tc>
        <w:tc>
          <w:tcPr>
            <w:tcW w:w="605" w:type="pct"/>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总规模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trPr>
        <w:tc>
          <w:tcPr>
            <w:tcW w:w="163" w:type="pct"/>
            <w:vMerge w:val="continue"/>
            <w:tcBorders>
              <w:tl2br w:val="nil"/>
              <w:tr2bl w:val="nil"/>
            </w:tcBorders>
            <w:vAlign w:val="center"/>
          </w:tcPr>
          <w:p>
            <w:pPr>
              <w:spacing w:line="240" w:lineRule="auto"/>
              <w:ind w:firstLine="0" w:firstLineChars="0"/>
              <w:jc w:val="center"/>
              <w:rPr>
                <w:color w:val="auto"/>
                <w:highlight w:val="none"/>
              </w:rPr>
            </w:pPr>
          </w:p>
        </w:tc>
        <w:tc>
          <w:tcPr>
            <w:tcW w:w="248" w:type="pct"/>
            <w:vMerge w:val="continue"/>
            <w:tcBorders>
              <w:tl2br w:val="nil"/>
              <w:tr2bl w:val="nil"/>
            </w:tcBorders>
            <w:vAlign w:val="center"/>
          </w:tcPr>
          <w:p>
            <w:pPr>
              <w:spacing w:line="240" w:lineRule="auto"/>
              <w:ind w:firstLine="0" w:firstLineChars="0"/>
              <w:jc w:val="center"/>
              <w:rPr>
                <w:color w:val="auto"/>
                <w:highlight w:val="none"/>
              </w:rPr>
            </w:pPr>
          </w:p>
        </w:tc>
        <w:tc>
          <w:tcPr>
            <w:tcW w:w="2710"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建设内容</w:t>
            </w:r>
          </w:p>
        </w:tc>
        <w:tc>
          <w:tcPr>
            <w:tcW w:w="37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备注</w:t>
            </w:r>
          </w:p>
        </w:tc>
        <w:tc>
          <w:tcPr>
            <w:tcW w:w="896"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605"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163" w:type="pct"/>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16</w:t>
            </w:r>
          </w:p>
        </w:tc>
        <w:tc>
          <w:tcPr>
            <w:tcW w:w="248" w:type="pct"/>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主体工程</w:t>
            </w:r>
          </w:p>
        </w:tc>
        <w:tc>
          <w:tcPr>
            <w:tcW w:w="437" w:type="pct"/>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新建工业及生活污水处理系统：处理规模25000m</w:t>
            </w:r>
            <w:r>
              <w:rPr>
                <w:rFonts w:hint="default" w:ascii="Times New Roman" w:hAnsi="Times New Roman" w:cs="Times New Roman"/>
                <w:color w:val="auto"/>
                <w:sz w:val="21"/>
                <w:szCs w:val="20"/>
                <w:highlight w:val="none"/>
                <w:vertAlign w:val="superscript"/>
              </w:rPr>
              <w:t>3</w:t>
            </w:r>
            <w:r>
              <w:rPr>
                <w:rFonts w:hint="default" w:ascii="Times New Roman" w:hAnsi="Times New Roman" w:cs="Times New Roman"/>
                <w:color w:val="auto"/>
                <w:sz w:val="21"/>
                <w:szCs w:val="20"/>
                <w:highlight w:val="none"/>
              </w:rPr>
              <w:t>/d</w:t>
            </w:r>
          </w:p>
        </w:tc>
        <w:tc>
          <w:tcPr>
            <w:tcW w:w="56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一体化提升泵站</w:t>
            </w:r>
          </w:p>
        </w:tc>
        <w:tc>
          <w:tcPr>
            <w:tcW w:w="1708"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新建一座一体化提升泵站，设计处理能力1万m</w:t>
            </w:r>
            <w:r>
              <w:rPr>
                <w:rFonts w:hint="default" w:ascii="Times New Roman" w:hAnsi="Times New Roman" w:cs="Times New Roman"/>
                <w:color w:val="auto"/>
                <w:sz w:val="21"/>
                <w:szCs w:val="20"/>
                <w:highlight w:val="none"/>
                <w:vertAlign w:val="superscript"/>
              </w:rPr>
              <w:t>3</w:t>
            </w:r>
            <w:r>
              <w:rPr>
                <w:rFonts w:hint="default" w:ascii="Times New Roman" w:hAnsi="Times New Roman" w:cs="Times New Roman"/>
                <w:color w:val="auto"/>
                <w:sz w:val="21"/>
                <w:szCs w:val="20"/>
                <w:highlight w:val="none"/>
              </w:rPr>
              <w:t>/d。提升泵站直径3.0</w:t>
            </w:r>
            <w:r>
              <w:rPr>
                <w:rFonts w:hint="eastAsia" w:cs="Times New Roman"/>
                <w:color w:val="auto"/>
                <w:sz w:val="21"/>
                <w:szCs w:val="20"/>
                <w:highlight w:val="none"/>
                <w:lang w:val="en-US" w:eastAsia="zh-CN"/>
              </w:rPr>
              <w:t>m</w:t>
            </w:r>
            <w:r>
              <w:rPr>
                <w:rFonts w:hint="default" w:ascii="Times New Roman" w:hAnsi="Times New Roman" w:cs="Times New Roman"/>
                <w:color w:val="auto"/>
                <w:sz w:val="21"/>
                <w:szCs w:val="20"/>
                <w:highlight w:val="none"/>
              </w:rPr>
              <w:t>，材料为复合缠绕玻璃钢。</w:t>
            </w:r>
          </w:p>
        </w:tc>
        <w:tc>
          <w:tcPr>
            <w:tcW w:w="37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eastAsia" w:ascii="Times New Roman" w:hAnsi="Times New Roman" w:cs="Times New Roman"/>
                <w:color w:val="auto"/>
                <w:sz w:val="21"/>
                <w:szCs w:val="20"/>
                <w:highlight w:val="none"/>
              </w:rPr>
              <w:t>新建</w:t>
            </w:r>
          </w:p>
        </w:tc>
        <w:tc>
          <w:tcPr>
            <w:tcW w:w="896"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现有提升泵</w:t>
            </w:r>
            <w:r>
              <w:rPr>
                <w:rFonts w:hint="default" w:ascii="Times New Roman" w:hAnsi="Times New Roman" w:cs="Times New Roman"/>
                <w:color w:val="auto"/>
                <w:sz w:val="21"/>
                <w:szCs w:val="20"/>
                <w:highlight w:val="none"/>
              </w:rPr>
              <w:t>更换现状3台水泵，更换后水泵参数为Q=585m³/h，H=16m，P=37</w:t>
            </w:r>
            <w:r>
              <w:rPr>
                <w:rFonts w:hint="eastAsia" w:cs="Times New Roman"/>
                <w:color w:val="auto"/>
                <w:sz w:val="21"/>
                <w:szCs w:val="20"/>
                <w:highlight w:val="none"/>
                <w:lang w:eastAsia="zh-CN"/>
              </w:rPr>
              <w:t>kW</w:t>
            </w:r>
            <w:r>
              <w:rPr>
                <w:rFonts w:hint="default" w:ascii="Times New Roman" w:hAnsi="Times New Roman" w:cs="Times New Roman"/>
                <w:color w:val="auto"/>
                <w:sz w:val="21"/>
                <w:szCs w:val="20"/>
                <w:highlight w:val="none"/>
              </w:rPr>
              <w:t>，经过核算管道可以满足2万m³/d的要求，本期不更换水泵出水管道。</w:t>
            </w:r>
          </w:p>
        </w:tc>
        <w:tc>
          <w:tcPr>
            <w:tcW w:w="605" w:type="pct"/>
            <w:tcBorders>
              <w:tl2br w:val="nil"/>
              <w:tr2bl w:val="nil"/>
            </w:tcBorders>
            <w:vAlign w:val="center"/>
          </w:tcPr>
          <w:p>
            <w:pPr>
              <w:spacing w:line="240" w:lineRule="auto"/>
              <w:ind w:firstLine="0" w:firstLineChars="0"/>
              <w:jc w:val="center"/>
              <w:rPr>
                <w:rFonts w:hint="default" w:cs="Times New Roman"/>
                <w:color w:val="auto"/>
                <w:sz w:val="21"/>
                <w:szCs w:val="20"/>
                <w:highlight w:val="none"/>
                <w:lang w:val="en-US" w:eastAsia="zh-CN"/>
              </w:rPr>
            </w:pPr>
            <w:r>
              <w:rPr>
                <w:rFonts w:hint="eastAsia" w:cs="Times New Roman"/>
                <w:color w:val="auto"/>
                <w:sz w:val="21"/>
                <w:szCs w:val="20"/>
                <w:highlight w:val="none"/>
                <w:lang w:val="en-US" w:eastAsia="zh-CN"/>
              </w:rPr>
              <w:t>总规模达到3</w:t>
            </w:r>
            <w:r>
              <w:rPr>
                <w:rFonts w:hint="default" w:ascii="Times New Roman" w:hAnsi="Times New Roman" w:cs="Times New Roman"/>
                <w:color w:val="auto"/>
                <w:sz w:val="21"/>
                <w:szCs w:val="20"/>
                <w:highlight w:val="none"/>
              </w:rPr>
              <w:t>万m</w:t>
            </w:r>
            <w:r>
              <w:rPr>
                <w:rFonts w:hint="default" w:ascii="Times New Roman" w:hAnsi="Times New Roman" w:cs="Times New Roman"/>
                <w:color w:val="auto"/>
                <w:sz w:val="21"/>
                <w:szCs w:val="20"/>
                <w:highlight w:val="none"/>
                <w:vertAlign w:val="superscript"/>
              </w:rPr>
              <w:t>3</w:t>
            </w:r>
            <w:r>
              <w:rPr>
                <w:rFonts w:hint="default" w:ascii="Times New Roman" w:hAnsi="Times New Roman" w:cs="Times New Roman"/>
                <w:color w:val="auto"/>
                <w:sz w:val="21"/>
                <w:szCs w:val="20"/>
                <w:highlight w:val="none"/>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163"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248"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437"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56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细格栅曝气沉砂池</w:t>
            </w:r>
          </w:p>
        </w:tc>
        <w:tc>
          <w:tcPr>
            <w:tcW w:w="1708"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新建一座细格栅旋流沉砂池，设计规模1万m³/d。</w:t>
            </w:r>
          </w:p>
        </w:tc>
        <w:tc>
          <w:tcPr>
            <w:tcW w:w="37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新建</w:t>
            </w:r>
          </w:p>
        </w:tc>
        <w:tc>
          <w:tcPr>
            <w:tcW w:w="896"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eastAsia" w:cs="Times New Roman"/>
                <w:color w:val="auto"/>
                <w:sz w:val="21"/>
                <w:szCs w:val="20"/>
                <w:highlight w:val="none"/>
                <w:lang w:val="en-US" w:eastAsia="zh-CN"/>
              </w:rPr>
              <w:t>现有</w:t>
            </w:r>
            <w:r>
              <w:rPr>
                <w:rFonts w:hint="default" w:ascii="Times New Roman" w:hAnsi="Times New Roman" w:cs="Times New Roman"/>
                <w:color w:val="auto"/>
                <w:sz w:val="21"/>
                <w:szCs w:val="20"/>
                <w:highlight w:val="none"/>
              </w:rPr>
              <w:t>一座细格栅旋流沉砂池，设计规模</w:t>
            </w:r>
            <w:r>
              <w:rPr>
                <w:rFonts w:hint="eastAsia" w:cs="Times New Roman"/>
                <w:color w:val="auto"/>
                <w:sz w:val="21"/>
                <w:szCs w:val="20"/>
                <w:highlight w:val="none"/>
                <w:lang w:val="en-US" w:eastAsia="zh-CN"/>
              </w:rPr>
              <w:t>2</w:t>
            </w:r>
            <w:r>
              <w:rPr>
                <w:rFonts w:hint="default" w:ascii="Times New Roman" w:hAnsi="Times New Roman" w:cs="Times New Roman"/>
                <w:color w:val="auto"/>
                <w:sz w:val="21"/>
                <w:szCs w:val="20"/>
                <w:highlight w:val="none"/>
              </w:rPr>
              <w:t>万m³/d。</w:t>
            </w:r>
          </w:p>
        </w:tc>
        <w:tc>
          <w:tcPr>
            <w:tcW w:w="60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eastAsia" w:cs="Times New Roman"/>
                <w:color w:val="auto"/>
                <w:sz w:val="21"/>
                <w:szCs w:val="20"/>
                <w:highlight w:val="none"/>
                <w:lang w:val="en-US" w:eastAsia="zh-CN"/>
              </w:rPr>
              <w:t>总规模达到3</w:t>
            </w:r>
            <w:r>
              <w:rPr>
                <w:rFonts w:hint="default" w:ascii="Times New Roman" w:hAnsi="Times New Roman" w:cs="Times New Roman"/>
                <w:color w:val="auto"/>
                <w:sz w:val="21"/>
                <w:szCs w:val="20"/>
                <w:highlight w:val="none"/>
              </w:rPr>
              <w:t>万m</w:t>
            </w:r>
            <w:r>
              <w:rPr>
                <w:rFonts w:hint="default" w:ascii="Times New Roman" w:hAnsi="Times New Roman" w:cs="Times New Roman"/>
                <w:color w:val="auto"/>
                <w:sz w:val="21"/>
                <w:szCs w:val="20"/>
                <w:highlight w:val="none"/>
                <w:vertAlign w:val="superscript"/>
              </w:rPr>
              <w:t>3</w:t>
            </w:r>
            <w:r>
              <w:rPr>
                <w:rFonts w:hint="default" w:ascii="Times New Roman" w:hAnsi="Times New Roman" w:cs="Times New Roman"/>
                <w:color w:val="auto"/>
                <w:sz w:val="21"/>
                <w:szCs w:val="20"/>
                <w:highlight w:val="none"/>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163"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248"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437"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56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一体化</w:t>
            </w:r>
            <w:r>
              <w:rPr>
                <w:rFonts w:hint="eastAsia" w:cs="Times New Roman"/>
                <w:color w:val="auto"/>
                <w:sz w:val="21"/>
                <w:szCs w:val="20"/>
                <w:highlight w:val="none"/>
                <w:lang w:val="en-US" w:eastAsia="zh-CN"/>
              </w:rPr>
              <w:t>/</w:t>
            </w:r>
            <w:r>
              <w:rPr>
                <w:rFonts w:hint="default" w:ascii="Times New Roman" w:hAnsi="Times New Roman" w:cs="Times New Roman"/>
                <w:color w:val="auto"/>
                <w:sz w:val="21"/>
                <w:szCs w:val="20"/>
                <w:highlight w:val="none"/>
              </w:rPr>
              <w:t>生化池</w:t>
            </w:r>
          </w:p>
        </w:tc>
        <w:tc>
          <w:tcPr>
            <w:tcW w:w="1708"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新建一座一体化生化池，设计规模2.5万m³/d，分为2组，单个可以单独运行</w:t>
            </w:r>
          </w:p>
        </w:tc>
        <w:tc>
          <w:tcPr>
            <w:tcW w:w="37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新建</w:t>
            </w:r>
          </w:p>
        </w:tc>
        <w:tc>
          <w:tcPr>
            <w:tcW w:w="896"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现有水解酸化池CAST池，</w:t>
            </w:r>
            <w:r>
              <w:rPr>
                <w:rFonts w:hint="default" w:ascii="Times New Roman" w:hAnsi="Times New Roman" w:cs="Times New Roman"/>
                <w:color w:val="auto"/>
                <w:sz w:val="21"/>
                <w:szCs w:val="20"/>
                <w:highlight w:val="none"/>
              </w:rPr>
              <w:t>设计规模</w:t>
            </w:r>
            <w:r>
              <w:rPr>
                <w:rFonts w:hint="eastAsia" w:cs="Times New Roman"/>
                <w:color w:val="auto"/>
                <w:sz w:val="21"/>
                <w:szCs w:val="20"/>
                <w:highlight w:val="none"/>
                <w:lang w:val="en-US" w:eastAsia="zh-CN"/>
              </w:rPr>
              <w:t>0.5</w:t>
            </w:r>
            <w:r>
              <w:rPr>
                <w:rFonts w:hint="default" w:ascii="Times New Roman" w:hAnsi="Times New Roman" w:cs="Times New Roman"/>
                <w:color w:val="auto"/>
                <w:sz w:val="21"/>
                <w:szCs w:val="20"/>
                <w:highlight w:val="none"/>
              </w:rPr>
              <w:t>万m³/d。</w:t>
            </w:r>
          </w:p>
        </w:tc>
        <w:tc>
          <w:tcPr>
            <w:tcW w:w="60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eastAsia" w:cs="Times New Roman"/>
                <w:color w:val="auto"/>
                <w:sz w:val="21"/>
                <w:szCs w:val="20"/>
                <w:highlight w:val="none"/>
                <w:lang w:val="en-US" w:eastAsia="zh-CN"/>
              </w:rPr>
              <w:t>总规模达到3</w:t>
            </w:r>
            <w:r>
              <w:rPr>
                <w:rFonts w:hint="default" w:ascii="Times New Roman" w:hAnsi="Times New Roman" w:cs="Times New Roman"/>
                <w:color w:val="auto"/>
                <w:sz w:val="21"/>
                <w:szCs w:val="20"/>
                <w:highlight w:val="none"/>
              </w:rPr>
              <w:t>万m</w:t>
            </w:r>
            <w:r>
              <w:rPr>
                <w:rFonts w:hint="default" w:ascii="Times New Roman" w:hAnsi="Times New Roman" w:cs="Times New Roman"/>
                <w:color w:val="auto"/>
                <w:sz w:val="21"/>
                <w:szCs w:val="20"/>
                <w:highlight w:val="none"/>
                <w:vertAlign w:val="superscript"/>
              </w:rPr>
              <w:t>3</w:t>
            </w:r>
            <w:r>
              <w:rPr>
                <w:rFonts w:hint="default" w:ascii="Times New Roman" w:hAnsi="Times New Roman" w:cs="Times New Roman"/>
                <w:color w:val="auto"/>
                <w:sz w:val="21"/>
                <w:szCs w:val="20"/>
                <w:highlight w:val="none"/>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163"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248"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437"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56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高效沉淀池</w:t>
            </w:r>
          </w:p>
        </w:tc>
        <w:tc>
          <w:tcPr>
            <w:tcW w:w="1708"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eastAsia"/>
                <w:color w:val="auto"/>
                <w:sz w:val="21"/>
                <w:szCs w:val="21"/>
                <w:highlight w:val="none"/>
                <w:lang w:val="en-US" w:eastAsia="zh-CN"/>
              </w:rPr>
              <w:t>新建</w:t>
            </w: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0"/>
                <w:highlight w:val="none"/>
              </w:rPr>
              <w:t>座高效沉淀池间，处理能力1.25万m³/d，考虑1.15的安全系数，分为两组</w:t>
            </w:r>
          </w:p>
        </w:tc>
        <w:tc>
          <w:tcPr>
            <w:tcW w:w="37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新建</w:t>
            </w:r>
          </w:p>
        </w:tc>
        <w:tc>
          <w:tcPr>
            <w:tcW w:w="896" w:type="pct"/>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eastAsia"/>
                <w:color w:val="auto"/>
                <w:sz w:val="21"/>
                <w:szCs w:val="21"/>
                <w:highlight w:val="none"/>
                <w:lang w:val="en-US" w:eastAsia="zh-CN"/>
              </w:rPr>
              <w:t>现有</w:t>
            </w: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0"/>
                <w:highlight w:val="none"/>
              </w:rPr>
              <w:t>座高效沉淀池</w:t>
            </w:r>
            <w:r>
              <w:rPr>
                <w:rFonts w:hint="eastAsia" w:cs="Times New Roman"/>
                <w:color w:val="auto"/>
                <w:sz w:val="21"/>
                <w:szCs w:val="20"/>
                <w:highlight w:val="none"/>
                <w:lang w:val="en-US" w:eastAsia="zh-CN"/>
              </w:rPr>
              <w:t>+纤维滤池</w:t>
            </w:r>
            <w:r>
              <w:rPr>
                <w:rFonts w:hint="default" w:ascii="Times New Roman" w:hAnsi="Times New Roman" w:cs="Times New Roman"/>
                <w:color w:val="auto"/>
                <w:sz w:val="21"/>
                <w:szCs w:val="20"/>
                <w:highlight w:val="none"/>
              </w:rPr>
              <w:t>，处理能力1.</w:t>
            </w:r>
            <w:r>
              <w:rPr>
                <w:rFonts w:hint="eastAsia" w:cs="Times New Roman"/>
                <w:color w:val="auto"/>
                <w:sz w:val="21"/>
                <w:szCs w:val="20"/>
                <w:highlight w:val="none"/>
                <w:lang w:val="en-US" w:eastAsia="zh-CN"/>
              </w:rPr>
              <w:t>75</w:t>
            </w:r>
            <w:r>
              <w:rPr>
                <w:rFonts w:hint="default" w:ascii="Times New Roman" w:hAnsi="Times New Roman" w:cs="Times New Roman"/>
                <w:color w:val="auto"/>
                <w:sz w:val="21"/>
                <w:szCs w:val="20"/>
                <w:highlight w:val="none"/>
              </w:rPr>
              <w:t>万m³/d</w:t>
            </w:r>
          </w:p>
        </w:tc>
        <w:tc>
          <w:tcPr>
            <w:tcW w:w="605" w:type="pct"/>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eastAsia" w:cs="Times New Roman"/>
                <w:color w:val="auto"/>
                <w:sz w:val="21"/>
                <w:szCs w:val="20"/>
                <w:highlight w:val="none"/>
                <w:lang w:val="en-US" w:eastAsia="zh-CN"/>
              </w:rPr>
              <w:t>总规模达到3</w:t>
            </w:r>
            <w:r>
              <w:rPr>
                <w:rFonts w:hint="default" w:ascii="Times New Roman" w:hAnsi="Times New Roman" w:cs="Times New Roman"/>
                <w:color w:val="auto"/>
                <w:sz w:val="21"/>
                <w:szCs w:val="20"/>
                <w:highlight w:val="none"/>
              </w:rPr>
              <w:t>万m</w:t>
            </w:r>
            <w:r>
              <w:rPr>
                <w:rFonts w:hint="default" w:ascii="Times New Roman" w:hAnsi="Times New Roman" w:cs="Times New Roman"/>
                <w:color w:val="auto"/>
                <w:sz w:val="21"/>
                <w:szCs w:val="20"/>
                <w:highlight w:val="none"/>
                <w:vertAlign w:val="superscript"/>
              </w:rPr>
              <w:t>3</w:t>
            </w:r>
            <w:r>
              <w:rPr>
                <w:rFonts w:hint="default" w:ascii="Times New Roman" w:hAnsi="Times New Roman" w:cs="Times New Roman"/>
                <w:color w:val="auto"/>
                <w:sz w:val="21"/>
                <w:szCs w:val="20"/>
                <w:highlight w:val="none"/>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4" w:hRule="atLeast"/>
        </w:trPr>
        <w:tc>
          <w:tcPr>
            <w:tcW w:w="163"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248"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437"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56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反硝化深床滤池</w:t>
            </w:r>
          </w:p>
        </w:tc>
        <w:tc>
          <w:tcPr>
            <w:tcW w:w="1708"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eastAsia"/>
                <w:color w:val="auto"/>
                <w:sz w:val="21"/>
                <w:szCs w:val="21"/>
                <w:highlight w:val="none"/>
                <w:lang w:val="en-US" w:eastAsia="zh-CN"/>
              </w:rPr>
              <w:t>新建</w:t>
            </w:r>
            <w:r>
              <w:rPr>
                <w:rFonts w:hint="default" w:ascii="Times New Roman" w:hAnsi="Times New Roman" w:cs="Times New Roman"/>
                <w:color w:val="auto"/>
                <w:sz w:val="21"/>
                <w:szCs w:val="21"/>
                <w:highlight w:val="none"/>
              </w:rPr>
              <w:t>反硝化深床滤池间1座，处理能力1.25万m³/d，考虑1.15的安全系数。设计流量：520.83m³/h×1.15=598.96m³/h；运行方式：连续运行；组成部分：滤池1座分为4格，混合池、清水池、废水池；</w:t>
            </w:r>
          </w:p>
        </w:tc>
        <w:tc>
          <w:tcPr>
            <w:tcW w:w="37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新建</w:t>
            </w:r>
          </w:p>
        </w:tc>
        <w:tc>
          <w:tcPr>
            <w:tcW w:w="896"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605"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8" w:hRule="atLeast"/>
        </w:trPr>
        <w:tc>
          <w:tcPr>
            <w:tcW w:w="163"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248"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437"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56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接触消毒池</w:t>
            </w:r>
          </w:p>
        </w:tc>
        <w:tc>
          <w:tcPr>
            <w:tcW w:w="1708"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eastAsia"/>
                <w:color w:val="auto"/>
                <w:sz w:val="21"/>
                <w:szCs w:val="21"/>
                <w:highlight w:val="none"/>
                <w:lang w:val="en-US" w:eastAsia="zh-CN"/>
              </w:rPr>
              <w:t>新建</w:t>
            </w:r>
            <w:r>
              <w:rPr>
                <w:rFonts w:hint="default" w:ascii="Times New Roman" w:hAnsi="Times New Roman" w:cs="Times New Roman"/>
                <w:color w:val="auto"/>
                <w:sz w:val="21"/>
                <w:szCs w:val="21"/>
                <w:highlight w:val="none"/>
              </w:rPr>
              <w:t>接触消毒池按水量1</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25m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/d设计，总有效容积346.75m³</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停留时间为40分钟，满足规范要求接触消毒时间</w:t>
            </w:r>
            <w:r>
              <w:rPr>
                <w:rFonts w:hint="eastAsia" w:cs="Times New Roman"/>
                <w:color w:val="auto"/>
                <w:sz w:val="21"/>
                <w:szCs w:val="21"/>
                <w:highlight w:val="none"/>
                <w:lang w:eastAsia="zh-CN"/>
              </w:rPr>
              <w:t>不大于</w:t>
            </w:r>
            <w:r>
              <w:rPr>
                <w:rFonts w:hint="default" w:ascii="Times New Roman" w:hAnsi="Times New Roman" w:cs="Times New Roman"/>
                <w:color w:val="auto"/>
                <w:sz w:val="21"/>
                <w:szCs w:val="21"/>
                <w:highlight w:val="none"/>
              </w:rPr>
              <w:t>30分钟。</w:t>
            </w:r>
          </w:p>
        </w:tc>
        <w:tc>
          <w:tcPr>
            <w:tcW w:w="37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新建</w:t>
            </w:r>
          </w:p>
        </w:tc>
        <w:tc>
          <w:tcPr>
            <w:tcW w:w="896"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eastAsia"/>
                <w:color w:val="auto"/>
                <w:sz w:val="21"/>
                <w:szCs w:val="21"/>
                <w:highlight w:val="none"/>
                <w:lang w:val="en-US" w:eastAsia="zh-CN"/>
              </w:rPr>
              <w:t>现有</w:t>
            </w:r>
            <w:r>
              <w:rPr>
                <w:rFonts w:hint="default" w:ascii="Times New Roman" w:hAnsi="Times New Roman" w:cs="Times New Roman"/>
                <w:color w:val="auto"/>
                <w:sz w:val="21"/>
                <w:szCs w:val="21"/>
                <w:highlight w:val="none"/>
              </w:rPr>
              <w:t>接触消毒池按水量1</w:t>
            </w:r>
            <w:r>
              <w:rPr>
                <w:rFonts w:hint="eastAsia" w:cs="Times New Roman"/>
                <w:color w:val="auto"/>
                <w:sz w:val="21"/>
                <w:szCs w:val="21"/>
                <w:highlight w:val="none"/>
                <w:lang w:val="en-US" w:eastAsia="zh-CN"/>
              </w:rPr>
              <w:t>.75万</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/d设计</w:t>
            </w:r>
          </w:p>
        </w:tc>
        <w:tc>
          <w:tcPr>
            <w:tcW w:w="60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eastAsia" w:cs="Times New Roman"/>
                <w:color w:val="auto"/>
                <w:sz w:val="21"/>
                <w:szCs w:val="20"/>
                <w:highlight w:val="none"/>
                <w:lang w:val="en-US" w:eastAsia="zh-CN"/>
              </w:rPr>
              <w:t>总规模达到3</w:t>
            </w:r>
            <w:r>
              <w:rPr>
                <w:rFonts w:hint="default" w:ascii="Times New Roman" w:hAnsi="Times New Roman" w:cs="Times New Roman"/>
                <w:color w:val="auto"/>
                <w:sz w:val="21"/>
                <w:szCs w:val="20"/>
                <w:highlight w:val="none"/>
              </w:rPr>
              <w:t>万m</w:t>
            </w:r>
            <w:r>
              <w:rPr>
                <w:rFonts w:hint="default" w:ascii="Times New Roman" w:hAnsi="Times New Roman" w:cs="Times New Roman"/>
                <w:color w:val="auto"/>
                <w:sz w:val="21"/>
                <w:szCs w:val="20"/>
                <w:highlight w:val="none"/>
                <w:vertAlign w:val="superscript"/>
              </w:rPr>
              <w:t>3</w:t>
            </w:r>
            <w:r>
              <w:rPr>
                <w:rFonts w:hint="default" w:ascii="Times New Roman" w:hAnsi="Times New Roman" w:cs="Times New Roman"/>
                <w:color w:val="auto"/>
                <w:sz w:val="21"/>
                <w:szCs w:val="20"/>
                <w:highlight w:val="none"/>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163"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248"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437"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56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厂区废水池</w:t>
            </w:r>
          </w:p>
        </w:tc>
        <w:tc>
          <w:tcPr>
            <w:tcW w:w="1708"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eastAsia"/>
                <w:color w:val="auto"/>
                <w:sz w:val="21"/>
                <w:szCs w:val="21"/>
                <w:highlight w:val="none"/>
                <w:lang w:val="en-US" w:eastAsia="zh-CN"/>
              </w:rPr>
              <w:t>新建</w:t>
            </w:r>
            <w:r>
              <w:rPr>
                <w:rFonts w:hint="default" w:ascii="Times New Roman" w:hAnsi="Times New Roman" w:cs="Times New Roman"/>
                <w:color w:val="auto"/>
                <w:sz w:val="21"/>
                <w:szCs w:val="21"/>
                <w:highlight w:val="none"/>
              </w:rPr>
              <w:t>一座厂区废水池，单格滤池的反冲洗废水量为113.67m³</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设计反冲洗废水池有效容积为240m³</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选用矩形水池，尺寸为10.66m×6.60m×6.7m，有效水深3.9m。</w:t>
            </w:r>
          </w:p>
        </w:tc>
        <w:tc>
          <w:tcPr>
            <w:tcW w:w="37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新建</w:t>
            </w:r>
          </w:p>
        </w:tc>
        <w:tc>
          <w:tcPr>
            <w:tcW w:w="896" w:type="pc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w:t>
            </w:r>
          </w:p>
        </w:tc>
        <w:tc>
          <w:tcPr>
            <w:tcW w:w="605" w:type="pc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163"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248"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437"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56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排泥调节池</w:t>
            </w:r>
          </w:p>
        </w:tc>
        <w:tc>
          <w:tcPr>
            <w:tcW w:w="1708"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新建一座排泥调节池，与现状调节池设置连通管，并设置搅拌器，本期调节池容积为157m³</w:t>
            </w:r>
            <w:r>
              <w:rPr>
                <w:rFonts w:hint="eastAsia" w:cs="Times New Roman"/>
                <w:color w:val="auto"/>
                <w:sz w:val="21"/>
                <w:szCs w:val="20"/>
                <w:highlight w:val="none"/>
                <w:lang w:eastAsia="zh-CN"/>
              </w:rPr>
              <w:t>，</w:t>
            </w:r>
            <w:r>
              <w:rPr>
                <w:rFonts w:hint="default" w:ascii="Times New Roman" w:hAnsi="Times New Roman" w:cs="Times New Roman"/>
                <w:color w:val="auto"/>
                <w:sz w:val="21"/>
                <w:szCs w:val="20"/>
                <w:highlight w:val="none"/>
              </w:rPr>
              <w:t>尺寸为8.60m×5.40m×4.9m，有效水深4.1m。</w:t>
            </w:r>
          </w:p>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主要设备为节能涡流混合装置，参数为D=3000mm</w:t>
            </w:r>
            <w:r>
              <w:rPr>
                <w:rFonts w:hint="eastAsia" w:cs="Times New Roman"/>
                <w:color w:val="auto"/>
                <w:sz w:val="21"/>
                <w:szCs w:val="20"/>
                <w:highlight w:val="none"/>
                <w:lang w:eastAsia="zh-CN"/>
              </w:rPr>
              <w:t>，</w:t>
            </w:r>
            <w:r>
              <w:rPr>
                <w:rFonts w:hint="default" w:ascii="Times New Roman" w:hAnsi="Times New Roman" w:cs="Times New Roman"/>
                <w:color w:val="auto"/>
                <w:sz w:val="21"/>
                <w:szCs w:val="20"/>
                <w:highlight w:val="none"/>
              </w:rPr>
              <w:t>n=17r/min，N=1.1</w:t>
            </w:r>
            <w:r>
              <w:rPr>
                <w:rFonts w:hint="eastAsia" w:cs="Times New Roman"/>
                <w:color w:val="auto"/>
                <w:sz w:val="21"/>
                <w:szCs w:val="20"/>
                <w:highlight w:val="none"/>
                <w:lang w:eastAsia="zh-CN"/>
              </w:rPr>
              <w:t>kW</w:t>
            </w:r>
            <w:r>
              <w:rPr>
                <w:rFonts w:hint="default" w:ascii="Times New Roman" w:hAnsi="Times New Roman" w:cs="Times New Roman"/>
                <w:color w:val="auto"/>
                <w:sz w:val="21"/>
                <w:szCs w:val="20"/>
                <w:highlight w:val="none"/>
              </w:rPr>
              <w:t>。</w:t>
            </w:r>
          </w:p>
        </w:tc>
        <w:tc>
          <w:tcPr>
            <w:tcW w:w="37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新建</w:t>
            </w:r>
          </w:p>
        </w:tc>
        <w:tc>
          <w:tcPr>
            <w:tcW w:w="896"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eastAsia" w:cs="Times New Roman"/>
                <w:color w:val="auto"/>
                <w:sz w:val="21"/>
                <w:szCs w:val="20"/>
                <w:highlight w:val="none"/>
                <w:lang w:val="en-US" w:eastAsia="zh-CN"/>
              </w:rPr>
              <w:t>现有</w:t>
            </w:r>
            <w:r>
              <w:rPr>
                <w:rFonts w:hint="default" w:ascii="Times New Roman" w:hAnsi="Times New Roman" w:cs="Times New Roman"/>
                <w:color w:val="auto"/>
                <w:sz w:val="21"/>
                <w:szCs w:val="20"/>
                <w:highlight w:val="none"/>
              </w:rPr>
              <w:t>调节池容积为157m³</w:t>
            </w:r>
            <w:r>
              <w:rPr>
                <w:rFonts w:hint="eastAsia" w:cs="Times New Roman"/>
                <w:color w:val="auto"/>
                <w:sz w:val="21"/>
                <w:szCs w:val="20"/>
                <w:highlight w:val="none"/>
                <w:lang w:eastAsia="zh-CN"/>
              </w:rPr>
              <w:t>，</w:t>
            </w:r>
            <w:r>
              <w:rPr>
                <w:rFonts w:hint="default" w:ascii="Times New Roman" w:hAnsi="Times New Roman" w:cs="Times New Roman"/>
                <w:color w:val="auto"/>
                <w:sz w:val="21"/>
                <w:szCs w:val="20"/>
                <w:highlight w:val="none"/>
              </w:rPr>
              <w:t>尺寸为8.60m×5.40m×4.9m，有效水深4.1m。</w:t>
            </w:r>
          </w:p>
        </w:tc>
        <w:tc>
          <w:tcPr>
            <w:tcW w:w="605" w:type="pc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163" w:type="pct"/>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2</w:t>
            </w:r>
          </w:p>
        </w:tc>
        <w:tc>
          <w:tcPr>
            <w:tcW w:w="248" w:type="pct"/>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辅助工程</w:t>
            </w:r>
          </w:p>
        </w:tc>
        <w:tc>
          <w:tcPr>
            <w:tcW w:w="1002" w:type="pct"/>
            <w:gridSpan w:val="2"/>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2"/>
                <w:sz w:val="21"/>
                <w:szCs w:val="20"/>
                <w:highlight w:val="none"/>
                <w:lang w:val="en-US" w:eastAsia="zh-CN" w:bidi="ar-SA"/>
              </w:rPr>
            </w:pPr>
            <w:r>
              <w:rPr>
                <w:rFonts w:hint="default" w:ascii="Times New Roman" w:hAnsi="Times New Roman" w:cs="Times New Roman"/>
                <w:color w:val="auto"/>
                <w:sz w:val="21"/>
                <w:szCs w:val="20"/>
                <w:highlight w:val="none"/>
              </w:rPr>
              <w:t>现状鼓风机房</w:t>
            </w:r>
          </w:p>
        </w:tc>
        <w:tc>
          <w:tcPr>
            <w:tcW w:w="1708"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2"/>
                <w:sz w:val="21"/>
                <w:szCs w:val="20"/>
                <w:highlight w:val="none"/>
                <w:lang w:val="en-US" w:eastAsia="zh-CN" w:bidi="ar-SA"/>
              </w:rPr>
            </w:pPr>
            <w:r>
              <w:rPr>
                <w:rFonts w:hint="default" w:ascii="Times New Roman" w:hAnsi="Times New Roman" w:cs="Times New Roman"/>
                <w:color w:val="auto"/>
                <w:sz w:val="21"/>
                <w:szCs w:val="20"/>
                <w:highlight w:val="none"/>
              </w:rPr>
              <w:t>现状鼓风机房面积为118.32㎡，且为远期扩建</w:t>
            </w:r>
            <w:r>
              <w:rPr>
                <w:rFonts w:hint="eastAsia" w:cs="Times New Roman"/>
                <w:color w:val="auto"/>
                <w:sz w:val="21"/>
                <w:szCs w:val="20"/>
                <w:highlight w:val="none"/>
                <w:lang w:eastAsia="zh-CN"/>
              </w:rPr>
              <w:t>预留</w:t>
            </w:r>
            <w:r>
              <w:rPr>
                <w:rFonts w:hint="default" w:ascii="Times New Roman" w:hAnsi="Times New Roman" w:cs="Times New Roman"/>
                <w:color w:val="auto"/>
                <w:sz w:val="21"/>
                <w:szCs w:val="20"/>
                <w:highlight w:val="none"/>
              </w:rPr>
              <w:t>位置，本期不新建鼓风机房，在现状鼓风机房内增加3台磁悬浮鼓风机（2用1备），满足2.5万m³生化池的曝气需求。鼓风机参数为：Q=78m³/min，出口P=85k</w:t>
            </w:r>
            <w:r>
              <w:rPr>
                <w:rFonts w:hint="eastAsia" w:cs="Times New Roman"/>
                <w:color w:val="auto"/>
                <w:sz w:val="21"/>
                <w:szCs w:val="20"/>
                <w:highlight w:val="none"/>
                <w:lang w:val="en-US" w:eastAsia="zh-CN"/>
              </w:rPr>
              <w:t>Pa</w:t>
            </w:r>
            <w:r>
              <w:rPr>
                <w:rFonts w:hint="default" w:ascii="Times New Roman" w:hAnsi="Times New Roman" w:cs="Times New Roman"/>
                <w:color w:val="auto"/>
                <w:sz w:val="21"/>
                <w:szCs w:val="20"/>
                <w:highlight w:val="none"/>
              </w:rPr>
              <w:t>，N=125</w:t>
            </w:r>
            <w:r>
              <w:rPr>
                <w:rFonts w:hint="eastAsia" w:cs="Times New Roman"/>
                <w:color w:val="auto"/>
                <w:sz w:val="21"/>
                <w:szCs w:val="20"/>
                <w:highlight w:val="none"/>
                <w:lang w:eastAsia="zh-CN"/>
              </w:rPr>
              <w:t>kW</w:t>
            </w:r>
            <w:r>
              <w:rPr>
                <w:rFonts w:hint="default" w:ascii="Times New Roman" w:hAnsi="Times New Roman" w:cs="Times New Roman"/>
                <w:color w:val="auto"/>
                <w:sz w:val="21"/>
                <w:szCs w:val="20"/>
                <w:highlight w:val="none"/>
              </w:rPr>
              <w:t>。</w:t>
            </w:r>
          </w:p>
        </w:tc>
        <w:tc>
          <w:tcPr>
            <w:tcW w:w="375"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2"/>
                <w:sz w:val="21"/>
                <w:szCs w:val="20"/>
                <w:highlight w:val="none"/>
                <w:lang w:val="en-US" w:eastAsia="zh-CN" w:bidi="ar-SA"/>
              </w:rPr>
            </w:pPr>
            <w:r>
              <w:rPr>
                <w:rFonts w:hint="default" w:ascii="Times New Roman" w:hAnsi="Times New Roman" w:cs="Times New Roman"/>
                <w:color w:val="auto"/>
                <w:sz w:val="21"/>
                <w:szCs w:val="20"/>
                <w:highlight w:val="none"/>
              </w:rPr>
              <w:t>更换设备</w:t>
            </w:r>
          </w:p>
        </w:tc>
        <w:tc>
          <w:tcPr>
            <w:tcW w:w="896"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现有和扩建工程共用</w:t>
            </w:r>
          </w:p>
        </w:tc>
        <w:tc>
          <w:tcPr>
            <w:tcW w:w="60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2.5万m³生化池的曝气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163"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248"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1002" w:type="pct"/>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现状加氯加药间</w:t>
            </w:r>
          </w:p>
        </w:tc>
        <w:tc>
          <w:tcPr>
            <w:tcW w:w="1708" w:type="pct"/>
            <w:tcBorders>
              <w:tl2br w:val="nil"/>
              <w:tr2bl w:val="nil"/>
            </w:tcBorders>
            <w:vAlign w:val="center"/>
          </w:tcPr>
          <w:p>
            <w:pPr>
              <w:pStyle w:val="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更换4套设备，</w:t>
            </w:r>
            <w:r>
              <w:rPr>
                <w:rFonts w:hint="eastAsia" w:ascii="Times New Roman" w:hAnsi="Times New Roman" w:cs="Times New Roman"/>
                <w:color w:val="auto"/>
                <w:sz w:val="21"/>
                <w:szCs w:val="20"/>
                <w:highlight w:val="none"/>
                <w:lang w:val="en-US" w:eastAsia="zh-CN"/>
              </w:rPr>
              <w:t>分别为</w:t>
            </w:r>
            <w:r>
              <w:rPr>
                <w:rFonts w:hint="default" w:ascii="Times New Roman" w:hAnsi="Times New Roman" w:cs="Times New Roman"/>
                <w:color w:val="auto"/>
                <w:sz w:val="21"/>
                <w:szCs w:val="20"/>
                <w:highlight w:val="none"/>
              </w:rPr>
              <w:t>2台DEXF-L-6000型电解法二氧化氯协同消毒剂发生器（1用1备），单套有效产氯量6kg/h，单台功率为40</w:t>
            </w:r>
            <w:r>
              <w:rPr>
                <w:rFonts w:hint="eastAsia" w:cs="Times New Roman"/>
                <w:color w:val="auto"/>
                <w:sz w:val="21"/>
                <w:szCs w:val="20"/>
                <w:highlight w:val="none"/>
                <w:lang w:val="en-US" w:eastAsia="zh-CN"/>
              </w:rPr>
              <w:t>kW</w:t>
            </w:r>
            <w:r>
              <w:rPr>
                <w:rFonts w:hint="default" w:ascii="Times New Roman" w:hAnsi="Times New Roman" w:cs="Times New Roman"/>
                <w:color w:val="auto"/>
                <w:sz w:val="21"/>
                <w:szCs w:val="20"/>
                <w:highlight w:val="none"/>
              </w:rPr>
              <w:t>，给现状接触消毒池投加二氧化氯。单台尺寸为L×W×H（cm）=360×450×150。配套电控柜，水射器等附件。</w:t>
            </w:r>
          </w:p>
        </w:tc>
        <w:tc>
          <w:tcPr>
            <w:tcW w:w="37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更换设备</w:t>
            </w:r>
          </w:p>
        </w:tc>
        <w:tc>
          <w:tcPr>
            <w:tcW w:w="896"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eastAsia" w:cs="Times New Roman"/>
                <w:color w:val="auto"/>
                <w:sz w:val="21"/>
                <w:szCs w:val="20"/>
                <w:highlight w:val="none"/>
                <w:lang w:val="en-US" w:eastAsia="zh-CN"/>
              </w:rPr>
              <w:t>现有和扩建工程共用</w:t>
            </w:r>
          </w:p>
        </w:tc>
        <w:tc>
          <w:tcPr>
            <w:tcW w:w="60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eastAsia" w:cs="Times New Roman"/>
                <w:color w:val="auto"/>
                <w:sz w:val="21"/>
                <w:szCs w:val="20"/>
                <w:highlight w:val="none"/>
                <w:lang w:val="en-US" w:eastAsia="zh-CN"/>
              </w:rPr>
              <w:t>总规模达到3</w:t>
            </w:r>
            <w:r>
              <w:rPr>
                <w:rFonts w:hint="default" w:ascii="Times New Roman" w:hAnsi="Times New Roman" w:cs="Times New Roman"/>
                <w:color w:val="auto"/>
                <w:sz w:val="21"/>
                <w:szCs w:val="20"/>
                <w:highlight w:val="none"/>
              </w:rPr>
              <w:t>万m</w:t>
            </w:r>
            <w:r>
              <w:rPr>
                <w:rFonts w:hint="default" w:ascii="Times New Roman" w:hAnsi="Times New Roman" w:cs="Times New Roman"/>
                <w:color w:val="auto"/>
                <w:sz w:val="21"/>
                <w:szCs w:val="20"/>
                <w:highlight w:val="none"/>
                <w:vertAlign w:val="superscript"/>
              </w:rPr>
              <w:t>3</w:t>
            </w:r>
            <w:r>
              <w:rPr>
                <w:rFonts w:hint="default" w:ascii="Times New Roman" w:hAnsi="Times New Roman" w:cs="Times New Roman"/>
                <w:color w:val="auto"/>
                <w:sz w:val="21"/>
                <w:szCs w:val="20"/>
                <w:highlight w:val="none"/>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163"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248"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1002" w:type="pct"/>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现状污泥脱水间</w:t>
            </w:r>
          </w:p>
        </w:tc>
        <w:tc>
          <w:tcPr>
            <w:tcW w:w="1708"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污泥脱水间利旧。脱水间内安装多重圆板脱水机及高压带式污泥深度脱水机，及配套</w:t>
            </w:r>
            <w:r>
              <w:rPr>
                <w:rFonts w:hint="eastAsia" w:cs="Times New Roman"/>
                <w:color w:val="auto"/>
                <w:sz w:val="21"/>
                <w:szCs w:val="20"/>
                <w:highlight w:val="none"/>
                <w:lang w:eastAsia="zh-CN"/>
              </w:rPr>
              <w:t>Pa</w:t>
            </w:r>
            <w:r>
              <w:rPr>
                <w:rFonts w:hint="default" w:ascii="Times New Roman" w:hAnsi="Times New Roman" w:cs="Times New Roman"/>
                <w:color w:val="auto"/>
                <w:sz w:val="21"/>
                <w:szCs w:val="20"/>
                <w:highlight w:val="none"/>
              </w:rPr>
              <w:t>M、改性剂投加装置，无轴螺旋输送机、空压机、清洗装置等。</w:t>
            </w:r>
            <w:r>
              <w:rPr>
                <w:rFonts w:hint="eastAsia" w:ascii="Times New Roman" w:hAnsi="Times New Roman" w:cs="Times New Roman"/>
                <w:color w:val="auto"/>
                <w:sz w:val="21"/>
                <w:szCs w:val="20"/>
                <w:highlight w:val="none"/>
                <w:lang w:val="en-US" w:eastAsia="zh-CN"/>
              </w:rPr>
              <w:t>规模扩大到3万m³/d</w:t>
            </w:r>
            <w:r>
              <w:rPr>
                <w:rFonts w:hint="default" w:ascii="Times New Roman" w:hAnsi="Times New Roman" w:cs="Times New Roman"/>
                <w:color w:val="auto"/>
                <w:sz w:val="21"/>
                <w:szCs w:val="20"/>
                <w:highlight w:val="none"/>
              </w:rPr>
              <w:t>。</w:t>
            </w:r>
          </w:p>
        </w:tc>
        <w:tc>
          <w:tcPr>
            <w:tcW w:w="375"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lang w:val="en-US" w:eastAsia="zh-CN"/>
              </w:rPr>
            </w:pPr>
            <w:r>
              <w:rPr>
                <w:rFonts w:hint="default" w:ascii="Times New Roman" w:hAnsi="Times New Roman" w:cs="Times New Roman"/>
                <w:color w:val="auto"/>
                <w:sz w:val="21"/>
                <w:szCs w:val="20"/>
                <w:highlight w:val="none"/>
              </w:rPr>
              <w:t>更换设备</w:t>
            </w:r>
            <w:r>
              <w:rPr>
                <w:rFonts w:hint="eastAsia" w:cs="Times New Roman"/>
                <w:color w:val="auto"/>
                <w:sz w:val="21"/>
                <w:szCs w:val="20"/>
                <w:highlight w:val="none"/>
                <w:lang w:val="en-US" w:eastAsia="zh-CN"/>
              </w:rPr>
              <w:t>及扩大规模</w:t>
            </w:r>
          </w:p>
        </w:tc>
        <w:tc>
          <w:tcPr>
            <w:tcW w:w="896"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eastAsia" w:cs="Times New Roman"/>
                <w:color w:val="auto"/>
                <w:sz w:val="21"/>
                <w:szCs w:val="20"/>
                <w:highlight w:val="none"/>
                <w:lang w:val="en-US" w:eastAsia="zh-CN"/>
              </w:rPr>
              <w:t>现有和扩建工程共用</w:t>
            </w:r>
          </w:p>
        </w:tc>
        <w:tc>
          <w:tcPr>
            <w:tcW w:w="60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eastAsia" w:cs="Times New Roman"/>
                <w:color w:val="auto"/>
                <w:sz w:val="21"/>
                <w:szCs w:val="20"/>
                <w:highlight w:val="none"/>
                <w:lang w:val="en-US" w:eastAsia="zh-CN"/>
              </w:rPr>
              <w:t>总规模达到3</w:t>
            </w:r>
            <w:r>
              <w:rPr>
                <w:rFonts w:hint="default" w:ascii="Times New Roman" w:hAnsi="Times New Roman" w:cs="Times New Roman"/>
                <w:color w:val="auto"/>
                <w:sz w:val="21"/>
                <w:szCs w:val="20"/>
                <w:highlight w:val="none"/>
              </w:rPr>
              <w:t>万m</w:t>
            </w:r>
            <w:r>
              <w:rPr>
                <w:rFonts w:hint="default" w:ascii="Times New Roman" w:hAnsi="Times New Roman" w:cs="Times New Roman"/>
                <w:color w:val="auto"/>
                <w:sz w:val="21"/>
                <w:szCs w:val="20"/>
                <w:highlight w:val="none"/>
                <w:vertAlign w:val="superscript"/>
              </w:rPr>
              <w:t>3</w:t>
            </w:r>
            <w:r>
              <w:rPr>
                <w:rFonts w:hint="default" w:ascii="Times New Roman" w:hAnsi="Times New Roman" w:cs="Times New Roman"/>
                <w:color w:val="auto"/>
                <w:sz w:val="21"/>
                <w:szCs w:val="20"/>
                <w:highlight w:val="none"/>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163"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248"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1002" w:type="pct"/>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现状除臭车间</w:t>
            </w:r>
          </w:p>
        </w:tc>
        <w:tc>
          <w:tcPr>
            <w:tcW w:w="1708" w:type="pct"/>
            <w:tcBorders>
              <w:tl2br w:val="nil"/>
              <w:tr2bl w:val="nil"/>
            </w:tcBorders>
            <w:vAlign w:val="center"/>
          </w:tcPr>
          <w:p>
            <w:pPr>
              <w:spacing w:line="240" w:lineRule="auto"/>
              <w:ind w:firstLine="0" w:firstLineChars="0"/>
              <w:jc w:val="both"/>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更换为除臭风机参数为Q=10000m³/h</w:t>
            </w:r>
            <w:r>
              <w:rPr>
                <w:rFonts w:hint="eastAsia" w:cs="Times New Roman"/>
                <w:color w:val="auto"/>
                <w:sz w:val="21"/>
                <w:szCs w:val="20"/>
                <w:highlight w:val="none"/>
                <w:lang w:eastAsia="zh-CN"/>
              </w:rPr>
              <w:t>，</w:t>
            </w:r>
            <w:r>
              <w:rPr>
                <w:rFonts w:hint="default" w:ascii="Times New Roman" w:hAnsi="Times New Roman" w:cs="Times New Roman"/>
                <w:color w:val="auto"/>
                <w:sz w:val="21"/>
                <w:szCs w:val="20"/>
                <w:highlight w:val="none"/>
              </w:rPr>
              <w:t>P=1500</w:t>
            </w:r>
            <w:r>
              <w:rPr>
                <w:rFonts w:hint="eastAsia" w:cs="Times New Roman"/>
                <w:color w:val="auto"/>
                <w:sz w:val="21"/>
                <w:szCs w:val="20"/>
                <w:highlight w:val="none"/>
                <w:lang w:eastAsia="zh-CN"/>
              </w:rPr>
              <w:t>Pa，</w:t>
            </w:r>
            <w:r>
              <w:rPr>
                <w:rFonts w:hint="default" w:ascii="Times New Roman" w:hAnsi="Times New Roman" w:cs="Times New Roman"/>
                <w:color w:val="auto"/>
                <w:sz w:val="21"/>
                <w:szCs w:val="20"/>
                <w:highlight w:val="none"/>
              </w:rPr>
              <w:t>N=7.5</w:t>
            </w:r>
            <w:r>
              <w:rPr>
                <w:rFonts w:hint="eastAsia" w:cs="Times New Roman"/>
                <w:color w:val="auto"/>
                <w:sz w:val="21"/>
                <w:szCs w:val="20"/>
                <w:highlight w:val="none"/>
                <w:lang w:eastAsia="zh-CN"/>
              </w:rPr>
              <w:t>kW</w:t>
            </w:r>
            <w:r>
              <w:rPr>
                <w:rFonts w:hint="default" w:ascii="Times New Roman" w:hAnsi="Times New Roman" w:cs="Times New Roman"/>
                <w:color w:val="auto"/>
                <w:sz w:val="21"/>
                <w:szCs w:val="20"/>
                <w:highlight w:val="none"/>
              </w:rPr>
              <w:t>，尺寸为3600mm×1500mm×1500mm。更换设备后可以满足本期除臭要求。</w:t>
            </w:r>
          </w:p>
        </w:tc>
        <w:tc>
          <w:tcPr>
            <w:tcW w:w="37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更换设备</w:t>
            </w:r>
          </w:p>
        </w:tc>
        <w:tc>
          <w:tcPr>
            <w:tcW w:w="896"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eastAsia" w:cs="Times New Roman"/>
                <w:color w:val="auto"/>
                <w:sz w:val="21"/>
                <w:szCs w:val="20"/>
                <w:highlight w:val="none"/>
                <w:lang w:val="en-US" w:eastAsia="zh-CN"/>
              </w:rPr>
              <w:t>现有和扩建工程共用</w:t>
            </w:r>
          </w:p>
        </w:tc>
        <w:tc>
          <w:tcPr>
            <w:tcW w:w="60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eastAsia" w:cs="Times New Roman"/>
                <w:color w:val="auto"/>
                <w:sz w:val="21"/>
                <w:szCs w:val="20"/>
                <w:highlight w:val="none"/>
                <w:lang w:val="en-US" w:eastAsia="zh-CN"/>
              </w:rPr>
              <w:t>总规模达到3</w:t>
            </w:r>
            <w:r>
              <w:rPr>
                <w:rFonts w:hint="default" w:ascii="Times New Roman" w:hAnsi="Times New Roman" w:cs="Times New Roman"/>
                <w:color w:val="auto"/>
                <w:sz w:val="21"/>
                <w:szCs w:val="20"/>
                <w:highlight w:val="none"/>
              </w:rPr>
              <w:t>万m</w:t>
            </w:r>
            <w:r>
              <w:rPr>
                <w:rFonts w:hint="default" w:ascii="Times New Roman" w:hAnsi="Times New Roman" w:cs="Times New Roman"/>
                <w:color w:val="auto"/>
                <w:sz w:val="21"/>
                <w:szCs w:val="20"/>
                <w:highlight w:val="none"/>
                <w:vertAlign w:val="superscript"/>
              </w:rPr>
              <w:t>3</w:t>
            </w:r>
            <w:r>
              <w:rPr>
                <w:rFonts w:hint="default" w:ascii="Times New Roman" w:hAnsi="Times New Roman" w:cs="Times New Roman"/>
                <w:color w:val="auto"/>
                <w:sz w:val="21"/>
                <w:szCs w:val="20"/>
                <w:highlight w:val="none"/>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163"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248"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2710"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配套设置进出水在线监测用房、生活服务用房、生产辅助用房</w:t>
            </w:r>
            <w:r>
              <w:rPr>
                <w:rFonts w:hint="default" w:ascii="Times New Roman" w:hAnsi="Times New Roman" w:cs="Times New Roman"/>
                <w:color w:val="auto"/>
                <w:sz w:val="21"/>
                <w:szCs w:val="20"/>
                <w:highlight w:val="none"/>
                <w:lang w:eastAsia="zh-CN"/>
              </w:rPr>
              <w:t>，</w:t>
            </w:r>
            <w:r>
              <w:rPr>
                <w:rFonts w:hint="default" w:ascii="Times New Roman" w:hAnsi="Times New Roman" w:cs="Times New Roman"/>
                <w:color w:val="auto"/>
                <w:sz w:val="21"/>
                <w:szCs w:val="20"/>
                <w:highlight w:val="none"/>
                <w:lang w:val="en-US" w:eastAsia="zh-CN"/>
              </w:rPr>
              <w:t>实验室均依托现有厂区</w:t>
            </w:r>
            <w:r>
              <w:rPr>
                <w:rFonts w:hint="default" w:ascii="Times New Roman" w:hAnsi="Times New Roman" w:cs="Times New Roman"/>
                <w:color w:val="auto"/>
                <w:sz w:val="21"/>
                <w:szCs w:val="20"/>
                <w:highlight w:val="none"/>
              </w:rPr>
              <w:t>。</w:t>
            </w:r>
          </w:p>
        </w:tc>
        <w:tc>
          <w:tcPr>
            <w:tcW w:w="1877"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2" w:hRule="atLeast"/>
        </w:trPr>
        <w:tc>
          <w:tcPr>
            <w:tcW w:w="163"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248"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2710"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建设配电间。</w:t>
            </w:r>
          </w:p>
        </w:tc>
        <w:tc>
          <w:tcPr>
            <w:tcW w:w="1877" w:type="pct"/>
            <w:gridSpan w:val="3"/>
            <w:tcBorders>
              <w:tl2br w:val="nil"/>
              <w:tr2bl w:val="nil"/>
            </w:tcBorders>
            <w:vAlign w:val="center"/>
          </w:tcPr>
          <w:p>
            <w:pPr>
              <w:spacing w:line="240" w:lineRule="auto"/>
              <w:ind w:firstLine="0" w:firstLineChars="0"/>
              <w:jc w:val="center"/>
              <w:rPr>
                <w:rFonts w:hint="eastAsia" w:cs="Times New Roman"/>
                <w:color w:val="auto"/>
                <w:sz w:val="21"/>
                <w:szCs w:val="20"/>
                <w:highlight w:val="none"/>
                <w:lang w:val="en-US" w:eastAsia="zh-CN"/>
              </w:rPr>
            </w:pPr>
            <w:r>
              <w:rPr>
                <w:rFonts w:hint="eastAsia" w:cs="Times New Roman"/>
                <w:color w:val="auto"/>
                <w:sz w:val="21"/>
                <w:szCs w:val="20"/>
                <w:highlight w:val="none"/>
                <w:lang w:val="en-US"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163" w:type="pct"/>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kern w:val="2"/>
                <w:sz w:val="21"/>
                <w:szCs w:val="20"/>
                <w:highlight w:val="none"/>
                <w:lang w:val="en-US" w:eastAsia="zh-CN" w:bidi="ar-SA"/>
              </w:rPr>
            </w:pPr>
            <w:r>
              <w:rPr>
                <w:rFonts w:hint="eastAsia" w:cs="Times New Roman"/>
                <w:color w:val="auto"/>
                <w:sz w:val="21"/>
                <w:szCs w:val="20"/>
                <w:highlight w:val="none"/>
                <w:lang w:val="en-US" w:eastAsia="zh-CN"/>
              </w:rPr>
              <w:t>3</w:t>
            </w:r>
          </w:p>
        </w:tc>
        <w:tc>
          <w:tcPr>
            <w:tcW w:w="248" w:type="pct"/>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依托工程</w:t>
            </w:r>
          </w:p>
        </w:tc>
        <w:tc>
          <w:tcPr>
            <w:tcW w:w="437" w:type="pc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中水池</w:t>
            </w:r>
          </w:p>
        </w:tc>
        <w:tc>
          <w:tcPr>
            <w:tcW w:w="2273" w:type="pct"/>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园区规划建设现状冬季尾水</w:t>
            </w:r>
            <w:r>
              <w:rPr>
                <w:rFonts w:hint="eastAsia" w:cs="Times New Roman"/>
                <w:color w:val="auto"/>
                <w:sz w:val="21"/>
                <w:szCs w:val="20"/>
                <w:highlight w:val="none"/>
                <w:lang w:eastAsia="zh-CN"/>
              </w:rPr>
              <w:t>中水池</w:t>
            </w:r>
            <w:r>
              <w:rPr>
                <w:rFonts w:hint="default" w:ascii="Times New Roman" w:hAnsi="Times New Roman" w:cs="Times New Roman"/>
                <w:color w:val="auto"/>
                <w:sz w:val="21"/>
                <w:szCs w:val="20"/>
                <w:highlight w:val="none"/>
              </w:rPr>
              <w:t>，</w:t>
            </w:r>
            <w:r>
              <w:rPr>
                <w:rFonts w:hint="eastAsia" w:cs="Times New Roman"/>
                <w:color w:val="auto"/>
                <w:sz w:val="21"/>
                <w:szCs w:val="20"/>
                <w:highlight w:val="none"/>
                <w:lang w:eastAsia="zh-CN"/>
              </w:rPr>
              <w:t>中水池</w:t>
            </w:r>
            <w:r>
              <w:rPr>
                <w:rFonts w:hint="default" w:ascii="Times New Roman" w:hAnsi="Times New Roman" w:cs="Times New Roman"/>
                <w:color w:val="auto"/>
                <w:sz w:val="21"/>
                <w:szCs w:val="20"/>
                <w:highlight w:val="none"/>
              </w:rPr>
              <w:t>容量为18万m3，2024年4月26日昌吉回族自治州生态环境局批复《关于昌吉农高区现代农业精深加工示范区中水池建设项目环境影响报告表的批复》（昌州环评〔2024〕90号），新建容积20万m³的中水池一座，中水管线37.729km。总库容为38万，冬季污水厂尾水量为</w:t>
            </w:r>
            <w:r>
              <w:rPr>
                <w:rFonts w:hint="eastAsia" w:cs="Times New Roman"/>
                <w:color w:val="auto"/>
                <w:sz w:val="21"/>
                <w:szCs w:val="20"/>
                <w:highlight w:val="none"/>
                <w:lang w:eastAsia="zh-CN"/>
              </w:rPr>
              <w:t>2447</w:t>
            </w:r>
            <w:r>
              <w:rPr>
                <w:rFonts w:hint="default" w:ascii="Times New Roman" w:hAnsi="Times New Roman" w:cs="Times New Roman"/>
                <w:color w:val="auto"/>
                <w:sz w:val="21"/>
                <w:szCs w:val="20"/>
                <w:highlight w:val="none"/>
              </w:rPr>
              <w:t>m</w:t>
            </w:r>
            <w:r>
              <w:rPr>
                <w:rFonts w:hint="default" w:ascii="Times New Roman" w:hAnsi="Times New Roman" w:cs="Times New Roman"/>
                <w:color w:val="auto"/>
                <w:sz w:val="21"/>
                <w:szCs w:val="20"/>
                <w:highlight w:val="none"/>
                <w:vertAlign w:val="superscript"/>
              </w:rPr>
              <w:t>3</w:t>
            </w:r>
            <w:r>
              <w:rPr>
                <w:rFonts w:hint="default" w:ascii="Times New Roman" w:hAnsi="Times New Roman" w:cs="Times New Roman"/>
                <w:color w:val="auto"/>
                <w:sz w:val="21"/>
                <w:szCs w:val="20"/>
                <w:highlight w:val="none"/>
              </w:rPr>
              <w:t>/d，冬季储存季按155天计，则冬季尾水储存量为</w:t>
            </w:r>
            <w:r>
              <w:rPr>
                <w:rFonts w:hint="eastAsia" w:cs="Times New Roman"/>
                <w:color w:val="auto"/>
                <w:sz w:val="21"/>
                <w:szCs w:val="20"/>
                <w:highlight w:val="none"/>
                <w:lang w:eastAsia="zh-CN"/>
              </w:rPr>
              <w:t>37.9285</w:t>
            </w:r>
            <w:r>
              <w:rPr>
                <w:rFonts w:hint="default" w:ascii="Times New Roman" w:hAnsi="Times New Roman" w:cs="Times New Roman"/>
                <w:color w:val="auto"/>
                <w:sz w:val="21"/>
                <w:szCs w:val="20"/>
                <w:highlight w:val="none"/>
              </w:rPr>
              <w:t>万m</w:t>
            </w:r>
            <w:r>
              <w:rPr>
                <w:rFonts w:hint="default" w:ascii="Times New Roman" w:hAnsi="Times New Roman" w:cs="Times New Roman"/>
                <w:color w:val="auto"/>
                <w:sz w:val="21"/>
                <w:szCs w:val="20"/>
                <w:highlight w:val="none"/>
                <w:vertAlign w:val="superscript"/>
              </w:rPr>
              <w:t>3</w:t>
            </w:r>
            <w:r>
              <w:rPr>
                <w:rFonts w:hint="default" w:ascii="Times New Roman" w:hAnsi="Times New Roman" w:cs="Times New Roman"/>
                <w:color w:val="auto"/>
                <w:sz w:val="21"/>
                <w:szCs w:val="20"/>
                <w:highlight w:val="none"/>
              </w:rPr>
              <w:t>不足。到灌溉季直接用水林地灌溉，灌溉季绿化总用水量为482202.252m</w:t>
            </w:r>
            <w:r>
              <w:rPr>
                <w:rFonts w:hint="default" w:ascii="Times New Roman" w:hAnsi="Times New Roman" w:cs="Times New Roman"/>
                <w:color w:val="auto"/>
                <w:sz w:val="21"/>
                <w:szCs w:val="20"/>
                <w:highlight w:val="none"/>
                <w:vertAlign w:val="superscript"/>
              </w:rPr>
              <w:t>3</w:t>
            </w:r>
            <w:r>
              <w:rPr>
                <w:rFonts w:hint="default" w:ascii="Times New Roman" w:hAnsi="Times New Roman" w:cs="Times New Roman"/>
                <w:color w:val="auto"/>
                <w:sz w:val="21"/>
                <w:szCs w:val="20"/>
                <w:highlight w:val="none"/>
              </w:rPr>
              <w:t>/d。</w:t>
            </w:r>
            <w:r>
              <w:rPr>
                <w:rFonts w:hint="eastAsia" w:cs="Times New Roman"/>
                <w:color w:val="auto"/>
                <w:sz w:val="21"/>
                <w:szCs w:val="20"/>
                <w:highlight w:val="none"/>
                <w:lang w:eastAsia="zh-CN"/>
              </w:rPr>
              <w:t>中水池</w:t>
            </w:r>
            <w:r>
              <w:rPr>
                <w:rFonts w:hint="default" w:ascii="Times New Roman" w:hAnsi="Times New Roman" w:cs="Times New Roman"/>
                <w:color w:val="auto"/>
                <w:sz w:val="21"/>
                <w:szCs w:val="20"/>
                <w:highlight w:val="none"/>
              </w:rPr>
              <w:t>储存的尾水为</w:t>
            </w:r>
            <w:r>
              <w:rPr>
                <w:rFonts w:hint="eastAsia" w:cs="Times New Roman"/>
                <w:color w:val="auto"/>
                <w:sz w:val="21"/>
                <w:szCs w:val="20"/>
                <w:highlight w:val="none"/>
                <w:lang w:eastAsia="zh-CN"/>
              </w:rPr>
              <w:t>37.9285</w:t>
            </w:r>
            <w:r>
              <w:rPr>
                <w:rFonts w:hint="default" w:ascii="Times New Roman" w:hAnsi="Times New Roman" w:cs="Times New Roman"/>
                <w:color w:val="auto"/>
                <w:sz w:val="21"/>
                <w:szCs w:val="20"/>
                <w:highlight w:val="none"/>
              </w:rPr>
              <w:t>万m</w:t>
            </w:r>
            <w:r>
              <w:rPr>
                <w:rFonts w:hint="default" w:ascii="Times New Roman" w:hAnsi="Times New Roman" w:cs="Times New Roman"/>
                <w:color w:val="auto"/>
                <w:sz w:val="21"/>
                <w:szCs w:val="20"/>
                <w:highlight w:val="none"/>
                <w:vertAlign w:val="superscript"/>
              </w:rPr>
              <w:t>3</w:t>
            </w:r>
            <w:r>
              <w:rPr>
                <w:rFonts w:hint="default" w:ascii="Times New Roman" w:hAnsi="Times New Roman" w:cs="Times New Roman"/>
                <w:color w:val="auto"/>
                <w:sz w:val="21"/>
                <w:szCs w:val="20"/>
                <w:highlight w:val="none"/>
              </w:rPr>
              <w:t>，不满足绿化1天的量，到了灌溉季</w:t>
            </w:r>
            <w:r>
              <w:rPr>
                <w:rFonts w:hint="eastAsia" w:cs="Times New Roman"/>
                <w:color w:val="auto"/>
                <w:sz w:val="21"/>
                <w:szCs w:val="20"/>
                <w:highlight w:val="none"/>
                <w:lang w:eastAsia="zh-CN"/>
              </w:rPr>
              <w:t>中水池</w:t>
            </w:r>
            <w:r>
              <w:rPr>
                <w:rFonts w:hint="default" w:ascii="Times New Roman" w:hAnsi="Times New Roman" w:cs="Times New Roman"/>
                <w:color w:val="auto"/>
                <w:sz w:val="21"/>
                <w:szCs w:val="20"/>
                <w:highlight w:val="none"/>
              </w:rPr>
              <w:t>的水可直接消耗完，用于林地灌溉，</w:t>
            </w:r>
            <w:r>
              <w:rPr>
                <w:rFonts w:hint="eastAsia" w:cs="Times New Roman"/>
                <w:color w:val="auto"/>
                <w:sz w:val="21"/>
                <w:szCs w:val="20"/>
                <w:highlight w:val="none"/>
                <w:lang w:eastAsia="zh-CN"/>
              </w:rPr>
              <w:t>中水池</w:t>
            </w:r>
            <w:r>
              <w:rPr>
                <w:rFonts w:hint="default" w:ascii="Times New Roman" w:hAnsi="Times New Roman" w:cs="Times New Roman"/>
                <w:color w:val="auto"/>
                <w:sz w:val="21"/>
                <w:szCs w:val="20"/>
                <w:highlight w:val="none"/>
              </w:rPr>
              <w:t>容量满足要求。</w:t>
            </w:r>
          </w:p>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环评要求</w:t>
            </w:r>
            <w:r>
              <w:rPr>
                <w:rFonts w:hint="eastAsia" w:cs="Times New Roman"/>
                <w:color w:val="auto"/>
                <w:sz w:val="21"/>
                <w:szCs w:val="20"/>
                <w:highlight w:val="none"/>
                <w:lang w:eastAsia="zh-CN"/>
              </w:rPr>
              <w:t>中水池</w:t>
            </w:r>
            <w:r>
              <w:rPr>
                <w:rFonts w:hint="default" w:ascii="Times New Roman" w:hAnsi="Times New Roman" w:cs="Times New Roman"/>
                <w:color w:val="auto"/>
                <w:sz w:val="21"/>
                <w:szCs w:val="20"/>
                <w:highlight w:val="none"/>
              </w:rPr>
              <w:t>及相应尾水管网建设完成后，本项目才可以投入运行。冬季尾水</w:t>
            </w:r>
            <w:r>
              <w:rPr>
                <w:rFonts w:hint="eastAsia" w:cs="Times New Roman"/>
                <w:color w:val="auto"/>
                <w:sz w:val="21"/>
                <w:szCs w:val="20"/>
                <w:highlight w:val="none"/>
                <w:lang w:eastAsia="zh-CN"/>
              </w:rPr>
              <w:t>中水池</w:t>
            </w:r>
            <w:r>
              <w:rPr>
                <w:rFonts w:hint="default" w:ascii="Times New Roman" w:hAnsi="Times New Roman" w:cs="Times New Roman"/>
                <w:color w:val="auto"/>
                <w:sz w:val="21"/>
                <w:szCs w:val="20"/>
                <w:highlight w:val="none"/>
              </w:rPr>
              <w:t>及相应尾水管网另行环评，不在本次评价范围内。</w:t>
            </w:r>
          </w:p>
        </w:tc>
        <w:tc>
          <w:tcPr>
            <w:tcW w:w="1877"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163" w:type="pct"/>
            <w:vMerge w:val="continue"/>
            <w:tcBorders>
              <w:tl2br w:val="nil"/>
              <w:tr2bl w:val="nil"/>
            </w:tcBorders>
            <w:vAlign w:val="center"/>
          </w:tcPr>
          <w:p>
            <w:pPr>
              <w:spacing w:line="240" w:lineRule="auto"/>
              <w:ind w:firstLine="0" w:firstLineChars="0"/>
              <w:jc w:val="center"/>
              <w:rPr>
                <w:rFonts w:hint="eastAsia" w:cs="Times New Roman"/>
                <w:color w:val="auto"/>
                <w:sz w:val="21"/>
                <w:szCs w:val="20"/>
                <w:highlight w:val="none"/>
                <w:lang w:val="en-US" w:eastAsia="zh-CN"/>
              </w:rPr>
            </w:pPr>
          </w:p>
        </w:tc>
        <w:tc>
          <w:tcPr>
            <w:tcW w:w="248" w:type="pct"/>
            <w:vMerge w:val="continue"/>
            <w:tcBorders>
              <w:tl2br w:val="nil"/>
              <w:tr2bl w:val="nil"/>
            </w:tcBorders>
            <w:vAlign w:val="center"/>
          </w:tcPr>
          <w:p>
            <w:pPr>
              <w:spacing w:line="240" w:lineRule="auto"/>
              <w:ind w:firstLine="0" w:firstLineChars="0"/>
              <w:jc w:val="center"/>
              <w:rPr>
                <w:rFonts w:hint="eastAsia" w:cs="Times New Roman"/>
                <w:color w:val="auto"/>
                <w:sz w:val="21"/>
                <w:szCs w:val="20"/>
                <w:highlight w:val="none"/>
                <w:lang w:val="en-US" w:eastAsia="zh-CN"/>
              </w:rPr>
            </w:pPr>
          </w:p>
        </w:tc>
        <w:tc>
          <w:tcPr>
            <w:tcW w:w="437" w:type="pct"/>
            <w:tcBorders>
              <w:tl2br w:val="nil"/>
              <w:tr2bl w:val="nil"/>
            </w:tcBorders>
            <w:vAlign w:val="center"/>
          </w:tcPr>
          <w:p>
            <w:pPr>
              <w:spacing w:line="240" w:lineRule="auto"/>
              <w:ind w:firstLine="0" w:firstLineChars="0"/>
              <w:jc w:val="center"/>
              <w:rPr>
                <w:rFonts w:hint="eastAsia" w:cs="Times New Roman"/>
                <w:color w:val="auto"/>
                <w:sz w:val="21"/>
                <w:szCs w:val="20"/>
                <w:highlight w:val="none"/>
                <w:lang w:val="en-US" w:eastAsia="zh-CN"/>
              </w:rPr>
            </w:pPr>
            <w:r>
              <w:rPr>
                <w:rFonts w:hint="eastAsia" w:cs="Times New Roman"/>
                <w:color w:val="auto"/>
                <w:sz w:val="21"/>
                <w:szCs w:val="20"/>
                <w:highlight w:val="none"/>
                <w:lang w:val="en-US" w:eastAsia="zh-CN"/>
              </w:rPr>
              <w:t>排水管线工程</w:t>
            </w:r>
          </w:p>
        </w:tc>
        <w:tc>
          <w:tcPr>
            <w:tcW w:w="2273" w:type="pct"/>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本项目不包含灌溉的排水管线工程</w:t>
            </w:r>
          </w:p>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在城市主要道路已敷设再生水管道（29.8km），为了便于工业用水，其他管网主要布局在工业区。再生水管网敷设以环状为主，枝状为辅，管道沿道路敷设，敷设在绿化带下面。</w:t>
            </w:r>
          </w:p>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2024年4月26日昌吉回族自治州生态环境局批复《关于昌吉农高区现代农业精深加工示范区中水池建设项目环境影响报告表的批复》（昌州环评〔2024〕90号），新建中水管线37.729km，新增一体化提升泵站1座。环评要求相应尾水管网建设完成后，本项目才可以投入运行。</w:t>
            </w:r>
          </w:p>
        </w:tc>
        <w:tc>
          <w:tcPr>
            <w:tcW w:w="1877"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163"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248" w:type="pct"/>
            <w:vMerge w:val="continue"/>
            <w:tcBorders>
              <w:tl2br w:val="nil"/>
              <w:tr2bl w:val="nil"/>
            </w:tcBorders>
            <w:vAlign w:val="center"/>
          </w:tcPr>
          <w:p>
            <w:pPr>
              <w:spacing w:line="240" w:lineRule="auto"/>
              <w:ind w:firstLine="0" w:firstLineChars="0"/>
              <w:jc w:val="center"/>
              <w:rPr>
                <w:rFonts w:hint="eastAsia" w:cs="Times New Roman"/>
                <w:color w:val="auto"/>
                <w:sz w:val="21"/>
                <w:szCs w:val="20"/>
                <w:highlight w:val="none"/>
                <w:lang w:val="en-US" w:eastAsia="zh-CN"/>
              </w:rPr>
            </w:pPr>
          </w:p>
        </w:tc>
        <w:tc>
          <w:tcPr>
            <w:tcW w:w="437" w:type="pc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事故池</w:t>
            </w:r>
          </w:p>
        </w:tc>
        <w:tc>
          <w:tcPr>
            <w:tcW w:w="2273" w:type="pct"/>
            <w:gridSpan w:val="2"/>
            <w:tcBorders>
              <w:tl2br w:val="nil"/>
              <w:tr2bl w:val="nil"/>
            </w:tcBorders>
            <w:vAlign w:val="center"/>
          </w:tcPr>
          <w:p>
            <w:pPr>
              <w:spacing w:line="240" w:lineRule="auto"/>
              <w:ind w:firstLine="0" w:firstLineChars="0"/>
              <w:jc w:val="both"/>
              <w:rPr>
                <w:rFonts w:hint="default" w:ascii="Times New Roman" w:hAnsi="Times New Roman" w:eastAsia="宋体" w:cs="Times New Roman"/>
                <w:color w:val="auto"/>
                <w:sz w:val="21"/>
                <w:szCs w:val="20"/>
                <w:highlight w:val="none"/>
                <w:lang w:val="en-US" w:eastAsia="zh-CN"/>
              </w:rPr>
            </w:pPr>
            <w:r>
              <w:rPr>
                <w:rFonts w:hint="default" w:ascii="Times New Roman" w:hAnsi="Times New Roman" w:cs="Times New Roman"/>
                <w:color w:val="auto"/>
                <w:sz w:val="21"/>
                <w:szCs w:val="20"/>
                <w:highlight w:val="none"/>
              </w:rPr>
              <w:t>位于项目进口处（大门西侧），钢砼结构，规模为：41.05m×20.84m×4.5m</w:t>
            </w:r>
            <w:r>
              <w:rPr>
                <w:rFonts w:hint="eastAsia" w:cs="Times New Roman"/>
                <w:color w:val="auto"/>
                <w:sz w:val="21"/>
                <w:szCs w:val="20"/>
                <w:highlight w:val="none"/>
                <w:lang w:eastAsia="zh-CN"/>
              </w:rPr>
              <w:t>，</w:t>
            </w:r>
            <w:r>
              <w:rPr>
                <w:rFonts w:hint="eastAsia" w:cs="Times New Roman"/>
                <w:color w:val="auto"/>
                <w:sz w:val="21"/>
                <w:szCs w:val="20"/>
                <w:highlight w:val="none"/>
                <w:lang w:val="en-US" w:eastAsia="zh-CN"/>
              </w:rPr>
              <w:t>容积为3849.669m</w:t>
            </w:r>
            <w:r>
              <w:rPr>
                <w:rFonts w:hint="eastAsia" w:cs="Times New Roman"/>
                <w:color w:val="auto"/>
                <w:sz w:val="21"/>
                <w:szCs w:val="20"/>
                <w:highlight w:val="none"/>
                <w:vertAlign w:val="superscript"/>
                <w:lang w:val="en-US" w:eastAsia="zh-CN"/>
              </w:rPr>
              <w:t>3</w:t>
            </w:r>
          </w:p>
        </w:tc>
        <w:tc>
          <w:tcPr>
            <w:tcW w:w="1877"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63" w:type="pct"/>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4</w:t>
            </w:r>
          </w:p>
        </w:tc>
        <w:tc>
          <w:tcPr>
            <w:tcW w:w="248" w:type="pct"/>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公用工程</w:t>
            </w:r>
          </w:p>
        </w:tc>
        <w:tc>
          <w:tcPr>
            <w:tcW w:w="437" w:type="pc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供水</w:t>
            </w:r>
          </w:p>
        </w:tc>
        <w:tc>
          <w:tcPr>
            <w:tcW w:w="4150" w:type="pct"/>
            <w:gridSpan w:val="5"/>
            <w:tcBorders>
              <w:tl2br w:val="nil"/>
              <w:tr2bl w:val="nil"/>
            </w:tcBorders>
            <w:vAlign w:val="center"/>
          </w:tcPr>
          <w:p>
            <w:pPr>
              <w:spacing w:line="240" w:lineRule="auto"/>
              <w:ind w:firstLine="0" w:firstLineChars="0"/>
              <w:jc w:val="center"/>
              <w:rPr>
                <w:rFonts w:hint="eastAsia" w:cs="Times New Roman"/>
                <w:color w:val="auto"/>
                <w:sz w:val="21"/>
                <w:szCs w:val="20"/>
                <w:highlight w:val="none"/>
                <w:lang w:val="en-US" w:eastAsia="zh-CN"/>
              </w:rPr>
            </w:pPr>
            <w:r>
              <w:rPr>
                <w:rFonts w:hint="eastAsia" w:cs="Times New Roman"/>
                <w:color w:val="auto"/>
                <w:sz w:val="21"/>
                <w:szCs w:val="20"/>
                <w:highlight w:val="none"/>
                <w:lang w:val="en-US" w:eastAsia="zh-CN"/>
              </w:rPr>
              <w:t>园区供水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163"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248"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437" w:type="pct"/>
            <w:tcBorders>
              <w:tl2br w:val="nil"/>
              <w:tr2bl w:val="nil"/>
            </w:tcBorders>
            <w:vAlign w:val="center"/>
          </w:tcPr>
          <w:p>
            <w:pPr>
              <w:spacing w:line="240" w:lineRule="auto"/>
              <w:ind w:firstLine="0" w:firstLineChars="0"/>
              <w:jc w:val="center"/>
              <w:rPr>
                <w:rFonts w:hint="default" w:cs="Times New Roman"/>
                <w:color w:val="auto"/>
                <w:sz w:val="21"/>
                <w:szCs w:val="20"/>
                <w:highlight w:val="none"/>
                <w:lang w:val="en-US" w:eastAsia="zh-CN"/>
              </w:rPr>
            </w:pPr>
            <w:r>
              <w:rPr>
                <w:rFonts w:hint="eastAsia" w:cs="Times New Roman"/>
                <w:color w:val="auto"/>
                <w:sz w:val="21"/>
                <w:szCs w:val="20"/>
                <w:highlight w:val="none"/>
                <w:lang w:val="en-US" w:eastAsia="zh-CN"/>
              </w:rPr>
              <w:t>供热</w:t>
            </w:r>
          </w:p>
        </w:tc>
        <w:tc>
          <w:tcPr>
            <w:tcW w:w="4150" w:type="pct"/>
            <w:gridSpan w:val="5"/>
            <w:tcBorders>
              <w:tl2br w:val="nil"/>
              <w:tr2bl w:val="nil"/>
            </w:tcBorders>
            <w:vAlign w:val="center"/>
          </w:tcPr>
          <w:p>
            <w:pPr>
              <w:spacing w:line="240" w:lineRule="auto"/>
              <w:ind w:firstLine="0" w:firstLineChars="0"/>
              <w:jc w:val="center"/>
              <w:rPr>
                <w:rFonts w:hint="eastAsia" w:cs="Times New Roman"/>
                <w:color w:val="auto"/>
                <w:sz w:val="21"/>
                <w:szCs w:val="20"/>
                <w:highlight w:val="none"/>
                <w:lang w:val="en-US" w:eastAsia="zh-CN"/>
              </w:rPr>
            </w:pPr>
            <w:r>
              <w:rPr>
                <w:rFonts w:hint="eastAsia" w:cs="Times New Roman"/>
                <w:color w:val="auto"/>
                <w:sz w:val="21"/>
                <w:szCs w:val="20"/>
                <w:highlight w:val="none"/>
                <w:lang w:val="en-US" w:eastAsia="zh-CN"/>
              </w:rPr>
              <w:t>园区供热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163" w:type="pct"/>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2"/>
                <w:sz w:val="21"/>
                <w:szCs w:val="20"/>
                <w:highlight w:val="none"/>
                <w:lang w:val="en-US" w:eastAsia="zh-CN" w:bidi="ar-SA"/>
              </w:rPr>
            </w:pPr>
          </w:p>
        </w:tc>
        <w:tc>
          <w:tcPr>
            <w:tcW w:w="248"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437" w:type="pct"/>
            <w:tcBorders>
              <w:tl2br w:val="nil"/>
              <w:tr2bl w:val="nil"/>
            </w:tcBorders>
            <w:vAlign w:val="center"/>
          </w:tcPr>
          <w:p>
            <w:pPr>
              <w:spacing w:line="240" w:lineRule="auto"/>
              <w:ind w:firstLine="0" w:firstLineChars="0"/>
              <w:jc w:val="center"/>
              <w:rPr>
                <w:rFonts w:hint="default" w:cs="Times New Roman"/>
                <w:color w:val="auto"/>
                <w:sz w:val="21"/>
                <w:szCs w:val="20"/>
                <w:highlight w:val="none"/>
                <w:lang w:val="en-US" w:eastAsia="zh-CN"/>
              </w:rPr>
            </w:pPr>
            <w:r>
              <w:rPr>
                <w:rFonts w:hint="eastAsia" w:cs="Times New Roman"/>
                <w:color w:val="auto"/>
                <w:sz w:val="21"/>
                <w:szCs w:val="20"/>
                <w:highlight w:val="none"/>
                <w:lang w:val="en-US" w:eastAsia="zh-CN"/>
              </w:rPr>
              <w:t>供电</w:t>
            </w:r>
          </w:p>
        </w:tc>
        <w:tc>
          <w:tcPr>
            <w:tcW w:w="4150" w:type="pct"/>
            <w:gridSpan w:val="5"/>
            <w:tcBorders>
              <w:tl2br w:val="nil"/>
              <w:tr2bl w:val="nil"/>
            </w:tcBorders>
            <w:vAlign w:val="center"/>
          </w:tcPr>
          <w:p>
            <w:pPr>
              <w:spacing w:line="240" w:lineRule="auto"/>
              <w:ind w:firstLine="0" w:firstLineChars="0"/>
              <w:jc w:val="center"/>
              <w:rPr>
                <w:rFonts w:hint="eastAsia" w:cs="Times New Roman"/>
                <w:color w:val="auto"/>
                <w:sz w:val="21"/>
                <w:szCs w:val="20"/>
                <w:highlight w:val="none"/>
                <w:lang w:val="en-US" w:eastAsia="zh-CN"/>
              </w:rPr>
            </w:pPr>
            <w:r>
              <w:rPr>
                <w:rFonts w:hint="eastAsia" w:cs="Times New Roman"/>
                <w:color w:val="auto"/>
                <w:sz w:val="21"/>
                <w:szCs w:val="20"/>
                <w:highlight w:val="none"/>
                <w:lang w:val="en-US" w:eastAsia="zh-CN"/>
              </w:rPr>
              <w:t>园区供电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163" w:type="pct"/>
            <w:vMerge w:val="restar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5</w:t>
            </w:r>
          </w:p>
        </w:tc>
        <w:tc>
          <w:tcPr>
            <w:tcW w:w="248" w:type="pct"/>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环保工程</w:t>
            </w:r>
          </w:p>
        </w:tc>
        <w:tc>
          <w:tcPr>
            <w:tcW w:w="437"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废气</w:t>
            </w:r>
          </w:p>
        </w:tc>
        <w:tc>
          <w:tcPr>
            <w:tcW w:w="2273" w:type="pct"/>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预处理及二级生</w:t>
            </w:r>
            <w:r>
              <w:rPr>
                <w:rFonts w:hint="eastAsia" w:cs="Times New Roman"/>
                <w:color w:val="auto"/>
                <w:sz w:val="21"/>
                <w:szCs w:val="20"/>
                <w:highlight w:val="none"/>
                <w:lang w:val="en-US" w:eastAsia="zh-CN"/>
              </w:rPr>
              <w:t>化+深度</w:t>
            </w:r>
            <w:r>
              <w:rPr>
                <w:rFonts w:hint="default" w:ascii="Times New Roman" w:hAnsi="Times New Roman" w:cs="Times New Roman"/>
                <w:color w:val="auto"/>
                <w:sz w:val="21"/>
                <w:szCs w:val="20"/>
                <w:highlight w:val="none"/>
              </w:rPr>
              <w:t>处理（格栅渠、沉砂池、调节池、AAO池（厌氧段、缺氧段）</w:t>
            </w:r>
            <w:r>
              <w:rPr>
                <w:rFonts w:hint="eastAsia" w:cs="Times New Roman"/>
                <w:color w:val="auto"/>
                <w:sz w:val="21"/>
                <w:szCs w:val="20"/>
                <w:highlight w:val="none"/>
                <w:lang w:val="en-US" w:eastAsia="zh-CN"/>
              </w:rPr>
              <w:t>和反硝化滤池</w:t>
            </w:r>
            <w:r>
              <w:rPr>
                <w:rFonts w:hint="default" w:ascii="Times New Roman" w:hAnsi="Times New Roman" w:cs="Times New Roman"/>
                <w:color w:val="auto"/>
                <w:sz w:val="21"/>
                <w:szCs w:val="20"/>
                <w:highlight w:val="none"/>
              </w:rPr>
              <w:t>）和污泥处理部分（污泥脱水机房、贮泥池等）等恶臭气体：收集系统+生物滤池一体化设备+15m排气筒</w:t>
            </w:r>
            <w:r>
              <w:rPr>
                <w:rFonts w:hint="eastAsia" w:cs="Times New Roman"/>
                <w:color w:val="auto"/>
                <w:sz w:val="21"/>
                <w:szCs w:val="20"/>
                <w:highlight w:val="none"/>
                <w:lang w:val="en-US" w:eastAsia="zh-CN"/>
              </w:rPr>
              <w:t>DA001</w:t>
            </w:r>
            <w:r>
              <w:rPr>
                <w:rFonts w:hint="default" w:ascii="Times New Roman" w:hAnsi="Times New Roman" w:cs="Times New Roman"/>
                <w:color w:val="auto"/>
                <w:sz w:val="21"/>
                <w:szCs w:val="20"/>
                <w:highlight w:val="none"/>
              </w:rPr>
              <w:t>。</w:t>
            </w:r>
          </w:p>
        </w:tc>
        <w:tc>
          <w:tcPr>
            <w:tcW w:w="1877"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163" w:type="pct"/>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2"/>
                <w:sz w:val="21"/>
                <w:szCs w:val="20"/>
                <w:highlight w:val="none"/>
                <w:lang w:val="en-US" w:eastAsia="zh-CN" w:bidi="ar-SA"/>
              </w:rPr>
            </w:pPr>
          </w:p>
        </w:tc>
        <w:tc>
          <w:tcPr>
            <w:tcW w:w="248"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437"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废水</w:t>
            </w:r>
          </w:p>
        </w:tc>
        <w:tc>
          <w:tcPr>
            <w:tcW w:w="2273" w:type="pct"/>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废水主要为生活</w:t>
            </w:r>
            <w:r>
              <w:rPr>
                <w:rFonts w:hint="eastAsia" w:cs="Times New Roman"/>
                <w:color w:val="auto"/>
                <w:sz w:val="21"/>
                <w:szCs w:val="20"/>
                <w:highlight w:val="none"/>
                <w:lang w:val="en-US" w:eastAsia="zh-CN"/>
              </w:rPr>
              <w:t>污水</w:t>
            </w:r>
            <w:r>
              <w:rPr>
                <w:rFonts w:hint="default" w:ascii="Times New Roman" w:hAnsi="Times New Roman" w:cs="Times New Roman"/>
                <w:color w:val="auto"/>
                <w:sz w:val="21"/>
                <w:szCs w:val="20"/>
                <w:highlight w:val="none"/>
              </w:rPr>
              <w:t>及设备冲洗废水，经处理系统处理后与尾水夏季用于</w:t>
            </w:r>
            <w:r>
              <w:rPr>
                <w:rFonts w:hint="eastAsia" w:cs="Times New Roman"/>
                <w:color w:val="auto"/>
                <w:sz w:val="21"/>
                <w:szCs w:val="20"/>
                <w:highlight w:val="none"/>
                <w:lang w:val="en-US" w:eastAsia="zh-CN"/>
              </w:rPr>
              <w:t>园区绿化及</w:t>
            </w:r>
            <w:r>
              <w:rPr>
                <w:rFonts w:hint="default" w:ascii="Times New Roman" w:hAnsi="Times New Roman" w:cs="Times New Roman"/>
                <w:color w:val="auto"/>
                <w:sz w:val="21"/>
                <w:szCs w:val="20"/>
                <w:highlight w:val="none"/>
              </w:rPr>
              <w:t>灌溉示范区的林地，冬季储存于</w:t>
            </w:r>
            <w:r>
              <w:rPr>
                <w:rFonts w:hint="eastAsia" w:cs="Times New Roman"/>
                <w:color w:val="auto"/>
                <w:sz w:val="21"/>
                <w:szCs w:val="20"/>
                <w:highlight w:val="none"/>
                <w:lang w:eastAsia="zh-CN"/>
              </w:rPr>
              <w:t>中水池</w:t>
            </w:r>
            <w:r>
              <w:rPr>
                <w:rFonts w:hint="default" w:ascii="Times New Roman" w:hAnsi="Times New Roman" w:cs="Times New Roman"/>
                <w:color w:val="auto"/>
                <w:sz w:val="21"/>
                <w:szCs w:val="20"/>
                <w:highlight w:val="none"/>
              </w:rPr>
              <w:t>中，实现污水有效利用。</w:t>
            </w:r>
          </w:p>
        </w:tc>
        <w:tc>
          <w:tcPr>
            <w:tcW w:w="1877"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163" w:type="pct"/>
            <w:vMerge w:val="continue"/>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z w:val="21"/>
                <w:szCs w:val="20"/>
                <w:highlight w:val="none"/>
                <w:lang w:val="en-US" w:eastAsia="zh-CN"/>
              </w:rPr>
            </w:pPr>
          </w:p>
        </w:tc>
        <w:tc>
          <w:tcPr>
            <w:tcW w:w="248"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437"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噪声</w:t>
            </w:r>
          </w:p>
        </w:tc>
        <w:tc>
          <w:tcPr>
            <w:tcW w:w="2273" w:type="pct"/>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各设备进行基础减振、消声</w:t>
            </w:r>
            <w:r>
              <w:rPr>
                <w:rFonts w:hint="eastAsia" w:cs="Times New Roman"/>
                <w:color w:val="auto"/>
                <w:sz w:val="21"/>
                <w:szCs w:val="20"/>
                <w:highlight w:val="none"/>
                <w:lang w:val="en-US" w:eastAsia="zh-CN"/>
              </w:rPr>
              <w:t>及隔声</w:t>
            </w:r>
            <w:r>
              <w:rPr>
                <w:rFonts w:hint="default" w:ascii="Times New Roman" w:hAnsi="Times New Roman" w:cs="Times New Roman"/>
                <w:color w:val="auto"/>
                <w:sz w:val="21"/>
                <w:szCs w:val="20"/>
                <w:highlight w:val="none"/>
              </w:rPr>
              <w:t>等措施。</w:t>
            </w:r>
          </w:p>
        </w:tc>
        <w:tc>
          <w:tcPr>
            <w:tcW w:w="1877"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163" w:type="pct"/>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lang w:val="en-US" w:eastAsia="zh-CN"/>
              </w:rPr>
            </w:pPr>
          </w:p>
        </w:tc>
        <w:tc>
          <w:tcPr>
            <w:tcW w:w="248"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437" w:type="pct"/>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固废</w:t>
            </w:r>
          </w:p>
        </w:tc>
        <w:tc>
          <w:tcPr>
            <w:tcW w:w="56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生活垃圾</w:t>
            </w:r>
          </w:p>
        </w:tc>
        <w:tc>
          <w:tcPr>
            <w:tcW w:w="1708"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生活垃圾经垃圾桶收集后由环卫部门</w:t>
            </w:r>
            <w:r>
              <w:rPr>
                <w:rFonts w:hint="eastAsia" w:cs="Times New Roman"/>
                <w:color w:val="auto"/>
                <w:sz w:val="21"/>
                <w:szCs w:val="20"/>
                <w:highlight w:val="none"/>
                <w:lang w:val="en-US" w:eastAsia="zh-CN"/>
              </w:rPr>
              <w:t>定期清运</w:t>
            </w:r>
            <w:r>
              <w:rPr>
                <w:rFonts w:hint="default" w:ascii="Times New Roman" w:hAnsi="Times New Roman" w:cs="Times New Roman"/>
                <w:color w:val="auto"/>
                <w:sz w:val="21"/>
                <w:szCs w:val="20"/>
                <w:highlight w:val="none"/>
              </w:rPr>
              <w:t>处置；</w:t>
            </w:r>
          </w:p>
        </w:tc>
        <w:tc>
          <w:tcPr>
            <w:tcW w:w="1877"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163"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248"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437"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565" w:type="pc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z w:val="21"/>
                <w:szCs w:val="20"/>
                <w:highlight w:val="none"/>
                <w:lang w:eastAsia="zh-CN"/>
              </w:rPr>
            </w:pPr>
            <w:r>
              <w:rPr>
                <w:rFonts w:hint="eastAsia" w:cs="Times New Roman"/>
                <w:color w:val="auto"/>
                <w:sz w:val="21"/>
                <w:szCs w:val="20"/>
                <w:highlight w:val="none"/>
                <w:lang w:val="en-US" w:eastAsia="zh-CN"/>
              </w:rPr>
              <w:t>格栅渣、沉砂和污泥</w:t>
            </w:r>
          </w:p>
        </w:tc>
        <w:tc>
          <w:tcPr>
            <w:tcW w:w="1708"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废水处理污泥经浓缩池、污泥脱水间脱水至含水率不</w:t>
            </w:r>
            <w:r>
              <w:rPr>
                <w:rFonts w:hint="eastAsia" w:cs="Times New Roman"/>
                <w:color w:val="auto"/>
                <w:sz w:val="21"/>
                <w:szCs w:val="20"/>
                <w:highlight w:val="none"/>
                <w:lang w:val="en-US" w:eastAsia="zh-CN"/>
              </w:rPr>
              <w:t>高</w:t>
            </w:r>
            <w:r>
              <w:rPr>
                <w:rFonts w:hint="default" w:ascii="Times New Roman" w:hAnsi="Times New Roman" w:cs="Times New Roman"/>
                <w:color w:val="auto"/>
                <w:sz w:val="21"/>
                <w:szCs w:val="20"/>
                <w:highlight w:val="none"/>
              </w:rPr>
              <w:t>于60%，</w:t>
            </w:r>
            <w:r>
              <w:rPr>
                <w:rFonts w:hint="eastAsia" w:cs="Times New Roman"/>
                <w:color w:val="auto"/>
                <w:sz w:val="21"/>
                <w:szCs w:val="20"/>
                <w:highlight w:val="none"/>
                <w:lang w:val="en-US" w:eastAsia="zh-CN"/>
              </w:rPr>
              <w:t>格栅渣、沉砂和</w:t>
            </w:r>
            <w:r>
              <w:rPr>
                <w:rFonts w:hint="default" w:ascii="Times New Roman" w:hAnsi="Times New Roman" w:cs="Times New Roman"/>
                <w:color w:val="auto"/>
                <w:sz w:val="21"/>
                <w:szCs w:val="20"/>
                <w:highlight w:val="none"/>
              </w:rPr>
              <w:t>泥饼</w:t>
            </w:r>
            <w:r>
              <w:rPr>
                <w:rFonts w:hint="eastAsia" w:cs="Times New Roman"/>
                <w:color w:val="auto"/>
                <w:sz w:val="21"/>
                <w:szCs w:val="20"/>
                <w:highlight w:val="none"/>
                <w:lang w:val="en-US" w:eastAsia="zh-CN"/>
              </w:rPr>
              <w:t>暂存于现有一般固废暂存间，占地面积为82m</w:t>
            </w:r>
            <w:r>
              <w:rPr>
                <w:rFonts w:hint="eastAsia" w:cs="Times New Roman"/>
                <w:color w:val="auto"/>
                <w:sz w:val="21"/>
                <w:szCs w:val="20"/>
                <w:highlight w:val="none"/>
                <w:vertAlign w:val="superscript"/>
                <w:lang w:val="en-US" w:eastAsia="zh-CN"/>
              </w:rPr>
              <w:t>2</w:t>
            </w:r>
            <w:r>
              <w:rPr>
                <w:rFonts w:hint="eastAsia" w:cs="Times New Roman"/>
                <w:color w:val="auto"/>
                <w:sz w:val="21"/>
                <w:szCs w:val="20"/>
                <w:highlight w:val="none"/>
                <w:vertAlign w:val="baseline"/>
                <w:lang w:val="en-US" w:eastAsia="zh-CN"/>
              </w:rPr>
              <w:t>，</w:t>
            </w:r>
            <w:r>
              <w:rPr>
                <w:rFonts w:hint="default" w:ascii="Times New Roman" w:hAnsi="Times New Roman" w:cs="Times New Roman"/>
                <w:color w:val="auto"/>
                <w:sz w:val="21"/>
                <w:szCs w:val="20"/>
                <w:highlight w:val="none"/>
              </w:rPr>
              <w:t>外委进行</w:t>
            </w:r>
            <w:r>
              <w:rPr>
                <w:rFonts w:hint="eastAsia" w:ascii="Times New Roman" w:hAnsi="Times New Roman" w:cs="Times New Roman"/>
                <w:color w:val="auto"/>
                <w:sz w:val="21"/>
                <w:szCs w:val="20"/>
                <w:highlight w:val="none"/>
                <w:lang w:val="en-US" w:eastAsia="zh-CN"/>
              </w:rPr>
              <w:t>昌吉市填埋场填埋</w:t>
            </w:r>
            <w:r>
              <w:rPr>
                <w:rFonts w:hint="default" w:ascii="Times New Roman" w:hAnsi="Times New Roman" w:cs="Times New Roman"/>
                <w:color w:val="auto"/>
                <w:sz w:val="21"/>
                <w:szCs w:val="20"/>
                <w:highlight w:val="none"/>
              </w:rPr>
              <w:t>；</w:t>
            </w:r>
          </w:p>
        </w:tc>
        <w:tc>
          <w:tcPr>
            <w:tcW w:w="1877"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163"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248"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437"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56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废机油、含油抹布手套</w:t>
            </w:r>
          </w:p>
        </w:tc>
        <w:tc>
          <w:tcPr>
            <w:tcW w:w="1708"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机修房产生的废机油、含油抹布手套等危险废物暂存于</w:t>
            </w:r>
            <w:r>
              <w:rPr>
                <w:rFonts w:hint="eastAsia" w:cs="Times New Roman"/>
                <w:color w:val="auto"/>
                <w:sz w:val="21"/>
                <w:szCs w:val="20"/>
                <w:highlight w:val="none"/>
                <w:lang w:val="en-US" w:eastAsia="zh-CN"/>
              </w:rPr>
              <w:t>危险废物暂存间（15m</w:t>
            </w:r>
            <w:r>
              <w:rPr>
                <w:rFonts w:hint="eastAsia" w:cs="Times New Roman"/>
                <w:color w:val="auto"/>
                <w:sz w:val="21"/>
                <w:szCs w:val="20"/>
                <w:highlight w:val="none"/>
                <w:vertAlign w:val="superscript"/>
                <w:lang w:val="en-US" w:eastAsia="zh-CN"/>
              </w:rPr>
              <w:t>2</w:t>
            </w:r>
            <w:r>
              <w:rPr>
                <w:rFonts w:hint="eastAsia" w:cs="Times New Roman"/>
                <w:color w:val="auto"/>
                <w:sz w:val="21"/>
                <w:szCs w:val="20"/>
                <w:highlight w:val="none"/>
                <w:lang w:val="en-US" w:eastAsia="zh-CN"/>
              </w:rPr>
              <w:t>）</w:t>
            </w:r>
            <w:r>
              <w:rPr>
                <w:rFonts w:hint="default" w:ascii="Times New Roman" w:hAnsi="Times New Roman" w:cs="Times New Roman"/>
                <w:color w:val="auto"/>
                <w:sz w:val="21"/>
                <w:szCs w:val="20"/>
                <w:highlight w:val="none"/>
              </w:rPr>
              <w:t>，定期委托危废资质单位处置。</w:t>
            </w:r>
          </w:p>
        </w:tc>
        <w:tc>
          <w:tcPr>
            <w:tcW w:w="1877"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163"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248"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437"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土壤和地下水环境防控措施</w:t>
            </w:r>
          </w:p>
        </w:tc>
        <w:tc>
          <w:tcPr>
            <w:tcW w:w="2273" w:type="pct"/>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重点污染区防渗要求：操作条件下的单位面积渗漏量不大于厚度为6cm，渗透系数≤10</w:t>
            </w:r>
            <w:r>
              <w:rPr>
                <w:rFonts w:hint="default" w:ascii="Times New Roman" w:hAnsi="Times New Roman" w:cs="Times New Roman"/>
                <w:color w:val="auto"/>
                <w:sz w:val="21"/>
                <w:szCs w:val="20"/>
                <w:highlight w:val="none"/>
                <w:vertAlign w:val="superscript"/>
              </w:rPr>
              <w:t>-7</w:t>
            </w:r>
            <w:r>
              <w:rPr>
                <w:rFonts w:hint="default" w:ascii="Times New Roman" w:hAnsi="Times New Roman" w:cs="Times New Roman"/>
                <w:color w:val="auto"/>
                <w:sz w:val="21"/>
                <w:szCs w:val="20"/>
                <w:highlight w:val="none"/>
              </w:rPr>
              <w:t>cm/s，或3cm厚HDPE膜渗透系数K=1×10</w:t>
            </w:r>
            <w:r>
              <w:rPr>
                <w:rFonts w:hint="default" w:ascii="Times New Roman" w:hAnsi="Times New Roman" w:cs="Times New Roman"/>
                <w:color w:val="auto"/>
                <w:sz w:val="21"/>
                <w:szCs w:val="20"/>
                <w:highlight w:val="none"/>
                <w:vertAlign w:val="superscript"/>
              </w:rPr>
              <w:t>-12</w:t>
            </w:r>
            <w:r>
              <w:rPr>
                <w:rFonts w:hint="default" w:ascii="Times New Roman" w:hAnsi="Times New Roman" w:cs="Times New Roman"/>
                <w:color w:val="auto"/>
                <w:sz w:val="21"/>
                <w:szCs w:val="20"/>
                <w:highlight w:val="none"/>
              </w:rPr>
              <w:t>cm/s防渗层的渗透量。</w:t>
            </w:r>
          </w:p>
        </w:tc>
        <w:tc>
          <w:tcPr>
            <w:tcW w:w="1877"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163"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248"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437"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lang w:val="en-US" w:eastAsia="zh-CN"/>
              </w:rPr>
            </w:pPr>
            <w:r>
              <w:rPr>
                <w:rFonts w:hint="default" w:ascii="Times New Roman" w:hAnsi="Times New Roman" w:cs="Times New Roman"/>
                <w:color w:val="auto"/>
                <w:sz w:val="21"/>
                <w:szCs w:val="20"/>
                <w:highlight w:val="none"/>
                <w:lang w:val="en-US" w:eastAsia="zh-CN"/>
              </w:rPr>
              <w:t>在线监测</w:t>
            </w:r>
          </w:p>
        </w:tc>
        <w:tc>
          <w:tcPr>
            <w:tcW w:w="2273" w:type="pct"/>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污水厂进水口设置</w:t>
            </w:r>
            <w:r>
              <w:rPr>
                <w:rFonts w:hint="eastAsia" w:cs="Times New Roman"/>
                <w:color w:val="auto"/>
                <w:sz w:val="21"/>
                <w:szCs w:val="20"/>
                <w:highlight w:val="none"/>
                <w:lang w:val="en-US" w:eastAsia="zh-CN"/>
              </w:rPr>
              <w:t>流量、</w:t>
            </w:r>
            <w:r>
              <w:rPr>
                <w:rFonts w:hint="default" w:ascii="Times New Roman" w:hAnsi="Times New Roman" w:cs="Times New Roman"/>
                <w:color w:val="auto"/>
                <w:sz w:val="21"/>
                <w:szCs w:val="20"/>
                <w:highlight w:val="none"/>
              </w:rPr>
              <w:t>COD、NH</w:t>
            </w:r>
            <w:r>
              <w:rPr>
                <w:rFonts w:hint="default" w:ascii="Times New Roman" w:hAnsi="Times New Roman" w:cs="Times New Roman"/>
                <w:color w:val="auto"/>
                <w:sz w:val="21"/>
                <w:szCs w:val="20"/>
                <w:highlight w:val="none"/>
                <w:vertAlign w:val="subscript"/>
              </w:rPr>
              <w:t>3</w:t>
            </w:r>
            <w:r>
              <w:rPr>
                <w:rFonts w:hint="default" w:ascii="Times New Roman" w:hAnsi="Times New Roman" w:cs="Times New Roman"/>
                <w:color w:val="auto"/>
                <w:sz w:val="21"/>
                <w:szCs w:val="20"/>
                <w:highlight w:val="none"/>
              </w:rPr>
              <w:t>-N在线监测仪。污水厂出水口设置</w:t>
            </w:r>
            <w:r>
              <w:rPr>
                <w:rFonts w:hint="eastAsia" w:cs="Times New Roman"/>
                <w:color w:val="auto"/>
                <w:sz w:val="21"/>
                <w:szCs w:val="20"/>
                <w:highlight w:val="none"/>
                <w:lang w:val="en-US" w:eastAsia="zh-CN"/>
              </w:rPr>
              <w:t>流量、水温、pH、</w:t>
            </w:r>
            <w:r>
              <w:rPr>
                <w:rFonts w:hint="default" w:ascii="Times New Roman" w:hAnsi="Times New Roman" w:cs="Times New Roman"/>
                <w:color w:val="auto"/>
                <w:sz w:val="21"/>
                <w:szCs w:val="20"/>
                <w:highlight w:val="none"/>
              </w:rPr>
              <w:t>COD、NH</w:t>
            </w:r>
            <w:r>
              <w:rPr>
                <w:rFonts w:hint="default" w:ascii="Times New Roman" w:hAnsi="Times New Roman" w:cs="Times New Roman"/>
                <w:color w:val="auto"/>
                <w:sz w:val="21"/>
                <w:szCs w:val="20"/>
                <w:highlight w:val="none"/>
                <w:vertAlign w:val="subscript"/>
              </w:rPr>
              <w:t>3</w:t>
            </w:r>
            <w:r>
              <w:rPr>
                <w:rFonts w:hint="default" w:ascii="Times New Roman" w:hAnsi="Times New Roman" w:cs="Times New Roman"/>
                <w:color w:val="auto"/>
                <w:sz w:val="21"/>
                <w:szCs w:val="20"/>
                <w:highlight w:val="none"/>
              </w:rPr>
              <w:t>-N、TP、TN在线监测仪</w:t>
            </w:r>
          </w:p>
        </w:tc>
        <w:tc>
          <w:tcPr>
            <w:tcW w:w="1877"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lang w:val="en-US" w:eastAsia="zh-CN"/>
              </w:rPr>
            </w:pPr>
            <w:r>
              <w:rPr>
                <w:rFonts w:hint="default" w:ascii="Times New Roman" w:hAnsi="Times New Roman" w:cs="Times New Roman"/>
                <w:color w:val="auto"/>
                <w:sz w:val="21"/>
                <w:szCs w:val="20"/>
                <w:highlight w:val="none"/>
                <w:lang w:val="en-US" w:eastAsia="zh-CN"/>
              </w:rPr>
              <w:t>依托现有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163"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248"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437"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绿化工程</w:t>
            </w:r>
          </w:p>
        </w:tc>
        <w:tc>
          <w:tcPr>
            <w:tcW w:w="4150" w:type="pct"/>
            <w:gridSpan w:val="5"/>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绿化面积共22260.80m</w:t>
            </w:r>
            <w:r>
              <w:rPr>
                <w:rFonts w:hint="default" w:ascii="Times New Roman" w:hAnsi="Times New Roman" w:cs="Times New Roman"/>
                <w:color w:val="auto"/>
                <w:sz w:val="21"/>
                <w:szCs w:val="20"/>
                <w:highlight w:val="none"/>
                <w:vertAlign w:val="superscript"/>
              </w:rPr>
              <w:t>2</w:t>
            </w:r>
            <w:r>
              <w:rPr>
                <w:rFonts w:hint="default" w:ascii="Times New Roman" w:hAnsi="Times New Roman" w:cs="Times New Roman"/>
                <w:color w:val="auto"/>
                <w:sz w:val="21"/>
                <w:szCs w:val="20"/>
                <w:highlight w:val="none"/>
              </w:rPr>
              <w:t>。</w:t>
            </w:r>
          </w:p>
        </w:tc>
      </w:tr>
    </w:tbl>
    <w:p>
      <w:pPr>
        <w:pStyle w:val="16"/>
        <w:rPr>
          <w:rFonts w:hint="default"/>
          <w:color w:val="auto"/>
          <w:highlight w:val="none"/>
        </w:rPr>
        <w:sectPr>
          <w:pgSz w:w="16838" w:h="11906" w:orient="landscape"/>
          <w:pgMar w:top="1304" w:right="1440" w:bottom="1304" w:left="1440" w:header="851" w:footer="992" w:gutter="0"/>
          <w:pgBorders>
            <w:top w:val="none" w:sz="0" w:space="0"/>
            <w:left w:val="none" w:sz="0" w:space="0"/>
            <w:bottom w:val="none" w:sz="0" w:space="0"/>
            <w:right w:val="none" w:sz="0" w:space="0"/>
          </w:pgBorders>
          <w:pgNumType w:fmt="numberInDash"/>
          <w:cols w:space="0" w:num="1"/>
          <w:docGrid w:type="lines" w:linePitch="312" w:charSpace="0"/>
        </w:sectPr>
      </w:pP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主要设备</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本项目主要设备见</w:t>
      </w:r>
      <w:r>
        <w:rPr>
          <w:rFonts w:hint="eastAsia" w:cs="Times New Roman"/>
          <w:color w:val="auto"/>
          <w:highlight w:val="none"/>
          <w:lang w:val="en-US" w:eastAsia="zh-CN"/>
        </w:rPr>
        <w:t>下</w:t>
      </w:r>
      <w:r>
        <w:rPr>
          <w:rFonts w:hint="default" w:ascii="Times New Roman" w:hAnsi="Times New Roman" w:cs="Times New Roman"/>
          <w:color w:val="auto"/>
          <w:highlight w:val="none"/>
        </w:rPr>
        <w:t>表。</w:t>
      </w:r>
    </w:p>
    <w:p>
      <w:pPr>
        <w:spacing w:line="240" w:lineRule="auto"/>
        <w:ind w:firstLine="0" w:firstLineChars="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表3.2-2本项目新增主要设备一览表</w:t>
      </w:r>
    </w:p>
    <w:tbl>
      <w:tblPr>
        <w:tblStyle w:val="57"/>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24"/>
        <w:gridCol w:w="5100"/>
        <w:gridCol w:w="26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序号</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名称</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highlight w:val="none"/>
                <w:lang w:eastAsia="zh-CN"/>
              </w:rPr>
            </w:pPr>
            <w:r>
              <w:rPr>
                <w:rFonts w:hint="eastAsia" w:cs="Times New Roman"/>
                <w:snapToGrid w:val="0"/>
                <w:color w:val="auto"/>
                <w:kern w:val="0"/>
                <w:sz w:val="21"/>
                <w:szCs w:val="21"/>
                <w:highlight w:val="none"/>
                <w:lang w:val="en-US" w:eastAsia="zh-CN"/>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position w:val="-4"/>
                <w:sz w:val="21"/>
                <w:szCs w:val="21"/>
                <w:highlight w:val="none"/>
                <w:lang w:eastAsia="en-US"/>
              </w:rPr>
              <w:t>一</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一体化提</w:t>
            </w:r>
            <w:r>
              <w:rPr>
                <w:rFonts w:hint="default" w:ascii="Times New Roman" w:hAnsi="Times New Roman" w:cs="Times New Roman"/>
                <w:snapToGrid w:val="0"/>
                <w:color w:val="auto"/>
                <w:spacing w:val="6"/>
                <w:kern w:val="0"/>
                <w:sz w:val="21"/>
                <w:szCs w:val="21"/>
                <w:highlight w:val="none"/>
                <w:lang w:eastAsia="en-US"/>
              </w:rPr>
              <w:t>升泵站</w:t>
            </w:r>
          </w:p>
        </w:tc>
        <w:tc>
          <w:tcPr>
            <w:tcW w:w="1439" w:type="pct"/>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Arial" w:cs="Times New Roman"/>
                <w:snapToGrid w:val="0"/>
                <w:color w:val="auto"/>
                <w:kern w:val="0"/>
                <w:sz w:val="21"/>
                <w:szCs w:val="21"/>
                <w:highlight w:val="none"/>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1</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潜污泵</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1"/>
                <w:kern w:val="0"/>
                <w:sz w:val="21"/>
                <w:szCs w:val="21"/>
                <w:highlight w:val="none"/>
                <w:lang w:eastAsia="en-US"/>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二</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7"/>
                <w:kern w:val="0"/>
                <w:sz w:val="21"/>
                <w:szCs w:val="21"/>
                <w:highlight w:val="none"/>
              </w:rPr>
              <w:t>细格栅及旋流沉砂池车间</w:t>
            </w:r>
          </w:p>
        </w:tc>
        <w:tc>
          <w:tcPr>
            <w:tcW w:w="1439" w:type="pct"/>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Arial" w:cs="Times New Roman"/>
                <w:snapToGrid w:val="0"/>
                <w:color w:val="auto"/>
                <w:kern w:val="0"/>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1</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循环式齿</w:t>
            </w:r>
            <w:r>
              <w:rPr>
                <w:rFonts w:hint="default" w:ascii="Times New Roman" w:hAnsi="Times New Roman" w:cs="Times New Roman"/>
                <w:snapToGrid w:val="0"/>
                <w:color w:val="auto"/>
                <w:spacing w:val="8"/>
                <w:kern w:val="0"/>
                <w:sz w:val="21"/>
                <w:szCs w:val="21"/>
                <w:highlight w:val="none"/>
                <w:lang w:eastAsia="en-US"/>
              </w:rPr>
              <w:t>耙清污机</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1"/>
                <w:kern w:val="0"/>
                <w:sz w:val="21"/>
                <w:szCs w:val="21"/>
                <w:highlight w:val="none"/>
                <w:lang w:eastAsia="en-US"/>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2</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螺旋输送压榨机</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3"/>
                <w:kern w:val="0"/>
                <w:sz w:val="21"/>
                <w:szCs w:val="21"/>
                <w:highlight w:val="none"/>
                <w:lang w:eastAsia="en-US"/>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3</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旋流沉砂</w:t>
            </w:r>
            <w:r>
              <w:rPr>
                <w:rFonts w:hint="default" w:ascii="Times New Roman" w:hAnsi="Times New Roman" w:cs="Times New Roman"/>
                <w:snapToGrid w:val="0"/>
                <w:color w:val="auto"/>
                <w:spacing w:val="3"/>
                <w:kern w:val="0"/>
                <w:sz w:val="21"/>
                <w:szCs w:val="21"/>
                <w:highlight w:val="none"/>
                <w:lang w:eastAsia="en-US"/>
              </w:rPr>
              <w:t>设备</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1"/>
                <w:kern w:val="0"/>
                <w:sz w:val="21"/>
                <w:szCs w:val="21"/>
                <w:highlight w:val="none"/>
                <w:lang w:eastAsia="en-US"/>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4</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螺旋式砂水分离器</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3"/>
                <w:kern w:val="0"/>
                <w:sz w:val="21"/>
                <w:szCs w:val="21"/>
                <w:highlight w:val="none"/>
                <w:lang w:eastAsia="en-US"/>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5</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罗茨鼓风</w:t>
            </w:r>
            <w:r>
              <w:rPr>
                <w:rFonts w:hint="default" w:ascii="Times New Roman" w:hAnsi="Times New Roman" w:cs="Times New Roman"/>
                <w:snapToGrid w:val="0"/>
                <w:color w:val="auto"/>
                <w:spacing w:val="2"/>
                <w:kern w:val="0"/>
                <w:sz w:val="21"/>
                <w:szCs w:val="21"/>
                <w:highlight w:val="none"/>
                <w:lang w:eastAsia="en-US"/>
              </w:rPr>
              <w:t>机</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highlight w:val="none"/>
                <w:lang w:eastAsia="zh-CN"/>
              </w:rPr>
            </w:pPr>
            <w:r>
              <w:rPr>
                <w:rFonts w:hint="eastAsia" w:cs="Times New Roman"/>
                <w:snapToGrid w:val="0"/>
                <w:color w:val="auto"/>
                <w:spacing w:val="-3"/>
                <w:kern w:val="0"/>
                <w:sz w:val="21"/>
                <w:szCs w:val="21"/>
                <w:highlight w:val="none"/>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6</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1"/>
                <w:kern w:val="0"/>
                <w:sz w:val="21"/>
                <w:szCs w:val="21"/>
                <w:highlight w:val="none"/>
                <w:lang w:eastAsia="en-US"/>
              </w:rPr>
              <w:t>电动葫芦</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7</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2"/>
                <w:kern w:val="0"/>
                <w:sz w:val="21"/>
                <w:szCs w:val="21"/>
                <w:highlight w:val="none"/>
                <w:lang w:eastAsia="en-US"/>
              </w:rPr>
              <w:t>照明</w:t>
            </w:r>
          </w:p>
        </w:tc>
        <w:tc>
          <w:tcPr>
            <w:tcW w:w="1439" w:type="pct"/>
            <w:vAlign w:val="center"/>
          </w:tcPr>
          <w:p>
            <w:pPr>
              <w:widowControl/>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8</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检修箱</w:t>
            </w:r>
          </w:p>
        </w:tc>
        <w:tc>
          <w:tcPr>
            <w:tcW w:w="1439" w:type="pct"/>
            <w:vAlign w:val="center"/>
          </w:tcPr>
          <w:p>
            <w:pPr>
              <w:widowControl/>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9</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1"/>
                <w:kern w:val="0"/>
                <w:sz w:val="21"/>
                <w:szCs w:val="21"/>
                <w:highlight w:val="none"/>
                <w:lang w:eastAsia="en-US"/>
              </w:rPr>
              <w:t>自控电源</w:t>
            </w:r>
          </w:p>
        </w:tc>
        <w:tc>
          <w:tcPr>
            <w:tcW w:w="1439" w:type="pct"/>
            <w:vAlign w:val="center"/>
          </w:tcPr>
          <w:p>
            <w:pPr>
              <w:widowControl/>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1"/>
                <w:kern w:val="0"/>
                <w:sz w:val="21"/>
                <w:szCs w:val="21"/>
                <w:highlight w:val="none"/>
                <w:lang w:eastAsia="en-US"/>
              </w:rPr>
              <w:t>三</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配水井</w:t>
            </w:r>
          </w:p>
        </w:tc>
        <w:tc>
          <w:tcPr>
            <w:tcW w:w="1439" w:type="pct"/>
            <w:vAlign w:val="center"/>
          </w:tcPr>
          <w:p>
            <w:pPr>
              <w:widowControl/>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1</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启闭机</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highlight w:val="none"/>
                <w:lang w:eastAsia="zh-CN"/>
              </w:rPr>
            </w:pPr>
            <w:r>
              <w:rPr>
                <w:rFonts w:hint="eastAsia" w:cs="Times New Roman"/>
                <w:snapToGrid w:val="0"/>
                <w:color w:val="auto"/>
                <w:spacing w:val="1"/>
                <w:kern w:val="0"/>
                <w:sz w:val="21"/>
                <w:szCs w:val="21"/>
                <w:highlight w:val="none"/>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四</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一体化生</w:t>
            </w:r>
            <w:r>
              <w:rPr>
                <w:rFonts w:hint="default" w:ascii="Times New Roman" w:hAnsi="Times New Roman" w:cs="Times New Roman"/>
                <w:snapToGrid w:val="0"/>
                <w:color w:val="auto"/>
                <w:spacing w:val="4"/>
                <w:kern w:val="0"/>
                <w:sz w:val="21"/>
                <w:szCs w:val="21"/>
                <w:highlight w:val="none"/>
                <w:lang w:eastAsia="en-US"/>
              </w:rPr>
              <w:t>化池</w:t>
            </w:r>
          </w:p>
        </w:tc>
        <w:tc>
          <w:tcPr>
            <w:tcW w:w="1439" w:type="pct"/>
            <w:vAlign w:val="center"/>
          </w:tcPr>
          <w:p>
            <w:pPr>
              <w:widowControl/>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highlight w:val="none"/>
                <w:lang w:val="en-US" w:eastAsia="zh-CN"/>
              </w:rPr>
            </w:pPr>
            <w:r>
              <w:rPr>
                <w:rFonts w:hint="eastAsia" w:eastAsia="宋体" w:cs="Times New Roman"/>
                <w:snapToGrid w:val="0"/>
                <w:color w:val="auto"/>
                <w:kern w:val="0"/>
                <w:sz w:val="21"/>
                <w:szCs w:val="21"/>
                <w:highlight w:val="none"/>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1</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双曲面搅</w:t>
            </w:r>
            <w:r>
              <w:rPr>
                <w:rFonts w:hint="default" w:ascii="Times New Roman" w:hAnsi="Times New Roman" w:cs="Times New Roman"/>
                <w:snapToGrid w:val="0"/>
                <w:color w:val="auto"/>
                <w:spacing w:val="4"/>
                <w:kern w:val="0"/>
                <w:sz w:val="21"/>
                <w:szCs w:val="21"/>
                <w:highlight w:val="none"/>
                <w:lang w:eastAsia="en-US"/>
              </w:rPr>
              <w:t>拌器</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highlight w:val="none"/>
                <w:lang w:eastAsia="zh-CN"/>
              </w:rPr>
            </w:pPr>
            <w:r>
              <w:rPr>
                <w:rFonts w:hint="eastAsia" w:cs="Times New Roman"/>
                <w:snapToGrid w:val="0"/>
                <w:color w:val="auto"/>
                <w:spacing w:val="1"/>
                <w:kern w:val="0"/>
                <w:sz w:val="21"/>
                <w:szCs w:val="21"/>
                <w:highlight w:val="none"/>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2</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8"/>
                <w:kern w:val="0"/>
                <w:sz w:val="21"/>
                <w:szCs w:val="21"/>
                <w:highlight w:val="none"/>
                <w:lang w:eastAsia="en-US"/>
              </w:rPr>
              <w:t>潜水推流</w:t>
            </w:r>
            <w:r>
              <w:rPr>
                <w:rFonts w:hint="default" w:ascii="Times New Roman" w:hAnsi="Times New Roman" w:cs="Times New Roman"/>
                <w:snapToGrid w:val="0"/>
                <w:color w:val="auto"/>
                <w:spacing w:val="1"/>
                <w:kern w:val="0"/>
                <w:sz w:val="21"/>
                <w:szCs w:val="21"/>
                <w:highlight w:val="none"/>
                <w:lang w:eastAsia="en-US"/>
              </w:rPr>
              <w:t>器</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highlight w:val="none"/>
                <w:lang w:eastAsia="zh-CN"/>
              </w:rPr>
            </w:pPr>
            <w:r>
              <w:rPr>
                <w:rFonts w:hint="eastAsia" w:cs="Times New Roman"/>
                <w:snapToGrid w:val="0"/>
                <w:color w:val="auto"/>
                <w:spacing w:val="3"/>
                <w:kern w:val="0"/>
                <w:sz w:val="21"/>
                <w:szCs w:val="21"/>
                <w:highlight w:val="none"/>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3</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剩余污泥</w:t>
            </w:r>
            <w:r>
              <w:rPr>
                <w:rFonts w:hint="default" w:ascii="Times New Roman" w:hAnsi="Times New Roman" w:cs="Times New Roman"/>
                <w:snapToGrid w:val="0"/>
                <w:color w:val="auto"/>
                <w:kern w:val="0"/>
                <w:sz w:val="21"/>
                <w:szCs w:val="21"/>
                <w:highlight w:val="none"/>
                <w:lang w:eastAsia="en-US"/>
              </w:rPr>
              <w:t>泵</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highlight w:val="none"/>
                <w:lang w:eastAsia="zh-CN"/>
              </w:rPr>
            </w:pPr>
            <w:r>
              <w:rPr>
                <w:rFonts w:hint="eastAsia" w:cs="Times New Roman"/>
                <w:snapToGrid w:val="0"/>
                <w:color w:val="auto"/>
                <w:spacing w:val="1"/>
                <w:kern w:val="0"/>
                <w:sz w:val="21"/>
                <w:szCs w:val="21"/>
                <w:highlight w:val="none"/>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4</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1"/>
                <w:kern w:val="0"/>
                <w:sz w:val="21"/>
                <w:szCs w:val="21"/>
                <w:highlight w:val="none"/>
                <w:lang w:eastAsia="en-US"/>
              </w:rPr>
              <w:t>自控电源</w:t>
            </w:r>
          </w:p>
        </w:tc>
        <w:tc>
          <w:tcPr>
            <w:tcW w:w="1439" w:type="pct"/>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Arial" w:cs="Times New Roman"/>
                <w:snapToGrid w:val="0"/>
                <w:color w:val="auto"/>
                <w:kern w:val="0"/>
                <w:sz w:val="21"/>
                <w:szCs w:val="21"/>
                <w:highlight w:val="none"/>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5</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刮泥机</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highlight w:val="none"/>
                <w:lang w:eastAsia="zh-CN"/>
              </w:rPr>
            </w:pPr>
            <w:r>
              <w:rPr>
                <w:rFonts w:hint="eastAsia" w:cs="Times New Roman"/>
                <w:snapToGrid w:val="0"/>
                <w:color w:val="auto"/>
                <w:spacing w:val="1"/>
                <w:kern w:val="0"/>
                <w:sz w:val="21"/>
                <w:szCs w:val="21"/>
                <w:highlight w:val="none"/>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6</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污泥回流</w:t>
            </w:r>
            <w:r>
              <w:rPr>
                <w:rFonts w:hint="default" w:ascii="Times New Roman" w:hAnsi="Times New Roman" w:cs="Times New Roman"/>
                <w:snapToGrid w:val="0"/>
                <w:color w:val="auto"/>
                <w:kern w:val="0"/>
                <w:sz w:val="21"/>
                <w:szCs w:val="21"/>
                <w:highlight w:val="none"/>
                <w:lang w:eastAsia="en-US"/>
              </w:rPr>
              <w:t>泵</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highlight w:val="none"/>
                <w:lang w:eastAsia="zh-CN"/>
              </w:rPr>
            </w:pPr>
            <w:r>
              <w:rPr>
                <w:rFonts w:hint="eastAsia" w:cs="Times New Roman"/>
                <w:snapToGrid w:val="0"/>
                <w:color w:val="auto"/>
                <w:spacing w:val="3"/>
                <w:kern w:val="0"/>
                <w:sz w:val="21"/>
                <w:szCs w:val="21"/>
                <w:highlight w:val="none"/>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五</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鼓风机房新增鼓风</w:t>
            </w:r>
            <w:r>
              <w:rPr>
                <w:rFonts w:hint="default" w:ascii="Times New Roman" w:hAnsi="Times New Roman" w:cs="Times New Roman"/>
                <w:snapToGrid w:val="0"/>
                <w:color w:val="auto"/>
                <w:spacing w:val="2"/>
                <w:kern w:val="0"/>
                <w:sz w:val="21"/>
                <w:szCs w:val="21"/>
                <w:highlight w:val="none"/>
                <w:lang w:eastAsia="en-US"/>
              </w:rPr>
              <w:t>机</w:t>
            </w:r>
          </w:p>
        </w:tc>
        <w:tc>
          <w:tcPr>
            <w:tcW w:w="1439" w:type="pct"/>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Arial" w:cs="Times New Roman"/>
                <w:snapToGrid w:val="0"/>
                <w:color w:val="auto"/>
                <w:kern w:val="0"/>
                <w:sz w:val="21"/>
                <w:szCs w:val="21"/>
                <w:highlight w:val="none"/>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1</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悬浮鼓风</w:t>
            </w:r>
            <w:r>
              <w:rPr>
                <w:rFonts w:hint="default" w:ascii="Times New Roman" w:hAnsi="Times New Roman" w:cs="Times New Roman"/>
                <w:snapToGrid w:val="0"/>
                <w:color w:val="auto"/>
                <w:spacing w:val="2"/>
                <w:kern w:val="0"/>
                <w:sz w:val="21"/>
                <w:szCs w:val="21"/>
                <w:highlight w:val="none"/>
                <w:lang w:eastAsia="en-US"/>
              </w:rPr>
              <w:t>机</w:t>
            </w:r>
          </w:p>
        </w:tc>
        <w:tc>
          <w:tcPr>
            <w:tcW w:w="1439" w:type="pct"/>
            <w:vAlign w:val="center"/>
          </w:tcPr>
          <w:p>
            <w:pPr>
              <w:pStyle w:val="49"/>
              <w:rPr>
                <w:rFonts w:hint="eastAsia" w:eastAsia="宋体"/>
                <w:color w:val="auto"/>
                <w:highlight w:val="none"/>
                <w:lang w:val="en-US" w:eastAsia="zh-CN"/>
              </w:rPr>
            </w:pPr>
            <w:r>
              <w:rPr>
                <w:rFonts w:hint="eastAsia"/>
                <w:color w:val="auto"/>
                <w:highlight w:val="none"/>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六</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高效沉淀</w:t>
            </w:r>
            <w:r>
              <w:rPr>
                <w:rFonts w:hint="default" w:ascii="Times New Roman" w:hAnsi="Times New Roman" w:cs="Times New Roman"/>
                <w:snapToGrid w:val="0"/>
                <w:color w:val="auto"/>
                <w:spacing w:val="5"/>
                <w:kern w:val="0"/>
                <w:sz w:val="21"/>
                <w:szCs w:val="21"/>
                <w:highlight w:val="none"/>
                <w:lang w:eastAsia="en-US"/>
              </w:rPr>
              <w:t>池间</w:t>
            </w:r>
          </w:p>
        </w:tc>
        <w:tc>
          <w:tcPr>
            <w:tcW w:w="1439" w:type="pct"/>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Arial" w:cs="Times New Roman"/>
                <w:snapToGrid w:val="0"/>
                <w:color w:val="auto"/>
                <w:kern w:val="0"/>
                <w:sz w:val="21"/>
                <w:szCs w:val="21"/>
                <w:highlight w:val="none"/>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1</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混合反应池搅拌机</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highlight w:val="none"/>
                <w:lang w:eastAsia="zh-CN"/>
              </w:rPr>
            </w:pPr>
            <w:r>
              <w:rPr>
                <w:rFonts w:hint="eastAsia" w:cs="Times New Roman"/>
                <w:snapToGrid w:val="0"/>
                <w:color w:val="auto"/>
                <w:spacing w:val="1"/>
                <w:kern w:val="0"/>
                <w:sz w:val="21"/>
                <w:szCs w:val="21"/>
                <w:highlight w:val="none"/>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2</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絮凝反应</w:t>
            </w:r>
            <w:r>
              <w:rPr>
                <w:rFonts w:hint="default" w:ascii="Times New Roman" w:hAnsi="Times New Roman" w:cs="Times New Roman"/>
                <w:snapToGrid w:val="0"/>
                <w:color w:val="auto"/>
                <w:spacing w:val="7"/>
                <w:kern w:val="0"/>
                <w:sz w:val="21"/>
                <w:szCs w:val="21"/>
                <w:highlight w:val="none"/>
                <w:lang w:eastAsia="en-US"/>
              </w:rPr>
              <w:t>池搅拌机</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highlight w:val="none"/>
                <w:lang w:eastAsia="zh-CN"/>
              </w:rPr>
            </w:pPr>
            <w:r>
              <w:rPr>
                <w:rFonts w:hint="eastAsia" w:cs="Times New Roman"/>
                <w:snapToGrid w:val="0"/>
                <w:color w:val="auto"/>
                <w:spacing w:val="1"/>
                <w:kern w:val="0"/>
                <w:sz w:val="21"/>
                <w:szCs w:val="21"/>
                <w:highlight w:val="none"/>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3</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3"/>
                <w:kern w:val="0"/>
                <w:sz w:val="21"/>
                <w:szCs w:val="21"/>
                <w:highlight w:val="none"/>
                <w:lang w:eastAsia="en-US"/>
              </w:rPr>
              <w:t>中心传动</w:t>
            </w:r>
            <w:r>
              <w:rPr>
                <w:rFonts w:hint="default" w:ascii="Times New Roman" w:hAnsi="Times New Roman" w:cs="Times New Roman"/>
                <w:snapToGrid w:val="0"/>
                <w:color w:val="auto"/>
                <w:spacing w:val="7"/>
                <w:kern w:val="0"/>
                <w:sz w:val="21"/>
                <w:szCs w:val="21"/>
                <w:highlight w:val="none"/>
                <w:lang w:eastAsia="en-US"/>
              </w:rPr>
              <w:t>污泥浓缩</w:t>
            </w:r>
            <w:r>
              <w:rPr>
                <w:rFonts w:hint="default" w:ascii="Times New Roman" w:hAnsi="Times New Roman" w:cs="Times New Roman"/>
                <w:snapToGrid w:val="0"/>
                <w:color w:val="auto"/>
                <w:spacing w:val="2"/>
                <w:kern w:val="0"/>
                <w:sz w:val="21"/>
                <w:szCs w:val="21"/>
                <w:highlight w:val="none"/>
                <w:lang w:eastAsia="en-US"/>
              </w:rPr>
              <w:t>机</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highlight w:val="none"/>
                <w:lang w:eastAsia="zh-CN"/>
              </w:rPr>
            </w:pPr>
            <w:r>
              <w:rPr>
                <w:rFonts w:hint="eastAsia" w:cs="Times New Roman"/>
                <w:snapToGrid w:val="0"/>
                <w:color w:val="auto"/>
                <w:spacing w:val="1"/>
                <w:kern w:val="0"/>
                <w:sz w:val="21"/>
                <w:szCs w:val="21"/>
                <w:highlight w:val="none"/>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4</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污泥回流</w:t>
            </w:r>
            <w:r>
              <w:rPr>
                <w:rFonts w:hint="default" w:ascii="Times New Roman" w:hAnsi="Times New Roman" w:cs="Times New Roman"/>
                <w:snapToGrid w:val="0"/>
                <w:color w:val="auto"/>
                <w:kern w:val="0"/>
                <w:sz w:val="21"/>
                <w:szCs w:val="21"/>
                <w:highlight w:val="none"/>
                <w:lang w:eastAsia="en-US"/>
              </w:rPr>
              <w:t>泵</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highlight w:val="none"/>
                <w:lang w:eastAsia="zh-CN"/>
              </w:rPr>
            </w:pPr>
            <w:r>
              <w:rPr>
                <w:rFonts w:hint="eastAsia" w:cs="Times New Roman"/>
                <w:snapToGrid w:val="0"/>
                <w:color w:val="auto"/>
                <w:spacing w:val="3"/>
                <w:kern w:val="0"/>
                <w:sz w:val="21"/>
                <w:szCs w:val="21"/>
                <w:highlight w:val="none"/>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5</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剩余排泥</w:t>
            </w:r>
            <w:r>
              <w:rPr>
                <w:rFonts w:hint="default" w:ascii="Times New Roman" w:hAnsi="Times New Roman" w:cs="Times New Roman"/>
                <w:snapToGrid w:val="0"/>
                <w:color w:val="auto"/>
                <w:kern w:val="0"/>
                <w:sz w:val="21"/>
                <w:szCs w:val="21"/>
                <w:highlight w:val="none"/>
                <w:lang w:eastAsia="en-US"/>
              </w:rPr>
              <w:t>泵</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highlight w:val="none"/>
                <w:lang w:eastAsia="zh-CN"/>
              </w:rPr>
            </w:pPr>
            <w:r>
              <w:rPr>
                <w:rFonts w:hint="eastAsia" w:cs="Times New Roman"/>
                <w:snapToGrid w:val="0"/>
                <w:color w:val="auto"/>
                <w:spacing w:val="1"/>
                <w:kern w:val="0"/>
                <w:sz w:val="21"/>
                <w:szCs w:val="21"/>
                <w:highlight w:val="none"/>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6</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1"/>
                <w:kern w:val="0"/>
                <w:sz w:val="21"/>
                <w:szCs w:val="21"/>
                <w:highlight w:val="none"/>
                <w:lang w:eastAsia="en-US"/>
              </w:rPr>
              <w:t>电动葫芦</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7</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2"/>
                <w:kern w:val="0"/>
                <w:sz w:val="21"/>
                <w:szCs w:val="21"/>
                <w:highlight w:val="none"/>
                <w:lang w:eastAsia="en-US"/>
              </w:rPr>
              <w:t>照明</w:t>
            </w:r>
          </w:p>
        </w:tc>
        <w:tc>
          <w:tcPr>
            <w:tcW w:w="1439" w:type="pct"/>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Arial" w:cs="Times New Roman"/>
                <w:snapToGrid w:val="0"/>
                <w:color w:val="auto"/>
                <w:kern w:val="0"/>
                <w:sz w:val="21"/>
                <w:szCs w:val="21"/>
                <w:highlight w:val="none"/>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8</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检修箱</w:t>
            </w:r>
          </w:p>
        </w:tc>
        <w:tc>
          <w:tcPr>
            <w:tcW w:w="1439" w:type="pct"/>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Arial" w:cs="Times New Roman"/>
                <w:snapToGrid w:val="0"/>
                <w:color w:val="auto"/>
                <w:kern w:val="0"/>
                <w:sz w:val="21"/>
                <w:szCs w:val="21"/>
                <w:highlight w:val="none"/>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9</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1"/>
                <w:kern w:val="0"/>
                <w:sz w:val="21"/>
                <w:szCs w:val="21"/>
                <w:highlight w:val="none"/>
                <w:lang w:eastAsia="en-US"/>
              </w:rPr>
              <w:t>自控电源</w:t>
            </w:r>
          </w:p>
        </w:tc>
        <w:tc>
          <w:tcPr>
            <w:tcW w:w="1439" w:type="pct"/>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Arial" w:cs="Times New Roman"/>
                <w:snapToGrid w:val="0"/>
                <w:color w:val="auto"/>
                <w:kern w:val="0"/>
                <w:sz w:val="21"/>
                <w:szCs w:val="21"/>
                <w:highlight w:val="none"/>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2"/>
                <w:kern w:val="0"/>
                <w:sz w:val="21"/>
                <w:szCs w:val="21"/>
                <w:highlight w:val="none"/>
                <w:lang w:eastAsia="en-US"/>
              </w:rPr>
              <w:t>七</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反硝化深</w:t>
            </w:r>
            <w:r>
              <w:rPr>
                <w:rFonts w:hint="default" w:ascii="Times New Roman" w:hAnsi="Times New Roman" w:cs="Times New Roman"/>
                <w:snapToGrid w:val="0"/>
                <w:color w:val="auto"/>
                <w:spacing w:val="8"/>
                <w:kern w:val="0"/>
                <w:sz w:val="21"/>
                <w:szCs w:val="21"/>
                <w:highlight w:val="none"/>
                <w:lang w:eastAsia="en-US"/>
              </w:rPr>
              <w:t>床滤池车</w:t>
            </w:r>
            <w:r>
              <w:rPr>
                <w:rFonts w:hint="default" w:ascii="Times New Roman" w:hAnsi="Times New Roman" w:cs="Times New Roman"/>
                <w:snapToGrid w:val="0"/>
                <w:color w:val="auto"/>
                <w:kern w:val="0"/>
                <w:sz w:val="21"/>
                <w:szCs w:val="21"/>
                <w:highlight w:val="none"/>
                <w:lang w:eastAsia="en-US"/>
              </w:rPr>
              <w:t>间</w:t>
            </w:r>
          </w:p>
        </w:tc>
        <w:tc>
          <w:tcPr>
            <w:tcW w:w="1439" w:type="pct"/>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Arial" w:cs="Times New Roman"/>
                <w:snapToGrid w:val="0"/>
                <w:color w:val="auto"/>
                <w:kern w:val="0"/>
                <w:sz w:val="21"/>
                <w:szCs w:val="21"/>
                <w:highlight w:val="none"/>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1</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折板桨搅</w:t>
            </w:r>
            <w:r>
              <w:rPr>
                <w:rFonts w:hint="default" w:ascii="Times New Roman" w:hAnsi="Times New Roman" w:cs="Times New Roman"/>
                <w:snapToGrid w:val="0"/>
                <w:color w:val="auto"/>
                <w:spacing w:val="4"/>
                <w:kern w:val="0"/>
                <w:sz w:val="21"/>
                <w:szCs w:val="21"/>
                <w:highlight w:val="none"/>
                <w:lang w:eastAsia="en-US"/>
              </w:rPr>
              <w:t>拌机</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highlight w:val="none"/>
                <w:lang w:eastAsia="zh-CN"/>
              </w:rPr>
            </w:pPr>
            <w:r>
              <w:rPr>
                <w:rFonts w:hint="eastAsia" w:cs="Times New Roman"/>
                <w:snapToGrid w:val="0"/>
                <w:color w:val="auto"/>
                <w:spacing w:val="1"/>
                <w:kern w:val="0"/>
                <w:sz w:val="21"/>
                <w:szCs w:val="21"/>
                <w:highlight w:val="none"/>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2</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反冲洗泵</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highlight w:val="none"/>
                <w:lang w:eastAsia="zh-CN"/>
              </w:rPr>
            </w:pPr>
            <w:r>
              <w:rPr>
                <w:rFonts w:hint="eastAsia" w:cs="Times New Roman"/>
                <w:snapToGrid w:val="0"/>
                <w:color w:val="auto"/>
                <w:spacing w:val="-3"/>
                <w:kern w:val="0"/>
                <w:sz w:val="21"/>
                <w:szCs w:val="21"/>
                <w:highlight w:val="none"/>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3</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罗茨风机</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highlight w:val="none"/>
                <w:lang w:eastAsia="zh-CN"/>
              </w:rPr>
            </w:pPr>
            <w:r>
              <w:rPr>
                <w:rFonts w:hint="eastAsia" w:cs="Times New Roman"/>
                <w:snapToGrid w:val="0"/>
                <w:color w:val="auto"/>
                <w:spacing w:val="1"/>
                <w:kern w:val="0"/>
                <w:sz w:val="21"/>
                <w:szCs w:val="21"/>
                <w:highlight w:val="none"/>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4</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5"/>
                <w:kern w:val="0"/>
                <w:sz w:val="21"/>
                <w:szCs w:val="21"/>
                <w:highlight w:val="none"/>
                <w:lang w:eastAsia="en-US"/>
              </w:rPr>
              <w:t>空压机</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highlight w:val="none"/>
                <w:lang w:eastAsia="zh-CN"/>
              </w:rPr>
            </w:pPr>
            <w:r>
              <w:rPr>
                <w:rFonts w:hint="eastAsia" w:cs="Times New Roman"/>
                <w:snapToGrid w:val="0"/>
                <w:color w:val="auto"/>
                <w:spacing w:val="-3"/>
                <w:kern w:val="0"/>
                <w:sz w:val="21"/>
                <w:szCs w:val="21"/>
                <w:highlight w:val="none"/>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6</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1"/>
                <w:kern w:val="0"/>
                <w:sz w:val="21"/>
                <w:szCs w:val="21"/>
                <w:highlight w:val="none"/>
                <w:lang w:eastAsia="en-US"/>
              </w:rPr>
              <w:t>电动葫芦</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highlight w:val="none"/>
                <w:lang w:eastAsia="zh-CN"/>
              </w:rPr>
            </w:pPr>
            <w:r>
              <w:rPr>
                <w:rFonts w:hint="eastAsia" w:cs="Times New Roman"/>
                <w:snapToGrid w:val="0"/>
                <w:color w:val="auto"/>
                <w:spacing w:val="-3"/>
                <w:kern w:val="0"/>
                <w:sz w:val="21"/>
                <w:szCs w:val="21"/>
                <w:highlight w:val="none"/>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7</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2"/>
                <w:kern w:val="0"/>
                <w:sz w:val="21"/>
                <w:szCs w:val="21"/>
                <w:highlight w:val="none"/>
                <w:lang w:eastAsia="en-US"/>
              </w:rPr>
              <w:t>照明</w:t>
            </w:r>
          </w:p>
        </w:tc>
        <w:tc>
          <w:tcPr>
            <w:tcW w:w="1439" w:type="pct"/>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Arial" w:cs="Times New Roman"/>
                <w:snapToGrid w:val="0"/>
                <w:color w:val="auto"/>
                <w:kern w:val="0"/>
                <w:sz w:val="21"/>
                <w:szCs w:val="21"/>
                <w:highlight w:val="none"/>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8</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检修箱</w:t>
            </w:r>
          </w:p>
        </w:tc>
        <w:tc>
          <w:tcPr>
            <w:tcW w:w="1439" w:type="pct"/>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Arial" w:cs="Times New Roman"/>
                <w:snapToGrid w:val="0"/>
                <w:color w:val="auto"/>
                <w:kern w:val="0"/>
                <w:sz w:val="21"/>
                <w:szCs w:val="21"/>
                <w:highlight w:val="none"/>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9</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1"/>
                <w:kern w:val="0"/>
                <w:sz w:val="21"/>
                <w:szCs w:val="21"/>
                <w:highlight w:val="none"/>
                <w:lang w:eastAsia="en-US"/>
              </w:rPr>
              <w:t>自控电源</w:t>
            </w:r>
          </w:p>
        </w:tc>
        <w:tc>
          <w:tcPr>
            <w:tcW w:w="1439" w:type="pct"/>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Arial" w:cs="Times New Roman"/>
                <w:snapToGrid w:val="0"/>
                <w:color w:val="auto"/>
                <w:kern w:val="0"/>
                <w:sz w:val="21"/>
                <w:szCs w:val="21"/>
                <w:highlight w:val="none"/>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八</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厂区废水</w:t>
            </w:r>
            <w:r>
              <w:rPr>
                <w:rFonts w:hint="default" w:ascii="Times New Roman" w:hAnsi="Times New Roman" w:cs="Times New Roman"/>
                <w:snapToGrid w:val="0"/>
                <w:color w:val="auto"/>
                <w:spacing w:val="1"/>
                <w:kern w:val="0"/>
                <w:sz w:val="21"/>
                <w:szCs w:val="21"/>
                <w:highlight w:val="none"/>
                <w:lang w:eastAsia="en-US"/>
              </w:rPr>
              <w:t>池</w:t>
            </w:r>
          </w:p>
        </w:tc>
        <w:tc>
          <w:tcPr>
            <w:tcW w:w="1439" w:type="pct"/>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Arial" w:cs="Times New Roman"/>
                <w:snapToGrid w:val="0"/>
                <w:color w:val="auto"/>
                <w:kern w:val="0"/>
                <w:sz w:val="21"/>
                <w:szCs w:val="21"/>
                <w:highlight w:val="none"/>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cs="Times New Roman"/>
                <w:snapToGrid w:val="0"/>
                <w:color w:val="auto"/>
                <w:kern w:val="0"/>
                <w:sz w:val="21"/>
                <w:szCs w:val="21"/>
                <w:highlight w:val="none"/>
                <w:lang w:eastAsia="en-US"/>
              </w:rPr>
              <w:t>九</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潜污泵</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3"/>
                <w:kern w:val="0"/>
                <w:sz w:val="21"/>
                <w:szCs w:val="21"/>
                <w:highlight w:val="none"/>
                <w:lang w:eastAsia="en-US"/>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en-US" w:bidi="ar-SA"/>
              </w:rPr>
            </w:pPr>
            <w:r>
              <w:rPr>
                <w:rFonts w:hint="default" w:ascii="Times New Roman" w:hAnsi="Times New Roman" w:cs="Times New Roman"/>
                <w:snapToGrid w:val="0"/>
                <w:color w:val="auto"/>
                <w:kern w:val="0"/>
                <w:sz w:val="21"/>
                <w:szCs w:val="21"/>
                <w:highlight w:val="none"/>
                <w:lang w:eastAsia="en-US"/>
              </w:rPr>
              <w:t>十</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新增污泥脱水设备</w:t>
            </w:r>
          </w:p>
        </w:tc>
        <w:tc>
          <w:tcPr>
            <w:tcW w:w="1439" w:type="pct"/>
            <w:vAlign w:val="center"/>
          </w:tcPr>
          <w:p>
            <w:pPr>
              <w:widowControl/>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highlight w:val="none"/>
                <w:lang w:eastAsia="zh-CN"/>
              </w:rPr>
            </w:pPr>
            <w:r>
              <w:rPr>
                <w:rFonts w:hint="eastAsia" w:cs="Times New Roman"/>
                <w:snapToGrid w:val="0"/>
                <w:color w:val="auto"/>
                <w:spacing w:val="-3"/>
                <w:kern w:val="0"/>
                <w:sz w:val="21"/>
                <w:szCs w:val="21"/>
                <w:highlight w:val="none"/>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十一</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1"/>
                <w:kern w:val="0"/>
                <w:sz w:val="21"/>
                <w:szCs w:val="21"/>
                <w:highlight w:val="none"/>
              </w:rPr>
              <w:t>新增消毒、</w:t>
            </w:r>
            <w:r>
              <w:rPr>
                <w:rFonts w:hint="default" w:ascii="Times New Roman" w:hAnsi="Times New Roman" w:cs="Times New Roman"/>
                <w:snapToGrid w:val="0"/>
                <w:color w:val="auto"/>
                <w:spacing w:val="5"/>
                <w:kern w:val="0"/>
                <w:sz w:val="21"/>
                <w:szCs w:val="21"/>
                <w:highlight w:val="none"/>
              </w:rPr>
              <w:t>漏氯吸收中和装置</w:t>
            </w:r>
            <w:r>
              <w:rPr>
                <w:rFonts w:hint="default" w:ascii="Times New Roman" w:hAnsi="Times New Roman" w:cs="Times New Roman"/>
                <w:snapToGrid w:val="0"/>
                <w:color w:val="auto"/>
                <w:spacing w:val="7"/>
                <w:kern w:val="0"/>
                <w:sz w:val="21"/>
                <w:szCs w:val="21"/>
                <w:highlight w:val="none"/>
              </w:rPr>
              <w:t>加药系统</w:t>
            </w:r>
          </w:p>
        </w:tc>
        <w:tc>
          <w:tcPr>
            <w:tcW w:w="1439" w:type="pct"/>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Arial" w:cs="Times New Roman"/>
                <w:snapToGrid w:val="0"/>
                <w:color w:val="auto"/>
                <w:kern w:val="0"/>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1</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1"/>
                <w:kern w:val="0"/>
                <w:sz w:val="21"/>
                <w:szCs w:val="21"/>
                <w:highlight w:val="none"/>
              </w:rPr>
              <w:t>电解槽用</w:t>
            </w:r>
            <w:r>
              <w:rPr>
                <w:rFonts w:hint="default" w:ascii="Times New Roman" w:hAnsi="Times New Roman" w:cs="Times New Roman"/>
                <w:snapToGrid w:val="0"/>
                <w:color w:val="auto"/>
                <w:spacing w:val="7"/>
                <w:kern w:val="0"/>
                <w:sz w:val="21"/>
                <w:szCs w:val="21"/>
                <w:highlight w:val="none"/>
              </w:rPr>
              <w:t>水预处理</w:t>
            </w:r>
            <w:r>
              <w:rPr>
                <w:rFonts w:hint="default" w:ascii="Times New Roman" w:hAnsi="Times New Roman" w:cs="Times New Roman"/>
                <w:snapToGrid w:val="0"/>
                <w:color w:val="auto"/>
                <w:spacing w:val="3"/>
                <w:kern w:val="0"/>
                <w:sz w:val="21"/>
                <w:szCs w:val="21"/>
                <w:highlight w:val="none"/>
              </w:rPr>
              <w:t>系统</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highlight w:val="none"/>
                <w:lang w:eastAsia="zh-CN"/>
              </w:rPr>
            </w:pPr>
            <w:r>
              <w:rPr>
                <w:rFonts w:hint="eastAsia" w:cs="Times New Roman"/>
                <w:snapToGrid w:val="0"/>
                <w:color w:val="auto"/>
                <w:spacing w:val="-3"/>
                <w:kern w:val="0"/>
                <w:sz w:val="21"/>
                <w:szCs w:val="21"/>
                <w:highlight w:val="none"/>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2</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spacing w:val="1"/>
                <w:kern w:val="0"/>
                <w:sz w:val="21"/>
                <w:szCs w:val="21"/>
                <w:highlight w:val="none"/>
              </w:rPr>
              <w:t>电解槽用</w:t>
            </w:r>
            <w:r>
              <w:rPr>
                <w:rFonts w:hint="default" w:ascii="Times New Roman" w:hAnsi="Times New Roman" w:cs="Times New Roman"/>
                <w:snapToGrid w:val="0"/>
                <w:color w:val="auto"/>
                <w:spacing w:val="7"/>
                <w:kern w:val="0"/>
                <w:sz w:val="21"/>
                <w:szCs w:val="21"/>
                <w:highlight w:val="none"/>
              </w:rPr>
              <w:t>水预处理</w:t>
            </w:r>
            <w:r>
              <w:rPr>
                <w:rFonts w:hint="default" w:ascii="Times New Roman" w:hAnsi="Times New Roman" w:cs="Times New Roman"/>
                <w:snapToGrid w:val="0"/>
                <w:color w:val="auto"/>
                <w:spacing w:val="3"/>
                <w:kern w:val="0"/>
                <w:sz w:val="21"/>
                <w:szCs w:val="21"/>
                <w:highlight w:val="none"/>
              </w:rPr>
              <w:t>系统</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highlight w:val="none"/>
                <w:lang w:eastAsia="zh-CN"/>
              </w:rPr>
            </w:pPr>
            <w:r>
              <w:rPr>
                <w:rFonts w:hint="eastAsia" w:cs="Times New Roman"/>
                <w:snapToGrid w:val="0"/>
                <w:color w:val="auto"/>
                <w:spacing w:val="-3"/>
                <w:kern w:val="0"/>
                <w:sz w:val="21"/>
                <w:szCs w:val="21"/>
                <w:highlight w:val="none"/>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3</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磁力泵</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4</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漏氯吸收</w:t>
            </w:r>
            <w:r>
              <w:rPr>
                <w:rFonts w:hint="default" w:ascii="Times New Roman" w:hAnsi="Times New Roman" w:cs="Times New Roman"/>
                <w:snapToGrid w:val="0"/>
                <w:color w:val="auto"/>
                <w:spacing w:val="3"/>
                <w:kern w:val="0"/>
                <w:sz w:val="21"/>
                <w:szCs w:val="21"/>
                <w:highlight w:val="none"/>
                <w:lang w:eastAsia="en-US"/>
              </w:rPr>
              <w:t>中和装置</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highlight w:val="none"/>
                <w:lang w:eastAsia="zh-CN"/>
              </w:rPr>
            </w:pPr>
            <w:r>
              <w:rPr>
                <w:rFonts w:hint="eastAsia" w:cs="Times New Roman"/>
                <w:snapToGrid w:val="0"/>
                <w:color w:val="auto"/>
                <w:spacing w:val="-3"/>
                <w:kern w:val="0"/>
                <w:sz w:val="21"/>
                <w:szCs w:val="21"/>
                <w:highlight w:val="none"/>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5</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4"/>
                <w:kern w:val="0"/>
                <w:sz w:val="21"/>
                <w:szCs w:val="21"/>
                <w:highlight w:val="none"/>
                <w:lang w:eastAsia="en-US"/>
              </w:rPr>
              <w:t>风机</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highlight w:val="none"/>
                <w:lang w:eastAsia="zh-CN"/>
              </w:rPr>
            </w:pPr>
            <w:r>
              <w:rPr>
                <w:rFonts w:hint="eastAsia" w:cs="Times New Roman"/>
                <w:snapToGrid w:val="0"/>
                <w:color w:val="auto"/>
                <w:spacing w:val="-3"/>
                <w:kern w:val="0"/>
                <w:sz w:val="21"/>
                <w:szCs w:val="21"/>
                <w:highlight w:val="none"/>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6</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耐腐蚀泵</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highlight w:val="none"/>
                <w:lang w:eastAsia="zh-CN"/>
              </w:rPr>
            </w:pPr>
            <w:r>
              <w:rPr>
                <w:rFonts w:hint="eastAsia" w:cs="Times New Roman"/>
                <w:snapToGrid w:val="0"/>
                <w:color w:val="auto"/>
                <w:spacing w:val="-3"/>
                <w:kern w:val="0"/>
                <w:sz w:val="21"/>
                <w:szCs w:val="21"/>
                <w:highlight w:val="none"/>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7</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eastAsia" w:cs="Times New Roman"/>
                <w:snapToGrid w:val="0"/>
                <w:color w:val="auto"/>
                <w:kern w:val="0"/>
                <w:sz w:val="21"/>
                <w:szCs w:val="21"/>
                <w:highlight w:val="none"/>
                <w:lang w:eastAsia="zh-CN"/>
              </w:rPr>
              <w:t>Pa</w:t>
            </w:r>
            <w:r>
              <w:rPr>
                <w:rFonts w:hint="default" w:ascii="Times New Roman" w:hAnsi="Times New Roman" w:cs="Times New Roman"/>
                <w:snapToGrid w:val="0"/>
                <w:color w:val="auto"/>
                <w:kern w:val="0"/>
                <w:sz w:val="21"/>
                <w:szCs w:val="21"/>
                <w:highlight w:val="none"/>
              </w:rPr>
              <w:t>C</w:t>
            </w:r>
            <w:r>
              <w:rPr>
                <w:rFonts w:hint="default" w:ascii="Times New Roman" w:hAnsi="Times New Roman" w:cs="Times New Roman"/>
                <w:snapToGrid w:val="0"/>
                <w:color w:val="auto"/>
                <w:spacing w:val="10"/>
                <w:kern w:val="0"/>
                <w:sz w:val="21"/>
                <w:szCs w:val="21"/>
                <w:highlight w:val="none"/>
              </w:rPr>
              <w:t>制备及</w:t>
            </w:r>
            <w:r>
              <w:rPr>
                <w:rFonts w:hint="default" w:ascii="Times New Roman" w:hAnsi="Times New Roman" w:cs="Times New Roman"/>
                <w:snapToGrid w:val="0"/>
                <w:color w:val="auto"/>
                <w:spacing w:val="7"/>
                <w:kern w:val="0"/>
                <w:sz w:val="21"/>
                <w:szCs w:val="21"/>
                <w:highlight w:val="none"/>
              </w:rPr>
              <w:t>投加系统</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highlight w:val="none"/>
                <w:lang w:eastAsia="zh-CN"/>
              </w:rPr>
            </w:pPr>
            <w:r>
              <w:rPr>
                <w:rFonts w:hint="eastAsia" w:cs="Times New Roman"/>
                <w:snapToGrid w:val="0"/>
                <w:color w:val="auto"/>
                <w:spacing w:val="-3"/>
                <w:kern w:val="0"/>
                <w:sz w:val="21"/>
                <w:szCs w:val="21"/>
                <w:highlight w:val="none"/>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jc w:val="center"/>
        </w:trPr>
        <w:tc>
          <w:tcPr>
            <w:tcW w:w="819"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8</w:t>
            </w:r>
          </w:p>
        </w:tc>
        <w:tc>
          <w:tcPr>
            <w:tcW w:w="2741" w:type="pct"/>
            <w:vAlign w:val="center"/>
          </w:tcPr>
          <w:p>
            <w:pPr>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eastAsia" w:cs="Times New Roman"/>
                <w:snapToGrid w:val="0"/>
                <w:color w:val="auto"/>
                <w:kern w:val="0"/>
                <w:sz w:val="21"/>
                <w:szCs w:val="21"/>
                <w:highlight w:val="none"/>
                <w:lang w:eastAsia="zh-CN"/>
              </w:rPr>
              <w:t>Pa</w:t>
            </w:r>
            <w:r>
              <w:rPr>
                <w:rFonts w:hint="default" w:ascii="Times New Roman" w:hAnsi="Times New Roman" w:cs="Times New Roman"/>
                <w:snapToGrid w:val="0"/>
                <w:color w:val="auto"/>
                <w:kern w:val="0"/>
                <w:sz w:val="21"/>
                <w:szCs w:val="21"/>
                <w:highlight w:val="none"/>
              </w:rPr>
              <w:t>M</w:t>
            </w:r>
            <w:r>
              <w:rPr>
                <w:rFonts w:hint="default" w:ascii="Times New Roman" w:hAnsi="Times New Roman" w:cs="Times New Roman"/>
                <w:snapToGrid w:val="0"/>
                <w:color w:val="auto"/>
                <w:spacing w:val="10"/>
                <w:kern w:val="0"/>
                <w:sz w:val="21"/>
                <w:szCs w:val="21"/>
                <w:highlight w:val="none"/>
              </w:rPr>
              <w:t>制备及</w:t>
            </w:r>
            <w:r>
              <w:rPr>
                <w:rFonts w:hint="default" w:ascii="Times New Roman" w:hAnsi="Times New Roman" w:cs="Times New Roman"/>
                <w:snapToGrid w:val="0"/>
                <w:color w:val="auto"/>
                <w:spacing w:val="7"/>
                <w:kern w:val="0"/>
                <w:sz w:val="21"/>
                <w:szCs w:val="21"/>
                <w:highlight w:val="none"/>
              </w:rPr>
              <w:t>投加系统</w:t>
            </w:r>
          </w:p>
        </w:tc>
        <w:tc>
          <w:tcPr>
            <w:tcW w:w="1439" w:type="pct"/>
            <w:vAlign w:val="center"/>
          </w:tcPr>
          <w:p>
            <w:pPr>
              <w:kinsoku w:val="0"/>
              <w:autoSpaceDE w:val="0"/>
              <w:autoSpaceDN w:val="0"/>
              <w:adjustRightInd w:val="0"/>
              <w:snapToGrid w:val="0"/>
              <w:spacing w:line="240" w:lineRule="auto"/>
              <w:ind w:firstLine="0" w:firstLineChars="0"/>
              <w:jc w:val="center"/>
              <w:textAlignment w:val="baseline"/>
              <w:rPr>
                <w:rFonts w:hint="eastAsia" w:ascii="Times New Roman" w:hAnsi="Times New Roman" w:eastAsia="宋体" w:cs="Times New Roman"/>
                <w:snapToGrid w:val="0"/>
                <w:color w:val="auto"/>
                <w:kern w:val="0"/>
                <w:sz w:val="21"/>
                <w:szCs w:val="21"/>
                <w:highlight w:val="none"/>
                <w:lang w:eastAsia="zh-CN"/>
              </w:rPr>
            </w:pPr>
            <w:r>
              <w:rPr>
                <w:rFonts w:hint="eastAsia" w:cs="Times New Roman"/>
                <w:snapToGrid w:val="0"/>
                <w:color w:val="auto"/>
                <w:spacing w:val="1"/>
                <w:kern w:val="0"/>
                <w:sz w:val="21"/>
                <w:szCs w:val="21"/>
                <w:highlight w:val="none"/>
                <w:lang w:val="en-US" w:eastAsia="zh-CN"/>
              </w:rPr>
              <w:t>2</w:t>
            </w:r>
          </w:p>
        </w:tc>
      </w:tr>
    </w:tbl>
    <w:p>
      <w:pPr>
        <w:spacing w:line="240" w:lineRule="auto"/>
        <w:ind w:firstLine="0" w:firstLineChars="0"/>
        <w:jc w:val="center"/>
        <w:rPr>
          <w:rFonts w:hint="default"/>
          <w:color w:val="auto"/>
          <w:highlight w:val="none"/>
        </w:rPr>
      </w:pPr>
      <w:r>
        <w:rPr>
          <w:rFonts w:hint="default" w:ascii="Times New Roman" w:hAnsi="Times New Roman" w:eastAsia="黑体" w:cs="Times New Roman"/>
          <w:color w:val="auto"/>
          <w:highlight w:val="none"/>
        </w:rPr>
        <w:t>表3.2-</w:t>
      </w:r>
      <w:r>
        <w:rPr>
          <w:rFonts w:hint="eastAsia" w:eastAsia="黑体" w:cs="Times New Roman"/>
          <w:color w:val="auto"/>
          <w:highlight w:val="none"/>
          <w:lang w:val="en-US" w:eastAsia="zh-CN"/>
        </w:rPr>
        <w:t>3</w:t>
      </w:r>
      <w:r>
        <w:rPr>
          <w:rFonts w:hint="default" w:ascii="Times New Roman" w:hAnsi="Times New Roman" w:eastAsia="黑体" w:cs="Times New Roman"/>
          <w:color w:val="auto"/>
          <w:highlight w:val="none"/>
        </w:rPr>
        <w:t>本项目</w:t>
      </w:r>
      <w:r>
        <w:rPr>
          <w:rFonts w:hint="eastAsia" w:eastAsia="黑体" w:cs="Times New Roman"/>
          <w:color w:val="auto"/>
          <w:highlight w:val="none"/>
          <w:lang w:val="en-US" w:eastAsia="zh-CN"/>
        </w:rPr>
        <w:t>拆除</w:t>
      </w:r>
      <w:r>
        <w:rPr>
          <w:rFonts w:hint="default" w:ascii="Times New Roman" w:hAnsi="Times New Roman" w:eastAsia="黑体" w:cs="Times New Roman"/>
          <w:color w:val="auto"/>
          <w:highlight w:val="none"/>
        </w:rPr>
        <w:t>主要设备一览表</w:t>
      </w:r>
    </w:p>
    <w:tbl>
      <w:tblPr>
        <w:tblStyle w:val="33"/>
        <w:tblW w:w="499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960"/>
        <w:gridCol w:w="3492"/>
        <w:gridCol w:w="3275"/>
        <w:gridCol w:w="426"/>
        <w:gridCol w:w="13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05"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183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标的所属位置（分部分项工程）</w:t>
            </w:r>
          </w:p>
        </w:tc>
        <w:tc>
          <w:tcPr>
            <w:tcW w:w="1723"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标的名称</w:t>
            </w:r>
          </w:p>
        </w:tc>
        <w:tc>
          <w:tcPr>
            <w:tcW w:w="22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单位</w:t>
            </w:r>
          </w:p>
        </w:tc>
        <w:tc>
          <w:tcPr>
            <w:tcW w:w="71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83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现状粗格栅间及污水提升泵房（更换设备）</w:t>
            </w: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离心式泵（潜水排污泵）</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83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现状加氯加药间（增加设备、更换设备）</w:t>
            </w: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电控柜</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电解槽</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电解槽</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溶盐箱（外壳PVC板材）</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（电子模块）温控系统</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电解槽用水预处理系统（玻璃钢外壳，PVC基础）</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铜排</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m</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外壳铸铁（离心式）磁力泵</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（电子模块）远程控制系统</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漏氯报警器</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套</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183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现状加氯加药间（增加设备、更换设备）</w:t>
            </w:r>
          </w:p>
        </w:tc>
        <w:tc>
          <w:tcPr>
            <w:tcW w:w="1723"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漏氢报警器</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套</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余氯监测装置</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套</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玻璃钢轴流通风机</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不锈钢（离心式）耐腐蚀泵</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PAC投加系统（加药设备）</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套</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17</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PAC隔膜投加泵（加药设备）</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套</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成品PAM螺杆投加泵</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套</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成品PAM稀释装置</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套</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电动球阀</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个</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21</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PVC-U手动球阀</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个</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PVC-U管</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m</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w:t>
            </w:r>
          </w:p>
        </w:tc>
        <w:tc>
          <w:tcPr>
            <w:tcW w:w="183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现状污泥脱水间（增加设备）</w:t>
            </w: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PAM投加装置（加药设备）</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套</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PAM投加泵（加药设备）</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套</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183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现状污泥脱水间（增加设备）</w:t>
            </w: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污泥输送机（进泥输送机）</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26</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污泥浓缩机（污泥改性混合机）</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27</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出泥螺旋输送机</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28</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改性剂制备装置</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29</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改性剂投加泵（加药设备）</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套</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骨架剂投加装置（加药设备）</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套</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31</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冲洗水箱</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32</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（离心式）冲洗水泵</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33</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冲洗水过滤装置</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套</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34</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空压机</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控制柜</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w:t>
            </w:r>
          </w:p>
        </w:tc>
        <w:tc>
          <w:tcPr>
            <w:tcW w:w="183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现状2号除臭车间（更换设备）</w:t>
            </w: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离子箱体</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座</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37</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名称</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玻璃钢离心风机</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38</w:t>
            </w:r>
          </w:p>
        </w:tc>
        <w:tc>
          <w:tcPr>
            <w:tcW w:w="183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现状2号除臭车间（更换设备）</w:t>
            </w:r>
          </w:p>
        </w:tc>
        <w:tc>
          <w:tcPr>
            <w:tcW w:w="1723"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控制柜</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39</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排气筒</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个</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c>
          <w:tcPr>
            <w:tcW w:w="183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现状净水车间（更换设备）</w:t>
            </w: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反洗水泵</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41</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旋转驱动电机</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trPr>
        <w:tc>
          <w:tcPr>
            <w:tcW w:w="50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42</w:t>
            </w:r>
          </w:p>
        </w:tc>
        <w:tc>
          <w:tcPr>
            <w:tcW w:w="1837" w:type="pct"/>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p>
        </w:tc>
        <w:tc>
          <w:tcPr>
            <w:tcW w:w="172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纤维转盘滤池设备</w:t>
            </w:r>
          </w:p>
        </w:tc>
        <w:tc>
          <w:tcPr>
            <w:tcW w:w="224"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710" w:type="pct"/>
            <w:tcBorders>
              <w:tl2br w:val="nil"/>
              <w:tr2bl w:val="nil"/>
            </w:tcBorders>
            <w:shd w:val="clear" w:color="FFFFFF"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bl>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工程原辅材料</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本项目原辅材料消耗情况见下表。</w:t>
      </w:r>
    </w:p>
    <w:p>
      <w:pPr>
        <w:spacing w:line="240" w:lineRule="auto"/>
        <w:ind w:firstLine="0" w:firstLineChars="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表3.2-</w:t>
      </w:r>
      <w:r>
        <w:rPr>
          <w:rFonts w:hint="eastAsia" w:eastAsia="黑体" w:cs="Times New Roman"/>
          <w:color w:val="auto"/>
          <w:highlight w:val="none"/>
          <w:lang w:val="en-US" w:eastAsia="zh-CN"/>
        </w:rPr>
        <w:t>4</w:t>
      </w:r>
      <w:r>
        <w:rPr>
          <w:rFonts w:hint="default" w:ascii="Times New Roman" w:hAnsi="Times New Roman" w:eastAsia="黑体" w:cs="Times New Roman"/>
          <w:color w:val="auto"/>
          <w:highlight w:val="none"/>
        </w:rPr>
        <w:t>本项目原辅材料用量一览表</w:t>
      </w:r>
    </w:p>
    <w:tbl>
      <w:tblPr>
        <w:tblStyle w:val="33"/>
        <w:tblW w:w="91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1"/>
        <w:gridCol w:w="1371"/>
        <w:gridCol w:w="1892"/>
        <w:gridCol w:w="962"/>
        <w:gridCol w:w="1129"/>
        <w:gridCol w:w="1366"/>
        <w:gridCol w:w="17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75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序号</w:t>
            </w:r>
          </w:p>
        </w:tc>
        <w:tc>
          <w:tcPr>
            <w:tcW w:w="137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原辅料名称</w:t>
            </w:r>
          </w:p>
        </w:tc>
        <w:tc>
          <w:tcPr>
            <w:tcW w:w="189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主要成分</w:t>
            </w:r>
          </w:p>
        </w:tc>
        <w:tc>
          <w:tcPr>
            <w:tcW w:w="96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用量（t/a）</w:t>
            </w:r>
          </w:p>
        </w:tc>
        <w:tc>
          <w:tcPr>
            <w:tcW w:w="112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物态，存储方式</w:t>
            </w:r>
          </w:p>
        </w:tc>
        <w:tc>
          <w:tcPr>
            <w:tcW w:w="136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厂内最大</w:t>
            </w:r>
          </w:p>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存储量</w:t>
            </w:r>
          </w:p>
        </w:tc>
        <w:tc>
          <w:tcPr>
            <w:tcW w:w="172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用途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8" w:hRule="atLeast"/>
        </w:trPr>
        <w:tc>
          <w:tcPr>
            <w:tcW w:w="75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1</w:t>
            </w:r>
          </w:p>
        </w:tc>
        <w:tc>
          <w:tcPr>
            <w:tcW w:w="137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eastAsia" w:cs="Times New Roman"/>
                <w:color w:val="auto"/>
                <w:sz w:val="21"/>
                <w:szCs w:val="20"/>
                <w:highlight w:val="none"/>
                <w:lang w:eastAsia="zh-CN"/>
              </w:rPr>
              <w:t>Pa</w:t>
            </w:r>
            <w:r>
              <w:rPr>
                <w:rFonts w:hint="default" w:ascii="Times New Roman" w:hAnsi="Times New Roman" w:cs="Times New Roman"/>
                <w:color w:val="auto"/>
                <w:sz w:val="21"/>
                <w:szCs w:val="20"/>
                <w:highlight w:val="none"/>
              </w:rPr>
              <w:t>C</w:t>
            </w:r>
          </w:p>
        </w:tc>
        <w:tc>
          <w:tcPr>
            <w:tcW w:w="189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碱式氯化铝</w:t>
            </w:r>
          </w:p>
        </w:tc>
        <w:tc>
          <w:tcPr>
            <w:tcW w:w="96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40</w:t>
            </w:r>
          </w:p>
        </w:tc>
        <w:tc>
          <w:tcPr>
            <w:tcW w:w="112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固态，</w:t>
            </w:r>
          </w:p>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袋装</w:t>
            </w:r>
          </w:p>
        </w:tc>
        <w:tc>
          <w:tcPr>
            <w:tcW w:w="136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2t</w:t>
            </w:r>
          </w:p>
        </w:tc>
        <w:tc>
          <w:tcPr>
            <w:tcW w:w="172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絮凝剂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2" w:hRule="atLeast"/>
        </w:trPr>
        <w:tc>
          <w:tcPr>
            <w:tcW w:w="75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2</w:t>
            </w:r>
          </w:p>
        </w:tc>
        <w:tc>
          <w:tcPr>
            <w:tcW w:w="137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eastAsia" w:cs="Times New Roman"/>
                <w:color w:val="auto"/>
                <w:sz w:val="21"/>
                <w:szCs w:val="20"/>
                <w:highlight w:val="none"/>
                <w:lang w:eastAsia="zh-CN"/>
              </w:rPr>
              <w:t>Pa</w:t>
            </w:r>
            <w:r>
              <w:rPr>
                <w:rFonts w:hint="default" w:ascii="Times New Roman" w:hAnsi="Times New Roman" w:cs="Times New Roman"/>
                <w:color w:val="auto"/>
                <w:sz w:val="21"/>
                <w:szCs w:val="20"/>
                <w:highlight w:val="none"/>
              </w:rPr>
              <w:t>M</w:t>
            </w:r>
          </w:p>
        </w:tc>
        <w:tc>
          <w:tcPr>
            <w:tcW w:w="189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聚丙烯酰胺≥92%</w:t>
            </w:r>
          </w:p>
        </w:tc>
        <w:tc>
          <w:tcPr>
            <w:tcW w:w="96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1.6</w:t>
            </w:r>
          </w:p>
        </w:tc>
        <w:tc>
          <w:tcPr>
            <w:tcW w:w="112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固态，</w:t>
            </w:r>
          </w:p>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袋装</w:t>
            </w:r>
          </w:p>
        </w:tc>
        <w:tc>
          <w:tcPr>
            <w:tcW w:w="136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0.5t</w:t>
            </w:r>
          </w:p>
        </w:tc>
        <w:tc>
          <w:tcPr>
            <w:tcW w:w="172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絮凝剂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2" w:hRule="atLeast"/>
        </w:trPr>
        <w:tc>
          <w:tcPr>
            <w:tcW w:w="75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3</w:t>
            </w:r>
          </w:p>
        </w:tc>
        <w:tc>
          <w:tcPr>
            <w:tcW w:w="1371" w:type="dxa"/>
            <w:tcBorders>
              <w:tl2br w:val="nil"/>
              <w:tr2bl w:val="nil"/>
            </w:tcBorders>
            <w:vAlign w:val="center"/>
          </w:tcPr>
          <w:p>
            <w:pPr>
              <w:pStyle w:val="122"/>
              <w:ind w:firstLine="0" w:firstLineChars="0"/>
              <w:rPr>
                <w:rFonts w:hint="eastAsia" w:ascii="Times New Roman" w:hAnsi="Times New Roman" w:cs="Times New Roman" w:eastAsiaTheme="majorEastAsia"/>
                <w:color w:val="auto"/>
                <w:sz w:val="21"/>
                <w:szCs w:val="20"/>
                <w:highlight w:val="none"/>
                <w:lang w:eastAsia="zh-CN"/>
              </w:rPr>
            </w:pPr>
            <w:r>
              <w:rPr>
                <w:rFonts w:hint="eastAsia"/>
                <w:color w:val="auto"/>
                <w:highlight w:val="none"/>
                <w:lang w:val="en-US" w:eastAsia="zh-CN"/>
              </w:rPr>
              <w:t>氯化钠</w:t>
            </w:r>
          </w:p>
        </w:tc>
        <w:tc>
          <w:tcPr>
            <w:tcW w:w="1892"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w:t>
            </w:r>
          </w:p>
        </w:tc>
        <w:tc>
          <w:tcPr>
            <w:tcW w:w="962" w:type="dxa"/>
            <w:tcBorders>
              <w:tl2br w:val="nil"/>
              <w:tr2bl w:val="nil"/>
            </w:tcBorders>
            <w:vAlign w:val="center"/>
          </w:tcPr>
          <w:p>
            <w:pPr>
              <w:pStyle w:val="122"/>
              <w:ind w:firstLine="0" w:firstLineChars="0"/>
              <w:rPr>
                <w:rFonts w:hint="default" w:ascii="Times New Roman" w:hAnsi="Times New Roman" w:cs="Times New Roman" w:eastAsiaTheme="majorEastAsia"/>
                <w:color w:val="auto"/>
                <w:sz w:val="21"/>
                <w:szCs w:val="20"/>
                <w:highlight w:val="none"/>
                <w:lang w:val="en-US" w:eastAsia="zh-CN"/>
              </w:rPr>
            </w:pPr>
            <w:r>
              <w:rPr>
                <w:rFonts w:hint="eastAsia"/>
                <w:color w:val="auto"/>
                <w:highlight w:val="none"/>
                <w:lang w:val="en-US" w:eastAsia="zh-CN"/>
              </w:rPr>
              <w:t>20</w:t>
            </w:r>
          </w:p>
        </w:tc>
        <w:tc>
          <w:tcPr>
            <w:tcW w:w="112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固态，</w:t>
            </w:r>
          </w:p>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袋装</w:t>
            </w:r>
          </w:p>
        </w:tc>
        <w:tc>
          <w:tcPr>
            <w:tcW w:w="136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2</w:t>
            </w:r>
            <w:r>
              <w:rPr>
                <w:rFonts w:hint="default" w:ascii="Times New Roman" w:hAnsi="Times New Roman" w:cs="Times New Roman"/>
                <w:color w:val="auto"/>
                <w:sz w:val="21"/>
                <w:szCs w:val="20"/>
                <w:highlight w:val="none"/>
              </w:rPr>
              <w:t>t</w:t>
            </w:r>
          </w:p>
        </w:tc>
        <w:tc>
          <w:tcPr>
            <w:tcW w:w="172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eastAsia"/>
                <w:color w:val="auto"/>
                <w:highlight w:val="none"/>
              </w:rPr>
              <w:t>制备二氧化氯</w:t>
            </w:r>
          </w:p>
        </w:tc>
      </w:tr>
    </w:tbl>
    <w:p>
      <w:pPr>
        <w:ind w:firstLine="480"/>
        <w:rPr>
          <w:rFonts w:hint="default" w:eastAsia="黑体"/>
          <w:color w:val="auto"/>
          <w:highlight w:val="none"/>
          <w:lang w:val="en-US" w:eastAsia="zh-CN"/>
        </w:rPr>
      </w:pPr>
      <w:r>
        <w:rPr>
          <w:rFonts w:hint="eastAsia"/>
          <w:color w:val="auto"/>
          <w:highlight w:val="none"/>
        </w:rPr>
        <w:t>原辅材料理化性质</w:t>
      </w:r>
      <w:r>
        <w:rPr>
          <w:rFonts w:hint="default" w:ascii="Times New Roman" w:hAnsi="Times New Roman" w:eastAsia="黑体" w:cs="Times New Roman"/>
          <w:color w:val="auto"/>
          <w:highlight w:val="none"/>
        </w:rPr>
        <w:t>理化性质、毒理毒性</w:t>
      </w:r>
      <w:r>
        <w:rPr>
          <w:rFonts w:hint="eastAsia" w:ascii="Times New Roman" w:hAnsi="Times New Roman" w:eastAsia="黑体" w:cs="Times New Roman"/>
          <w:color w:val="auto"/>
          <w:highlight w:val="none"/>
          <w:lang w:eastAsia="zh-CN"/>
        </w:rPr>
        <w:t>，</w:t>
      </w:r>
      <w:r>
        <w:rPr>
          <w:rFonts w:hint="eastAsia" w:ascii="Times New Roman" w:hAnsi="Times New Roman" w:eastAsia="黑体" w:cs="Times New Roman"/>
          <w:color w:val="auto"/>
          <w:highlight w:val="none"/>
          <w:lang w:val="en-US" w:eastAsia="zh-CN"/>
        </w:rPr>
        <w:t>见下表。</w:t>
      </w:r>
    </w:p>
    <w:p>
      <w:pPr>
        <w:spacing w:line="240" w:lineRule="auto"/>
        <w:ind w:firstLine="0" w:firstLineChars="0"/>
        <w:jc w:val="center"/>
        <w:rPr>
          <w:rFonts w:hint="default" w:ascii="Times New Roman" w:hAnsi="Times New Roman" w:eastAsia="黑体" w:cs="Times New Roman"/>
          <w:color w:val="auto"/>
          <w:highlight w:val="none"/>
        </w:rPr>
      </w:pPr>
      <w:r>
        <w:rPr>
          <w:rFonts w:hint="eastAsia" w:ascii="Times New Roman" w:hAnsi="Times New Roman" w:eastAsia="黑体" w:cs="Times New Roman"/>
          <w:color w:val="auto"/>
          <w:highlight w:val="none"/>
        </w:rPr>
        <w:t>表</w:t>
      </w:r>
      <w:r>
        <w:rPr>
          <w:rFonts w:hint="eastAsia" w:ascii="Times New Roman" w:hAnsi="Times New Roman" w:eastAsia="黑体" w:cs="Times New Roman"/>
          <w:color w:val="auto"/>
          <w:highlight w:val="none"/>
          <w:lang w:val="en-US" w:eastAsia="zh-CN"/>
        </w:rPr>
        <w:t>3.2-</w:t>
      </w:r>
      <w:r>
        <w:rPr>
          <w:rFonts w:hint="eastAsia" w:eastAsia="黑体" w:cs="Times New Roman"/>
          <w:color w:val="auto"/>
          <w:highlight w:val="none"/>
          <w:lang w:val="en-US" w:eastAsia="zh-CN"/>
        </w:rPr>
        <w:t>5</w:t>
      </w:r>
      <w:r>
        <w:rPr>
          <w:rFonts w:hint="default" w:ascii="Times New Roman" w:hAnsi="Times New Roman" w:eastAsia="黑体" w:cs="Times New Roman"/>
          <w:color w:val="auto"/>
          <w:highlight w:val="none"/>
        </w:rPr>
        <w:t>主要原辅材料理化性质、毒理毒性汇总表</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478"/>
        <w:gridCol w:w="1251"/>
        <w:gridCol w:w="5130"/>
        <w:gridCol w:w="1798"/>
        <w:gridCol w:w="5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478" w:type="dxa"/>
            <w:vAlign w:val="center"/>
          </w:tcPr>
          <w:p>
            <w:pPr>
              <w:pStyle w:val="104"/>
              <w:rPr>
                <w:color w:val="auto"/>
                <w:highlight w:val="none"/>
              </w:rPr>
            </w:pPr>
            <w:r>
              <w:rPr>
                <w:rFonts w:hint="eastAsia"/>
                <w:color w:val="auto"/>
                <w:highlight w:val="none"/>
              </w:rPr>
              <w:t>序号</w:t>
            </w:r>
          </w:p>
        </w:tc>
        <w:tc>
          <w:tcPr>
            <w:tcW w:w="1251" w:type="dxa"/>
            <w:vAlign w:val="center"/>
          </w:tcPr>
          <w:p>
            <w:pPr>
              <w:pStyle w:val="104"/>
              <w:rPr>
                <w:color w:val="auto"/>
                <w:highlight w:val="none"/>
              </w:rPr>
            </w:pPr>
            <w:r>
              <w:rPr>
                <w:rFonts w:hint="eastAsia"/>
                <w:color w:val="auto"/>
                <w:highlight w:val="none"/>
              </w:rPr>
              <w:t>名称</w:t>
            </w:r>
          </w:p>
        </w:tc>
        <w:tc>
          <w:tcPr>
            <w:tcW w:w="5130" w:type="dxa"/>
            <w:vAlign w:val="center"/>
          </w:tcPr>
          <w:p>
            <w:pPr>
              <w:pStyle w:val="104"/>
              <w:rPr>
                <w:color w:val="auto"/>
                <w:highlight w:val="none"/>
              </w:rPr>
            </w:pPr>
            <w:r>
              <w:rPr>
                <w:rFonts w:hint="eastAsia"/>
                <w:color w:val="auto"/>
                <w:highlight w:val="none"/>
              </w:rPr>
              <w:t>理化性质</w:t>
            </w:r>
          </w:p>
        </w:tc>
        <w:tc>
          <w:tcPr>
            <w:tcW w:w="1798" w:type="dxa"/>
            <w:vAlign w:val="center"/>
          </w:tcPr>
          <w:p>
            <w:pPr>
              <w:pStyle w:val="104"/>
              <w:rPr>
                <w:color w:val="auto"/>
                <w:highlight w:val="none"/>
              </w:rPr>
            </w:pPr>
            <w:r>
              <w:rPr>
                <w:rFonts w:hint="eastAsia"/>
                <w:color w:val="auto"/>
                <w:highlight w:val="none"/>
              </w:rPr>
              <w:t>燃烧爆炸性</w:t>
            </w:r>
          </w:p>
        </w:tc>
        <w:tc>
          <w:tcPr>
            <w:tcW w:w="533" w:type="dxa"/>
            <w:vAlign w:val="center"/>
          </w:tcPr>
          <w:p>
            <w:pPr>
              <w:pStyle w:val="104"/>
              <w:rPr>
                <w:color w:val="auto"/>
                <w:highlight w:val="none"/>
              </w:rPr>
            </w:pPr>
            <w:r>
              <w:rPr>
                <w:rFonts w:hint="eastAsia"/>
                <w:color w:val="auto"/>
                <w:highlight w:val="none"/>
              </w:rPr>
              <w:t>毒理毒性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478" w:type="dxa"/>
            <w:vAlign w:val="center"/>
          </w:tcPr>
          <w:p>
            <w:pPr>
              <w:pStyle w:val="104"/>
              <w:rPr>
                <w:color w:val="auto"/>
                <w:highlight w:val="none"/>
              </w:rPr>
            </w:pPr>
            <w:r>
              <w:rPr>
                <w:color w:val="auto"/>
                <w:highlight w:val="none"/>
              </w:rPr>
              <w:t>1</w:t>
            </w:r>
          </w:p>
        </w:tc>
        <w:tc>
          <w:tcPr>
            <w:tcW w:w="1251" w:type="dxa"/>
            <w:vAlign w:val="center"/>
          </w:tcPr>
          <w:p>
            <w:pPr>
              <w:pStyle w:val="104"/>
              <w:rPr>
                <w:color w:val="auto"/>
                <w:highlight w:val="none"/>
              </w:rPr>
            </w:pPr>
            <w:r>
              <w:rPr>
                <w:rFonts w:hint="eastAsia"/>
                <w:color w:val="auto"/>
                <w:highlight w:val="none"/>
                <w:lang w:val="en-US" w:eastAsia="zh-CN"/>
              </w:rPr>
              <w:t>氯化钠</w:t>
            </w:r>
          </w:p>
        </w:tc>
        <w:tc>
          <w:tcPr>
            <w:tcW w:w="5130" w:type="dxa"/>
            <w:vAlign w:val="center"/>
          </w:tcPr>
          <w:p>
            <w:pPr>
              <w:pStyle w:val="104"/>
              <w:rPr>
                <w:color w:val="auto"/>
                <w:highlight w:val="none"/>
              </w:rPr>
            </w:pPr>
            <w:r>
              <w:rPr>
                <w:rFonts w:ascii="Helvetica" w:hAnsi="Helvetica" w:eastAsia="Helvetica" w:cs="Helvetica"/>
                <w:i w:val="0"/>
                <w:iCs w:val="0"/>
                <w:caps w:val="0"/>
                <w:color w:val="auto"/>
                <w:spacing w:val="0"/>
                <w:sz w:val="21"/>
                <w:szCs w:val="21"/>
                <w:highlight w:val="none"/>
                <w:shd w:val="clear" w:fill="FFFFFF"/>
              </w:rPr>
              <w:t>无机离子化合物，化学式NaCl，无色立方结晶或细小结晶粉末，味咸。外观是白色晶体状，其来源主要是海水，是食盐的主要成分。易溶于水、甘油，微溶于乙醇（酒精）、液氨；不溶于浓盐酸。不纯的氯化钠在空气中有潮解性。稳定性比较好，其水溶液呈中性，工业上一般采用电解饱和氯化钠溶液的方法来生产氢气、氯气和烧碱（氢氧化钠）及其他化工产品（一般称为氯碱工业），也可用于矿石冶炼（电解熔融的氯化钠晶体生产活泼金属钠），医疗上用来配制生理盐水，生活上可用于调味品</w:t>
            </w:r>
          </w:p>
        </w:tc>
        <w:tc>
          <w:tcPr>
            <w:tcW w:w="1798" w:type="dxa"/>
            <w:vAlign w:val="center"/>
          </w:tcPr>
          <w:p>
            <w:pPr>
              <w:pStyle w:val="104"/>
              <w:rPr>
                <w:color w:val="auto"/>
                <w:highlight w:val="none"/>
              </w:rPr>
            </w:pPr>
            <w:r>
              <w:rPr>
                <w:rFonts w:ascii="Helvetica" w:hAnsi="Helvetica" w:eastAsia="Helvetica" w:cs="Helvetica"/>
                <w:i w:val="0"/>
                <w:iCs w:val="0"/>
                <w:caps w:val="0"/>
                <w:color w:val="auto"/>
                <w:spacing w:val="0"/>
                <w:sz w:val="21"/>
                <w:szCs w:val="21"/>
                <w:highlight w:val="none"/>
                <w:shd w:val="clear" w:fill="FFFFFF"/>
              </w:rPr>
              <w:t>不易燃易爆</w:t>
            </w:r>
          </w:p>
        </w:tc>
        <w:tc>
          <w:tcPr>
            <w:tcW w:w="533" w:type="dxa"/>
            <w:vAlign w:val="center"/>
          </w:tcPr>
          <w:p>
            <w:pPr>
              <w:pStyle w:val="104"/>
              <w:rPr>
                <w:color w:val="auto"/>
                <w:highlight w:val="none"/>
              </w:rPr>
            </w:pP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478" w:type="dxa"/>
            <w:vAlign w:val="center"/>
          </w:tcPr>
          <w:p>
            <w:pPr>
              <w:pStyle w:val="104"/>
              <w:rPr>
                <w:color w:val="auto"/>
                <w:highlight w:val="none"/>
              </w:rPr>
            </w:pPr>
            <w:r>
              <w:rPr>
                <w:rFonts w:hint="eastAsia"/>
                <w:color w:val="auto"/>
                <w:highlight w:val="none"/>
              </w:rPr>
              <w:t>2</w:t>
            </w:r>
          </w:p>
        </w:tc>
        <w:tc>
          <w:tcPr>
            <w:tcW w:w="1251" w:type="dxa"/>
            <w:vAlign w:val="center"/>
          </w:tcPr>
          <w:p>
            <w:pPr>
              <w:pStyle w:val="104"/>
              <w:rPr>
                <w:color w:val="auto"/>
                <w:highlight w:val="none"/>
              </w:rPr>
            </w:pPr>
            <w:r>
              <w:rPr>
                <w:rFonts w:hint="eastAsia"/>
                <w:color w:val="auto"/>
                <w:highlight w:val="none"/>
              </w:rPr>
              <w:t>聚合氯化铝（</w:t>
            </w:r>
            <w:r>
              <w:rPr>
                <w:color w:val="auto"/>
                <w:highlight w:val="none"/>
              </w:rPr>
              <w:t>PAC</w:t>
            </w:r>
            <w:r>
              <w:rPr>
                <w:rFonts w:hint="eastAsia"/>
                <w:color w:val="auto"/>
                <w:highlight w:val="none"/>
              </w:rPr>
              <w:t>）</w:t>
            </w:r>
          </w:p>
        </w:tc>
        <w:tc>
          <w:tcPr>
            <w:tcW w:w="5130" w:type="dxa"/>
            <w:vAlign w:val="center"/>
          </w:tcPr>
          <w:p>
            <w:pPr>
              <w:pStyle w:val="104"/>
              <w:rPr>
                <w:color w:val="auto"/>
                <w:highlight w:val="none"/>
              </w:rPr>
            </w:pPr>
            <w:r>
              <w:rPr>
                <w:rFonts w:hint="eastAsia"/>
                <w:color w:val="auto"/>
                <w:highlight w:val="none"/>
              </w:rPr>
              <w:t>水溶性：易溶于水；密度：液体</w:t>
            </w:r>
            <w:r>
              <w:rPr>
                <w:color w:val="auto"/>
                <w:highlight w:val="none"/>
              </w:rPr>
              <w:t>≥1.12</w:t>
            </w:r>
            <w:r>
              <w:rPr>
                <w:rFonts w:hint="eastAsia"/>
                <w:color w:val="auto"/>
                <w:highlight w:val="none"/>
              </w:rPr>
              <w:t>；外观：黄色；</w:t>
            </w:r>
          </w:p>
          <w:p>
            <w:pPr>
              <w:pStyle w:val="104"/>
              <w:rPr>
                <w:rFonts w:hAnsi="宋体"/>
                <w:color w:val="auto"/>
                <w:highlight w:val="none"/>
              </w:rPr>
            </w:pPr>
            <w:r>
              <w:rPr>
                <w:rFonts w:hint="eastAsia" w:hAnsi="宋体"/>
                <w:color w:val="auto"/>
                <w:spacing w:val="-1"/>
                <w:highlight w:val="none"/>
              </w:rPr>
              <w:t>熔点：</w:t>
            </w:r>
            <w:r>
              <w:rPr>
                <w:color w:val="auto"/>
                <w:highlight w:val="none"/>
              </w:rPr>
              <w:t>19</w:t>
            </w:r>
            <w:r>
              <w:rPr>
                <w:color w:val="auto"/>
                <w:spacing w:val="-3"/>
                <w:highlight w:val="none"/>
              </w:rPr>
              <w:t>0</w:t>
            </w:r>
            <w:r>
              <w:rPr>
                <w:color w:val="auto"/>
                <w:spacing w:val="-1"/>
                <w:w w:val="132"/>
                <w:highlight w:val="none"/>
              </w:rPr>
              <w:t>℃</w:t>
            </w:r>
            <w:r>
              <w:rPr>
                <w:rFonts w:hint="eastAsia" w:hAnsi="宋体"/>
                <w:color w:val="auto"/>
                <w:highlight w:val="none"/>
              </w:rPr>
              <w:t>（</w:t>
            </w:r>
            <w:r>
              <w:rPr>
                <w:color w:val="auto"/>
                <w:spacing w:val="-3"/>
                <w:highlight w:val="none"/>
              </w:rPr>
              <w:t>2</w:t>
            </w:r>
            <w:r>
              <w:rPr>
                <w:color w:val="auto"/>
                <w:highlight w:val="none"/>
              </w:rPr>
              <w:t>53</w:t>
            </w:r>
            <w:r>
              <w:rPr>
                <w:color w:val="auto"/>
                <w:spacing w:val="-3"/>
                <w:highlight w:val="none"/>
              </w:rPr>
              <w:t>k</w:t>
            </w:r>
            <w:r>
              <w:rPr>
                <w:color w:val="auto"/>
                <w:highlight w:val="none"/>
              </w:rPr>
              <w:t>Pa</w:t>
            </w:r>
            <w:r>
              <w:rPr>
                <w:rFonts w:hint="eastAsia" w:hAnsi="宋体"/>
                <w:color w:val="auto"/>
                <w:spacing w:val="-106"/>
                <w:highlight w:val="none"/>
              </w:rPr>
              <w:t>）。</w:t>
            </w:r>
          </w:p>
        </w:tc>
        <w:tc>
          <w:tcPr>
            <w:tcW w:w="1798" w:type="dxa"/>
            <w:vAlign w:val="center"/>
          </w:tcPr>
          <w:p>
            <w:pPr>
              <w:pStyle w:val="104"/>
              <w:rPr>
                <w:color w:val="auto"/>
                <w:highlight w:val="none"/>
              </w:rPr>
            </w:pPr>
            <w:r>
              <w:rPr>
                <w:color w:val="auto"/>
                <w:highlight w:val="none"/>
              </w:rPr>
              <w:t>/</w:t>
            </w:r>
          </w:p>
        </w:tc>
        <w:tc>
          <w:tcPr>
            <w:tcW w:w="533" w:type="dxa"/>
            <w:vAlign w:val="center"/>
          </w:tcPr>
          <w:p>
            <w:pPr>
              <w:pStyle w:val="104"/>
              <w:rPr>
                <w:color w:val="auto"/>
                <w:highlight w:val="none"/>
              </w:rPr>
            </w:pP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478" w:type="dxa"/>
            <w:vAlign w:val="center"/>
          </w:tcPr>
          <w:p>
            <w:pPr>
              <w:pStyle w:val="104"/>
              <w:rPr>
                <w:color w:val="auto"/>
                <w:highlight w:val="none"/>
              </w:rPr>
            </w:pPr>
            <w:r>
              <w:rPr>
                <w:color w:val="auto"/>
                <w:highlight w:val="none"/>
              </w:rPr>
              <w:t>3</w:t>
            </w:r>
          </w:p>
        </w:tc>
        <w:tc>
          <w:tcPr>
            <w:tcW w:w="1251" w:type="dxa"/>
            <w:vAlign w:val="center"/>
          </w:tcPr>
          <w:p>
            <w:pPr>
              <w:pStyle w:val="104"/>
              <w:rPr>
                <w:color w:val="auto"/>
                <w:highlight w:val="none"/>
              </w:rPr>
            </w:pPr>
            <w:r>
              <w:rPr>
                <w:rFonts w:hint="eastAsia"/>
                <w:color w:val="auto"/>
                <w:highlight w:val="none"/>
              </w:rPr>
              <w:t>聚丙烯酰胺（</w:t>
            </w:r>
            <w:r>
              <w:rPr>
                <w:color w:val="auto"/>
                <w:highlight w:val="none"/>
              </w:rPr>
              <w:t>PAM</w:t>
            </w:r>
            <w:r>
              <w:rPr>
                <w:rFonts w:hint="eastAsia"/>
                <w:color w:val="auto"/>
                <w:highlight w:val="none"/>
              </w:rPr>
              <w:t>）</w:t>
            </w:r>
          </w:p>
        </w:tc>
        <w:tc>
          <w:tcPr>
            <w:tcW w:w="5130" w:type="dxa"/>
            <w:vAlign w:val="center"/>
          </w:tcPr>
          <w:p>
            <w:pPr>
              <w:pStyle w:val="104"/>
              <w:rPr>
                <w:color w:val="auto"/>
                <w:highlight w:val="none"/>
              </w:rPr>
            </w:pPr>
            <w:r>
              <w:rPr>
                <w:rFonts w:hint="eastAsia"/>
                <w:color w:val="auto"/>
                <w:spacing w:val="-2"/>
                <w:highlight w:val="none"/>
              </w:rPr>
              <w:t>聚丙烯酰胺</w:t>
            </w:r>
            <w:r>
              <w:rPr>
                <w:rFonts w:hint="eastAsia"/>
                <w:color w:val="auto"/>
                <w:spacing w:val="-5"/>
                <w:highlight w:val="none"/>
              </w:rPr>
              <w:t>（</w:t>
            </w:r>
            <w:r>
              <w:rPr>
                <w:color w:val="auto"/>
                <w:spacing w:val="-5"/>
                <w:highlight w:val="none"/>
              </w:rPr>
              <w:t>PAM</w:t>
            </w:r>
            <w:r>
              <w:rPr>
                <w:rFonts w:hint="eastAsia"/>
                <w:color w:val="auto"/>
                <w:spacing w:val="-5"/>
                <w:highlight w:val="none"/>
              </w:rPr>
              <w:t>）</w:t>
            </w:r>
            <w:r>
              <w:rPr>
                <w:rFonts w:hint="eastAsia"/>
                <w:color w:val="auto"/>
                <w:spacing w:val="-3"/>
                <w:highlight w:val="none"/>
              </w:rPr>
              <w:t>聚丙烯酰胺为白色粉末或者小颗粒状物，密度为</w:t>
            </w:r>
            <w:r>
              <w:rPr>
                <w:color w:val="auto"/>
                <w:highlight w:val="none"/>
              </w:rPr>
              <w:t>1.3</w:t>
            </w:r>
            <w:r>
              <w:rPr>
                <w:color w:val="auto"/>
                <w:spacing w:val="-3"/>
                <w:highlight w:val="none"/>
              </w:rPr>
              <w:t>2</w:t>
            </w:r>
            <w:r>
              <w:rPr>
                <w:color w:val="auto"/>
                <w:highlight w:val="none"/>
              </w:rPr>
              <w:t>g</w:t>
            </w:r>
            <w:r>
              <w:rPr>
                <w:color w:val="auto"/>
                <w:spacing w:val="-2"/>
                <w:highlight w:val="none"/>
              </w:rPr>
              <w:t>/</w:t>
            </w:r>
            <w:r>
              <w:rPr>
                <w:color w:val="auto"/>
                <w:highlight w:val="none"/>
              </w:rPr>
              <w:t>c</w:t>
            </w:r>
            <w:r>
              <w:rPr>
                <w:color w:val="auto"/>
                <w:spacing w:val="-4"/>
                <w:highlight w:val="none"/>
              </w:rPr>
              <w:t>m</w:t>
            </w:r>
            <w:r>
              <w:rPr>
                <w:color w:val="auto"/>
                <w:spacing w:val="2"/>
                <w:w w:val="97"/>
                <w:highlight w:val="none"/>
                <w:vertAlign w:val="superscript"/>
              </w:rPr>
              <w:t>3</w:t>
            </w:r>
            <w:r>
              <w:rPr>
                <w:rFonts w:hint="eastAsia"/>
                <w:color w:val="auto"/>
                <w:highlight w:val="none"/>
              </w:rPr>
              <w:t>（</w:t>
            </w:r>
            <w:r>
              <w:rPr>
                <w:color w:val="auto"/>
                <w:highlight w:val="none"/>
              </w:rPr>
              <w:t>23</w:t>
            </w:r>
            <w:r>
              <w:rPr>
                <w:rFonts w:hint="eastAsia"/>
                <w:color w:val="auto"/>
                <w:highlight w:val="none"/>
              </w:rPr>
              <w:t>度</w:t>
            </w:r>
            <w:r>
              <w:rPr>
                <w:rFonts w:hint="eastAsia"/>
                <w:color w:val="auto"/>
                <w:spacing w:val="-106"/>
                <w:highlight w:val="none"/>
              </w:rPr>
              <w:t>）</w:t>
            </w:r>
            <w:r>
              <w:rPr>
                <w:rFonts w:hint="eastAsia"/>
                <w:color w:val="auto"/>
                <w:spacing w:val="-3"/>
                <w:highlight w:val="none"/>
              </w:rPr>
              <w:t>，不溶于大多数有机溶剂，如</w:t>
            </w:r>
            <w:r>
              <w:rPr>
                <w:color w:val="auto"/>
                <w:highlight w:val="none"/>
              </w:rPr>
              <w:fldChar w:fldCharType="begin"/>
            </w:r>
            <w:r>
              <w:rPr>
                <w:color w:val="auto"/>
                <w:highlight w:val="none"/>
              </w:rPr>
              <w:instrText xml:space="preserve"> HYPERLINK "https://baike.baidu.com/item/%E7%94%B2%E9%86%87" \h </w:instrText>
            </w:r>
            <w:r>
              <w:rPr>
                <w:color w:val="auto"/>
                <w:highlight w:val="none"/>
              </w:rPr>
              <w:fldChar w:fldCharType="separate"/>
            </w:r>
            <w:r>
              <w:rPr>
                <w:rFonts w:hint="eastAsia"/>
                <w:color w:val="auto"/>
                <w:spacing w:val="-2"/>
                <w:highlight w:val="none"/>
              </w:rPr>
              <w:t>甲醇</w:t>
            </w:r>
            <w:r>
              <w:rPr>
                <w:rFonts w:hint="eastAsia"/>
                <w:color w:val="auto"/>
                <w:spacing w:val="-2"/>
                <w:highlight w:val="none"/>
              </w:rPr>
              <w:fldChar w:fldCharType="end"/>
            </w:r>
            <w:r>
              <w:rPr>
                <w:rFonts w:hint="eastAsia"/>
                <w:color w:val="auto"/>
                <w:spacing w:val="-3"/>
                <w:highlight w:val="none"/>
              </w:rPr>
              <w:t>、乙醇、</w:t>
            </w:r>
            <w:r>
              <w:rPr>
                <w:color w:val="auto"/>
                <w:highlight w:val="none"/>
              </w:rPr>
              <w:fldChar w:fldCharType="begin"/>
            </w:r>
            <w:r>
              <w:rPr>
                <w:color w:val="auto"/>
                <w:highlight w:val="none"/>
              </w:rPr>
              <w:instrText xml:space="preserve"> HYPERLINK "https://baike.baidu.com/item/%E4%B8%99%E9%85%AE" \h </w:instrText>
            </w:r>
            <w:r>
              <w:rPr>
                <w:color w:val="auto"/>
                <w:highlight w:val="none"/>
              </w:rPr>
              <w:fldChar w:fldCharType="separate"/>
            </w:r>
            <w:r>
              <w:rPr>
                <w:rFonts w:hint="eastAsia"/>
                <w:color w:val="auto"/>
                <w:highlight w:val="none"/>
              </w:rPr>
              <w:t>丙酮</w:t>
            </w:r>
            <w:r>
              <w:rPr>
                <w:rFonts w:hint="eastAsia"/>
                <w:color w:val="auto"/>
                <w:highlight w:val="none"/>
              </w:rPr>
              <w:fldChar w:fldCharType="end"/>
            </w:r>
            <w:r>
              <w:rPr>
                <w:rFonts w:hint="eastAsia"/>
                <w:color w:val="auto"/>
                <w:spacing w:val="-3"/>
                <w:highlight w:val="none"/>
              </w:rPr>
              <w:t>、乙醚、</w:t>
            </w:r>
            <w:r>
              <w:rPr>
                <w:color w:val="auto"/>
                <w:highlight w:val="none"/>
              </w:rPr>
              <w:fldChar w:fldCharType="begin"/>
            </w:r>
            <w:r>
              <w:rPr>
                <w:color w:val="auto"/>
                <w:highlight w:val="none"/>
              </w:rPr>
              <w:instrText xml:space="preserve"> HYPERLINK "https://baike.baidu.com/item/%E8%84%82%E8%82%AA%E7%83%83" \h </w:instrText>
            </w:r>
            <w:r>
              <w:rPr>
                <w:color w:val="auto"/>
                <w:highlight w:val="none"/>
              </w:rPr>
              <w:fldChar w:fldCharType="separate"/>
            </w:r>
            <w:r>
              <w:rPr>
                <w:rFonts w:hint="eastAsia"/>
                <w:color w:val="auto"/>
                <w:spacing w:val="-3"/>
                <w:highlight w:val="none"/>
              </w:rPr>
              <w:t>脂肪烃</w:t>
            </w:r>
            <w:r>
              <w:rPr>
                <w:rFonts w:hint="eastAsia"/>
                <w:color w:val="auto"/>
                <w:spacing w:val="-3"/>
                <w:highlight w:val="none"/>
              </w:rPr>
              <w:fldChar w:fldCharType="end"/>
            </w:r>
            <w:r>
              <w:rPr>
                <w:rFonts w:hint="eastAsia"/>
                <w:color w:val="auto"/>
                <w:highlight w:val="none"/>
              </w:rPr>
              <w:t>和</w:t>
            </w:r>
            <w:r>
              <w:rPr>
                <w:color w:val="auto"/>
                <w:highlight w:val="none"/>
              </w:rPr>
              <w:fldChar w:fldCharType="begin"/>
            </w:r>
            <w:r>
              <w:rPr>
                <w:color w:val="auto"/>
                <w:highlight w:val="none"/>
              </w:rPr>
              <w:instrText xml:space="preserve"> HYPERLINK "https://baike.baidu.com/item/%E8%8A%B3%E9%A6%99%E7%83%83" \h </w:instrText>
            </w:r>
            <w:r>
              <w:rPr>
                <w:color w:val="auto"/>
                <w:highlight w:val="none"/>
              </w:rPr>
              <w:fldChar w:fldCharType="separate"/>
            </w:r>
            <w:r>
              <w:rPr>
                <w:rFonts w:hint="eastAsia"/>
                <w:color w:val="auto"/>
                <w:spacing w:val="-3"/>
                <w:highlight w:val="none"/>
              </w:rPr>
              <w:t>芳香</w:t>
            </w:r>
            <w:r>
              <w:rPr>
                <w:rFonts w:hint="eastAsia"/>
                <w:color w:val="auto"/>
                <w:spacing w:val="-3"/>
                <w:highlight w:val="none"/>
              </w:rPr>
              <w:fldChar w:fldCharType="end"/>
            </w:r>
            <w:r>
              <w:rPr>
                <w:color w:val="auto"/>
                <w:highlight w:val="none"/>
              </w:rPr>
              <w:fldChar w:fldCharType="begin"/>
            </w:r>
            <w:r>
              <w:rPr>
                <w:color w:val="auto"/>
                <w:highlight w:val="none"/>
              </w:rPr>
              <w:instrText xml:space="preserve"> HYPERLINK "https://baike.baidu.com/item/%E8%8A%B3%E9%A6%99%E7%83%83" \h </w:instrText>
            </w:r>
            <w:r>
              <w:rPr>
                <w:color w:val="auto"/>
                <w:highlight w:val="none"/>
              </w:rPr>
              <w:fldChar w:fldCharType="separate"/>
            </w:r>
            <w:r>
              <w:rPr>
                <w:rFonts w:hint="eastAsia"/>
                <w:color w:val="auto"/>
                <w:highlight w:val="none"/>
              </w:rPr>
              <w:t>烃</w:t>
            </w:r>
            <w:r>
              <w:rPr>
                <w:rFonts w:hint="eastAsia"/>
                <w:color w:val="auto"/>
                <w:highlight w:val="none"/>
              </w:rPr>
              <w:fldChar w:fldCharType="end"/>
            </w:r>
            <w:r>
              <w:rPr>
                <w:rFonts w:hint="eastAsia"/>
                <w:color w:val="auto"/>
                <w:spacing w:val="-3"/>
                <w:highlight w:val="none"/>
              </w:rPr>
              <w:t>，有少数极性有机溶剂除外，如乙酸、丙烯酸、氯乙酸、</w:t>
            </w:r>
            <w:r>
              <w:rPr>
                <w:color w:val="auto"/>
                <w:highlight w:val="none"/>
              </w:rPr>
              <w:fldChar w:fldCharType="begin"/>
            </w:r>
            <w:r>
              <w:rPr>
                <w:color w:val="auto"/>
                <w:highlight w:val="none"/>
              </w:rPr>
              <w:instrText xml:space="preserve"> HYPERLINK "https://baike.baidu.com/item/%E4%B9%99%E4%BA%8C%E9%86%87" \h </w:instrText>
            </w:r>
            <w:r>
              <w:rPr>
                <w:color w:val="auto"/>
                <w:highlight w:val="none"/>
              </w:rPr>
              <w:fldChar w:fldCharType="separate"/>
            </w:r>
            <w:r>
              <w:rPr>
                <w:rFonts w:hint="eastAsia"/>
                <w:color w:val="auto"/>
                <w:spacing w:val="-2"/>
                <w:highlight w:val="none"/>
              </w:rPr>
              <w:t>乙二醇</w:t>
            </w:r>
            <w:r>
              <w:rPr>
                <w:rFonts w:hint="eastAsia"/>
                <w:color w:val="auto"/>
                <w:spacing w:val="-2"/>
                <w:highlight w:val="none"/>
              </w:rPr>
              <w:fldChar w:fldCharType="end"/>
            </w:r>
            <w:r>
              <w:rPr>
                <w:rFonts w:hint="eastAsia"/>
                <w:color w:val="auto"/>
                <w:spacing w:val="-3"/>
                <w:highlight w:val="none"/>
              </w:rPr>
              <w:t>、甘油、熔融尿素和</w:t>
            </w:r>
            <w:r>
              <w:rPr>
                <w:color w:val="auto"/>
                <w:highlight w:val="none"/>
              </w:rPr>
              <w:fldChar w:fldCharType="begin"/>
            </w:r>
            <w:r>
              <w:rPr>
                <w:color w:val="auto"/>
                <w:highlight w:val="none"/>
              </w:rPr>
              <w:instrText xml:space="preserve"> HYPERLINK "https://baike.baidu.com/item/%E7%94%B2%E9%85%B0%E8%83%BA" \h </w:instrText>
            </w:r>
            <w:r>
              <w:rPr>
                <w:color w:val="auto"/>
                <w:highlight w:val="none"/>
              </w:rPr>
              <w:fldChar w:fldCharType="separate"/>
            </w:r>
            <w:r>
              <w:rPr>
                <w:rFonts w:hint="eastAsia"/>
                <w:color w:val="auto"/>
                <w:spacing w:val="-3"/>
                <w:highlight w:val="none"/>
              </w:rPr>
              <w:t>甲酰胺</w:t>
            </w:r>
            <w:r>
              <w:rPr>
                <w:rFonts w:hint="eastAsia"/>
                <w:color w:val="auto"/>
                <w:spacing w:val="-3"/>
                <w:highlight w:val="none"/>
              </w:rPr>
              <w:fldChar w:fldCharType="end"/>
            </w:r>
            <w:r>
              <w:rPr>
                <w:rFonts w:hint="eastAsia"/>
                <w:color w:val="auto"/>
                <w:highlight w:val="none"/>
              </w:rPr>
              <w:t>。</w:t>
            </w:r>
          </w:p>
        </w:tc>
        <w:tc>
          <w:tcPr>
            <w:tcW w:w="1798" w:type="dxa"/>
            <w:vAlign w:val="center"/>
          </w:tcPr>
          <w:p>
            <w:pPr>
              <w:pStyle w:val="104"/>
              <w:rPr>
                <w:color w:val="auto"/>
                <w:highlight w:val="none"/>
              </w:rPr>
            </w:pPr>
            <w:r>
              <w:rPr>
                <w:color w:val="auto"/>
                <w:highlight w:val="none"/>
              </w:rPr>
              <w:t>/</w:t>
            </w:r>
          </w:p>
        </w:tc>
        <w:tc>
          <w:tcPr>
            <w:tcW w:w="533" w:type="dxa"/>
            <w:vAlign w:val="center"/>
          </w:tcPr>
          <w:p>
            <w:pPr>
              <w:pStyle w:val="104"/>
              <w:rPr>
                <w:color w:val="auto"/>
                <w:highlight w:val="none"/>
              </w:rPr>
            </w:pPr>
            <w:r>
              <w:rPr>
                <w:color w:val="auto"/>
                <w:highlight w:val="none"/>
              </w:rPr>
              <w:t>/</w:t>
            </w:r>
          </w:p>
        </w:tc>
      </w:tr>
    </w:tbl>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公用工程</w:t>
      </w:r>
    </w:p>
    <w:p>
      <w:pPr>
        <w:pStyle w:val="2"/>
        <w:rPr>
          <w:rFonts w:hint="default" w:ascii="Times New Roman" w:hAnsi="Times New Roman" w:cs="Times New Roman"/>
          <w:color w:val="auto"/>
          <w:highlight w:val="none"/>
        </w:rPr>
      </w:pPr>
      <w:bookmarkStart w:id="72" w:name="_Toc11040"/>
      <w:r>
        <w:rPr>
          <w:rFonts w:hint="default" w:ascii="Times New Roman" w:hAnsi="Times New Roman" w:cs="Times New Roman"/>
          <w:color w:val="auto"/>
          <w:highlight w:val="none"/>
        </w:rPr>
        <w:t>供电</w:t>
      </w:r>
      <w:bookmarkEnd w:id="72"/>
    </w:p>
    <w:p>
      <w:pPr>
        <w:ind w:firstLine="480"/>
        <w:rPr>
          <w:rFonts w:hint="default" w:ascii="Times New Roman" w:hAnsi="Times New Roman" w:cs="Times New Roman"/>
          <w:color w:val="auto"/>
          <w:highlight w:val="none"/>
        </w:rPr>
      </w:pPr>
      <w:r>
        <w:rPr>
          <w:rFonts w:hint="eastAsia" w:cs="Times New Roman"/>
          <w:color w:val="auto"/>
          <w:highlight w:val="none"/>
          <w:lang w:eastAsia="zh-CN"/>
        </w:rPr>
        <w:t>本项目</w:t>
      </w:r>
      <w:r>
        <w:rPr>
          <w:rFonts w:hint="default" w:ascii="Times New Roman" w:hAnsi="Times New Roman" w:cs="Times New Roman"/>
          <w:color w:val="auto"/>
          <w:highlight w:val="none"/>
        </w:rPr>
        <w:t>利用一回10kV高压线路作为主电源供电，引入生产辅助用房变配电间。</w:t>
      </w:r>
    </w:p>
    <w:p>
      <w:pPr>
        <w:pStyle w:val="2"/>
        <w:rPr>
          <w:rFonts w:hint="default" w:ascii="Times New Roman" w:hAnsi="Times New Roman" w:cs="Times New Roman"/>
          <w:color w:val="auto"/>
          <w:highlight w:val="none"/>
        </w:rPr>
      </w:pPr>
      <w:bookmarkStart w:id="73" w:name="_Toc32362"/>
      <w:r>
        <w:rPr>
          <w:rFonts w:hint="default" w:ascii="Times New Roman" w:hAnsi="Times New Roman" w:cs="Times New Roman"/>
          <w:color w:val="auto"/>
          <w:highlight w:val="none"/>
        </w:rPr>
        <w:t>通风、供暖</w:t>
      </w:r>
      <w:bookmarkEnd w:id="73"/>
    </w:p>
    <w:p>
      <w:pPr>
        <w:ind w:firstLine="480"/>
        <w:rPr>
          <w:rFonts w:hint="default"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1</w:t>
      </w:r>
      <w:r>
        <w:rPr>
          <w:rFonts w:hint="eastAsia" w:cs="Times New Roman"/>
          <w:color w:val="auto"/>
          <w:highlight w:val="none"/>
          <w:lang w:eastAsia="zh-CN"/>
        </w:rPr>
        <w:t>）</w:t>
      </w:r>
      <w:r>
        <w:rPr>
          <w:rFonts w:hint="default" w:ascii="Times New Roman" w:hAnsi="Times New Roman" w:cs="Times New Roman"/>
          <w:color w:val="auto"/>
          <w:highlight w:val="none"/>
        </w:rPr>
        <w:t>通风</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污泥脱水机房、鼓风机房及变配电室在运行过程中散发臭气与热空气，为排出臭气与热空气，采用机械排风，自然进风的通风方式；通风换气次数为12次，同时臭气的排出与厂区生物除臭系统相配合。通风管采用防腐玻璃钢风管，风机采用阻燃型玻璃钢轴流风机。</w:t>
      </w:r>
    </w:p>
    <w:p>
      <w:pPr>
        <w:ind w:firstLine="480"/>
        <w:rPr>
          <w:rFonts w:hint="default"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2</w:t>
      </w:r>
      <w:r>
        <w:rPr>
          <w:rFonts w:hint="eastAsia" w:cs="Times New Roman"/>
          <w:color w:val="auto"/>
          <w:highlight w:val="none"/>
          <w:lang w:eastAsia="zh-CN"/>
        </w:rPr>
        <w:t>）</w:t>
      </w:r>
      <w:r>
        <w:rPr>
          <w:rFonts w:hint="eastAsia" w:cs="Times New Roman"/>
          <w:color w:val="auto"/>
          <w:highlight w:val="none"/>
          <w:lang w:val="en-US" w:eastAsia="zh-CN"/>
        </w:rPr>
        <w:t>供暖</w:t>
      </w:r>
    </w:p>
    <w:p>
      <w:pPr>
        <w:ind w:firstLine="480"/>
        <w:rPr>
          <w:color w:val="auto"/>
          <w:highlight w:val="none"/>
        </w:rPr>
      </w:pPr>
      <w:r>
        <w:rPr>
          <w:rFonts w:hint="default" w:ascii="Times New Roman" w:hAnsi="Times New Roman" w:cs="Times New Roman"/>
          <w:color w:val="auto"/>
          <w:highlight w:val="none"/>
        </w:rPr>
        <w:t>空调房间采用分别设置空调设备的形式，所需的设备有挂壁式与柜式两种。会议室，中控室空调设计采用分体空调系统。</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厂区平面设计</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本期污水厂扩建主要是在现状厂区的预留用地内进行扩建，厂区平面布置的基本原则是按本期污水处理工艺设计，按功能分区，各区之间以道路、绿化分隔，可以自成体系。</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现状厂区道路已经成环，本期对路网结构不做调整，无新建道路，只是对本期扩建中损坏的道路进行修复。</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按照工艺及相关专业对高程设置的要求，场区竖向设计充分利用现有地形特征，以达到减少土方、降低费用的目的。由于厂区场地较为平坦，考虑到当地的降水量稀少，整个厂区设计坡度由西北向东南倾斜，道路纵坡坡度在</w:t>
      </w:r>
      <w:r>
        <w:rPr>
          <w:rFonts w:hint="eastAsia" w:cs="Times New Roman"/>
          <w:color w:val="auto"/>
          <w:highlight w:val="none"/>
          <w:lang w:eastAsia="zh-CN"/>
        </w:rPr>
        <w:t>不大于</w:t>
      </w:r>
      <w:r>
        <w:rPr>
          <w:rFonts w:hint="default" w:ascii="Times New Roman" w:hAnsi="Times New Roman" w:cs="Times New Roman"/>
          <w:color w:val="auto"/>
          <w:highlight w:val="none"/>
        </w:rPr>
        <w:t>0.22%-0.28%之间。</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厂区道路设计力求明晰通畅，使不同功能的使用性质互不干扰，保证人流货流的畅通、合理。</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厂区道路分为车行道和人行步道，车行道布置成环状，既有利于车、人流通行的畅通，又起到了划分功能组团的作用。主车行道宽为6.0米，人行步道宽2米。道路为沥青混凝土面层，人行步道为彩色面砖。污泥运输采用2辆5t自卸式运泥车外运。</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厂区绿化</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污水厂的生产性质和特点，在可能的情况下应尽量加大绿化用地，以此来改善工作环境，提高工作质量。绿化树种选用适应当地环境的具有抗污染性、净化空气并耐寒的树种和花卉。树种应选用适应性较强、抗干旱性及净化空气能力较强的植物。</w:t>
      </w:r>
    </w:p>
    <w:p>
      <w:pPr>
        <w:pStyle w:val="4"/>
        <w:bidi w:val="0"/>
        <w:rPr>
          <w:rFonts w:hint="default"/>
          <w:color w:val="auto"/>
          <w:highlight w:val="none"/>
        </w:rPr>
      </w:pPr>
      <w:bookmarkStart w:id="74" w:name="_Toc17173"/>
      <w:bookmarkStart w:id="75" w:name="_Toc32485"/>
      <w:r>
        <w:rPr>
          <w:rFonts w:hint="default"/>
          <w:color w:val="auto"/>
          <w:highlight w:val="none"/>
        </w:rPr>
        <w:t>工程分析</w:t>
      </w:r>
      <w:bookmarkEnd w:id="74"/>
      <w:bookmarkEnd w:id="75"/>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排水体制</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排水系统的体制一般分为合流制和分流制两种类型。排水系统体制的选择应满足环境保护的需要，根据当地的实际条件，通过技术经济比较确定，而环境保护应是选择排水体制时所考虑的主要问题。</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从环境保护方面来看，如采用合流制将城市生活污水、工业废水和雨水全部截流送往污水处理厂进行处理，然后排放是较好的，但这时截流主干管尺寸会很大，污水处理厂容量也增加很多，建设费用也相应增高。根据新疆的气候条件，大多地区年降水量都很少，可以不考虑建设雨水系统，即将大部分雨雪水沿路面坡降就近排入道路边沟，浇灌人行道边的树木或绿化带，在一些重要交叉口及交通广场可设雨水口接纳积水，与生活污水及达到排放标准的工业废水一同排入城市污水处理厂。因此，选用灵活的不完全分流制排水系统，既能适应城市建设发展的需要，还能满足城市的环境保护要求。</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昌吉国家农业高新技术产业示范区现代农业精深加工示范区的实际情况、气候特点及总体规划，本次设计昌吉国家农业高新技术产业示范区现代农业精深加工示范区污水处理厂改造扩容项目排水系统的排水体制仍然采用不完全分流制。</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污水水量预测</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eastAsia" w:cs="Times New Roman"/>
          <w:color w:val="auto"/>
          <w:highlight w:val="none"/>
          <w:lang w:val="en-US" w:eastAsia="zh-CN"/>
        </w:rPr>
        <w:t>管理委员会</w:t>
      </w:r>
      <w:r>
        <w:rPr>
          <w:rFonts w:hint="default" w:ascii="Times New Roman" w:hAnsi="Times New Roman" w:cs="Times New Roman"/>
          <w:color w:val="auto"/>
          <w:highlight w:val="none"/>
        </w:rPr>
        <w:t>提供的企业排水量数据，详见下表：</w:t>
      </w:r>
    </w:p>
    <w:p>
      <w:pPr>
        <w:ind w:firstLine="480"/>
        <w:rPr>
          <w:rFonts w:hint="default" w:ascii="Times New Roman" w:hAnsi="Times New Roman" w:eastAsia="黑体" w:cs="Times New Roman"/>
          <w:color w:val="auto"/>
          <w:highlight w:val="none"/>
        </w:rPr>
        <w:sectPr>
          <w:pgSz w:w="11906" w:h="16838"/>
          <w:pgMar w:top="1440" w:right="1304" w:bottom="1440" w:left="1304" w:header="851" w:footer="992" w:gutter="0"/>
          <w:pgBorders>
            <w:top w:val="none" w:sz="0" w:space="0"/>
            <w:left w:val="none" w:sz="0" w:space="0"/>
            <w:bottom w:val="none" w:sz="0" w:space="0"/>
            <w:right w:val="none" w:sz="0" w:space="0"/>
          </w:pgBorders>
          <w:pgNumType w:fmt="numberInDash"/>
          <w:cols w:space="0" w:num="1"/>
          <w:docGrid w:type="lines" w:linePitch="312" w:charSpace="0"/>
        </w:sectPr>
      </w:pPr>
    </w:p>
    <w:p>
      <w:pPr>
        <w:pStyle w:val="114"/>
        <w:numPr>
          <w:ilvl w:val="0"/>
          <w:numId w:val="0"/>
        </w:numPr>
        <w:bidi w:val="0"/>
        <w:ind w:left="425" w:leftChars="0"/>
        <w:jc w:val="center"/>
        <w:rPr>
          <w:rFonts w:hint="eastAsia" w:ascii="黑体" w:hAnsi="黑体" w:eastAsia="黑体" w:cs="黑体"/>
          <w:b w:val="0"/>
          <w:bCs/>
          <w:color w:val="auto"/>
          <w:highlight w:val="none"/>
        </w:rPr>
      </w:pPr>
      <w:bookmarkStart w:id="76" w:name="_Hlk99301360"/>
      <w:r>
        <w:rPr>
          <w:rFonts w:hint="eastAsia" w:ascii="黑体" w:hAnsi="黑体" w:eastAsia="黑体" w:cs="黑体"/>
          <w:b w:val="0"/>
          <w:bCs/>
          <w:color w:val="auto"/>
          <w:highlight w:val="none"/>
        </w:rPr>
        <w:t>表3.3-1污水处理厂纳污范围内企业废水排放情况</w:t>
      </w:r>
      <w:bookmarkEnd w:id="76"/>
      <w:r>
        <w:rPr>
          <w:rFonts w:hint="eastAsia" w:ascii="黑体" w:hAnsi="黑体" w:eastAsia="黑体" w:cs="黑体"/>
          <w:b w:val="0"/>
          <w:bCs/>
          <w:color w:val="auto"/>
          <w:highlight w:val="none"/>
        </w:rPr>
        <w:t>一览表</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729"/>
        <w:gridCol w:w="677"/>
        <w:gridCol w:w="1031"/>
        <w:gridCol w:w="1031"/>
        <w:gridCol w:w="1031"/>
        <w:gridCol w:w="1031"/>
        <w:gridCol w:w="1803"/>
        <w:gridCol w:w="1803"/>
        <w:gridCol w:w="2967"/>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bookmarkStart w:id="77" w:name="_Hlk103588948"/>
            <w:r>
              <w:rPr>
                <w:rFonts w:hint="default" w:ascii="Times New Roman" w:hAnsi="Times New Roman" w:cs="Times New Roman"/>
                <w:color w:val="auto"/>
                <w:sz w:val="21"/>
                <w:szCs w:val="21"/>
                <w:highlight w:val="none"/>
              </w:rPr>
              <w:t>序号</w:t>
            </w:r>
          </w:p>
        </w:tc>
        <w:tc>
          <w:tcPr>
            <w:tcW w:w="609"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企业名称</w:t>
            </w:r>
          </w:p>
        </w:tc>
        <w:tc>
          <w:tcPr>
            <w:tcW w:w="239"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是否投产</w:t>
            </w:r>
          </w:p>
        </w:tc>
        <w:tc>
          <w:tcPr>
            <w:tcW w:w="363"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目前</w:t>
            </w:r>
            <w:r>
              <w:rPr>
                <w:rFonts w:hint="eastAsia" w:cs="Times New Roman"/>
                <w:color w:val="auto"/>
                <w:sz w:val="21"/>
                <w:szCs w:val="21"/>
                <w:highlight w:val="none"/>
                <w:lang w:val="en-US" w:eastAsia="zh-CN"/>
              </w:rPr>
              <w:t>灌溉季</w:t>
            </w:r>
            <w:r>
              <w:rPr>
                <w:rFonts w:hint="default" w:ascii="Times New Roman" w:hAnsi="Times New Roman" w:cs="Times New Roman"/>
                <w:color w:val="auto"/>
                <w:sz w:val="21"/>
                <w:szCs w:val="21"/>
                <w:highlight w:val="none"/>
              </w:rPr>
              <w:t>日排放量（m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/d）</w:t>
            </w:r>
          </w:p>
        </w:tc>
        <w:tc>
          <w:tcPr>
            <w:tcW w:w="363"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目前</w:t>
            </w:r>
            <w:r>
              <w:rPr>
                <w:rFonts w:hint="eastAsia" w:cs="Times New Roman"/>
                <w:color w:val="auto"/>
                <w:sz w:val="21"/>
                <w:szCs w:val="21"/>
                <w:highlight w:val="none"/>
                <w:lang w:val="en-US" w:eastAsia="zh-CN"/>
              </w:rPr>
              <w:t>非灌溉季</w:t>
            </w:r>
            <w:r>
              <w:rPr>
                <w:rFonts w:hint="default" w:ascii="Times New Roman" w:hAnsi="Times New Roman" w:cs="Times New Roman"/>
                <w:color w:val="auto"/>
                <w:sz w:val="21"/>
                <w:szCs w:val="21"/>
                <w:highlight w:val="none"/>
              </w:rPr>
              <w:t>日排放量（m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/d）</w:t>
            </w:r>
          </w:p>
        </w:tc>
        <w:tc>
          <w:tcPr>
            <w:tcW w:w="363"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2024年</w:t>
            </w:r>
            <w:r>
              <w:rPr>
                <w:rFonts w:hint="eastAsia" w:cs="Times New Roman"/>
                <w:color w:val="auto"/>
                <w:sz w:val="21"/>
                <w:szCs w:val="21"/>
                <w:highlight w:val="none"/>
                <w:lang w:val="en-US" w:eastAsia="zh-CN"/>
              </w:rPr>
              <w:t>灌溉季</w:t>
            </w:r>
            <w:r>
              <w:rPr>
                <w:rFonts w:hint="default" w:ascii="Times New Roman" w:hAnsi="Times New Roman" w:cs="Times New Roman"/>
                <w:color w:val="auto"/>
                <w:sz w:val="21"/>
                <w:szCs w:val="21"/>
                <w:highlight w:val="none"/>
              </w:rPr>
              <w:t>日排放量（m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/d）</w:t>
            </w:r>
          </w:p>
        </w:tc>
        <w:tc>
          <w:tcPr>
            <w:tcW w:w="363"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2024年</w:t>
            </w:r>
            <w:r>
              <w:rPr>
                <w:rFonts w:hint="eastAsia" w:cs="Times New Roman"/>
                <w:color w:val="auto"/>
                <w:sz w:val="21"/>
                <w:szCs w:val="21"/>
                <w:highlight w:val="none"/>
                <w:lang w:val="en-US" w:eastAsia="zh-CN"/>
              </w:rPr>
              <w:t>非灌溉季</w:t>
            </w:r>
            <w:r>
              <w:rPr>
                <w:rFonts w:hint="default" w:ascii="Times New Roman" w:hAnsi="Times New Roman" w:cs="Times New Roman"/>
                <w:color w:val="auto"/>
                <w:sz w:val="21"/>
                <w:szCs w:val="21"/>
                <w:highlight w:val="none"/>
              </w:rPr>
              <w:t>日排放量（m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/d）</w:t>
            </w:r>
          </w:p>
        </w:tc>
        <w:tc>
          <w:tcPr>
            <w:tcW w:w="63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企业性质</w:t>
            </w:r>
          </w:p>
        </w:tc>
        <w:tc>
          <w:tcPr>
            <w:tcW w:w="63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污水种类</w:t>
            </w:r>
          </w:p>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工业废水、生活污水</w:t>
            </w:r>
            <w:r>
              <w:rPr>
                <w:rFonts w:hint="eastAsia" w:cs="Times New Roman"/>
                <w:color w:val="auto"/>
                <w:sz w:val="21"/>
                <w:szCs w:val="21"/>
                <w:highlight w:val="none"/>
                <w:lang w:eastAsia="zh-CN"/>
              </w:rPr>
              <w:t>）</w:t>
            </w:r>
          </w:p>
        </w:tc>
        <w:tc>
          <w:tcPr>
            <w:tcW w:w="104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污染因子</w:t>
            </w:r>
          </w:p>
        </w:tc>
        <w:tc>
          <w:tcPr>
            <w:tcW w:w="224"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609"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新茄食品有限责任公司</w:t>
            </w:r>
          </w:p>
        </w:tc>
        <w:tc>
          <w:tcPr>
            <w:tcW w:w="239"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已投产</w:t>
            </w:r>
          </w:p>
        </w:tc>
        <w:tc>
          <w:tcPr>
            <w:tcW w:w="363"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000</w:t>
            </w:r>
          </w:p>
        </w:tc>
        <w:tc>
          <w:tcPr>
            <w:tcW w:w="363"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363"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14400</w:t>
            </w:r>
          </w:p>
        </w:tc>
        <w:tc>
          <w:tcPr>
            <w:tcW w:w="363"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63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番茄加工</w:t>
            </w:r>
          </w:p>
        </w:tc>
        <w:tc>
          <w:tcPr>
            <w:tcW w:w="63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工业废水、生活污水</w:t>
            </w:r>
          </w:p>
        </w:tc>
        <w:tc>
          <w:tcPr>
            <w:tcW w:w="10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pH、COD</w:t>
            </w:r>
            <w:r>
              <w:rPr>
                <w:rFonts w:hint="default" w:ascii="Times New Roman" w:hAnsi="Times New Roman" w:cs="Times New Roman"/>
                <w:color w:val="auto"/>
                <w:sz w:val="21"/>
                <w:szCs w:val="21"/>
                <w:highlight w:val="none"/>
                <w:lang w:val="en-US" w:eastAsia="zh-CN"/>
              </w:rPr>
              <w:t>cr</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氨氮</w:t>
            </w:r>
            <w:r>
              <w:rPr>
                <w:rFonts w:hint="default" w:ascii="Times New Roman" w:hAnsi="Times New Roman" w:cs="Times New Roman"/>
                <w:color w:val="auto"/>
                <w:sz w:val="21"/>
                <w:szCs w:val="21"/>
                <w:highlight w:val="none"/>
              </w:rPr>
              <w:t>、TP、TN、BOD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、SS</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动植物油</w:t>
            </w:r>
          </w:p>
        </w:tc>
        <w:tc>
          <w:tcPr>
            <w:tcW w:w="224" w:type="pct"/>
            <w:vMerge w:val="restar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废水自处理达到污水处理厂接管标准后，排入污水处理厂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609"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新润泽食品有限责任公司</w:t>
            </w:r>
          </w:p>
        </w:tc>
        <w:tc>
          <w:tcPr>
            <w:tcW w:w="2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已投产</w:t>
            </w:r>
          </w:p>
        </w:tc>
        <w:tc>
          <w:tcPr>
            <w:tcW w:w="363"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800</w:t>
            </w:r>
          </w:p>
        </w:tc>
        <w:tc>
          <w:tcPr>
            <w:tcW w:w="363"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363"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10800</w:t>
            </w:r>
          </w:p>
        </w:tc>
        <w:tc>
          <w:tcPr>
            <w:tcW w:w="363"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63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番茄加工</w:t>
            </w:r>
          </w:p>
        </w:tc>
        <w:tc>
          <w:tcPr>
            <w:tcW w:w="63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工业废水、生活污水</w:t>
            </w:r>
          </w:p>
        </w:tc>
        <w:tc>
          <w:tcPr>
            <w:tcW w:w="10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pH、COD</w:t>
            </w:r>
            <w:r>
              <w:rPr>
                <w:rFonts w:hint="default" w:ascii="Times New Roman" w:hAnsi="Times New Roman" w:cs="Times New Roman"/>
                <w:color w:val="auto"/>
                <w:sz w:val="21"/>
                <w:szCs w:val="21"/>
                <w:highlight w:val="none"/>
                <w:lang w:val="en-US" w:eastAsia="zh-CN"/>
              </w:rPr>
              <w:t>cr</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氨氮</w:t>
            </w:r>
            <w:r>
              <w:rPr>
                <w:rFonts w:hint="default" w:ascii="Times New Roman" w:hAnsi="Times New Roman" w:cs="Times New Roman"/>
                <w:color w:val="auto"/>
                <w:sz w:val="21"/>
                <w:szCs w:val="21"/>
                <w:highlight w:val="none"/>
              </w:rPr>
              <w:t>、TP、TN、BOD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、SS</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动植物油</w:t>
            </w:r>
          </w:p>
        </w:tc>
        <w:tc>
          <w:tcPr>
            <w:tcW w:w="224" w:type="pct"/>
            <w:vMerge w:val="continue"/>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50"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609"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新疆荣丰种业有限公司</w:t>
            </w:r>
          </w:p>
        </w:tc>
        <w:tc>
          <w:tcPr>
            <w:tcW w:w="2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已投产</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24</w:t>
            </w:r>
          </w:p>
        </w:tc>
        <w:tc>
          <w:tcPr>
            <w:tcW w:w="363"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24</w:t>
            </w:r>
          </w:p>
        </w:tc>
        <w:tc>
          <w:tcPr>
            <w:tcW w:w="63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种子生产、加工、贮藏</w:t>
            </w:r>
          </w:p>
        </w:tc>
        <w:tc>
          <w:tcPr>
            <w:tcW w:w="63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工业废水、生活污水</w:t>
            </w:r>
          </w:p>
        </w:tc>
        <w:tc>
          <w:tcPr>
            <w:tcW w:w="10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pH、COD</w:t>
            </w:r>
            <w:r>
              <w:rPr>
                <w:rFonts w:hint="default" w:ascii="Times New Roman" w:hAnsi="Times New Roman" w:cs="Times New Roman"/>
                <w:color w:val="auto"/>
                <w:sz w:val="21"/>
                <w:szCs w:val="21"/>
                <w:highlight w:val="none"/>
                <w:lang w:val="en-US" w:eastAsia="zh-CN"/>
              </w:rPr>
              <w:t>cr</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氨氮</w:t>
            </w:r>
            <w:r>
              <w:rPr>
                <w:rFonts w:hint="default" w:ascii="Times New Roman" w:hAnsi="Times New Roman" w:cs="Times New Roman"/>
                <w:color w:val="auto"/>
                <w:sz w:val="21"/>
                <w:szCs w:val="21"/>
                <w:highlight w:val="none"/>
              </w:rPr>
              <w:t>、TP、TN、BOD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、SS</w:t>
            </w:r>
          </w:p>
        </w:tc>
        <w:tc>
          <w:tcPr>
            <w:tcW w:w="224" w:type="pct"/>
            <w:vMerge w:val="continue"/>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609"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北京金色农华种业科技有限公司</w:t>
            </w:r>
          </w:p>
        </w:tc>
        <w:tc>
          <w:tcPr>
            <w:tcW w:w="2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已投产</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24</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24</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72</w:t>
            </w:r>
          </w:p>
        </w:tc>
        <w:tc>
          <w:tcPr>
            <w:tcW w:w="363"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72</w:t>
            </w:r>
          </w:p>
        </w:tc>
        <w:tc>
          <w:tcPr>
            <w:tcW w:w="63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种子生产、加工、贮藏</w:t>
            </w:r>
          </w:p>
        </w:tc>
        <w:tc>
          <w:tcPr>
            <w:tcW w:w="63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工业废水、生活污水</w:t>
            </w:r>
          </w:p>
        </w:tc>
        <w:tc>
          <w:tcPr>
            <w:tcW w:w="10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pH、COD</w:t>
            </w:r>
            <w:r>
              <w:rPr>
                <w:rFonts w:hint="default" w:ascii="Times New Roman" w:hAnsi="Times New Roman" w:cs="Times New Roman"/>
                <w:color w:val="auto"/>
                <w:sz w:val="21"/>
                <w:szCs w:val="21"/>
                <w:highlight w:val="none"/>
                <w:lang w:val="en-US" w:eastAsia="zh-CN"/>
              </w:rPr>
              <w:t>cr</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氨氮</w:t>
            </w:r>
            <w:r>
              <w:rPr>
                <w:rFonts w:hint="default" w:ascii="Times New Roman" w:hAnsi="Times New Roman" w:cs="Times New Roman"/>
                <w:color w:val="auto"/>
                <w:sz w:val="21"/>
                <w:szCs w:val="21"/>
                <w:highlight w:val="none"/>
              </w:rPr>
              <w:t>、TP、TN、BOD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、SS</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动植物油</w:t>
            </w:r>
          </w:p>
        </w:tc>
        <w:tc>
          <w:tcPr>
            <w:tcW w:w="224" w:type="pct"/>
            <w:vMerge w:val="continue"/>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0"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609"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新疆亿康源食品有限公司</w:t>
            </w:r>
          </w:p>
        </w:tc>
        <w:tc>
          <w:tcPr>
            <w:tcW w:w="239"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已投产</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w:t>
            </w:r>
          </w:p>
        </w:tc>
        <w:tc>
          <w:tcPr>
            <w:tcW w:w="636"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肉制品加工</w:t>
            </w:r>
            <w:r>
              <w:rPr>
                <w:rFonts w:hint="eastAsia" w:ascii="Times New Roman" w:hAnsi="Times New Roman" w:cs="Times New Roman"/>
                <w:color w:val="auto"/>
                <w:sz w:val="21"/>
                <w:szCs w:val="21"/>
                <w:highlight w:val="none"/>
              </w:rPr>
              <w:t>、贮藏</w:t>
            </w:r>
          </w:p>
        </w:tc>
        <w:tc>
          <w:tcPr>
            <w:tcW w:w="63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工业废水、生活污水</w:t>
            </w:r>
          </w:p>
        </w:tc>
        <w:tc>
          <w:tcPr>
            <w:tcW w:w="10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pH、COD</w:t>
            </w:r>
            <w:r>
              <w:rPr>
                <w:rFonts w:hint="default" w:ascii="Times New Roman" w:hAnsi="Times New Roman" w:cs="Times New Roman"/>
                <w:color w:val="auto"/>
                <w:sz w:val="21"/>
                <w:szCs w:val="21"/>
                <w:highlight w:val="none"/>
                <w:lang w:val="en-US" w:eastAsia="zh-CN"/>
              </w:rPr>
              <w:t>cr</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氨氮</w:t>
            </w:r>
            <w:r>
              <w:rPr>
                <w:rFonts w:hint="default" w:ascii="Times New Roman" w:hAnsi="Times New Roman" w:cs="Times New Roman"/>
                <w:color w:val="auto"/>
                <w:sz w:val="21"/>
                <w:szCs w:val="21"/>
                <w:highlight w:val="none"/>
              </w:rPr>
              <w:t>、TP、TN、BOD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、SS</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动植物油</w:t>
            </w:r>
          </w:p>
        </w:tc>
        <w:tc>
          <w:tcPr>
            <w:tcW w:w="224" w:type="pct"/>
            <w:vMerge w:val="continue"/>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609"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新疆乐鼎元食品有限公司</w:t>
            </w:r>
          </w:p>
        </w:tc>
        <w:tc>
          <w:tcPr>
            <w:tcW w:w="239"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已投产</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w:t>
            </w:r>
          </w:p>
        </w:tc>
        <w:tc>
          <w:tcPr>
            <w:tcW w:w="636"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肉制品加工</w:t>
            </w:r>
            <w:r>
              <w:rPr>
                <w:rFonts w:hint="eastAsia" w:ascii="Times New Roman" w:hAnsi="Times New Roman" w:cs="Times New Roman"/>
                <w:color w:val="auto"/>
                <w:sz w:val="21"/>
                <w:szCs w:val="21"/>
                <w:highlight w:val="none"/>
              </w:rPr>
              <w:t>、贮藏</w:t>
            </w:r>
          </w:p>
        </w:tc>
        <w:tc>
          <w:tcPr>
            <w:tcW w:w="63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工业废水、生活污水</w:t>
            </w:r>
          </w:p>
        </w:tc>
        <w:tc>
          <w:tcPr>
            <w:tcW w:w="10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pH、COD</w:t>
            </w:r>
            <w:r>
              <w:rPr>
                <w:rFonts w:hint="default" w:ascii="Times New Roman" w:hAnsi="Times New Roman" w:cs="Times New Roman"/>
                <w:color w:val="auto"/>
                <w:sz w:val="21"/>
                <w:szCs w:val="21"/>
                <w:highlight w:val="none"/>
                <w:lang w:val="en-US" w:eastAsia="zh-CN"/>
              </w:rPr>
              <w:t>cr</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氨氮</w:t>
            </w:r>
            <w:r>
              <w:rPr>
                <w:rFonts w:hint="default" w:ascii="Times New Roman" w:hAnsi="Times New Roman" w:cs="Times New Roman"/>
                <w:color w:val="auto"/>
                <w:sz w:val="21"/>
                <w:szCs w:val="21"/>
                <w:highlight w:val="none"/>
              </w:rPr>
              <w:t>、TP、TN、BOD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、SS</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动植物油</w:t>
            </w:r>
          </w:p>
        </w:tc>
        <w:tc>
          <w:tcPr>
            <w:tcW w:w="224" w:type="pct"/>
            <w:vMerge w:val="continue"/>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609"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新疆宜嘉乐食品有限</w:t>
            </w:r>
            <w:r>
              <w:rPr>
                <w:rFonts w:hint="eastAsia" w:ascii="Times New Roman" w:hAnsi="Times New Roman" w:cs="Times New Roman"/>
                <w:color w:val="auto"/>
                <w:sz w:val="21"/>
                <w:szCs w:val="21"/>
                <w:highlight w:val="none"/>
                <w:lang w:val="en-US" w:eastAsia="zh-CN"/>
              </w:rPr>
              <w:t>公司</w:t>
            </w:r>
          </w:p>
        </w:tc>
        <w:tc>
          <w:tcPr>
            <w:tcW w:w="239"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已投产</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636"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肉制品加工</w:t>
            </w:r>
            <w:r>
              <w:rPr>
                <w:rFonts w:hint="eastAsia" w:ascii="Times New Roman" w:hAnsi="Times New Roman" w:cs="Times New Roman"/>
                <w:color w:val="auto"/>
                <w:sz w:val="21"/>
                <w:szCs w:val="21"/>
                <w:highlight w:val="none"/>
              </w:rPr>
              <w:t>、贮藏</w:t>
            </w:r>
          </w:p>
        </w:tc>
        <w:tc>
          <w:tcPr>
            <w:tcW w:w="63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工业废水、生活污水</w:t>
            </w:r>
          </w:p>
        </w:tc>
        <w:tc>
          <w:tcPr>
            <w:tcW w:w="10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pH、COD</w:t>
            </w:r>
            <w:r>
              <w:rPr>
                <w:rFonts w:hint="default" w:ascii="Times New Roman" w:hAnsi="Times New Roman" w:cs="Times New Roman"/>
                <w:color w:val="auto"/>
                <w:sz w:val="21"/>
                <w:szCs w:val="21"/>
                <w:highlight w:val="none"/>
                <w:lang w:val="en-US" w:eastAsia="zh-CN"/>
              </w:rPr>
              <w:t>cr</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氨氮</w:t>
            </w:r>
            <w:r>
              <w:rPr>
                <w:rFonts w:hint="default" w:ascii="Times New Roman" w:hAnsi="Times New Roman" w:cs="Times New Roman"/>
                <w:color w:val="auto"/>
                <w:sz w:val="21"/>
                <w:szCs w:val="21"/>
                <w:highlight w:val="none"/>
              </w:rPr>
              <w:t>、TP、TN、BOD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、SS</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动植物油</w:t>
            </w:r>
          </w:p>
        </w:tc>
        <w:tc>
          <w:tcPr>
            <w:tcW w:w="224" w:type="pct"/>
            <w:vMerge w:val="continue"/>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609"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新疆远航食品有限公司</w:t>
            </w:r>
          </w:p>
        </w:tc>
        <w:tc>
          <w:tcPr>
            <w:tcW w:w="2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已投产</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w:t>
            </w:r>
          </w:p>
        </w:tc>
        <w:tc>
          <w:tcPr>
            <w:tcW w:w="363"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63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食品加工</w:t>
            </w:r>
          </w:p>
        </w:tc>
        <w:tc>
          <w:tcPr>
            <w:tcW w:w="63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工业废水、生活污水</w:t>
            </w:r>
          </w:p>
        </w:tc>
        <w:tc>
          <w:tcPr>
            <w:tcW w:w="10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pH、COD</w:t>
            </w:r>
            <w:r>
              <w:rPr>
                <w:rFonts w:hint="default" w:ascii="Times New Roman" w:hAnsi="Times New Roman" w:cs="Times New Roman"/>
                <w:color w:val="auto"/>
                <w:sz w:val="21"/>
                <w:szCs w:val="21"/>
                <w:highlight w:val="none"/>
                <w:lang w:val="en-US" w:eastAsia="zh-CN"/>
              </w:rPr>
              <w:t>cr</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氨氮</w:t>
            </w:r>
            <w:r>
              <w:rPr>
                <w:rFonts w:hint="default" w:ascii="Times New Roman" w:hAnsi="Times New Roman" w:cs="Times New Roman"/>
                <w:color w:val="auto"/>
                <w:sz w:val="21"/>
                <w:szCs w:val="21"/>
                <w:highlight w:val="none"/>
              </w:rPr>
              <w:t>、TP、TN、BOD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、SS</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动植物油</w:t>
            </w:r>
          </w:p>
        </w:tc>
        <w:tc>
          <w:tcPr>
            <w:tcW w:w="224" w:type="pct"/>
            <w:vMerge w:val="continue"/>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50"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609"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新疆泰坤集团股份有限公司</w:t>
            </w:r>
          </w:p>
        </w:tc>
        <w:tc>
          <w:tcPr>
            <w:tcW w:w="2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已投产</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144</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144</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144</w:t>
            </w:r>
          </w:p>
        </w:tc>
        <w:tc>
          <w:tcPr>
            <w:tcW w:w="363"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144</w:t>
            </w:r>
          </w:p>
        </w:tc>
        <w:tc>
          <w:tcPr>
            <w:tcW w:w="63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饲料加工</w:t>
            </w:r>
          </w:p>
        </w:tc>
        <w:tc>
          <w:tcPr>
            <w:tcW w:w="63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工业废水、生活污水</w:t>
            </w:r>
          </w:p>
        </w:tc>
        <w:tc>
          <w:tcPr>
            <w:tcW w:w="10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pH、COD</w:t>
            </w:r>
            <w:r>
              <w:rPr>
                <w:rFonts w:hint="default" w:ascii="Times New Roman" w:hAnsi="Times New Roman" w:cs="Times New Roman"/>
                <w:color w:val="auto"/>
                <w:sz w:val="21"/>
                <w:szCs w:val="21"/>
                <w:highlight w:val="none"/>
                <w:lang w:val="en-US" w:eastAsia="zh-CN"/>
              </w:rPr>
              <w:t>cr</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氨氮</w:t>
            </w:r>
            <w:r>
              <w:rPr>
                <w:rFonts w:hint="default" w:ascii="Times New Roman" w:hAnsi="Times New Roman" w:cs="Times New Roman"/>
                <w:color w:val="auto"/>
                <w:sz w:val="21"/>
                <w:szCs w:val="21"/>
                <w:highlight w:val="none"/>
              </w:rPr>
              <w:t>、TP、TN、BOD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、SS</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动植物油</w:t>
            </w:r>
          </w:p>
        </w:tc>
        <w:tc>
          <w:tcPr>
            <w:tcW w:w="224" w:type="pct"/>
            <w:vMerge w:val="continue"/>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0"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609"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新疆金科元沙棘生物科技有限公司</w:t>
            </w:r>
          </w:p>
        </w:tc>
        <w:tc>
          <w:tcPr>
            <w:tcW w:w="2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已投产</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363"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63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饮料生产</w:t>
            </w:r>
          </w:p>
        </w:tc>
        <w:tc>
          <w:tcPr>
            <w:tcW w:w="63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工业废水、生活污水</w:t>
            </w:r>
          </w:p>
        </w:tc>
        <w:tc>
          <w:tcPr>
            <w:tcW w:w="10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pH、COD</w:t>
            </w:r>
            <w:r>
              <w:rPr>
                <w:rFonts w:hint="default" w:ascii="Times New Roman" w:hAnsi="Times New Roman" w:cs="Times New Roman"/>
                <w:color w:val="auto"/>
                <w:sz w:val="21"/>
                <w:szCs w:val="21"/>
                <w:highlight w:val="none"/>
                <w:lang w:val="en-US" w:eastAsia="zh-CN"/>
              </w:rPr>
              <w:t>cr</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氨氮</w:t>
            </w:r>
            <w:r>
              <w:rPr>
                <w:rFonts w:hint="default" w:ascii="Times New Roman" w:hAnsi="Times New Roman" w:cs="Times New Roman"/>
                <w:color w:val="auto"/>
                <w:sz w:val="21"/>
                <w:szCs w:val="21"/>
                <w:highlight w:val="none"/>
              </w:rPr>
              <w:t>、TP、TN、BOD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、SS</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动植物油</w:t>
            </w:r>
          </w:p>
        </w:tc>
        <w:tc>
          <w:tcPr>
            <w:tcW w:w="224" w:type="pct"/>
            <w:vMerge w:val="continue"/>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50"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w:t>
            </w:r>
          </w:p>
        </w:tc>
        <w:tc>
          <w:tcPr>
            <w:tcW w:w="609"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新疆品高食品有限公司</w:t>
            </w:r>
          </w:p>
        </w:tc>
        <w:tc>
          <w:tcPr>
            <w:tcW w:w="2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已投产</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440</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440</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1540</w:t>
            </w:r>
          </w:p>
        </w:tc>
        <w:tc>
          <w:tcPr>
            <w:tcW w:w="363"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600</w:t>
            </w:r>
          </w:p>
        </w:tc>
        <w:tc>
          <w:tcPr>
            <w:tcW w:w="63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肉制品加工</w:t>
            </w:r>
          </w:p>
        </w:tc>
        <w:tc>
          <w:tcPr>
            <w:tcW w:w="63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工业废水、生活污水</w:t>
            </w:r>
          </w:p>
        </w:tc>
        <w:tc>
          <w:tcPr>
            <w:tcW w:w="10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pH、COD</w:t>
            </w:r>
            <w:r>
              <w:rPr>
                <w:rFonts w:hint="default" w:ascii="Times New Roman" w:hAnsi="Times New Roman" w:cs="Times New Roman"/>
                <w:color w:val="auto"/>
                <w:sz w:val="21"/>
                <w:szCs w:val="21"/>
                <w:highlight w:val="none"/>
                <w:lang w:val="en-US" w:eastAsia="zh-CN"/>
              </w:rPr>
              <w:t>cr</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氨氮</w:t>
            </w:r>
            <w:r>
              <w:rPr>
                <w:rFonts w:hint="default" w:ascii="Times New Roman" w:hAnsi="Times New Roman" w:cs="Times New Roman"/>
                <w:color w:val="auto"/>
                <w:sz w:val="21"/>
                <w:szCs w:val="21"/>
                <w:highlight w:val="none"/>
              </w:rPr>
              <w:t>、TP、TN、BOD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、SS</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动植物油</w:t>
            </w:r>
          </w:p>
        </w:tc>
        <w:tc>
          <w:tcPr>
            <w:tcW w:w="224" w:type="pct"/>
            <w:vMerge w:val="continue"/>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0"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w:t>
            </w:r>
          </w:p>
        </w:tc>
        <w:tc>
          <w:tcPr>
            <w:tcW w:w="609"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集中供热站</w:t>
            </w:r>
          </w:p>
        </w:tc>
        <w:tc>
          <w:tcPr>
            <w:tcW w:w="2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已投产</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146.4</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146.4</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363"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501</w:t>
            </w:r>
          </w:p>
        </w:tc>
        <w:tc>
          <w:tcPr>
            <w:tcW w:w="63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3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工业废水、生活污水</w:t>
            </w:r>
          </w:p>
        </w:tc>
        <w:tc>
          <w:tcPr>
            <w:tcW w:w="104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pH、COD</w:t>
            </w:r>
            <w:r>
              <w:rPr>
                <w:rFonts w:hint="default" w:ascii="Times New Roman" w:hAnsi="Times New Roman" w:cs="Times New Roman"/>
                <w:color w:val="auto"/>
                <w:sz w:val="21"/>
                <w:szCs w:val="21"/>
                <w:highlight w:val="none"/>
                <w:lang w:val="en-US" w:eastAsia="zh-CN"/>
              </w:rPr>
              <w:t>cr</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氨氮</w:t>
            </w:r>
            <w:r>
              <w:rPr>
                <w:rFonts w:hint="default" w:ascii="Times New Roman" w:hAnsi="Times New Roman" w:cs="Times New Roman"/>
                <w:color w:val="auto"/>
                <w:sz w:val="21"/>
                <w:szCs w:val="21"/>
                <w:highlight w:val="none"/>
              </w:rPr>
              <w:t>、TP、TN、BOD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、SS</w:t>
            </w:r>
          </w:p>
        </w:tc>
        <w:tc>
          <w:tcPr>
            <w:tcW w:w="224" w:type="pct"/>
            <w:vMerge w:val="continue"/>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0"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w:t>
            </w:r>
          </w:p>
        </w:tc>
        <w:tc>
          <w:tcPr>
            <w:tcW w:w="609"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鲸藻生物</w:t>
            </w:r>
          </w:p>
        </w:tc>
        <w:tc>
          <w:tcPr>
            <w:tcW w:w="2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已投产</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94</w:t>
            </w:r>
          </w:p>
        </w:tc>
        <w:tc>
          <w:tcPr>
            <w:tcW w:w="363"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94</w:t>
            </w:r>
          </w:p>
        </w:tc>
        <w:tc>
          <w:tcPr>
            <w:tcW w:w="63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藻类加工</w:t>
            </w:r>
          </w:p>
        </w:tc>
        <w:tc>
          <w:tcPr>
            <w:tcW w:w="63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工业废水、生活污水</w:t>
            </w:r>
          </w:p>
        </w:tc>
        <w:tc>
          <w:tcPr>
            <w:tcW w:w="104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pH、COD</w:t>
            </w:r>
            <w:r>
              <w:rPr>
                <w:rFonts w:hint="default" w:ascii="Times New Roman" w:hAnsi="Times New Roman" w:cs="Times New Roman"/>
                <w:color w:val="auto"/>
                <w:sz w:val="21"/>
                <w:szCs w:val="21"/>
                <w:highlight w:val="none"/>
                <w:lang w:val="en-US" w:eastAsia="zh-CN"/>
              </w:rPr>
              <w:t>cr</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氨氮</w:t>
            </w:r>
            <w:r>
              <w:rPr>
                <w:rFonts w:hint="default" w:ascii="Times New Roman" w:hAnsi="Times New Roman" w:cs="Times New Roman"/>
                <w:color w:val="auto"/>
                <w:sz w:val="21"/>
                <w:szCs w:val="21"/>
                <w:highlight w:val="none"/>
              </w:rPr>
              <w:t>、TP、TN、BOD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、SS</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动植物油</w:t>
            </w:r>
          </w:p>
        </w:tc>
        <w:tc>
          <w:tcPr>
            <w:tcW w:w="224" w:type="pct"/>
            <w:vMerge w:val="continue"/>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c>
          <w:tcPr>
            <w:tcW w:w="609"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旭泽生物科技有限责任公司</w:t>
            </w:r>
          </w:p>
        </w:tc>
        <w:tc>
          <w:tcPr>
            <w:tcW w:w="2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已投产</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w:t>
            </w:r>
          </w:p>
        </w:tc>
        <w:tc>
          <w:tcPr>
            <w:tcW w:w="363"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w:t>
            </w:r>
          </w:p>
        </w:tc>
        <w:tc>
          <w:tcPr>
            <w:tcW w:w="63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肥料制造</w:t>
            </w:r>
          </w:p>
        </w:tc>
        <w:tc>
          <w:tcPr>
            <w:tcW w:w="63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工业废水、生活污水</w:t>
            </w:r>
          </w:p>
        </w:tc>
        <w:tc>
          <w:tcPr>
            <w:tcW w:w="104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pH、COD</w:t>
            </w:r>
            <w:r>
              <w:rPr>
                <w:rFonts w:hint="default" w:ascii="Times New Roman" w:hAnsi="Times New Roman" w:cs="Times New Roman"/>
                <w:color w:val="auto"/>
                <w:sz w:val="21"/>
                <w:szCs w:val="21"/>
                <w:highlight w:val="none"/>
                <w:lang w:val="en-US" w:eastAsia="zh-CN"/>
              </w:rPr>
              <w:t>cr</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氨氮</w:t>
            </w:r>
            <w:r>
              <w:rPr>
                <w:rFonts w:hint="default" w:ascii="Times New Roman" w:hAnsi="Times New Roman" w:cs="Times New Roman"/>
                <w:color w:val="auto"/>
                <w:sz w:val="21"/>
                <w:szCs w:val="21"/>
                <w:highlight w:val="none"/>
              </w:rPr>
              <w:t>、TP、TN、BOD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、SS</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动植物油</w:t>
            </w:r>
          </w:p>
        </w:tc>
        <w:tc>
          <w:tcPr>
            <w:tcW w:w="224" w:type="pct"/>
            <w:vMerge w:val="continue"/>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50"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609"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其他企业</w:t>
            </w:r>
          </w:p>
        </w:tc>
        <w:tc>
          <w:tcPr>
            <w:tcW w:w="2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已投产</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1400</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895</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1600</w:t>
            </w:r>
          </w:p>
        </w:tc>
        <w:tc>
          <w:tcPr>
            <w:tcW w:w="363"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895</w:t>
            </w:r>
          </w:p>
        </w:tc>
        <w:tc>
          <w:tcPr>
            <w:tcW w:w="63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3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生活污水</w:t>
            </w:r>
          </w:p>
        </w:tc>
        <w:tc>
          <w:tcPr>
            <w:tcW w:w="104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pH、COD</w:t>
            </w:r>
            <w:r>
              <w:rPr>
                <w:rFonts w:hint="default" w:ascii="Times New Roman" w:hAnsi="Times New Roman" w:cs="Times New Roman"/>
                <w:color w:val="auto"/>
                <w:sz w:val="21"/>
                <w:szCs w:val="21"/>
                <w:highlight w:val="none"/>
                <w:lang w:val="en-US" w:eastAsia="zh-CN"/>
              </w:rPr>
              <w:t>cr</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氨氮</w:t>
            </w:r>
            <w:r>
              <w:rPr>
                <w:rFonts w:hint="default" w:ascii="Times New Roman" w:hAnsi="Times New Roman" w:cs="Times New Roman"/>
                <w:color w:val="auto"/>
                <w:sz w:val="21"/>
                <w:szCs w:val="21"/>
                <w:highlight w:val="none"/>
              </w:rPr>
              <w:t>、TP、TN、BOD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、SS</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动植物油</w:t>
            </w:r>
          </w:p>
        </w:tc>
        <w:tc>
          <w:tcPr>
            <w:tcW w:w="224" w:type="pct"/>
            <w:vMerge w:val="continue"/>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gridSpan w:val="2"/>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239"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4748.4</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1743.4</w:t>
            </w:r>
          </w:p>
        </w:tc>
        <w:tc>
          <w:tcPr>
            <w:tcW w:w="363" w:type="pct"/>
            <w:tcBorders>
              <w:tl2br w:val="nil"/>
              <w:tr2bl w:val="nil"/>
            </w:tcBorders>
            <w:noWrap w:val="0"/>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28791</w:t>
            </w:r>
          </w:p>
        </w:tc>
        <w:tc>
          <w:tcPr>
            <w:tcW w:w="363"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2447</w:t>
            </w:r>
          </w:p>
        </w:tc>
        <w:tc>
          <w:tcPr>
            <w:tcW w:w="63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color w:val="auto"/>
                <w:sz w:val="21"/>
                <w:szCs w:val="21"/>
                <w:highlight w:val="none"/>
                <w:lang w:val="en-US" w:eastAsia="zh-CN"/>
              </w:rPr>
            </w:pPr>
          </w:p>
        </w:tc>
        <w:tc>
          <w:tcPr>
            <w:tcW w:w="63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046"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24" w:type="pct"/>
            <w:tcBorders>
              <w:tl2br w:val="nil"/>
              <w:tr2bl w:val="nil"/>
            </w:tcBorders>
            <w:noWrap w:val="0"/>
            <w:vAlign w:val="center"/>
          </w:tcPr>
          <w:p>
            <w:pPr>
              <w:pStyle w:val="11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bookmarkEnd w:id="77"/>
    </w:tbl>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通过上表可以看出，2023年示范区的灌溉季企业总排水量为4748.4m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s="Times New Roman"/>
          <w:color w:val="auto"/>
          <w:highlight w:val="none"/>
          <w:lang w:val="en-US" w:eastAsia="zh-CN"/>
        </w:rPr>
        <w:t>非</w:t>
      </w:r>
      <w:r>
        <w:rPr>
          <w:rFonts w:hint="default" w:ascii="Times New Roman" w:hAnsi="Times New Roman" w:cs="Times New Roman"/>
          <w:color w:val="auto"/>
          <w:highlight w:val="none"/>
        </w:rPr>
        <w:t>灌溉季企业总排水量为</w:t>
      </w:r>
      <w:r>
        <w:rPr>
          <w:rFonts w:hint="eastAsia" w:cs="Times New Roman"/>
          <w:color w:val="auto"/>
          <w:highlight w:val="none"/>
          <w:lang w:val="en-US" w:eastAsia="zh-CN"/>
        </w:rPr>
        <w:t>1743.4</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s="Times New Roman"/>
          <w:color w:val="auto"/>
          <w:highlight w:val="none"/>
          <w:lang w:eastAsia="zh-CN"/>
        </w:rPr>
        <w:t>；</w:t>
      </w:r>
      <w:r>
        <w:rPr>
          <w:rFonts w:hint="default" w:ascii="Times New Roman" w:hAnsi="Times New Roman" w:cs="Times New Roman"/>
          <w:color w:val="auto"/>
          <w:highlight w:val="none"/>
        </w:rPr>
        <w:t>2024年示范区的企业</w:t>
      </w:r>
      <w:r>
        <w:rPr>
          <w:rFonts w:hint="eastAsia" w:cs="Times New Roman"/>
          <w:color w:val="auto"/>
          <w:highlight w:val="none"/>
          <w:lang w:val="en-US" w:eastAsia="zh-CN"/>
        </w:rPr>
        <w:t>冬季</w:t>
      </w:r>
      <w:r>
        <w:rPr>
          <w:rFonts w:hint="default" w:ascii="Times New Roman" w:hAnsi="Times New Roman" w:cs="Times New Roman"/>
          <w:color w:val="auto"/>
          <w:highlight w:val="none"/>
        </w:rPr>
        <w:t>总排水量预计为</w:t>
      </w:r>
      <w:r>
        <w:rPr>
          <w:rFonts w:hint="eastAsia" w:cs="Times New Roman"/>
          <w:color w:val="auto"/>
          <w:highlight w:val="none"/>
          <w:lang w:val="en-US" w:eastAsia="zh-CN"/>
        </w:rPr>
        <w:t>2447</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s="Times New Roman"/>
          <w:color w:val="auto"/>
          <w:highlight w:val="none"/>
          <w:lang w:val="en-US" w:eastAsia="zh-CN"/>
        </w:rPr>
        <w:t>夏季</w:t>
      </w:r>
      <w:r>
        <w:rPr>
          <w:rFonts w:hint="default" w:ascii="Times New Roman" w:hAnsi="Times New Roman" w:cs="Times New Roman"/>
          <w:color w:val="auto"/>
          <w:highlight w:val="none"/>
        </w:rPr>
        <w:t>总排水量预计为</w:t>
      </w:r>
      <w:r>
        <w:rPr>
          <w:rFonts w:hint="eastAsia" w:cs="Times New Roman"/>
          <w:color w:val="auto"/>
          <w:highlight w:val="none"/>
          <w:lang w:val="en-US" w:eastAsia="zh-CN"/>
        </w:rPr>
        <w:t>28791</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p>
    <w:p>
      <w:pPr>
        <w:pStyle w:val="49"/>
        <w:rPr>
          <w:rFonts w:hint="default"/>
          <w:color w:val="auto"/>
          <w:highlight w:val="none"/>
        </w:rPr>
        <w:sectPr>
          <w:pgSz w:w="16838" w:h="11906" w:orient="landscape"/>
          <w:pgMar w:top="1304" w:right="1440" w:bottom="1304" w:left="1440" w:header="851" w:footer="992" w:gutter="0"/>
          <w:pgBorders>
            <w:top w:val="none" w:sz="0" w:space="0"/>
            <w:left w:val="none" w:sz="0" w:space="0"/>
            <w:bottom w:val="none" w:sz="0" w:space="0"/>
            <w:right w:val="none" w:sz="0" w:space="0"/>
          </w:pgBorders>
          <w:pgNumType w:fmt="numberInDash"/>
          <w:cols w:space="0" w:num="1"/>
          <w:docGrid w:type="lines" w:linePitch="312" w:charSpace="0"/>
        </w:sectPr>
      </w:pPr>
    </w:p>
    <w:p>
      <w:pPr>
        <w:pStyle w:val="5"/>
        <w:bidi w:val="0"/>
        <w:rPr>
          <w:color w:val="auto"/>
          <w:highlight w:val="none"/>
        </w:rPr>
      </w:pPr>
      <w:r>
        <w:rPr>
          <w:rFonts w:hint="eastAsia"/>
          <w:color w:val="auto"/>
          <w:highlight w:val="none"/>
        </w:rPr>
        <w:t>扩建污水处理规模合理性分析</w:t>
      </w:r>
    </w:p>
    <w:p>
      <w:pPr>
        <w:keepNext w:val="0"/>
        <w:keepLines w:val="0"/>
        <w:widowControl/>
        <w:suppressLineNumbers w:val="0"/>
        <w:ind w:firstLine="602"/>
        <w:jc w:val="both"/>
        <w:rPr>
          <w:rFonts w:ascii="Times New Roman" w:hAnsi="Times New Roman" w:eastAsia="宋体" w:cs="Times New Roman"/>
          <w:color w:val="auto"/>
          <w:highlight w:val="none"/>
        </w:rPr>
      </w:pPr>
      <w:r>
        <w:rPr>
          <w:rFonts w:hint="default" w:ascii="Times New Roman" w:hAnsi="Times New Roman" w:cs="Times New Roman"/>
          <w:color w:val="auto"/>
          <w:highlight w:val="none"/>
        </w:rPr>
        <w:t>通过污水处理厂纳污范围内企业废水排放情况一览表可以看出，2023年示范区的企业总排水量为4748.4m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/d，2024年示范区的企业</w:t>
      </w:r>
      <w:r>
        <w:rPr>
          <w:rFonts w:hint="eastAsia" w:cs="Times New Roman"/>
          <w:color w:val="auto"/>
          <w:highlight w:val="none"/>
          <w:lang w:val="en-US" w:eastAsia="zh-CN"/>
        </w:rPr>
        <w:t>冬季</w:t>
      </w:r>
      <w:r>
        <w:rPr>
          <w:rFonts w:hint="default" w:ascii="Times New Roman" w:hAnsi="Times New Roman" w:cs="Times New Roman"/>
          <w:color w:val="auto"/>
          <w:highlight w:val="none"/>
        </w:rPr>
        <w:t>总排水量预计为</w:t>
      </w:r>
      <w:r>
        <w:rPr>
          <w:rFonts w:hint="eastAsia" w:cs="Times New Roman"/>
          <w:color w:val="auto"/>
          <w:highlight w:val="none"/>
          <w:lang w:val="en-US" w:eastAsia="zh-CN"/>
        </w:rPr>
        <w:t>2447</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s="Times New Roman"/>
          <w:color w:val="auto"/>
          <w:highlight w:val="none"/>
          <w:lang w:val="en-US" w:eastAsia="zh-CN"/>
        </w:rPr>
        <w:t>夏季</w:t>
      </w:r>
      <w:r>
        <w:rPr>
          <w:rFonts w:hint="default" w:ascii="Times New Roman" w:hAnsi="Times New Roman" w:cs="Times New Roman"/>
          <w:color w:val="auto"/>
          <w:highlight w:val="none"/>
        </w:rPr>
        <w:t>总排水量预计为</w:t>
      </w:r>
      <w:r>
        <w:rPr>
          <w:rFonts w:hint="eastAsia" w:cs="Times New Roman"/>
          <w:color w:val="auto"/>
          <w:highlight w:val="none"/>
          <w:lang w:val="en-US" w:eastAsia="zh-CN"/>
        </w:rPr>
        <w:t>28791</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s="Times New Roman"/>
          <w:color w:val="auto"/>
          <w:highlight w:val="none"/>
          <w:lang w:eastAsia="zh-CN"/>
        </w:rPr>
        <w:t>，</w:t>
      </w:r>
      <w:r>
        <w:rPr>
          <w:rFonts w:hint="eastAsia" w:cs="Times New Roman"/>
          <w:color w:val="auto"/>
          <w:highlight w:val="none"/>
          <w:lang w:val="en-US" w:eastAsia="zh-CN"/>
        </w:rPr>
        <w:t>该园区主要废水排污企业为夏季运行的番茄加工企业，此类型企业具有季节性，</w:t>
      </w:r>
      <w:r>
        <w:rPr>
          <w:rFonts w:hint="default" w:ascii="Times New Roman" w:hAnsi="Times New Roman" w:cs="Times New Roman"/>
          <w:color w:val="auto"/>
          <w:highlight w:val="none"/>
        </w:rPr>
        <w:t>因此，本次设计排水规模为30000m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s="Times New Roman"/>
          <w:color w:val="auto"/>
          <w:highlight w:val="none"/>
          <w:lang w:eastAsia="zh-CN"/>
        </w:rPr>
        <w:t>，</w:t>
      </w:r>
      <w:r>
        <w:rPr>
          <w:rFonts w:hint="eastAsia" w:cs="Times New Roman"/>
          <w:color w:val="auto"/>
          <w:highlight w:val="none"/>
          <w:lang w:val="en-US" w:eastAsia="zh-CN"/>
        </w:rPr>
        <w:t>合理</w:t>
      </w:r>
      <w:r>
        <w:rPr>
          <w:rFonts w:hint="eastAsia" w:ascii="宋体" w:hAnsi="宋体" w:eastAsia="宋体" w:cs="宋体"/>
          <w:color w:val="auto"/>
          <w:kern w:val="0"/>
          <w:sz w:val="24"/>
          <w:szCs w:val="24"/>
          <w:highlight w:val="none"/>
          <w:lang w:val="en-US" w:eastAsia="zh-CN" w:bidi="ar"/>
        </w:rPr>
        <w:t>。</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拟建工程设计进出水水质</w:t>
      </w:r>
    </w:p>
    <w:p>
      <w:pPr>
        <w:pStyle w:val="2"/>
        <w:rPr>
          <w:rFonts w:hint="default" w:ascii="Times New Roman" w:hAnsi="Times New Roman" w:cs="Times New Roman"/>
          <w:color w:val="auto"/>
          <w:highlight w:val="none"/>
        </w:rPr>
      </w:pPr>
      <w:bookmarkStart w:id="78" w:name="_Toc28404"/>
      <w:r>
        <w:rPr>
          <w:rFonts w:hint="default" w:ascii="Times New Roman" w:hAnsi="Times New Roman" w:cs="Times New Roman"/>
          <w:color w:val="auto"/>
          <w:highlight w:val="none"/>
        </w:rPr>
        <w:t>设计进水水质</w:t>
      </w:r>
      <w:bookmarkEnd w:id="78"/>
    </w:p>
    <w:p>
      <w:pPr>
        <w:ind w:firstLine="480"/>
        <w:rPr>
          <w:rFonts w:hint="eastAsia" w:cs="Times New Roman"/>
          <w:color w:val="auto"/>
          <w:highlight w:val="none"/>
          <w:lang w:eastAsia="zh-CN"/>
        </w:rPr>
      </w:pPr>
      <w:r>
        <w:rPr>
          <w:rFonts w:hint="default" w:ascii="Times New Roman" w:hAnsi="Times New Roman" w:cs="Times New Roman"/>
          <w:color w:val="auto"/>
          <w:highlight w:val="none"/>
        </w:rPr>
        <w:t>根据工业园发展规划，园区内企业生产及生活废水，由区内企业自行处理到接管要求后，统一排入工业园下水管网，送入规划的工业污水</w:t>
      </w:r>
      <w:r>
        <w:rPr>
          <w:rFonts w:hint="eastAsia" w:cs="Times New Roman"/>
          <w:color w:val="auto"/>
          <w:highlight w:val="none"/>
          <w:lang w:val="en-US" w:eastAsia="zh-CN"/>
        </w:rPr>
        <w:t>处理厂</w:t>
      </w:r>
      <w:r>
        <w:rPr>
          <w:rFonts w:hint="default" w:ascii="Times New Roman" w:hAnsi="Times New Roman" w:cs="Times New Roman"/>
          <w:color w:val="auto"/>
          <w:highlight w:val="none"/>
        </w:rPr>
        <w:t>。其中，企业工业废水的排放，有行业污水排放标准的，需执行行业污水排放标准；无行业排放标准的执行《污水综合排放标准》（GB8978-1996）三级排放标准；本污水处理</w:t>
      </w:r>
      <w:r>
        <w:rPr>
          <w:rFonts w:hint="eastAsia" w:cs="Times New Roman"/>
          <w:color w:val="auto"/>
          <w:highlight w:val="none"/>
          <w:lang w:val="en-US" w:eastAsia="zh-CN"/>
        </w:rPr>
        <w:t>厂</w:t>
      </w:r>
      <w:r>
        <w:rPr>
          <w:rFonts w:hint="default" w:ascii="Times New Roman" w:hAnsi="Times New Roman" w:cs="Times New Roman"/>
          <w:color w:val="auto"/>
          <w:highlight w:val="none"/>
        </w:rPr>
        <w:t>不接纳涉重金属废水</w:t>
      </w:r>
      <w:r>
        <w:rPr>
          <w:rFonts w:hint="eastAsia" w:cs="Times New Roman"/>
          <w:color w:val="auto"/>
          <w:highlight w:val="none"/>
          <w:lang w:eastAsia="zh-CN"/>
        </w:rPr>
        <w:t>。</w:t>
      </w:r>
    </w:p>
    <w:p>
      <w:pPr>
        <w:ind w:firstLine="48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根据工业园区的实际情况，并结合《污水综合排放标准》（GB8978-1996）的规定以及园区规划、规划环评中设计进水水质数据，本环评确定进水设计水质见表</w:t>
      </w:r>
      <w:r>
        <w:rPr>
          <w:rFonts w:hint="eastAsia" w:cs="Times New Roman"/>
          <w:color w:val="auto"/>
          <w:highlight w:val="none"/>
          <w:lang w:val="en-US" w:eastAsia="zh-CN"/>
        </w:rPr>
        <w:t>3.3</w:t>
      </w:r>
      <w:r>
        <w:rPr>
          <w:rFonts w:hint="default" w:ascii="Times New Roman" w:hAnsi="Times New Roman" w:cs="Times New Roman"/>
          <w:color w:val="auto"/>
          <w:highlight w:val="none"/>
        </w:rPr>
        <w:t>-1。考虑到园区内企业发生生产事故及非正常工况，水质水量突然发生变化可能会对污水处理中心的影响，本环评对于设计进水水质留有一定余量</w:t>
      </w:r>
      <w:r>
        <w:rPr>
          <w:rFonts w:hint="eastAsia" w:cs="Times New Roman"/>
          <w:color w:val="auto"/>
          <w:highlight w:val="none"/>
          <w:lang w:eastAsia="zh-CN"/>
        </w:rPr>
        <w:t>。</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本项目服务片区内收集的污水为园区内工业污水及生活污水，经现状实测进水水质结合下水道排放标准限值确定的总体进水水质，具体指标见</w:t>
      </w:r>
      <w:r>
        <w:rPr>
          <w:rFonts w:hint="eastAsia" w:cs="Times New Roman"/>
          <w:color w:val="auto"/>
          <w:highlight w:val="none"/>
          <w:lang w:val="en-US" w:eastAsia="zh-CN"/>
        </w:rPr>
        <w:t>下</w:t>
      </w:r>
      <w:r>
        <w:rPr>
          <w:rFonts w:hint="default" w:ascii="Times New Roman" w:hAnsi="Times New Roman" w:cs="Times New Roman"/>
          <w:color w:val="auto"/>
          <w:highlight w:val="none"/>
        </w:rPr>
        <w:t>表。</w:t>
      </w:r>
    </w:p>
    <w:p>
      <w:pPr>
        <w:spacing w:line="240" w:lineRule="auto"/>
        <w:ind w:firstLine="0" w:firstLineChars="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表3.3-2污水厂进水水质（mg/L）</w:t>
      </w:r>
    </w:p>
    <w:tbl>
      <w:tblPr>
        <w:tblStyle w:val="33"/>
        <w:tblW w:w="9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1068"/>
        <w:gridCol w:w="1275"/>
        <w:gridCol w:w="1351"/>
        <w:gridCol w:w="1041"/>
        <w:gridCol w:w="1092"/>
        <w:gridCol w:w="1445"/>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主要指标</w:t>
            </w:r>
          </w:p>
        </w:tc>
        <w:tc>
          <w:tcPr>
            <w:tcW w:w="106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pH</w:t>
            </w:r>
          </w:p>
        </w:tc>
        <w:tc>
          <w:tcPr>
            <w:tcW w:w="127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COD</w:t>
            </w:r>
          </w:p>
        </w:tc>
        <w:tc>
          <w:tcPr>
            <w:tcW w:w="135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BOD</w:t>
            </w:r>
            <w:r>
              <w:rPr>
                <w:rFonts w:hint="default" w:ascii="Times New Roman" w:hAnsi="Times New Roman" w:cs="Times New Roman"/>
                <w:color w:val="auto"/>
                <w:sz w:val="21"/>
                <w:szCs w:val="20"/>
                <w:highlight w:val="none"/>
                <w:vertAlign w:val="subscript"/>
              </w:rPr>
              <w:t>5</w:t>
            </w:r>
          </w:p>
        </w:tc>
        <w:tc>
          <w:tcPr>
            <w:tcW w:w="104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SS</w:t>
            </w:r>
          </w:p>
        </w:tc>
        <w:tc>
          <w:tcPr>
            <w:tcW w:w="109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TN</w:t>
            </w:r>
          </w:p>
        </w:tc>
        <w:tc>
          <w:tcPr>
            <w:tcW w:w="144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NH</w:t>
            </w:r>
            <w:r>
              <w:rPr>
                <w:rFonts w:hint="default" w:ascii="Times New Roman" w:hAnsi="Times New Roman" w:cs="Times New Roman"/>
                <w:color w:val="auto"/>
                <w:sz w:val="21"/>
                <w:szCs w:val="20"/>
                <w:highlight w:val="none"/>
                <w:vertAlign w:val="subscript"/>
              </w:rPr>
              <w:t>3</w:t>
            </w:r>
            <w:r>
              <w:rPr>
                <w:rFonts w:hint="default" w:ascii="Times New Roman" w:hAnsi="Times New Roman" w:cs="Times New Roman"/>
                <w:color w:val="auto"/>
                <w:sz w:val="21"/>
                <w:szCs w:val="20"/>
                <w:highlight w:val="none"/>
              </w:rPr>
              <w:t>-N</w:t>
            </w:r>
          </w:p>
        </w:tc>
        <w:tc>
          <w:tcPr>
            <w:tcW w:w="105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2"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数值</w:t>
            </w:r>
          </w:p>
        </w:tc>
        <w:tc>
          <w:tcPr>
            <w:tcW w:w="106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6.5~8.5</w:t>
            </w:r>
          </w:p>
        </w:tc>
        <w:tc>
          <w:tcPr>
            <w:tcW w:w="127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600</w:t>
            </w:r>
          </w:p>
        </w:tc>
        <w:tc>
          <w:tcPr>
            <w:tcW w:w="135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350</w:t>
            </w:r>
          </w:p>
        </w:tc>
        <w:tc>
          <w:tcPr>
            <w:tcW w:w="104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350</w:t>
            </w:r>
          </w:p>
        </w:tc>
        <w:tc>
          <w:tcPr>
            <w:tcW w:w="109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70</w:t>
            </w:r>
          </w:p>
        </w:tc>
        <w:tc>
          <w:tcPr>
            <w:tcW w:w="144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35</w:t>
            </w:r>
          </w:p>
        </w:tc>
        <w:tc>
          <w:tcPr>
            <w:tcW w:w="105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5</w:t>
            </w:r>
          </w:p>
        </w:tc>
      </w:tr>
    </w:tbl>
    <w:p>
      <w:pPr>
        <w:pStyle w:val="2"/>
        <w:rPr>
          <w:rFonts w:hint="default" w:ascii="Times New Roman" w:hAnsi="Times New Roman" w:cs="Times New Roman"/>
          <w:color w:val="auto"/>
          <w:highlight w:val="none"/>
        </w:rPr>
      </w:pPr>
      <w:bookmarkStart w:id="79" w:name="_Toc10579"/>
      <w:r>
        <w:rPr>
          <w:rFonts w:hint="default" w:ascii="Times New Roman" w:hAnsi="Times New Roman" w:cs="Times New Roman"/>
          <w:color w:val="auto"/>
          <w:highlight w:val="none"/>
        </w:rPr>
        <w:t>设计出水水质</w:t>
      </w:r>
      <w:bookmarkEnd w:id="79"/>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根据总体规划及目前的环保要求以及考虑到本项目出水要进行中水回用，确定</w:t>
      </w:r>
      <w:r>
        <w:rPr>
          <w:rFonts w:hint="eastAsia" w:cs="Times New Roman"/>
          <w:color w:val="auto"/>
          <w:highlight w:val="none"/>
          <w:lang w:eastAsia="zh-CN"/>
        </w:rPr>
        <w:t>本项目</w:t>
      </w:r>
      <w:r>
        <w:rPr>
          <w:rFonts w:hint="default" w:ascii="Times New Roman" w:hAnsi="Times New Roman" w:cs="Times New Roman"/>
          <w:color w:val="auto"/>
          <w:highlight w:val="none"/>
        </w:rPr>
        <w:t>污水处理厂设计出水水质应达到《城镇污水处理厂污染物排放标准》（GB18918-2002）中的一级A级标准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同时满足《</w:t>
      </w:r>
      <w:r>
        <w:rPr>
          <w:rFonts w:hint="eastAsia" w:cs="Times New Roman"/>
          <w:color w:val="auto"/>
          <w:highlight w:val="none"/>
          <w:lang w:eastAsia="zh-CN"/>
        </w:rPr>
        <w:t>城市污水再生利用城市杂用水水质》（GB/T18920-2020）</w:t>
      </w:r>
      <w:r>
        <w:rPr>
          <w:rFonts w:hint="default" w:ascii="Times New Roman" w:hAnsi="Times New Roman" w:cs="Times New Roman"/>
          <w:color w:val="auto"/>
          <w:highlight w:val="none"/>
        </w:rPr>
        <w:t>和《城市污水再生利用绿地灌溉水质》（GB/T25499-2010），具体指标见下表：</w:t>
      </w:r>
    </w:p>
    <w:p>
      <w:pPr>
        <w:spacing w:line="240" w:lineRule="auto"/>
        <w:ind w:firstLine="0" w:firstLineChars="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表3.3-3设计出水水质（单位：mg/L）</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231"/>
        <w:gridCol w:w="4026"/>
        <w:gridCol w:w="4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2" w:hRule="atLeast"/>
          <w:jc w:val="center"/>
        </w:trPr>
        <w:tc>
          <w:tcPr>
            <w:tcW w:w="658"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序号</w:t>
            </w:r>
          </w:p>
        </w:tc>
        <w:tc>
          <w:tcPr>
            <w:tcW w:w="2152"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基本控制项目</w:t>
            </w:r>
          </w:p>
        </w:tc>
        <w:tc>
          <w:tcPr>
            <w:tcW w:w="2189"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最高允许排放浓度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7" w:hRule="atLeast"/>
          <w:jc w:val="center"/>
        </w:trPr>
        <w:tc>
          <w:tcPr>
            <w:tcW w:w="658"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w:t>
            </w:r>
          </w:p>
        </w:tc>
        <w:tc>
          <w:tcPr>
            <w:tcW w:w="2152"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化学需氧量（COD）</w:t>
            </w:r>
          </w:p>
        </w:tc>
        <w:tc>
          <w:tcPr>
            <w:tcW w:w="2189" w:type="pct"/>
            <w:tcBorders>
              <w:tl2br w:val="nil"/>
              <w:tr2bl w:val="nil"/>
            </w:tcBorders>
            <w:vAlign w:val="center"/>
          </w:tcPr>
          <w:p>
            <w:pPr>
              <w:widowControl/>
              <w:tabs>
                <w:tab w:val="center" w:pos="1852"/>
              </w:tabs>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7" w:hRule="atLeast"/>
          <w:jc w:val="center"/>
        </w:trPr>
        <w:tc>
          <w:tcPr>
            <w:tcW w:w="658"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w:t>
            </w:r>
          </w:p>
        </w:tc>
        <w:tc>
          <w:tcPr>
            <w:tcW w:w="2152"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五日生化需氧量（BOD</w:t>
            </w:r>
            <w:r>
              <w:rPr>
                <w:rFonts w:hint="default" w:ascii="Times New Roman" w:hAnsi="Times New Roman" w:cs="Times New Roman"/>
                <w:color w:val="auto"/>
                <w:kern w:val="0"/>
                <w:sz w:val="21"/>
                <w:szCs w:val="21"/>
                <w:highlight w:val="none"/>
                <w:vertAlign w:val="subscript"/>
              </w:rPr>
              <w:t>5）</w:t>
            </w:r>
          </w:p>
        </w:tc>
        <w:tc>
          <w:tcPr>
            <w:tcW w:w="2189"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7" w:hRule="atLeast"/>
          <w:jc w:val="center"/>
        </w:trPr>
        <w:tc>
          <w:tcPr>
            <w:tcW w:w="658"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w:t>
            </w:r>
          </w:p>
        </w:tc>
        <w:tc>
          <w:tcPr>
            <w:tcW w:w="2152"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悬浮物（SS）</w:t>
            </w:r>
          </w:p>
        </w:tc>
        <w:tc>
          <w:tcPr>
            <w:tcW w:w="2189"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7" w:hRule="atLeast"/>
          <w:jc w:val="center"/>
        </w:trPr>
        <w:tc>
          <w:tcPr>
            <w:tcW w:w="658"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w:t>
            </w:r>
          </w:p>
        </w:tc>
        <w:tc>
          <w:tcPr>
            <w:tcW w:w="2152"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动植物油</w:t>
            </w:r>
          </w:p>
        </w:tc>
        <w:tc>
          <w:tcPr>
            <w:tcW w:w="2189"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7" w:hRule="atLeast"/>
          <w:jc w:val="center"/>
        </w:trPr>
        <w:tc>
          <w:tcPr>
            <w:tcW w:w="658"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w:t>
            </w:r>
          </w:p>
        </w:tc>
        <w:tc>
          <w:tcPr>
            <w:tcW w:w="2152"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石油类</w:t>
            </w:r>
          </w:p>
        </w:tc>
        <w:tc>
          <w:tcPr>
            <w:tcW w:w="2189"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7" w:hRule="atLeast"/>
          <w:jc w:val="center"/>
        </w:trPr>
        <w:tc>
          <w:tcPr>
            <w:tcW w:w="658"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w:t>
            </w:r>
          </w:p>
        </w:tc>
        <w:tc>
          <w:tcPr>
            <w:tcW w:w="2152"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阴离子表面活性剂</w:t>
            </w:r>
          </w:p>
        </w:tc>
        <w:tc>
          <w:tcPr>
            <w:tcW w:w="2189"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7" w:hRule="atLeast"/>
          <w:jc w:val="center"/>
        </w:trPr>
        <w:tc>
          <w:tcPr>
            <w:tcW w:w="658"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w:t>
            </w:r>
          </w:p>
        </w:tc>
        <w:tc>
          <w:tcPr>
            <w:tcW w:w="2152"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总氮（以N计）</w:t>
            </w:r>
          </w:p>
        </w:tc>
        <w:tc>
          <w:tcPr>
            <w:tcW w:w="2189"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7" w:hRule="atLeast"/>
          <w:jc w:val="center"/>
        </w:trPr>
        <w:tc>
          <w:tcPr>
            <w:tcW w:w="658"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w:t>
            </w:r>
          </w:p>
        </w:tc>
        <w:tc>
          <w:tcPr>
            <w:tcW w:w="2152"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氨氮（</w:t>
            </w:r>
            <w:r>
              <w:rPr>
                <w:rFonts w:hint="default" w:ascii="Times New Roman" w:hAnsi="Times New Roman" w:cs="Times New Roman"/>
                <w:color w:val="auto"/>
                <w:kern w:val="0"/>
                <w:sz w:val="21"/>
                <w:szCs w:val="21"/>
                <w:highlight w:val="none"/>
              </w:rPr>
              <w:cr/>
            </w:r>
            <w:r>
              <w:rPr>
                <w:rFonts w:hint="default" w:ascii="Times New Roman" w:hAnsi="Times New Roman" w:cs="Times New Roman"/>
                <w:color w:val="auto"/>
                <w:kern w:val="0"/>
                <w:sz w:val="21"/>
                <w:szCs w:val="21"/>
                <w:highlight w:val="none"/>
              </w:rPr>
              <w:t>N</w:t>
            </w:r>
            <w:r>
              <w:rPr>
                <w:rFonts w:hint="eastAsia"/>
                <w:color w:val="auto"/>
                <w:highlight w:val="none"/>
              </w:rPr>
              <w:t>以N计</w:t>
            </w:r>
            <w:r>
              <w:rPr>
                <w:rFonts w:hint="default" w:ascii="Times New Roman" w:hAnsi="Times New Roman" w:cs="Times New Roman"/>
                <w:color w:val="auto"/>
                <w:kern w:val="0"/>
                <w:sz w:val="21"/>
                <w:szCs w:val="21"/>
                <w:highlight w:val="none"/>
              </w:rPr>
              <w:t>）</w:t>
            </w:r>
          </w:p>
        </w:tc>
        <w:tc>
          <w:tcPr>
            <w:tcW w:w="2189"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7" w:hRule="atLeast"/>
          <w:jc w:val="center"/>
        </w:trPr>
        <w:tc>
          <w:tcPr>
            <w:tcW w:w="658"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w:t>
            </w:r>
          </w:p>
        </w:tc>
        <w:tc>
          <w:tcPr>
            <w:tcW w:w="2152"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总磷（以P</w:t>
            </w:r>
            <w:r>
              <w:rPr>
                <w:rFonts w:hint="eastAsia"/>
                <w:color w:val="auto"/>
                <w:highlight w:val="none"/>
              </w:rPr>
              <w:t>计</w:t>
            </w:r>
            <w:r>
              <w:rPr>
                <w:rFonts w:hint="default" w:ascii="Times New Roman" w:hAnsi="Times New Roman" w:cs="Times New Roman"/>
                <w:color w:val="auto"/>
                <w:kern w:val="0"/>
                <w:sz w:val="21"/>
                <w:szCs w:val="21"/>
                <w:highlight w:val="none"/>
              </w:rPr>
              <w:t>）</w:t>
            </w:r>
          </w:p>
        </w:tc>
        <w:tc>
          <w:tcPr>
            <w:tcW w:w="2189"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7" w:hRule="atLeast"/>
          <w:jc w:val="center"/>
        </w:trPr>
        <w:tc>
          <w:tcPr>
            <w:tcW w:w="658"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w:t>
            </w:r>
          </w:p>
        </w:tc>
        <w:tc>
          <w:tcPr>
            <w:tcW w:w="2152"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色度</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稀释</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w:t>
            </w:r>
          </w:p>
        </w:tc>
        <w:tc>
          <w:tcPr>
            <w:tcW w:w="2189"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7" w:hRule="atLeast"/>
          <w:jc w:val="center"/>
        </w:trPr>
        <w:tc>
          <w:tcPr>
            <w:tcW w:w="658"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11</w:t>
            </w:r>
          </w:p>
        </w:tc>
        <w:tc>
          <w:tcPr>
            <w:tcW w:w="2152"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pH值</w:t>
            </w:r>
          </w:p>
        </w:tc>
        <w:tc>
          <w:tcPr>
            <w:tcW w:w="2189"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7" w:hRule="atLeast"/>
          <w:jc w:val="center"/>
        </w:trPr>
        <w:tc>
          <w:tcPr>
            <w:tcW w:w="658"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w:t>
            </w:r>
          </w:p>
        </w:tc>
        <w:tc>
          <w:tcPr>
            <w:tcW w:w="2152"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粪大肠菌群数</w:t>
            </w:r>
            <w:r>
              <w:rPr>
                <w:rFonts w:hint="default" w:ascii="Times New Roman" w:hAnsi="Times New Roman" w:cs="Times New Roman"/>
                <w:color w:val="auto"/>
                <w:kern w:val="0"/>
                <w:sz w:val="21"/>
                <w:szCs w:val="21"/>
                <w:highlight w:val="none"/>
              </w:rPr>
              <w:cr/>
            </w:r>
            <w:r>
              <w:rPr>
                <w:rFonts w:hint="default" w:ascii="Times New Roman" w:hAnsi="Times New Roman" w:cs="Times New Roman"/>
                <w:color w:val="auto"/>
                <w:kern w:val="0"/>
                <w:sz w:val="21"/>
                <w:szCs w:val="21"/>
                <w:highlight w:val="none"/>
              </w:rPr>
              <w:t>（个/升）</w:t>
            </w:r>
          </w:p>
        </w:tc>
        <w:tc>
          <w:tcPr>
            <w:tcW w:w="2189" w:type="pct"/>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w:t>
            </w:r>
            <w:r>
              <w:rPr>
                <w:rFonts w:hint="default" w:ascii="Times New Roman" w:hAnsi="Times New Roman" w:cs="Times New Roman"/>
                <w:color w:val="auto"/>
                <w:kern w:val="0"/>
                <w:sz w:val="21"/>
                <w:szCs w:val="21"/>
                <w:highlight w:val="none"/>
                <w:vertAlign w:val="superscript"/>
              </w:rPr>
              <w:t>3</w:t>
            </w:r>
          </w:p>
        </w:tc>
      </w:tr>
    </w:tbl>
    <w:p>
      <w:pPr>
        <w:pStyle w:val="2"/>
        <w:rPr>
          <w:rFonts w:hint="default" w:ascii="Times New Roman" w:hAnsi="Times New Roman" w:cs="Times New Roman"/>
          <w:color w:val="auto"/>
          <w:highlight w:val="none"/>
        </w:rPr>
      </w:pPr>
      <w:bookmarkStart w:id="80" w:name="_Toc32114"/>
      <w:r>
        <w:rPr>
          <w:rFonts w:hint="default" w:ascii="Times New Roman" w:hAnsi="Times New Roman" w:cs="Times New Roman"/>
          <w:color w:val="auto"/>
          <w:highlight w:val="none"/>
        </w:rPr>
        <w:t>尾水利用、污泥处置方案</w:t>
      </w:r>
      <w:bookmarkEnd w:id="80"/>
    </w:p>
    <w:p>
      <w:pPr>
        <w:autoSpaceDE w:val="0"/>
        <w:autoSpaceDN w:val="0"/>
        <w:adjustRightInd w:val="0"/>
        <w:ind w:firstLine="480"/>
        <w:rPr>
          <w:rFonts w:hint="default" w:ascii="Times New Roman" w:hAnsi="Times New Roman" w:cs="Times New Roman"/>
          <w:color w:val="auto"/>
          <w:szCs w:val="20"/>
          <w:highlight w:val="none"/>
        </w:rPr>
      </w:pPr>
      <w:r>
        <w:rPr>
          <w:rFonts w:hint="eastAsia" w:cs="Times New Roman"/>
          <w:color w:val="auto"/>
          <w:szCs w:val="20"/>
          <w:highlight w:val="none"/>
          <w:lang w:eastAsia="zh-CN"/>
        </w:rPr>
        <w:t>本项目</w:t>
      </w:r>
      <w:r>
        <w:rPr>
          <w:rFonts w:hint="default" w:ascii="Times New Roman" w:hAnsi="Times New Roman" w:cs="Times New Roman"/>
          <w:color w:val="auto"/>
          <w:szCs w:val="20"/>
          <w:highlight w:val="none"/>
        </w:rPr>
        <w:t>出水水质达到</w:t>
      </w:r>
      <w:r>
        <w:rPr>
          <w:rFonts w:hint="eastAsia" w:cs="Times New Roman"/>
          <w:color w:val="auto"/>
          <w:szCs w:val="20"/>
          <w:highlight w:val="none"/>
          <w:lang w:eastAsia="zh-CN"/>
        </w:rPr>
        <w:t>《城镇污水处理厂污染物排放标准》（GB18918-2002）及修改单的一级A标准</w:t>
      </w:r>
      <w:r>
        <w:rPr>
          <w:rFonts w:hint="default" w:ascii="Times New Roman" w:hAnsi="Times New Roman" w:cs="Times New Roman"/>
          <w:color w:val="auto"/>
          <w:szCs w:val="20"/>
          <w:highlight w:val="none"/>
        </w:rPr>
        <w:t>标准，</w:t>
      </w:r>
      <w:r>
        <w:rPr>
          <w:rFonts w:hint="default" w:ascii="Times New Roman" w:hAnsi="Times New Roman" w:cs="Times New Roman"/>
          <w:color w:val="auto"/>
          <w:highlight w:val="none"/>
        </w:rPr>
        <w:t>同时满足《城市污水再生利用城市杂用水水质》（</w:t>
      </w:r>
      <w:r>
        <w:rPr>
          <w:rFonts w:hint="eastAsia" w:cs="Times New Roman"/>
          <w:color w:val="auto"/>
          <w:highlight w:val="none"/>
          <w:lang w:eastAsia="zh-CN"/>
        </w:rPr>
        <w:t>GB/T18920-2020</w:t>
      </w:r>
      <w:r>
        <w:rPr>
          <w:rFonts w:hint="default" w:ascii="Times New Roman" w:hAnsi="Times New Roman" w:cs="Times New Roman"/>
          <w:color w:val="auto"/>
          <w:highlight w:val="none"/>
        </w:rPr>
        <w:t>）和《城市污水再生利用绿地灌溉水质》（GB/T25499-2010）</w:t>
      </w:r>
      <w:r>
        <w:rPr>
          <w:rFonts w:hint="default" w:ascii="Times New Roman" w:hAnsi="Times New Roman" w:cs="Times New Roman"/>
          <w:color w:val="auto"/>
          <w:highlight w:val="none"/>
          <w:lang w:eastAsia="zh-CN"/>
        </w:rPr>
        <w:t>，</w:t>
      </w:r>
      <w:r>
        <w:rPr>
          <w:rFonts w:hint="default" w:ascii="Times New Roman" w:hAnsi="Times New Roman" w:cs="Times New Roman"/>
          <w:color w:val="auto"/>
          <w:szCs w:val="20"/>
          <w:highlight w:val="none"/>
        </w:rPr>
        <w:t>处理完的尾水冬储夏灌，夏季进入</w:t>
      </w:r>
      <w:r>
        <w:rPr>
          <w:rFonts w:hint="eastAsia" w:cs="Times New Roman"/>
          <w:color w:val="auto"/>
          <w:szCs w:val="20"/>
          <w:highlight w:val="none"/>
          <w:lang w:eastAsia="zh-CN"/>
        </w:rPr>
        <w:t>中水池</w:t>
      </w:r>
      <w:r>
        <w:rPr>
          <w:rFonts w:hint="default" w:ascii="Times New Roman" w:hAnsi="Times New Roman" w:cs="Times New Roman"/>
          <w:color w:val="auto"/>
          <w:szCs w:val="20"/>
          <w:highlight w:val="none"/>
        </w:rPr>
        <w:t>短暂存储，经水泵输送至</w:t>
      </w:r>
      <w:r>
        <w:rPr>
          <w:rFonts w:hint="eastAsia" w:cs="Times New Roman"/>
          <w:color w:val="auto"/>
          <w:szCs w:val="20"/>
          <w:highlight w:val="none"/>
          <w:lang w:eastAsia="zh-CN"/>
        </w:rPr>
        <w:t>林地</w:t>
      </w:r>
      <w:r>
        <w:rPr>
          <w:rFonts w:hint="default" w:ascii="Times New Roman" w:hAnsi="Times New Roman" w:cs="Times New Roman"/>
          <w:color w:val="auto"/>
          <w:szCs w:val="20"/>
          <w:highlight w:val="none"/>
        </w:rPr>
        <w:t>灌溉管道，用于</w:t>
      </w:r>
      <w:r>
        <w:rPr>
          <w:rFonts w:hint="eastAsia" w:cs="Times New Roman"/>
          <w:color w:val="auto"/>
          <w:szCs w:val="20"/>
          <w:highlight w:val="none"/>
          <w:lang w:val="en-US" w:eastAsia="zh-CN"/>
        </w:rPr>
        <w:t>园区绿化及示范区的</w:t>
      </w:r>
      <w:r>
        <w:rPr>
          <w:rFonts w:hint="eastAsia" w:cs="Times New Roman"/>
          <w:color w:val="auto"/>
          <w:szCs w:val="20"/>
          <w:highlight w:val="none"/>
          <w:lang w:eastAsia="zh-CN"/>
        </w:rPr>
        <w:t>林地</w:t>
      </w:r>
      <w:r>
        <w:rPr>
          <w:rFonts w:hint="default" w:ascii="Times New Roman" w:hAnsi="Times New Roman" w:cs="Times New Roman"/>
          <w:color w:val="auto"/>
          <w:szCs w:val="20"/>
          <w:highlight w:val="none"/>
        </w:rPr>
        <w:t>灌溉，冬季从压力管网末端引入</w:t>
      </w:r>
      <w:r>
        <w:rPr>
          <w:rFonts w:hint="eastAsia" w:cs="Times New Roman"/>
          <w:color w:val="auto"/>
          <w:szCs w:val="20"/>
          <w:highlight w:val="none"/>
          <w:lang w:val="en-US" w:eastAsia="zh-CN"/>
        </w:rPr>
        <w:t>西侧</w:t>
      </w:r>
      <w:r>
        <w:rPr>
          <w:rFonts w:hint="eastAsia" w:cs="Times New Roman"/>
          <w:color w:val="auto"/>
          <w:szCs w:val="20"/>
          <w:highlight w:val="none"/>
          <w:lang w:eastAsia="zh-CN"/>
        </w:rPr>
        <w:t>中水池</w:t>
      </w:r>
      <w:r>
        <w:rPr>
          <w:rFonts w:hint="default" w:ascii="Times New Roman" w:hAnsi="Times New Roman" w:cs="Times New Roman"/>
          <w:color w:val="auto"/>
          <w:szCs w:val="20"/>
          <w:highlight w:val="none"/>
        </w:rPr>
        <w:t>存储，夏季利用。</w:t>
      </w:r>
    </w:p>
    <w:p>
      <w:pPr>
        <w:autoSpaceDE w:val="0"/>
        <w:autoSpaceDN w:val="0"/>
        <w:adjustRightInd w:val="0"/>
        <w:ind w:firstLine="480"/>
        <w:rPr>
          <w:rFonts w:hint="default" w:ascii="Times New Roman" w:hAnsi="Times New Roman" w:cs="Times New Roman"/>
          <w:color w:val="auto"/>
          <w:highlight w:val="none"/>
        </w:rPr>
      </w:pPr>
      <w:r>
        <w:rPr>
          <w:rFonts w:hint="eastAsia" w:cs="Times New Roman"/>
          <w:color w:val="auto"/>
          <w:highlight w:val="none"/>
          <w:lang w:val="en-US" w:eastAsia="zh-CN"/>
        </w:rPr>
        <w:t>根据现有污水处理厂针对</w:t>
      </w:r>
      <w:r>
        <w:rPr>
          <w:rFonts w:hint="default" w:ascii="Times New Roman" w:hAnsi="Times New Roman" w:cs="Times New Roman"/>
          <w:color w:val="auto"/>
          <w:highlight w:val="none"/>
          <w:lang w:val="zh-CN"/>
        </w:rPr>
        <w:t>污泥危险废物鉴别实验，</w:t>
      </w:r>
      <w:r>
        <w:rPr>
          <w:rFonts w:hint="eastAsia" w:cs="Times New Roman"/>
          <w:color w:val="auto"/>
          <w:highlight w:val="none"/>
          <w:lang w:val="en-US" w:eastAsia="zh-CN"/>
        </w:rPr>
        <w:t>可知本项目污泥为一般固体废物（见附件污泥鉴别报告），</w:t>
      </w:r>
      <w:r>
        <w:rPr>
          <w:rFonts w:hint="eastAsia" w:cs="Times New Roman"/>
          <w:color w:val="auto"/>
          <w:highlight w:val="none"/>
          <w:lang w:val="zh-CN"/>
        </w:rPr>
        <w:t>污泥经脱水至含水率小于60%后，与栅渣、沉砂一起运至生活垃圾填埋场进行卫生填埋</w:t>
      </w:r>
      <w:r>
        <w:rPr>
          <w:rFonts w:hint="default" w:ascii="Times New Roman" w:hAnsi="Times New Roman" w:cs="Times New Roman"/>
          <w:color w:val="auto"/>
          <w:highlight w:val="none"/>
          <w:lang w:val="zh-CN"/>
        </w:rPr>
        <w:t>。</w:t>
      </w:r>
    </w:p>
    <w:p>
      <w:pPr>
        <w:pStyle w:val="2"/>
        <w:rPr>
          <w:rFonts w:hint="default" w:ascii="Times New Roman" w:hAnsi="Times New Roman" w:cs="Times New Roman"/>
          <w:color w:val="auto"/>
          <w:highlight w:val="none"/>
        </w:rPr>
      </w:pPr>
      <w:bookmarkStart w:id="81" w:name="_Toc11731"/>
      <w:r>
        <w:rPr>
          <w:rFonts w:hint="default" w:ascii="Times New Roman" w:hAnsi="Times New Roman" w:cs="Times New Roman"/>
          <w:color w:val="auto"/>
          <w:highlight w:val="none"/>
        </w:rPr>
        <w:t>污水处理厂出水达标可行性分析</w:t>
      </w:r>
      <w:bookmarkEnd w:id="81"/>
    </w:p>
    <w:p>
      <w:pPr>
        <w:autoSpaceDE w:val="0"/>
        <w:autoSpaceDN w:val="0"/>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工艺中预处理以</w:t>
      </w:r>
      <w:r>
        <w:rPr>
          <w:rFonts w:hint="eastAsia"/>
          <w:color w:val="auto"/>
          <w:highlight w:val="none"/>
          <w:lang w:val="en-US" w:eastAsia="zh-CN"/>
        </w:rPr>
        <w:t>格栅、沉淀、调节</w:t>
      </w:r>
      <w:r>
        <w:rPr>
          <w:rFonts w:hint="default" w:ascii="Times New Roman" w:hAnsi="Times New Roman" w:cs="Times New Roman"/>
          <w:color w:val="auto"/>
          <w:highlight w:val="none"/>
        </w:rPr>
        <w:t>为主，生</w:t>
      </w:r>
      <w:r>
        <w:rPr>
          <w:rFonts w:hint="eastAsia" w:cs="Times New Roman"/>
          <w:color w:val="auto"/>
          <w:highlight w:val="none"/>
          <w:lang w:val="en-US" w:eastAsia="zh-CN"/>
        </w:rPr>
        <w:t>化</w:t>
      </w:r>
      <w:r>
        <w:rPr>
          <w:rFonts w:hint="default" w:ascii="Times New Roman" w:hAnsi="Times New Roman" w:cs="Times New Roman"/>
          <w:color w:val="auto"/>
          <w:highlight w:val="none"/>
        </w:rPr>
        <w:t>处理采用厌氧+好氧，</w:t>
      </w:r>
      <w:r>
        <w:rPr>
          <w:rFonts w:hint="eastAsia"/>
          <w:color w:val="auto"/>
          <w:highlight w:val="none"/>
          <w:lang w:val="en-US" w:eastAsia="zh-CN"/>
        </w:rPr>
        <w:t>深度处理为反硝化滤池，</w:t>
      </w:r>
      <w:r>
        <w:rPr>
          <w:rFonts w:hint="default" w:ascii="Times New Roman" w:hAnsi="Times New Roman" w:cs="Times New Roman"/>
          <w:color w:val="auto"/>
          <w:highlight w:val="none"/>
        </w:rPr>
        <w:t>消毒工艺采用二氧化氯消毒剂；处理工艺为《排污许可证申请与核发技术规范水处理（试行）》（HJ978-2018）中“污染防治可行技术要求”中“污水处理可行技术”提出的生活污水</w:t>
      </w:r>
      <w:r>
        <w:rPr>
          <w:rFonts w:hint="eastAsia" w:cs="Times New Roman"/>
          <w:color w:val="auto"/>
          <w:highlight w:val="none"/>
          <w:lang w:val="en-US" w:eastAsia="zh-CN"/>
        </w:rPr>
        <w:t>和生产废水</w:t>
      </w:r>
      <w:r>
        <w:rPr>
          <w:rFonts w:hint="default" w:ascii="Times New Roman" w:hAnsi="Times New Roman" w:cs="Times New Roman"/>
          <w:color w:val="auto"/>
          <w:highlight w:val="none"/>
        </w:rPr>
        <w:t>执行</w:t>
      </w:r>
      <w:r>
        <w:rPr>
          <w:rFonts w:hint="default" w:ascii="Times New Roman" w:hAnsi="Times New Roman" w:cs="Times New Roman"/>
          <w:color w:val="auto"/>
          <w:highlight w:val="none"/>
          <w:lang w:eastAsia="zh-CN"/>
        </w:rPr>
        <w:t>GB18918-2002</w:t>
      </w:r>
      <w:r>
        <w:rPr>
          <w:rFonts w:hint="default" w:ascii="Times New Roman" w:hAnsi="Times New Roman" w:cs="Times New Roman"/>
          <w:color w:val="auto"/>
          <w:highlight w:val="none"/>
        </w:rPr>
        <w:t>中一级标准的A标准或更严标准时推荐的可行技术。污水厂采用工艺技术为行业技术规范推荐成熟可行技术，能够保证出水达标排放。</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尾水去向可行性分析</w:t>
      </w:r>
    </w:p>
    <w:p>
      <w:pPr>
        <w:bidi w:val="0"/>
        <w:rPr>
          <w:rFonts w:hint="default"/>
        </w:rPr>
      </w:pPr>
      <w:r>
        <w:rPr>
          <w:rFonts w:hint="default"/>
        </w:rPr>
        <w:t>①灌溉</w:t>
      </w:r>
      <w:r>
        <w:rPr>
          <w:rFonts w:hint="eastAsia"/>
          <w:lang w:val="en-US" w:eastAsia="zh-CN"/>
        </w:rPr>
        <w:t>生态</w:t>
      </w:r>
      <w:r>
        <w:rPr>
          <w:rFonts w:hint="default"/>
        </w:rPr>
        <w:t>林的可行性分析</w:t>
      </w:r>
    </w:p>
    <w:p>
      <w:pPr>
        <w:bidi w:val="0"/>
        <w:rPr>
          <w:rFonts w:hint="default"/>
        </w:rPr>
      </w:pPr>
      <w:r>
        <w:rPr>
          <w:rFonts w:hint="eastAsia"/>
          <w:lang w:val="en-US" w:eastAsia="zh-CN"/>
        </w:rPr>
        <w:t>尾水</w:t>
      </w:r>
      <w:r>
        <w:rPr>
          <w:rFonts w:hint="default"/>
        </w:rPr>
        <w:t>达到《城镇污水处理厂污染物排放标准》（GB18918-2002）一级A标准以及《城市污水再生利用绿地灌溉水质》（GB/T25499-2010）后</w:t>
      </w:r>
      <w:r>
        <w:rPr>
          <w:rFonts w:hint="eastAsia"/>
          <w:lang w:eastAsia="zh-CN"/>
        </w:rPr>
        <w:t>，</w:t>
      </w:r>
      <w:r>
        <w:rPr>
          <w:rFonts w:hint="eastAsia"/>
          <w:lang w:val="en-US" w:eastAsia="zh-CN"/>
        </w:rPr>
        <w:t>夏季用于园区绿化及</w:t>
      </w:r>
      <w:r>
        <w:rPr>
          <w:rFonts w:hint="default"/>
        </w:rPr>
        <w:t>灌溉示范区的林地，冬季储存于</w:t>
      </w:r>
      <w:r>
        <w:rPr>
          <w:rFonts w:hint="default"/>
          <w:lang w:eastAsia="zh-CN"/>
        </w:rPr>
        <w:t>中水池</w:t>
      </w:r>
      <w:r>
        <w:rPr>
          <w:rFonts w:hint="default"/>
        </w:rPr>
        <w:t>中。</w:t>
      </w:r>
    </w:p>
    <w:p>
      <w:pPr>
        <w:bidi w:val="0"/>
        <w:rPr>
          <w:rFonts w:hint="default" w:eastAsia="宋体"/>
          <w:b w:val="0"/>
          <w:bCs/>
          <w:color w:val="auto"/>
          <w:highlight w:val="none"/>
          <w:lang w:val="en-US" w:eastAsia="zh-CN"/>
        </w:rPr>
      </w:pPr>
      <w:r>
        <w:rPr>
          <w:rFonts w:hint="default" w:ascii="Times New Roman" w:hAnsi="Times New Roman" w:eastAsia="宋体" w:cs="Times New Roman"/>
          <w:b w:val="0"/>
          <w:bCs/>
          <w:color w:val="auto"/>
          <w:kern w:val="2"/>
          <w:sz w:val="24"/>
          <w:szCs w:val="24"/>
          <w:highlight w:val="none"/>
          <w:lang w:val="en-US" w:eastAsia="zh-CN" w:bidi="ar-SA"/>
        </w:rPr>
        <w:t>本项目厂区绿化面积</w:t>
      </w:r>
      <w:r>
        <w:rPr>
          <w:rFonts w:hint="eastAsia" w:ascii="Times New Roman" w:hAnsi="Times New Roman" w:eastAsia="宋体" w:cs="Times New Roman"/>
          <w:b w:val="0"/>
          <w:bCs/>
          <w:color w:val="auto"/>
          <w:kern w:val="2"/>
          <w:sz w:val="24"/>
          <w:szCs w:val="24"/>
          <w:highlight w:val="none"/>
          <w:lang w:val="en-US" w:eastAsia="zh-CN" w:bidi="ar-SA"/>
        </w:rPr>
        <w:t>22260.8</w:t>
      </w:r>
      <w:r>
        <w:rPr>
          <w:rFonts w:hint="default" w:ascii="Times New Roman" w:hAnsi="Times New Roman" w:eastAsia="宋体" w:cs="Times New Roman"/>
          <w:b w:val="0"/>
          <w:bCs/>
          <w:color w:val="auto"/>
          <w:kern w:val="2"/>
          <w:sz w:val="24"/>
          <w:szCs w:val="24"/>
          <w:highlight w:val="none"/>
          <w:lang w:val="en-US" w:eastAsia="zh-CN" w:bidi="ar-SA"/>
        </w:rPr>
        <w:t>m</w:t>
      </w:r>
      <w:r>
        <w:rPr>
          <w:rFonts w:hint="default" w:ascii="Times New Roman" w:hAnsi="Times New Roman" w:eastAsia="宋体" w:cs="Times New Roman"/>
          <w:b w:val="0"/>
          <w:bCs/>
          <w:color w:val="auto"/>
          <w:kern w:val="2"/>
          <w:sz w:val="24"/>
          <w:szCs w:val="24"/>
          <w:highlight w:val="none"/>
          <w:vertAlign w:val="superscript"/>
          <w:lang w:val="en-US" w:eastAsia="zh-CN" w:bidi="ar-SA"/>
        </w:rPr>
        <w:t>2</w:t>
      </w:r>
      <w:r>
        <w:rPr>
          <w:rFonts w:hint="default" w:ascii="Times New Roman" w:hAnsi="Times New Roman" w:eastAsia="宋体" w:cs="Times New Roman"/>
          <w:b w:val="0"/>
          <w:bCs/>
          <w:color w:val="auto"/>
          <w:kern w:val="2"/>
          <w:sz w:val="24"/>
          <w:szCs w:val="24"/>
          <w:highlight w:val="none"/>
          <w:lang w:val="en-US" w:eastAsia="zh-CN" w:bidi="ar-SA"/>
        </w:rPr>
        <w:t>，生态林</w:t>
      </w:r>
      <w:r>
        <w:rPr>
          <w:rFonts w:hint="eastAsia" w:ascii="Times New Roman" w:hAnsi="Times New Roman" w:eastAsia="宋体" w:cs="Times New Roman"/>
          <w:b w:val="0"/>
          <w:bCs/>
          <w:color w:val="auto"/>
          <w:kern w:val="2"/>
          <w:sz w:val="24"/>
          <w:szCs w:val="24"/>
          <w:highlight w:val="none"/>
          <w:lang w:val="en-US" w:eastAsia="zh-CN" w:bidi="ar-SA"/>
        </w:rPr>
        <w:t>及园区绿化带</w:t>
      </w:r>
      <w:r>
        <w:rPr>
          <w:rFonts w:hint="default" w:ascii="Times New Roman" w:hAnsi="Times New Roman" w:eastAsia="宋体" w:cs="Times New Roman"/>
          <w:b w:val="0"/>
          <w:bCs/>
          <w:color w:val="auto"/>
          <w:kern w:val="2"/>
          <w:sz w:val="24"/>
          <w:szCs w:val="24"/>
          <w:highlight w:val="none"/>
          <w:lang w:val="en-US" w:eastAsia="zh-CN" w:bidi="ar-SA"/>
        </w:rPr>
        <w:t>面积约为</w:t>
      </w:r>
      <w:r>
        <w:rPr>
          <w:rFonts w:hint="eastAsia" w:ascii="Times New Roman" w:hAnsi="Times New Roman" w:eastAsia="宋体" w:cs="Times New Roman"/>
          <w:b w:val="0"/>
          <w:bCs/>
          <w:color w:val="auto"/>
          <w:kern w:val="2"/>
          <w:sz w:val="24"/>
          <w:szCs w:val="24"/>
          <w:highlight w:val="none"/>
          <w:lang w:val="en-US" w:eastAsia="zh-CN" w:bidi="ar-SA"/>
        </w:rPr>
        <w:t>743177.87</w:t>
      </w:r>
      <w:r>
        <w:rPr>
          <w:rFonts w:hint="default" w:ascii="Times New Roman" w:hAnsi="Times New Roman" w:eastAsia="宋体" w:cs="Times New Roman"/>
          <w:b w:val="0"/>
          <w:bCs/>
          <w:color w:val="auto"/>
          <w:kern w:val="2"/>
          <w:sz w:val="24"/>
          <w:szCs w:val="24"/>
          <w:highlight w:val="none"/>
          <w:lang w:val="en-US" w:eastAsia="zh-CN" w:bidi="ar-SA"/>
        </w:rPr>
        <w:t>m</w:t>
      </w:r>
      <w:r>
        <w:rPr>
          <w:rFonts w:hint="default" w:ascii="Times New Roman" w:hAnsi="Times New Roman" w:eastAsia="宋体" w:cs="Times New Roman"/>
          <w:b w:val="0"/>
          <w:bCs/>
          <w:color w:val="auto"/>
          <w:kern w:val="2"/>
          <w:sz w:val="24"/>
          <w:szCs w:val="24"/>
          <w:highlight w:val="none"/>
          <w:vertAlign w:val="superscript"/>
          <w:lang w:val="en-US" w:eastAsia="zh-CN" w:bidi="ar-SA"/>
        </w:rPr>
        <w:t>2</w:t>
      </w:r>
      <w:r>
        <w:rPr>
          <w:rFonts w:hint="eastAsia" w:ascii="Times New Roman" w:hAnsi="Times New Roman" w:eastAsia="宋体" w:cs="Times New Roman"/>
          <w:b w:val="0"/>
          <w:bCs/>
          <w:color w:val="auto"/>
          <w:kern w:val="2"/>
          <w:sz w:val="24"/>
          <w:szCs w:val="24"/>
          <w:highlight w:val="none"/>
          <w:vertAlign w:val="baseline"/>
          <w:lang w:val="en-US" w:eastAsia="zh-CN" w:bidi="ar-SA"/>
        </w:rPr>
        <w:t>，分别位于污水处理厂的北侧1.5km，西侧3.5km以内，南侧园区绿化带1.4km</w:t>
      </w:r>
      <w:r>
        <w:rPr>
          <w:rFonts w:hint="eastAsia" w:cs="Times New Roman"/>
          <w:b w:val="0"/>
          <w:bCs/>
          <w:color w:val="auto"/>
          <w:kern w:val="2"/>
          <w:sz w:val="24"/>
          <w:szCs w:val="24"/>
          <w:highlight w:val="none"/>
          <w:lang w:val="en-US" w:eastAsia="zh-CN" w:bidi="ar-SA"/>
        </w:rPr>
        <w:t>。</w:t>
      </w:r>
      <w:r>
        <w:rPr>
          <w:rFonts w:hint="default"/>
          <w:b w:val="0"/>
          <w:bCs/>
          <w:color w:val="auto"/>
          <w:highlight w:val="none"/>
        </w:rPr>
        <w:t>根据新疆维吾尔自治区地方标准《农业灌溉用水定额》（DB65/3611-2014），</w:t>
      </w:r>
      <w:r>
        <w:rPr>
          <w:rFonts w:hint="eastAsia"/>
          <w:b w:val="0"/>
          <w:bCs/>
          <w:color w:val="auto"/>
          <w:highlight w:val="none"/>
          <w:lang w:val="en-US" w:eastAsia="zh-CN"/>
        </w:rPr>
        <w:t>林地灌溉用水量420m</w:t>
      </w:r>
      <w:r>
        <w:rPr>
          <w:rFonts w:hint="eastAsia"/>
          <w:b w:val="0"/>
          <w:bCs/>
          <w:color w:val="auto"/>
          <w:highlight w:val="none"/>
          <w:vertAlign w:val="superscript"/>
          <w:lang w:val="en-US" w:eastAsia="zh-CN"/>
        </w:rPr>
        <w:t>3</w:t>
      </w:r>
      <w:r>
        <w:rPr>
          <w:rFonts w:hint="eastAsia"/>
          <w:b w:val="0"/>
          <w:bCs/>
          <w:color w:val="auto"/>
          <w:highlight w:val="none"/>
          <w:lang w:val="en-US" w:eastAsia="zh-CN"/>
        </w:rPr>
        <w:t>/亩，</w:t>
      </w:r>
      <w:r>
        <w:rPr>
          <w:rFonts w:hint="default"/>
          <w:b w:val="0"/>
          <w:bCs/>
          <w:color w:val="auto"/>
          <w:highlight w:val="none"/>
        </w:rPr>
        <w:t>灌溉季绿化和生态林绿化总用水量为</w:t>
      </w:r>
      <w:r>
        <w:rPr>
          <w:rFonts w:hint="eastAsia"/>
          <w:b w:val="0"/>
          <w:bCs/>
          <w:color w:val="auto"/>
          <w:highlight w:val="none"/>
          <w:lang w:val="en-US" w:eastAsia="zh-CN"/>
        </w:rPr>
        <w:t>482202.252</w:t>
      </w:r>
      <w:r>
        <w:rPr>
          <w:rFonts w:hint="default"/>
          <w:b w:val="0"/>
          <w:bCs/>
          <w:color w:val="auto"/>
          <w:highlight w:val="none"/>
        </w:rPr>
        <w:t>m</w:t>
      </w:r>
      <w:r>
        <w:rPr>
          <w:rFonts w:hint="default"/>
          <w:b w:val="0"/>
          <w:bCs/>
          <w:color w:val="auto"/>
          <w:highlight w:val="none"/>
          <w:vertAlign w:val="superscript"/>
        </w:rPr>
        <w:t>3</w:t>
      </w:r>
      <w:r>
        <w:rPr>
          <w:rFonts w:hint="default"/>
          <w:b w:val="0"/>
          <w:bCs/>
          <w:color w:val="auto"/>
          <w:highlight w:val="none"/>
        </w:rPr>
        <w:t>/d。灌溉季按210天计，则年需水量总计</w:t>
      </w:r>
      <w:r>
        <w:rPr>
          <w:rFonts w:hint="eastAsia"/>
          <w:b w:val="0"/>
          <w:bCs/>
          <w:color w:val="auto"/>
          <w:highlight w:val="none"/>
          <w:lang w:val="en-US" w:eastAsia="zh-CN"/>
        </w:rPr>
        <w:t>101262472.9</w:t>
      </w:r>
      <w:r>
        <w:rPr>
          <w:rFonts w:hint="default"/>
          <w:b w:val="0"/>
          <w:bCs/>
          <w:color w:val="auto"/>
          <w:highlight w:val="none"/>
        </w:rPr>
        <w:t>m</w:t>
      </w:r>
      <w:r>
        <w:rPr>
          <w:rFonts w:hint="default"/>
          <w:b w:val="0"/>
          <w:bCs/>
          <w:color w:val="auto"/>
          <w:highlight w:val="none"/>
          <w:vertAlign w:val="superscript"/>
        </w:rPr>
        <w:t>3</w:t>
      </w:r>
      <w:r>
        <w:rPr>
          <w:rFonts w:hint="default"/>
          <w:b w:val="0"/>
          <w:bCs/>
          <w:color w:val="auto"/>
          <w:highlight w:val="none"/>
        </w:rPr>
        <w:t>。污水厂尾水量为</w:t>
      </w:r>
      <w:r>
        <w:rPr>
          <w:rFonts w:hint="eastAsia"/>
          <w:b w:val="0"/>
          <w:bCs/>
          <w:color w:val="auto"/>
          <w:highlight w:val="none"/>
          <w:lang w:val="en-US" w:eastAsia="zh-CN"/>
        </w:rPr>
        <w:t>3</w:t>
      </w:r>
      <w:r>
        <w:rPr>
          <w:rFonts w:hint="default"/>
          <w:b w:val="0"/>
          <w:bCs/>
          <w:color w:val="auto"/>
          <w:highlight w:val="none"/>
        </w:rPr>
        <w:t>0000m</w:t>
      </w:r>
      <w:r>
        <w:rPr>
          <w:rFonts w:hint="default"/>
          <w:b w:val="0"/>
          <w:bCs/>
          <w:color w:val="auto"/>
          <w:highlight w:val="none"/>
          <w:vertAlign w:val="superscript"/>
        </w:rPr>
        <w:t>3</w:t>
      </w:r>
      <w:r>
        <w:rPr>
          <w:rFonts w:hint="default"/>
          <w:b w:val="0"/>
          <w:bCs/>
          <w:color w:val="auto"/>
          <w:highlight w:val="none"/>
        </w:rPr>
        <w:t>/d，</w:t>
      </w:r>
      <w:r>
        <w:rPr>
          <w:rFonts w:hint="eastAsia"/>
          <w:b w:val="0"/>
          <w:bCs/>
          <w:color w:val="auto"/>
          <w:highlight w:val="none"/>
          <w:lang w:val="en-US" w:eastAsia="zh-CN"/>
        </w:rPr>
        <w:t>夏季</w:t>
      </w:r>
      <w:r>
        <w:rPr>
          <w:rFonts w:hint="default"/>
          <w:b w:val="0"/>
          <w:bCs/>
          <w:color w:val="auto"/>
          <w:highlight w:val="none"/>
        </w:rPr>
        <w:t>灌溉季可提供水量为</w:t>
      </w:r>
      <w:r>
        <w:rPr>
          <w:rFonts w:hint="eastAsia"/>
          <w:b w:val="0"/>
          <w:bCs/>
          <w:color w:val="auto"/>
          <w:highlight w:val="none"/>
          <w:lang w:val="en-US" w:eastAsia="zh-CN"/>
        </w:rPr>
        <w:t>6300000</w:t>
      </w:r>
      <w:r>
        <w:rPr>
          <w:rFonts w:hint="default"/>
          <w:b w:val="0"/>
          <w:bCs/>
          <w:color w:val="auto"/>
          <w:highlight w:val="none"/>
        </w:rPr>
        <w:t>m</w:t>
      </w:r>
      <w:r>
        <w:rPr>
          <w:rFonts w:hint="default"/>
          <w:b w:val="0"/>
          <w:bCs/>
          <w:color w:val="auto"/>
          <w:highlight w:val="none"/>
          <w:vertAlign w:val="superscript"/>
        </w:rPr>
        <w:t>3</w:t>
      </w:r>
      <w:r>
        <w:rPr>
          <w:rFonts w:hint="default"/>
          <w:b w:val="0"/>
          <w:bCs/>
          <w:color w:val="auto"/>
          <w:highlight w:val="none"/>
        </w:rPr>
        <w:t>，则厂区绿化及生态林地可以消纳污水处理</w:t>
      </w:r>
      <w:r>
        <w:rPr>
          <w:rFonts w:hint="eastAsia"/>
          <w:b w:val="0"/>
          <w:bCs/>
          <w:color w:val="auto"/>
          <w:highlight w:val="none"/>
          <w:lang w:val="en-US" w:eastAsia="zh-CN"/>
        </w:rPr>
        <w:t>厂</w:t>
      </w:r>
      <w:r>
        <w:rPr>
          <w:rFonts w:hint="default"/>
          <w:b w:val="0"/>
          <w:bCs/>
          <w:color w:val="auto"/>
          <w:highlight w:val="none"/>
        </w:rPr>
        <w:t>的尾水</w:t>
      </w:r>
      <w:r>
        <w:rPr>
          <w:rFonts w:hint="eastAsia"/>
          <w:b w:val="0"/>
          <w:bCs/>
          <w:color w:val="auto"/>
          <w:highlight w:val="none"/>
          <w:lang w:eastAsia="zh-CN"/>
        </w:rPr>
        <w:t>。</w:t>
      </w:r>
      <w:r>
        <w:rPr>
          <w:rFonts w:hint="eastAsia"/>
          <w:b w:val="0"/>
          <w:bCs/>
          <w:color w:val="auto"/>
          <w:highlight w:val="none"/>
          <w:lang w:val="en-US" w:eastAsia="zh-CN"/>
        </w:rPr>
        <w:t>通过对项目区再生林的土壤监测，均未超过</w:t>
      </w:r>
      <w:r>
        <w:rPr>
          <w:rFonts w:hint="default" w:ascii="Times New Roman" w:hAnsi="Times New Roman" w:cs="Times New Roman"/>
          <w:b w:val="0"/>
          <w:bCs/>
          <w:color w:val="auto"/>
          <w:highlight w:val="none"/>
        </w:rPr>
        <w:t>《</w:t>
      </w:r>
      <w:r>
        <w:rPr>
          <w:rFonts w:hint="default" w:ascii="Times New Roman" w:hAnsi="Times New Roman" w:cs="Times New Roman"/>
          <w:b w:val="0"/>
          <w:bCs/>
          <w:color w:val="auto"/>
          <w:highlight w:val="none"/>
          <w:lang w:eastAsia="zh-CN"/>
        </w:rPr>
        <w:t>土壤环境质量建设用地土壤污染风险管控标准（试行）</w:t>
      </w:r>
      <w:r>
        <w:rPr>
          <w:rFonts w:hint="default" w:ascii="Times New Roman" w:hAnsi="Times New Roman" w:cs="Times New Roman"/>
          <w:b w:val="0"/>
          <w:bCs/>
          <w:color w:val="auto"/>
          <w:highlight w:val="none"/>
        </w:rPr>
        <w:t>》（GB36600-2018）中的风险筛选值（第二类用地</w:t>
      </w:r>
      <w:r>
        <w:rPr>
          <w:rFonts w:hint="eastAsia" w:ascii="Times New Roman" w:hAnsi="Times New Roman" w:cs="Times New Roman"/>
          <w:b w:val="0"/>
          <w:bCs/>
          <w:color w:val="auto"/>
          <w:highlight w:val="none"/>
          <w:lang w:eastAsia="zh-CN"/>
        </w:rPr>
        <w:t>）</w:t>
      </w:r>
      <w:r>
        <w:rPr>
          <w:rFonts w:hint="eastAsia" w:ascii="Times New Roman" w:hAnsi="Times New Roman" w:cs="Times New Roman"/>
          <w:b w:val="0"/>
          <w:bCs/>
          <w:color w:val="auto"/>
          <w:highlight w:val="none"/>
          <w:lang w:val="en-US" w:eastAsia="zh-CN"/>
        </w:rPr>
        <w:t>要求，</w:t>
      </w:r>
      <w:r>
        <w:rPr>
          <w:rFonts w:hint="eastAsia"/>
          <w:b w:val="0"/>
          <w:bCs/>
          <w:color w:val="auto"/>
          <w:highlight w:val="none"/>
          <w:lang w:val="en-US" w:eastAsia="zh-CN"/>
        </w:rPr>
        <w:t>污水处理达标后排入生态林污灌可行。</w:t>
      </w:r>
    </w:p>
    <w:p>
      <w:pPr>
        <w:bidi w:val="0"/>
        <w:rPr>
          <w:rFonts w:hint="default"/>
        </w:rPr>
      </w:pPr>
      <w:r>
        <w:rPr>
          <w:rFonts w:hint="default"/>
        </w:rPr>
        <w:t>②冬季储存设施的可行性分析</w:t>
      </w:r>
    </w:p>
    <w:p>
      <w:pPr>
        <w:ind w:firstLine="480" w:firstLineChars="200"/>
        <w:rPr>
          <w:rFonts w:hint="eastAsia"/>
          <w:color w:val="0000FF"/>
          <w:sz w:val="28"/>
          <w:szCs w:val="36"/>
          <w:highlight w:val="none"/>
        </w:rPr>
      </w:pPr>
      <w:r>
        <w:rPr>
          <w:rFonts w:hint="default"/>
          <w:b w:val="0"/>
          <w:bCs/>
          <w:color w:val="0000FF"/>
          <w:highlight w:val="none"/>
        </w:rPr>
        <w:t>园区规划建设</w:t>
      </w:r>
      <w:r>
        <w:rPr>
          <w:rFonts w:hint="eastAsia"/>
          <w:b w:val="0"/>
          <w:bCs/>
          <w:color w:val="0000FF"/>
          <w:highlight w:val="none"/>
          <w:lang w:val="en-US" w:eastAsia="zh-CN"/>
        </w:rPr>
        <w:t>现状</w:t>
      </w:r>
      <w:r>
        <w:rPr>
          <w:rFonts w:hint="default"/>
          <w:b w:val="0"/>
          <w:bCs/>
          <w:color w:val="0000FF"/>
          <w:highlight w:val="none"/>
        </w:rPr>
        <w:t>冬季尾水</w:t>
      </w:r>
      <w:r>
        <w:rPr>
          <w:rFonts w:hint="eastAsia"/>
          <w:b w:val="0"/>
          <w:bCs/>
          <w:color w:val="0000FF"/>
          <w:highlight w:val="none"/>
          <w:lang w:eastAsia="zh-CN"/>
        </w:rPr>
        <w:t>中水池</w:t>
      </w:r>
      <w:r>
        <w:rPr>
          <w:rFonts w:hint="default"/>
          <w:b w:val="0"/>
          <w:bCs/>
          <w:color w:val="0000FF"/>
          <w:highlight w:val="none"/>
        </w:rPr>
        <w:t>，</w:t>
      </w:r>
      <w:r>
        <w:rPr>
          <w:rFonts w:hint="eastAsia"/>
          <w:b w:val="0"/>
          <w:bCs/>
          <w:color w:val="0000FF"/>
          <w:highlight w:val="none"/>
          <w:lang w:eastAsia="zh-CN"/>
        </w:rPr>
        <w:t>中水池</w:t>
      </w:r>
      <w:r>
        <w:rPr>
          <w:rFonts w:hint="default"/>
          <w:b w:val="0"/>
          <w:bCs/>
          <w:color w:val="0000FF"/>
          <w:highlight w:val="none"/>
        </w:rPr>
        <w:t>容量为1</w:t>
      </w:r>
      <w:r>
        <w:rPr>
          <w:rFonts w:hint="eastAsia"/>
          <w:b w:val="0"/>
          <w:bCs/>
          <w:color w:val="0000FF"/>
          <w:highlight w:val="none"/>
          <w:lang w:val="en-US" w:eastAsia="zh-CN"/>
        </w:rPr>
        <w:t>8</w:t>
      </w:r>
      <w:r>
        <w:rPr>
          <w:rFonts w:hint="default"/>
          <w:b w:val="0"/>
          <w:bCs/>
          <w:color w:val="0000FF"/>
          <w:highlight w:val="none"/>
        </w:rPr>
        <w:t>万m</w:t>
      </w:r>
      <w:r>
        <w:rPr>
          <w:rFonts w:hint="default"/>
          <w:b w:val="0"/>
          <w:bCs/>
          <w:color w:val="0000FF"/>
          <w:highlight w:val="none"/>
          <w:vertAlign w:val="superscript"/>
        </w:rPr>
        <w:t>3</w:t>
      </w:r>
      <w:r>
        <w:rPr>
          <w:rFonts w:hint="default"/>
          <w:b w:val="0"/>
          <w:bCs/>
          <w:color w:val="0000FF"/>
          <w:highlight w:val="none"/>
        </w:rPr>
        <w:t>，</w:t>
      </w:r>
      <w:r>
        <w:rPr>
          <w:rFonts w:hint="eastAsia"/>
          <w:b w:val="0"/>
          <w:bCs/>
          <w:color w:val="0000FF"/>
          <w:highlight w:val="none"/>
          <w:lang w:val="en-US" w:eastAsia="zh-CN"/>
        </w:rPr>
        <w:t>2024年4月26日</w:t>
      </w:r>
      <w:r>
        <w:rPr>
          <w:rFonts w:hint="default"/>
          <w:b w:val="0"/>
          <w:bCs/>
          <w:color w:val="0000FF"/>
          <w:highlight w:val="none"/>
        </w:rPr>
        <w:t>昌吉回族自治州生态环境局</w:t>
      </w:r>
      <w:r>
        <w:rPr>
          <w:rFonts w:hint="eastAsia"/>
          <w:b w:val="0"/>
          <w:bCs/>
          <w:color w:val="0000FF"/>
          <w:highlight w:val="none"/>
          <w:lang w:val="en-US" w:eastAsia="zh-CN"/>
        </w:rPr>
        <w:t>批复《</w:t>
      </w:r>
      <w:r>
        <w:rPr>
          <w:rFonts w:hint="default"/>
          <w:b w:val="0"/>
          <w:bCs/>
          <w:color w:val="0000FF"/>
          <w:highlight w:val="none"/>
        </w:rPr>
        <w:t>关于昌吉农高区现代农业精深加工示范区中水池建设项目环境影响报告表的批复</w:t>
      </w:r>
      <w:r>
        <w:rPr>
          <w:rFonts w:hint="eastAsia"/>
          <w:b w:val="0"/>
          <w:bCs/>
          <w:color w:val="0000FF"/>
          <w:highlight w:val="none"/>
          <w:lang w:val="en-US" w:eastAsia="zh-CN"/>
        </w:rPr>
        <w:t>》（</w:t>
      </w:r>
      <w:r>
        <w:rPr>
          <w:rFonts w:hint="default"/>
          <w:b w:val="0"/>
          <w:bCs/>
          <w:color w:val="0000FF"/>
          <w:highlight w:val="none"/>
        </w:rPr>
        <w:t>昌州环评〔2024〕90号</w:t>
      </w:r>
      <w:r>
        <w:rPr>
          <w:rFonts w:hint="eastAsia"/>
          <w:b w:val="0"/>
          <w:bCs/>
          <w:color w:val="0000FF"/>
          <w:highlight w:val="none"/>
          <w:lang w:val="en-US" w:eastAsia="zh-CN"/>
        </w:rPr>
        <w:t>），</w:t>
      </w:r>
      <w:r>
        <w:rPr>
          <w:rFonts w:hint="default"/>
          <w:b w:val="0"/>
          <w:bCs/>
          <w:color w:val="0000FF"/>
          <w:highlight w:val="none"/>
        </w:rPr>
        <w:t>新建容积20万m³的中水池一座，中水管线37.729km。</w:t>
      </w:r>
      <w:r>
        <w:rPr>
          <w:rFonts w:hint="eastAsia"/>
          <w:b w:val="0"/>
          <w:bCs/>
          <w:color w:val="0000FF"/>
          <w:highlight w:val="none"/>
          <w:lang w:val="en-US" w:eastAsia="zh-CN"/>
        </w:rPr>
        <w:t>总库容为38万，根据建设单位出具的证明及数据，该园区非灌溉季</w:t>
      </w:r>
      <w:r>
        <w:rPr>
          <w:rFonts w:hint="default"/>
          <w:b w:val="0"/>
          <w:bCs/>
          <w:color w:val="0000FF"/>
          <w:highlight w:val="none"/>
        </w:rPr>
        <w:t>污水厂尾水量为</w:t>
      </w:r>
      <w:r>
        <w:rPr>
          <w:rFonts w:hint="eastAsia"/>
          <w:b w:val="0"/>
          <w:bCs/>
          <w:color w:val="0000FF"/>
          <w:highlight w:val="none"/>
          <w:lang w:val="en-US" w:eastAsia="zh-CN"/>
        </w:rPr>
        <w:t>2447</w:t>
      </w:r>
      <w:r>
        <w:rPr>
          <w:rFonts w:hint="default"/>
          <w:b w:val="0"/>
          <w:bCs/>
          <w:color w:val="0000FF"/>
          <w:highlight w:val="none"/>
        </w:rPr>
        <w:t>m</w:t>
      </w:r>
      <w:r>
        <w:rPr>
          <w:rFonts w:hint="default"/>
          <w:b w:val="0"/>
          <w:bCs/>
          <w:color w:val="0000FF"/>
          <w:highlight w:val="none"/>
          <w:vertAlign w:val="superscript"/>
        </w:rPr>
        <w:t>3</w:t>
      </w:r>
      <w:r>
        <w:rPr>
          <w:rFonts w:hint="default"/>
          <w:b w:val="0"/>
          <w:bCs/>
          <w:color w:val="0000FF"/>
          <w:highlight w:val="none"/>
        </w:rPr>
        <w:t>/d，</w:t>
      </w:r>
      <w:r>
        <w:rPr>
          <w:rFonts w:hint="eastAsia"/>
          <w:b w:val="0"/>
          <w:bCs/>
          <w:color w:val="0000FF"/>
          <w:highlight w:val="none"/>
          <w:lang w:val="en-US" w:eastAsia="zh-CN"/>
        </w:rPr>
        <w:t>非灌溉季</w:t>
      </w:r>
      <w:r>
        <w:rPr>
          <w:rFonts w:hint="default"/>
          <w:b w:val="0"/>
          <w:bCs/>
          <w:color w:val="0000FF"/>
          <w:highlight w:val="none"/>
        </w:rPr>
        <w:t>储存季按</w:t>
      </w:r>
      <w:r>
        <w:rPr>
          <w:rFonts w:hint="eastAsia"/>
          <w:b w:val="0"/>
          <w:bCs/>
          <w:color w:val="0000FF"/>
          <w:highlight w:val="none"/>
          <w:lang w:val="en-US" w:eastAsia="zh-CN"/>
        </w:rPr>
        <w:t>155</w:t>
      </w:r>
      <w:r>
        <w:rPr>
          <w:rFonts w:hint="default"/>
          <w:b w:val="0"/>
          <w:bCs/>
          <w:color w:val="0000FF"/>
          <w:highlight w:val="none"/>
        </w:rPr>
        <w:t>天计</w:t>
      </w:r>
      <w:r>
        <w:rPr>
          <w:rFonts w:hint="default"/>
          <w:b w:val="0"/>
          <w:bCs/>
          <w:color w:val="0000FF"/>
          <w:sz w:val="24"/>
          <w:szCs w:val="24"/>
          <w:highlight w:val="none"/>
        </w:rPr>
        <w:t>，</w:t>
      </w:r>
      <w:r>
        <w:rPr>
          <w:rFonts w:hint="eastAsia"/>
          <w:color w:val="0000FF"/>
          <w:sz w:val="24"/>
          <w:szCs w:val="24"/>
          <w:highlight w:val="none"/>
        </w:rPr>
        <w:t>则</w:t>
      </w:r>
      <w:r>
        <w:rPr>
          <w:rFonts w:hint="eastAsia"/>
          <w:b w:val="0"/>
          <w:bCs/>
          <w:color w:val="0000FF"/>
          <w:highlight w:val="none"/>
          <w:lang w:val="en-US" w:eastAsia="zh-CN"/>
        </w:rPr>
        <w:t>非灌溉季</w:t>
      </w:r>
      <w:r>
        <w:rPr>
          <w:rFonts w:hint="eastAsia"/>
          <w:color w:val="0000FF"/>
          <w:sz w:val="24"/>
          <w:szCs w:val="24"/>
          <w:highlight w:val="none"/>
        </w:rPr>
        <w:t>尾水储存量为</w:t>
      </w:r>
      <w:r>
        <w:rPr>
          <w:rFonts w:hint="eastAsia"/>
          <w:color w:val="0000FF"/>
          <w:sz w:val="24"/>
          <w:szCs w:val="24"/>
          <w:highlight w:val="none"/>
          <w:lang w:val="en-US" w:eastAsia="zh-CN"/>
        </w:rPr>
        <w:t>37.9285</w:t>
      </w:r>
      <w:r>
        <w:rPr>
          <w:rFonts w:hint="eastAsia"/>
          <w:color w:val="0000FF"/>
          <w:sz w:val="24"/>
          <w:szCs w:val="24"/>
          <w:highlight w:val="none"/>
        </w:rPr>
        <w:t>万m</w:t>
      </w:r>
      <w:r>
        <w:rPr>
          <w:rFonts w:hint="eastAsia"/>
          <w:color w:val="0000FF"/>
          <w:sz w:val="24"/>
          <w:szCs w:val="24"/>
          <w:highlight w:val="none"/>
          <w:vertAlign w:val="superscript"/>
        </w:rPr>
        <w:t>3</w:t>
      </w:r>
      <w:r>
        <w:rPr>
          <w:rFonts w:hint="eastAsia"/>
          <w:color w:val="0000FF"/>
          <w:sz w:val="24"/>
          <w:szCs w:val="24"/>
          <w:highlight w:val="none"/>
          <w:lang w:val="en-US" w:eastAsia="zh-CN"/>
        </w:rPr>
        <w:t>满足要求</w:t>
      </w:r>
      <w:r>
        <w:rPr>
          <w:rFonts w:hint="eastAsia"/>
          <w:color w:val="0000FF"/>
          <w:sz w:val="24"/>
          <w:szCs w:val="24"/>
          <w:highlight w:val="none"/>
        </w:rPr>
        <w:t>。</w:t>
      </w:r>
    </w:p>
    <w:p>
      <w:pPr>
        <w:ind w:firstLine="480"/>
        <w:rPr>
          <w:rFonts w:hint="default" w:eastAsia="宋体"/>
          <w:color w:val="0000FF"/>
          <w:highlight w:val="none"/>
          <w:vertAlign w:val="baseline"/>
          <w:lang w:val="en-US" w:eastAsia="zh-CN"/>
        </w:rPr>
      </w:pPr>
      <w:r>
        <w:rPr>
          <w:rFonts w:hint="default"/>
          <w:b w:val="0"/>
          <w:bCs/>
          <w:color w:val="0000FF"/>
          <w:highlight w:val="none"/>
        </w:rPr>
        <w:t>灌溉季绿化和</w:t>
      </w:r>
      <w:r>
        <w:rPr>
          <w:rFonts w:hint="eastAsia"/>
          <w:b w:val="0"/>
          <w:bCs/>
          <w:color w:val="0000FF"/>
          <w:highlight w:val="none"/>
          <w:lang w:val="en-US" w:eastAsia="zh-CN"/>
        </w:rPr>
        <w:t>示范区林地</w:t>
      </w:r>
      <w:r>
        <w:rPr>
          <w:rFonts w:hint="default"/>
          <w:b w:val="0"/>
          <w:bCs/>
          <w:color w:val="0000FF"/>
          <w:highlight w:val="none"/>
        </w:rPr>
        <w:t>绿化总用水量为</w:t>
      </w:r>
      <w:r>
        <w:rPr>
          <w:rFonts w:hint="eastAsia"/>
          <w:b w:val="0"/>
          <w:bCs/>
          <w:color w:val="0000FF"/>
          <w:highlight w:val="none"/>
          <w:lang w:val="en-US" w:eastAsia="zh-CN"/>
        </w:rPr>
        <w:t>482202.252</w:t>
      </w:r>
      <w:r>
        <w:rPr>
          <w:rFonts w:hint="default"/>
          <w:b w:val="0"/>
          <w:bCs/>
          <w:color w:val="0000FF"/>
          <w:highlight w:val="none"/>
        </w:rPr>
        <w:t>m</w:t>
      </w:r>
      <w:r>
        <w:rPr>
          <w:rFonts w:hint="default"/>
          <w:b w:val="0"/>
          <w:bCs/>
          <w:color w:val="0000FF"/>
          <w:highlight w:val="none"/>
          <w:vertAlign w:val="superscript"/>
        </w:rPr>
        <w:t>3</w:t>
      </w:r>
      <w:r>
        <w:rPr>
          <w:rFonts w:hint="default"/>
          <w:b w:val="0"/>
          <w:bCs/>
          <w:color w:val="0000FF"/>
          <w:highlight w:val="none"/>
        </w:rPr>
        <w:t>/d。</w:t>
      </w:r>
      <w:r>
        <w:rPr>
          <w:rFonts w:hint="eastAsia"/>
          <w:b w:val="0"/>
          <w:bCs/>
          <w:color w:val="0000FF"/>
          <w:highlight w:val="none"/>
          <w:lang w:eastAsia="zh-CN"/>
        </w:rPr>
        <w:t>中水池</w:t>
      </w:r>
      <w:r>
        <w:rPr>
          <w:rFonts w:hint="eastAsia"/>
          <w:b w:val="0"/>
          <w:bCs/>
          <w:color w:val="0000FF"/>
          <w:highlight w:val="none"/>
          <w:lang w:val="en-US" w:eastAsia="zh-CN"/>
        </w:rPr>
        <w:t>储存的尾水为37.9285</w:t>
      </w:r>
      <w:r>
        <w:rPr>
          <w:rFonts w:hint="default"/>
          <w:b w:val="0"/>
          <w:bCs/>
          <w:color w:val="0000FF"/>
          <w:highlight w:val="none"/>
        </w:rPr>
        <w:t>万m</w:t>
      </w:r>
      <w:r>
        <w:rPr>
          <w:rFonts w:hint="default"/>
          <w:b w:val="0"/>
          <w:bCs/>
          <w:color w:val="0000FF"/>
          <w:highlight w:val="none"/>
          <w:vertAlign w:val="superscript"/>
        </w:rPr>
        <w:t>3</w:t>
      </w:r>
      <w:r>
        <w:rPr>
          <w:rFonts w:hint="eastAsia"/>
          <w:b w:val="0"/>
          <w:bCs/>
          <w:color w:val="0000FF"/>
          <w:highlight w:val="none"/>
          <w:vertAlign w:val="baseline"/>
          <w:lang w:eastAsia="zh-CN"/>
        </w:rPr>
        <w:t>，</w:t>
      </w:r>
      <w:r>
        <w:rPr>
          <w:rFonts w:hint="eastAsia"/>
          <w:b w:val="0"/>
          <w:bCs/>
          <w:color w:val="0000FF"/>
          <w:highlight w:val="none"/>
          <w:vertAlign w:val="baseline"/>
          <w:lang w:val="en-US" w:eastAsia="zh-CN"/>
        </w:rPr>
        <w:t>不满足林地及园区绿化带1天的量，</w:t>
      </w:r>
      <w:r>
        <w:rPr>
          <w:rFonts w:hint="eastAsia"/>
          <w:b w:val="0"/>
          <w:bCs/>
          <w:color w:val="0000FF"/>
          <w:highlight w:val="none"/>
          <w:lang w:val="en-US" w:eastAsia="zh-CN"/>
        </w:rPr>
        <w:t>到了灌溉季中水池的水可直接消耗完，用于林地灌溉，中水池容量满足要求。</w:t>
      </w:r>
    </w:p>
    <w:p>
      <w:pPr>
        <w:ind w:firstLine="480"/>
        <w:rPr>
          <w:rFonts w:hint="default"/>
          <w:b w:val="0"/>
          <w:bCs/>
          <w:color w:val="0000FF"/>
          <w:highlight w:val="none"/>
        </w:rPr>
      </w:pPr>
      <w:r>
        <w:rPr>
          <w:rFonts w:hint="eastAsia"/>
          <w:b w:val="0"/>
          <w:bCs/>
          <w:color w:val="0000FF"/>
          <w:highlight w:val="none"/>
          <w:lang w:val="en-US" w:eastAsia="zh-CN"/>
        </w:rPr>
        <w:t>环评要求</w:t>
      </w:r>
      <w:r>
        <w:rPr>
          <w:rFonts w:hint="eastAsia"/>
          <w:b w:val="0"/>
          <w:bCs/>
          <w:color w:val="0000FF"/>
          <w:highlight w:val="none"/>
          <w:lang w:eastAsia="zh-CN"/>
        </w:rPr>
        <w:t>中水池</w:t>
      </w:r>
      <w:r>
        <w:rPr>
          <w:rFonts w:hint="default"/>
          <w:b w:val="0"/>
          <w:bCs/>
          <w:color w:val="0000FF"/>
          <w:highlight w:val="none"/>
        </w:rPr>
        <w:t>及相应尾水管网</w:t>
      </w:r>
      <w:r>
        <w:rPr>
          <w:rFonts w:hint="eastAsia"/>
          <w:b w:val="0"/>
          <w:bCs/>
          <w:color w:val="0000FF"/>
          <w:highlight w:val="none"/>
          <w:lang w:val="en-US" w:eastAsia="zh-CN"/>
        </w:rPr>
        <w:t>建设完成后，本项目才可以投入运行</w:t>
      </w:r>
      <w:r>
        <w:rPr>
          <w:rFonts w:hint="default"/>
          <w:b w:val="0"/>
          <w:bCs/>
          <w:color w:val="0000FF"/>
          <w:highlight w:val="none"/>
        </w:rPr>
        <w:t>。</w:t>
      </w:r>
      <w:r>
        <w:rPr>
          <w:rFonts w:hint="eastAsia"/>
          <w:b w:val="0"/>
          <w:bCs/>
          <w:color w:val="0000FF"/>
          <w:highlight w:val="none"/>
          <w:lang w:val="en-US" w:eastAsia="zh-CN"/>
        </w:rPr>
        <w:t>非灌溉季</w:t>
      </w:r>
      <w:r>
        <w:rPr>
          <w:rFonts w:hint="eastAsia"/>
          <w:color w:val="0000FF"/>
          <w:highlight w:val="none"/>
        </w:rPr>
        <w:t>尾水</w:t>
      </w:r>
      <w:r>
        <w:rPr>
          <w:rFonts w:hint="eastAsia"/>
          <w:color w:val="0000FF"/>
          <w:highlight w:val="none"/>
          <w:lang w:eastAsia="zh-CN"/>
        </w:rPr>
        <w:t>中水池</w:t>
      </w:r>
      <w:r>
        <w:rPr>
          <w:rFonts w:hint="eastAsia"/>
          <w:color w:val="0000FF"/>
          <w:highlight w:val="none"/>
        </w:rPr>
        <w:t>及相应尾水管网另行环评，不在本次评价范围内。</w:t>
      </w:r>
    </w:p>
    <w:p>
      <w:pPr>
        <w:rPr>
          <w:rFonts w:hint="default" w:eastAsia="宋体"/>
          <w:b w:val="0"/>
          <w:bCs/>
          <w:color w:val="auto"/>
          <w:highlight w:val="none"/>
          <w:lang w:val="en-US" w:eastAsia="zh-CN"/>
        </w:rPr>
      </w:pPr>
      <w:r>
        <w:rPr>
          <w:rFonts w:hint="default" w:ascii="Calibri" w:hAnsi="Calibri" w:cs="Calibri"/>
          <w:color w:val="auto"/>
          <w:highlight w:val="none"/>
        </w:rPr>
        <w:t>③</w:t>
      </w:r>
      <w:r>
        <w:rPr>
          <w:rFonts w:hint="eastAsia" w:ascii="Calibri" w:hAnsi="Calibri" w:cs="Calibri"/>
          <w:color w:val="auto"/>
          <w:highlight w:val="none"/>
          <w:lang w:val="en-US" w:eastAsia="zh-CN"/>
        </w:rPr>
        <w:t>排水管线工程可行性分析</w:t>
      </w:r>
    </w:p>
    <w:p>
      <w:pPr>
        <w:bidi w:val="0"/>
        <w:rPr>
          <w:rFonts w:hint="default"/>
          <w:color w:val="auto"/>
          <w:highlight w:val="none"/>
          <w:lang w:val="en-US" w:eastAsia="zh-CN"/>
        </w:rPr>
      </w:pPr>
      <w:r>
        <w:rPr>
          <w:rFonts w:hint="eastAsia"/>
          <w:color w:val="auto"/>
          <w:highlight w:val="none"/>
          <w:lang w:val="en-US" w:eastAsia="zh-CN"/>
        </w:rPr>
        <w:t>本项目不包含灌溉的排水管线工程</w:t>
      </w:r>
    </w:p>
    <w:p>
      <w:pPr>
        <w:bidi w:val="0"/>
        <w:rPr>
          <w:rFonts w:hint="eastAsia"/>
          <w:color w:val="auto"/>
          <w:highlight w:val="none"/>
          <w:lang w:val="en-US" w:eastAsia="zh-CN"/>
        </w:rPr>
      </w:pPr>
      <w:r>
        <w:rPr>
          <w:rFonts w:hint="eastAsia"/>
          <w:color w:val="auto"/>
          <w:highlight w:val="none"/>
          <w:lang w:val="en-US" w:eastAsia="zh-CN"/>
        </w:rPr>
        <w:t>在城市主要道路已敷设再生水管道（29.8km），为了便于工业用水，其他管网主要布局在工业区。再生水管网敷设以环状为主，枝状为辅，管道沿道路敷设，敷设在绿化带下面。</w:t>
      </w:r>
    </w:p>
    <w:p>
      <w:pPr>
        <w:bidi w:val="0"/>
        <w:rPr>
          <w:rFonts w:hint="default"/>
          <w:color w:val="auto"/>
          <w:highlight w:val="none"/>
        </w:rPr>
        <w:sectPr>
          <w:pgSz w:w="11906" w:h="16838"/>
          <w:pgMar w:top="1440" w:right="1304" w:bottom="1440" w:left="1304" w:header="851" w:footer="992" w:gutter="0"/>
          <w:pgBorders>
            <w:top w:val="none" w:sz="0" w:space="0"/>
            <w:left w:val="none" w:sz="0" w:space="0"/>
            <w:bottom w:val="none" w:sz="0" w:space="0"/>
            <w:right w:val="none" w:sz="0" w:space="0"/>
          </w:pgBorders>
          <w:pgNumType w:fmt="numberInDash"/>
          <w:cols w:space="0" w:num="1"/>
          <w:docGrid w:type="lines" w:linePitch="312" w:charSpace="0"/>
        </w:sectPr>
      </w:pPr>
      <w:r>
        <w:rPr>
          <w:rFonts w:hint="eastAsia"/>
          <w:color w:val="auto"/>
          <w:highlight w:val="none"/>
          <w:lang w:val="en-US" w:eastAsia="zh-CN"/>
        </w:rPr>
        <w:t>2024年4月26日</w:t>
      </w:r>
      <w:r>
        <w:rPr>
          <w:rFonts w:hint="default"/>
          <w:color w:val="auto"/>
          <w:highlight w:val="none"/>
        </w:rPr>
        <w:t>昌吉回族自治州生态环境局</w:t>
      </w:r>
      <w:r>
        <w:rPr>
          <w:rFonts w:hint="eastAsia"/>
          <w:color w:val="auto"/>
          <w:highlight w:val="none"/>
          <w:lang w:val="en-US" w:eastAsia="zh-CN"/>
        </w:rPr>
        <w:t>批复《</w:t>
      </w:r>
      <w:r>
        <w:rPr>
          <w:rFonts w:hint="default"/>
          <w:color w:val="auto"/>
          <w:highlight w:val="none"/>
        </w:rPr>
        <w:t>关于昌吉农高区现代农业精深加工示范区中水池建设项目环境影响报告表的批复</w:t>
      </w:r>
      <w:r>
        <w:rPr>
          <w:rFonts w:hint="eastAsia"/>
          <w:color w:val="auto"/>
          <w:highlight w:val="none"/>
          <w:lang w:val="en-US" w:eastAsia="zh-CN"/>
        </w:rPr>
        <w:t>》（</w:t>
      </w:r>
      <w:r>
        <w:rPr>
          <w:rFonts w:hint="default"/>
          <w:color w:val="auto"/>
          <w:highlight w:val="none"/>
        </w:rPr>
        <w:t>昌州环评〔2024〕90号</w:t>
      </w:r>
      <w:r>
        <w:rPr>
          <w:rFonts w:hint="eastAsia"/>
          <w:color w:val="auto"/>
          <w:highlight w:val="none"/>
          <w:lang w:val="en-US" w:eastAsia="zh-CN"/>
        </w:rPr>
        <w:t>），</w:t>
      </w:r>
      <w:r>
        <w:rPr>
          <w:rFonts w:hint="default"/>
          <w:color w:val="auto"/>
          <w:highlight w:val="none"/>
        </w:rPr>
        <w:t>新建中水管线37.729km</w:t>
      </w:r>
      <w:r>
        <w:rPr>
          <w:rFonts w:hint="eastAsia"/>
          <w:color w:val="auto"/>
          <w:highlight w:val="none"/>
          <w:lang w:eastAsia="zh-CN"/>
        </w:rPr>
        <w:t>，新增一体化提升泵站1座</w:t>
      </w:r>
      <w:r>
        <w:rPr>
          <w:rFonts w:hint="default"/>
          <w:color w:val="auto"/>
          <w:highlight w:val="none"/>
        </w:rPr>
        <w:t>。</w:t>
      </w:r>
      <w:r>
        <w:rPr>
          <w:rFonts w:hint="eastAsia"/>
          <w:color w:val="auto"/>
          <w:highlight w:val="none"/>
          <w:lang w:val="en-US" w:eastAsia="zh-CN"/>
        </w:rPr>
        <w:t>环评要求</w:t>
      </w:r>
      <w:r>
        <w:rPr>
          <w:rFonts w:hint="default"/>
          <w:color w:val="auto"/>
          <w:highlight w:val="none"/>
        </w:rPr>
        <w:t>相应尾水管网</w:t>
      </w:r>
      <w:r>
        <w:rPr>
          <w:rFonts w:hint="eastAsia"/>
          <w:color w:val="auto"/>
          <w:highlight w:val="none"/>
          <w:lang w:val="en-US" w:eastAsia="zh-CN"/>
        </w:rPr>
        <w:t>建设完成后，本项目才可以投入运行</w:t>
      </w:r>
      <w:r>
        <w:rPr>
          <w:rFonts w:hint="default"/>
          <w:color w:val="auto"/>
          <w:highlight w:val="none"/>
        </w:rPr>
        <w:t>。</w:t>
      </w:r>
    </w:p>
    <w:p>
      <w:pPr>
        <w:pStyle w:val="4"/>
        <w:bidi w:val="0"/>
        <w:rPr>
          <w:rFonts w:hint="default"/>
          <w:color w:val="auto"/>
          <w:highlight w:val="none"/>
        </w:rPr>
      </w:pPr>
      <w:bookmarkStart w:id="82" w:name="_Toc136"/>
      <w:r>
        <w:rPr>
          <w:rFonts w:hint="default"/>
          <w:color w:val="auto"/>
          <w:highlight w:val="none"/>
        </w:rPr>
        <w:t>工艺流程</w:t>
      </w:r>
      <w:bookmarkEnd w:id="82"/>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常规处理工艺选择</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目前应用较多的污水处理工艺是活性污泥法，这种方法能有效的去除污水中的主要污染物质，处理费用较低。活性污泥法有多种处理工艺，城市二级污水处理厂常用的工艺方法有：普通曝气法、AB法、氧化沟工艺、SBR法（间歇性活性污泥法）、曝气生物滤池、</w:t>
      </w:r>
      <w:r>
        <w:rPr>
          <w:rFonts w:hint="eastAsia" w:cs="Times New Roman"/>
          <w:color w:val="auto"/>
          <w:highlight w:val="none"/>
          <w:lang w:eastAsia="zh-CN"/>
        </w:rPr>
        <w:t>CAST</w:t>
      </w:r>
      <w:r>
        <w:rPr>
          <w:rFonts w:hint="default" w:ascii="Times New Roman" w:hAnsi="Times New Roman" w:cs="Times New Roman"/>
          <w:color w:val="auto"/>
          <w:highlight w:val="none"/>
        </w:rPr>
        <w:t>法、A</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/O法等等。</w:t>
      </w:r>
    </w:p>
    <w:p>
      <w:pPr>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针对昌吉国家农业高新技术产业示范区现代农业精深加工示范区的污水进水水质及出水水质的要求，结合改造扩容污水处理厂的规模及资金筹措情况，参照国内污水处理厂运行经验，在进行多方案比较的基础上，对</w:t>
      </w:r>
      <w:r>
        <w:rPr>
          <w:rFonts w:hint="eastAsia"/>
          <w:color w:val="auto"/>
          <w:sz w:val="24"/>
          <w:szCs w:val="24"/>
          <w:highlight w:val="none"/>
          <w:lang w:val="en-US" w:eastAsia="zh-CN"/>
        </w:rPr>
        <w:t>昌吉</w:t>
      </w:r>
      <w:r>
        <w:rPr>
          <w:rFonts w:hint="default" w:ascii="Times New Roman" w:hAnsi="Times New Roman" w:cs="Times New Roman"/>
          <w:color w:val="auto"/>
          <w:sz w:val="24"/>
          <w:szCs w:val="24"/>
          <w:highlight w:val="none"/>
        </w:rPr>
        <w:t>国家农业高新技术产业示范区现代农业精深加工示范区污水处理厂，</w:t>
      </w:r>
      <w:r>
        <w:rPr>
          <w:rFonts w:hint="eastAsia" w:cs="Times New Roman"/>
          <w:color w:val="auto"/>
          <w:sz w:val="24"/>
          <w:szCs w:val="24"/>
          <w:highlight w:val="none"/>
          <w:lang w:val="en-US" w:eastAsia="zh-CN"/>
        </w:rPr>
        <w:t>对</w:t>
      </w:r>
      <w:r>
        <w:rPr>
          <w:rFonts w:hint="default" w:ascii="Times New Roman" w:hAnsi="Times New Roman" w:cs="Times New Roman"/>
          <w:color w:val="auto"/>
          <w:sz w:val="24"/>
          <w:szCs w:val="24"/>
          <w:highlight w:val="none"/>
        </w:rPr>
        <w:t>A</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/O、</w:t>
      </w:r>
      <w:r>
        <w:rPr>
          <w:rFonts w:hint="eastAsia"/>
          <w:color w:val="auto"/>
          <w:sz w:val="24"/>
          <w:szCs w:val="24"/>
          <w:highlight w:val="none"/>
          <w:lang w:eastAsia="zh-CN"/>
        </w:rPr>
        <w:t>CAST</w:t>
      </w:r>
      <w:r>
        <w:rPr>
          <w:color w:val="auto"/>
          <w:sz w:val="24"/>
          <w:szCs w:val="24"/>
          <w:highlight w:val="none"/>
        </w:rPr>
        <w:t>+</w:t>
      </w:r>
      <w:r>
        <w:rPr>
          <w:rFonts w:hint="eastAsia"/>
          <w:color w:val="auto"/>
          <w:sz w:val="24"/>
          <w:szCs w:val="24"/>
          <w:highlight w:val="none"/>
        </w:rPr>
        <w:t>混凝沉淀过滤</w:t>
      </w:r>
      <w:r>
        <w:rPr>
          <w:rFonts w:hint="default" w:ascii="Times New Roman" w:hAnsi="Times New Roman" w:cs="Times New Roman"/>
          <w:color w:val="auto"/>
          <w:sz w:val="24"/>
          <w:szCs w:val="24"/>
          <w:highlight w:val="none"/>
        </w:rPr>
        <w:t>、氧化沟法（OD工艺）工艺三种方案进行技术论证和经济比较，根据技术论证与经济比较，最终确定最佳方案。</w:t>
      </w:r>
    </w:p>
    <w:p>
      <w:pPr>
        <w:ind w:firstLine="48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表3.4-1工艺比选方案一览表</w:t>
      </w:r>
    </w:p>
    <w:tbl>
      <w:tblPr>
        <w:tblStyle w:val="33"/>
        <w:tblW w:w="924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134"/>
        <w:gridCol w:w="3555"/>
        <w:gridCol w:w="35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4" w:type="dxa"/>
            <w:tcBorders>
              <w:tl2br w:val="nil"/>
              <w:tr2bl w:val="nil"/>
            </w:tcBorders>
            <w:vAlign w:val="center"/>
          </w:tcPr>
          <w:p>
            <w:pPr>
              <w:pStyle w:val="49"/>
              <w:tabs>
                <w:tab w:val="left" w:pos="360"/>
                <w:tab w:val="left" w:pos="1620"/>
                <w:tab w:val="clear" w:pos="-2486"/>
              </w:tabs>
              <w:rPr>
                <w:color w:val="auto"/>
                <w:highlight w:val="none"/>
              </w:rPr>
            </w:pPr>
            <w:r>
              <w:rPr>
                <w:color w:val="auto"/>
                <w:highlight w:val="none"/>
              </w:rPr>
              <w:t>工艺或组合</w:t>
            </w:r>
          </w:p>
        </w:tc>
        <w:tc>
          <w:tcPr>
            <w:tcW w:w="3555" w:type="dxa"/>
            <w:tcBorders>
              <w:tl2br w:val="nil"/>
              <w:tr2bl w:val="nil"/>
            </w:tcBorders>
            <w:vAlign w:val="center"/>
          </w:tcPr>
          <w:p>
            <w:pPr>
              <w:pStyle w:val="49"/>
              <w:tabs>
                <w:tab w:val="left" w:pos="360"/>
                <w:tab w:val="left" w:pos="1620"/>
                <w:tab w:val="clear" w:pos="-2486"/>
              </w:tabs>
              <w:rPr>
                <w:color w:val="auto"/>
                <w:highlight w:val="none"/>
              </w:rPr>
            </w:pPr>
            <w:r>
              <w:rPr>
                <w:color w:val="auto"/>
                <w:highlight w:val="none"/>
              </w:rPr>
              <w:t>优点</w:t>
            </w:r>
          </w:p>
        </w:tc>
        <w:tc>
          <w:tcPr>
            <w:tcW w:w="3552" w:type="dxa"/>
            <w:tcBorders>
              <w:tl2br w:val="nil"/>
              <w:tr2bl w:val="nil"/>
            </w:tcBorders>
            <w:vAlign w:val="center"/>
          </w:tcPr>
          <w:p>
            <w:pPr>
              <w:pStyle w:val="49"/>
              <w:tabs>
                <w:tab w:val="left" w:pos="360"/>
                <w:tab w:val="left" w:pos="1620"/>
                <w:tab w:val="clear" w:pos="-2486"/>
              </w:tabs>
              <w:rPr>
                <w:color w:val="auto"/>
                <w:highlight w:val="none"/>
              </w:rPr>
            </w:pPr>
            <w:r>
              <w:rPr>
                <w:color w:val="auto"/>
                <w:highlight w:val="none"/>
              </w:rPr>
              <w:t>缺点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4" w:type="dxa"/>
            <w:tcBorders>
              <w:tl2br w:val="nil"/>
              <w:tr2bl w:val="nil"/>
            </w:tcBorders>
            <w:vAlign w:val="center"/>
          </w:tcPr>
          <w:p>
            <w:pPr>
              <w:pStyle w:val="49"/>
              <w:tabs>
                <w:tab w:val="left" w:pos="360"/>
                <w:tab w:val="left" w:pos="1620"/>
                <w:tab w:val="clear" w:pos="-2486"/>
              </w:tabs>
              <w:rPr>
                <w:color w:val="auto"/>
                <w:highlight w:val="none"/>
              </w:rPr>
            </w:pPr>
            <w:r>
              <w:rPr>
                <w:color w:val="auto"/>
                <w:highlight w:val="none"/>
              </w:rPr>
              <w:t>A</w:t>
            </w:r>
            <w:r>
              <w:rPr>
                <w:color w:val="auto"/>
                <w:highlight w:val="none"/>
                <w:vertAlign w:val="superscript"/>
              </w:rPr>
              <w:t>2</w:t>
            </w:r>
            <w:r>
              <w:rPr>
                <w:color w:val="auto"/>
                <w:highlight w:val="none"/>
              </w:rPr>
              <w:t>/O</w:t>
            </w:r>
          </w:p>
        </w:tc>
        <w:tc>
          <w:tcPr>
            <w:tcW w:w="3555" w:type="dxa"/>
            <w:tcBorders>
              <w:tl2br w:val="nil"/>
              <w:tr2bl w:val="nil"/>
            </w:tcBorders>
            <w:vAlign w:val="center"/>
          </w:tcPr>
          <w:p>
            <w:pPr>
              <w:pStyle w:val="49"/>
              <w:tabs>
                <w:tab w:val="left" w:pos="360"/>
                <w:tab w:val="left" w:pos="1620"/>
                <w:tab w:val="clear" w:pos="-2486"/>
              </w:tabs>
              <w:rPr>
                <w:color w:val="auto"/>
                <w:highlight w:val="none"/>
              </w:rPr>
            </w:pPr>
            <w:r>
              <w:rPr>
                <w:color w:val="auto"/>
                <w:highlight w:val="none"/>
              </w:rPr>
              <w:t>工艺技术成熟、运行稳定；结构简单，操作管理方便；耐水质、水量冲击；运行费用较低。</w:t>
            </w:r>
          </w:p>
        </w:tc>
        <w:tc>
          <w:tcPr>
            <w:tcW w:w="3552" w:type="dxa"/>
            <w:tcBorders>
              <w:tl2br w:val="nil"/>
              <w:tr2bl w:val="nil"/>
            </w:tcBorders>
            <w:vAlign w:val="center"/>
          </w:tcPr>
          <w:p>
            <w:pPr>
              <w:pStyle w:val="49"/>
              <w:tabs>
                <w:tab w:val="left" w:pos="360"/>
                <w:tab w:val="left" w:pos="1620"/>
                <w:tab w:val="clear" w:pos="-2486"/>
              </w:tabs>
              <w:rPr>
                <w:color w:val="auto"/>
                <w:highlight w:val="none"/>
              </w:rPr>
            </w:pPr>
            <w:r>
              <w:rPr>
                <w:color w:val="auto"/>
                <w:highlight w:val="none"/>
              </w:rPr>
              <w:t>基础投资大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4" w:type="dxa"/>
            <w:tcBorders>
              <w:tl2br w:val="nil"/>
              <w:tr2bl w:val="nil"/>
            </w:tcBorders>
            <w:vAlign w:val="center"/>
          </w:tcPr>
          <w:p>
            <w:pPr>
              <w:pStyle w:val="49"/>
              <w:tabs>
                <w:tab w:val="left" w:pos="360"/>
                <w:tab w:val="left" w:pos="1620"/>
                <w:tab w:val="clear" w:pos="-2486"/>
              </w:tabs>
              <w:rPr>
                <w:color w:val="auto"/>
                <w:highlight w:val="none"/>
              </w:rPr>
            </w:pPr>
            <w:r>
              <w:rPr>
                <w:rFonts w:hint="eastAsia"/>
                <w:color w:val="auto"/>
                <w:highlight w:val="none"/>
                <w:lang w:eastAsia="zh-CN"/>
              </w:rPr>
              <w:t>CAST</w:t>
            </w:r>
            <w:r>
              <w:rPr>
                <w:color w:val="auto"/>
                <w:highlight w:val="none"/>
              </w:rPr>
              <w:t>+</w:t>
            </w:r>
            <w:r>
              <w:rPr>
                <w:rFonts w:hint="eastAsia"/>
                <w:color w:val="auto"/>
                <w:highlight w:val="none"/>
              </w:rPr>
              <w:t>混凝沉淀过滤</w:t>
            </w:r>
          </w:p>
        </w:tc>
        <w:tc>
          <w:tcPr>
            <w:tcW w:w="3555" w:type="dxa"/>
            <w:tcBorders>
              <w:tl2br w:val="nil"/>
              <w:tr2bl w:val="nil"/>
            </w:tcBorders>
            <w:vAlign w:val="center"/>
          </w:tcPr>
          <w:p>
            <w:pPr>
              <w:pStyle w:val="49"/>
              <w:tabs>
                <w:tab w:val="left" w:pos="360"/>
                <w:tab w:val="left" w:pos="1620"/>
                <w:tab w:val="clear" w:pos="-2486"/>
              </w:tabs>
              <w:rPr>
                <w:color w:val="auto"/>
                <w:highlight w:val="none"/>
              </w:rPr>
            </w:pPr>
            <w:r>
              <w:rPr>
                <w:color w:val="auto"/>
                <w:highlight w:val="none"/>
              </w:rPr>
              <w:t>工艺技术先进、运行灵活稳定；耐水质、水量冲击，出水水质稳定；基础投资小；</w:t>
            </w:r>
          </w:p>
        </w:tc>
        <w:tc>
          <w:tcPr>
            <w:tcW w:w="3552" w:type="dxa"/>
            <w:tcBorders>
              <w:tl2br w:val="nil"/>
              <w:tr2bl w:val="nil"/>
            </w:tcBorders>
            <w:vAlign w:val="center"/>
          </w:tcPr>
          <w:p>
            <w:pPr>
              <w:pStyle w:val="49"/>
              <w:tabs>
                <w:tab w:val="left" w:pos="360"/>
                <w:tab w:val="left" w:pos="1620"/>
                <w:tab w:val="clear" w:pos="-2486"/>
              </w:tabs>
              <w:rPr>
                <w:color w:val="auto"/>
                <w:highlight w:val="none"/>
              </w:rPr>
            </w:pPr>
            <w:r>
              <w:rPr>
                <w:color w:val="auto"/>
                <w:highlight w:val="none"/>
              </w:rPr>
              <w:t>操作管理严格</w:t>
            </w:r>
            <w:r>
              <w:rPr>
                <w:rFonts w:hint="eastAsia"/>
                <w:color w:val="auto"/>
                <w:highlight w:val="none"/>
                <w:lang w:val="en-US" w:eastAsia="zh-CN"/>
              </w:rPr>
              <w:t>/</w:t>
            </w:r>
            <w:r>
              <w:rPr>
                <w:color w:val="auto"/>
                <w:highlight w:val="none"/>
              </w:rPr>
              <w:t>运行费用高。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4" w:type="dxa"/>
            <w:tcBorders>
              <w:tl2br w:val="nil"/>
              <w:tr2bl w:val="nil"/>
            </w:tcBorders>
            <w:vAlign w:val="center"/>
          </w:tcPr>
          <w:p>
            <w:pPr>
              <w:pStyle w:val="49"/>
              <w:tabs>
                <w:tab w:val="left" w:pos="360"/>
                <w:tab w:val="left" w:pos="1620"/>
                <w:tab w:val="clear" w:pos="-2486"/>
              </w:tabs>
              <w:rPr>
                <w:color w:val="auto"/>
                <w:highlight w:val="none"/>
              </w:rPr>
            </w:pPr>
            <w:r>
              <w:rPr>
                <w:rFonts w:hint="default" w:ascii="Times New Roman" w:hAnsi="Times New Roman" w:cs="Times New Roman"/>
                <w:color w:val="auto"/>
                <w:highlight w:val="none"/>
              </w:rPr>
              <w:t>氧化沟法（OD工艺）</w:t>
            </w:r>
          </w:p>
        </w:tc>
        <w:tc>
          <w:tcPr>
            <w:tcW w:w="3555" w:type="dxa"/>
            <w:tcBorders>
              <w:tl2br w:val="nil"/>
              <w:tr2bl w:val="nil"/>
            </w:tcBorders>
            <w:vAlign w:val="center"/>
          </w:tcPr>
          <w:p>
            <w:pPr>
              <w:pStyle w:val="49"/>
              <w:tabs>
                <w:tab w:val="left" w:pos="360"/>
                <w:tab w:val="left" w:pos="1620"/>
                <w:tab w:val="clear" w:pos="-2486"/>
              </w:tabs>
              <w:rPr>
                <w:color w:val="auto"/>
                <w:highlight w:val="none"/>
              </w:rPr>
            </w:pPr>
            <w:r>
              <w:rPr>
                <w:color w:val="auto"/>
                <w:highlight w:val="none"/>
              </w:rPr>
              <w:t>耐水质、水量冲击；占地面积</w:t>
            </w:r>
            <w:r>
              <w:rPr>
                <w:rFonts w:hint="eastAsia"/>
                <w:color w:val="auto"/>
                <w:highlight w:val="none"/>
                <w:lang w:val="en-US" w:eastAsia="zh-CN"/>
              </w:rPr>
              <w:t>大</w:t>
            </w:r>
            <w:r>
              <w:rPr>
                <w:color w:val="auto"/>
                <w:highlight w:val="none"/>
              </w:rPr>
              <w:t>；出水直接回用；剩余污泥极低</w:t>
            </w:r>
          </w:p>
        </w:tc>
        <w:tc>
          <w:tcPr>
            <w:tcW w:w="3552" w:type="dxa"/>
            <w:tcBorders>
              <w:tl2br w:val="nil"/>
              <w:tr2bl w:val="nil"/>
            </w:tcBorders>
            <w:vAlign w:val="center"/>
          </w:tcPr>
          <w:p>
            <w:pPr>
              <w:pStyle w:val="49"/>
              <w:tabs>
                <w:tab w:val="left" w:pos="360"/>
                <w:tab w:val="left" w:pos="1620"/>
                <w:tab w:val="clear" w:pos="-2486"/>
              </w:tabs>
              <w:rPr>
                <w:color w:val="auto"/>
                <w:highlight w:val="none"/>
              </w:rPr>
            </w:pPr>
            <w:r>
              <w:rPr>
                <w:color w:val="auto"/>
                <w:highlight w:val="none"/>
              </w:rPr>
              <w:t>基础投资大、运行费用高、操作复杂</w:t>
            </w:r>
          </w:p>
        </w:tc>
      </w:tr>
    </w:tbl>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通过以上比较，A</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/O工艺具有如下优点：</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①优良的除磷脱氮功能，确保在其它指标达标前提下，氨氮、总磷指标能完全满足要求。氧利用率高、能耗低、污泥性质稳定，污泥处理费用省，投资省。出水水质稳定。</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w:t>
      </w:r>
      <w:r>
        <w:rPr>
          <w:rFonts w:hint="eastAsia" w:cs="Times New Roman"/>
          <w:color w:val="auto"/>
          <w:highlight w:val="none"/>
          <w:lang w:eastAsia="zh-CN"/>
        </w:rPr>
        <w:t>本项目</w:t>
      </w:r>
      <w:r>
        <w:rPr>
          <w:rFonts w:hint="default" w:ascii="Times New Roman" w:hAnsi="Times New Roman" w:cs="Times New Roman"/>
          <w:color w:val="auto"/>
          <w:highlight w:val="none"/>
        </w:rPr>
        <w:t>是对现状污水厂进行升级改造，A</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/O占地面积较少，适合用于改造工程。</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③A</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/O工艺在新疆比较成熟，也有很多成功的例子可以借鉴。鉴于以上几点，及</w:t>
      </w:r>
      <w:r>
        <w:rPr>
          <w:rFonts w:hint="eastAsia" w:cs="Times New Roman"/>
          <w:color w:val="auto"/>
          <w:highlight w:val="none"/>
          <w:lang w:eastAsia="zh-CN"/>
        </w:rPr>
        <w:t>本项目</w:t>
      </w:r>
      <w:r>
        <w:rPr>
          <w:rFonts w:hint="default" w:ascii="Times New Roman" w:hAnsi="Times New Roman" w:cs="Times New Roman"/>
          <w:color w:val="auto"/>
          <w:highlight w:val="none"/>
        </w:rPr>
        <w:t>可研的批复，</w:t>
      </w:r>
      <w:r>
        <w:rPr>
          <w:rFonts w:hint="eastAsia" w:cs="Times New Roman"/>
          <w:color w:val="auto"/>
          <w:highlight w:val="none"/>
          <w:lang w:eastAsia="zh-CN"/>
        </w:rPr>
        <w:t>本项目</w:t>
      </w:r>
      <w:r>
        <w:rPr>
          <w:rFonts w:hint="default" w:ascii="Times New Roman" w:hAnsi="Times New Roman" w:cs="Times New Roman"/>
          <w:color w:val="auto"/>
          <w:highlight w:val="none"/>
        </w:rPr>
        <w:t>推荐A</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/O工艺。</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深度处理工艺选择</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目前应用较多的污水深度处理工艺有：曝气生物滤池（简称BAF）、膜生物反应器（简称MBR）、反硝化深床滤池工艺等。</w:t>
      </w:r>
    </w:p>
    <w:p>
      <w:pPr>
        <w:ind w:firstLine="480"/>
        <w:jc w:val="center"/>
        <w:rPr>
          <w:rFonts w:hint="default" w:ascii="Times New Roman" w:hAnsi="Times New Roman" w:cs="Times New Roman"/>
          <w:color w:val="auto"/>
          <w:highlight w:val="none"/>
        </w:rPr>
      </w:pPr>
      <w:r>
        <w:rPr>
          <w:rFonts w:hint="default" w:ascii="Times New Roman" w:hAnsi="Times New Roman" w:eastAsia="黑体" w:cs="Times New Roman"/>
          <w:color w:val="auto"/>
          <w:highlight w:val="none"/>
        </w:rPr>
        <w:t>表3.4-2深度工艺比选方案一览表</w:t>
      </w:r>
    </w:p>
    <w:tbl>
      <w:tblPr>
        <w:tblStyle w:val="57"/>
        <w:tblW w:w="9691" w:type="dxa"/>
        <w:tblInd w:w="2" w:type="dxa"/>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1305"/>
        <w:gridCol w:w="4043"/>
        <w:gridCol w:w="4343"/>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5"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项目内容</w:t>
            </w:r>
          </w:p>
        </w:tc>
        <w:tc>
          <w:tcPr>
            <w:tcW w:w="4043"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优点</w:t>
            </w:r>
          </w:p>
        </w:tc>
        <w:tc>
          <w:tcPr>
            <w:tcW w:w="4343"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缺点</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5" w:type="dxa"/>
            <w:vMerge w:val="restart"/>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方案一：曝气生物滤池（简称BAF）工艺</w:t>
            </w:r>
          </w:p>
        </w:tc>
        <w:tc>
          <w:tcPr>
            <w:tcW w:w="4043"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1、陶粒滤料兼有生化及过滤双重作用，从而提高了处理负荷，保证了处理效果；</w:t>
            </w:r>
          </w:p>
        </w:tc>
        <w:tc>
          <w:tcPr>
            <w:tcW w:w="4343"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1、控制单元多，操作复杂，对操作人员要求很高；</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5"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4043" w:type="dxa"/>
            <w:vMerge w:val="restart"/>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2、曝气生物滤池不需设置沉淀池，从而降低了土建造价。</w:t>
            </w:r>
          </w:p>
        </w:tc>
        <w:tc>
          <w:tcPr>
            <w:tcW w:w="4343"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2、长时间运行陶粒易结块，滤头易堵塞，为保证效果每一到两年需要疏通，会造成维护费用显著增加；</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5"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4043"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4343"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3、对进水悬浮物要求很高，设备投资相对生物接触氧化高很多，造成总投资增加。</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5" w:type="dxa"/>
            <w:vMerge w:val="restart"/>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方案二：膜生物反应器（简称MBR）工艺</w:t>
            </w:r>
          </w:p>
        </w:tc>
        <w:tc>
          <w:tcPr>
            <w:tcW w:w="4043"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1、处理水质最好；</w:t>
            </w:r>
          </w:p>
        </w:tc>
        <w:tc>
          <w:tcPr>
            <w:tcW w:w="4343"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1、MBR膜组件造价高、维护费用高，这也是限制本工艺推广的最大阻力；</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5"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4043"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2、处理负荷高，占地面积最小；</w:t>
            </w:r>
          </w:p>
        </w:tc>
        <w:tc>
          <w:tcPr>
            <w:tcW w:w="4343"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2、若采用国产膜，寿命只有2～3年，需定期更换，费用很高；若采用进口膜，虽然寿命可达到4-5年，但是造价是国产膜的3倍-5倍；</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5"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4043" w:type="dxa"/>
            <w:vMerge w:val="restart"/>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3、不需设置沉淀池及过滤系统，出水可直接回用。</w:t>
            </w:r>
          </w:p>
        </w:tc>
        <w:tc>
          <w:tcPr>
            <w:tcW w:w="4343"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3、长期使用会产生膜污染，虽然通过反洗、酸洗、碱洗等会恢复较大的膜通量，但同时也会造成膜组件使用寿命的降低；</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5"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4043"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4343"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4、由于MBR反应器的运行特殊性（间歇出水，频繁进行反洗）造成了本工艺对控制系统要求较高，操作较复杂。</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5" w:type="dxa"/>
            <w:vMerge w:val="restart"/>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方案三：反硝化深床滤池工艺</w:t>
            </w:r>
          </w:p>
        </w:tc>
        <w:tc>
          <w:tcPr>
            <w:tcW w:w="4043"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1、池内采用传统的石英砂滤料，降低了工程造价；</w:t>
            </w:r>
          </w:p>
        </w:tc>
        <w:tc>
          <w:tcPr>
            <w:tcW w:w="4343" w:type="dxa"/>
            <w:vMerge w:val="restart"/>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1、工艺为传统工艺，占地面积相比MBR、BAF稍大。</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5"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4043"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2、兼有活性污泥法和生物膜法的优点，且有处理效果好，耐冲击能力强；</w:t>
            </w:r>
          </w:p>
        </w:tc>
        <w:tc>
          <w:tcPr>
            <w:tcW w:w="4343"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5"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4043"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3、专有的气水联合反冲冼装置、布气装置、操作工艺等系统集成技术有效解决直接过滤、生物滤池生物膜脱落堵塞滤池的问题；</w:t>
            </w:r>
          </w:p>
        </w:tc>
        <w:tc>
          <w:tcPr>
            <w:tcW w:w="4343"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5"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4043"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4、控制简单，对操作人员要求很低；后续运行维护成本低；</w:t>
            </w:r>
          </w:p>
        </w:tc>
        <w:tc>
          <w:tcPr>
            <w:tcW w:w="4343"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05"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p>
        </w:tc>
        <w:tc>
          <w:tcPr>
            <w:tcW w:w="4043" w:type="dxa"/>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5、能耗低，相比BAF、MBR来说运行费用最低。</w:t>
            </w:r>
          </w:p>
        </w:tc>
        <w:tc>
          <w:tcPr>
            <w:tcW w:w="4343" w:type="dxa"/>
            <w:vMerge w:val="continue"/>
            <w:tcBorders>
              <w:tl2br w:val="nil"/>
              <w:tr2bl w:val="nil"/>
            </w:tcBorders>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p>
        </w:tc>
      </w:tr>
    </w:tbl>
    <w:p>
      <w:pPr>
        <w:bidi w:val="0"/>
        <w:rPr>
          <w:rFonts w:hint="eastAsia" w:eastAsia="宋体"/>
          <w:color w:val="auto"/>
          <w:highlight w:val="none"/>
          <w:lang w:eastAsia="zh-CN"/>
        </w:rPr>
      </w:pPr>
      <w:r>
        <w:rPr>
          <w:rFonts w:hint="eastAsia"/>
          <w:color w:val="auto"/>
          <w:highlight w:val="none"/>
        </w:rPr>
        <w:t>结合现状污水厂出水水质数据，综合考虑提标后出水效果、后期管理复杂程度、运行成本等因素，本工程采用方案三：高密度澄清池+反硝化深</w:t>
      </w:r>
      <w:r>
        <w:rPr>
          <w:rFonts w:hint="eastAsia"/>
          <w:color w:val="auto"/>
          <w:highlight w:val="none"/>
          <w:lang w:eastAsia="zh-CN"/>
        </w:rPr>
        <w:t>。</w:t>
      </w:r>
    </w:p>
    <w:p>
      <w:pPr>
        <w:pStyle w:val="5"/>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污水出路</w:t>
      </w:r>
    </w:p>
    <w:p>
      <w:pPr>
        <w:widowControl/>
        <w:ind w:firstLine="480"/>
        <w:jc w:val="left"/>
        <w:rPr>
          <w:rFonts w:hint="default" w:ascii="Times New Roman" w:hAnsi="Times New Roman" w:cs="Times New Roman"/>
          <w:color w:val="auto"/>
          <w:kern w:val="0"/>
          <w:highlight w:val="none"/>
          <w:lang w:bidi="ar"/>
        </w:rPr>
      </w:pPr>
      <w:r>
        <w:rPr>
          <w:rFonts w:hint="default" w:ascii="Times New Roman" w:hAnsi="Times New Roman" w:cs="Times New Roman"/>
          <w:color w:val="auto"/>
          <w:highlight w:val="none"/>
        </w:rPr>
        <w:t>本次扩容改造污水处理厂，处理后达标的尾水</w:t>
      </w:r>
      <w:r>
        <w:rPr>
          <w:rFonts w:hint="eastAsia" w:cs="Times New Roman"/>
          <w:color w:val="auto"/>
          <w:highlight w:val="none"/>
          <w:lang w:eastAsia="zh-CN"/>
        </w:rPr>
        <w:t>，</w:t>
      </w:r>
      <w:r>
        <w:rPr>
          <w:rFonts w:hint="default" w:ascii="Times New Roman" w:hAnsi="Times New Roman" w:cs="Times New Roman"/>
          <w:color w:val="auto"/>
          <w:highlight w:val="none"/>
        </w:rPr>
        <w:t>夏季用于</w:t>
      </w:r>
      <w:r>
        <w:rPr>
          <w:rFonts w:hint="eastAsia" w:cs="Times New Roman"/>
          <w:color w:val="auto"/>
          <w:highlight w:val="none"/>
          <w:lang w:val="en-US" w:eastAsia="zh-CN"/>
        </w:rPr>
        <w:t>园区绿化及</w:t>
      </w:r>
      <w:r>
        <w:rPr>
          <w:rFonts w:hint="default" w:ascii="Times New Roman" w:hAnsi="Times New Roman" w:cs="Times New Roman"/>
          <w:color w:val="auto"/>
          <w:highlight w:val="none"/>
        </w:rPr>
        <w:t>灌溉示范区的林地</w:t>
      </w:r>
      <w:r>
        <w:rPr>
          <w:rFonts w:hint="eastAsia" w:cs="Times New Roman"/>
          <w:color w:val="auto"/>
          <w:highlight w:val="none"/>
          <w:lang w:eastAsia="zh-CN"/>
        </w:rPr>
        <w:t>，</w:t>
      </w:r>
      <w:r>
        <w:rPr>
          <w:rFonts w:hint="default" w:ascii="Times New Roman" w:hAnsi="Times New Roman" w:cs="Times New Roman"/>
          <w:color w:val="auto"/>
          <w:highlight w:val="none"/>
        </w:rPr>
        <w:t>冬季储存至下游1公里处的</w:t>
      </w:r>
      <w:r>
        <w:rPr>
          <w:rFonts w:hint="eastAsia" w:cs="Times New Roman"/>
          <w:color w:val="auto"/>
          <w:highlight w:val="none"/>
          <w:lang w:eastAsia="zh-CN"/>
        </w:rPr>
        <w:t>中水池</w:t>
      </w:r>
      <w:r>
        <w:rPr>
          <w:rFonts w:hint="default" w:ascii="Times New Roman" w:hAnsi="Times New Roman" w:cs="Times New Roman"/>
          <w:color w:val="auto"/>
          <w:kern w:val="0"/>
          <w:highlight w:val="none"/>
          <w:lang w:bidi="ar"/>
        </w:rPr>
        <w:t>。</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污泥出路</w:t>
      </w:r>
    </w:p>
    <w:p>
      <w:pPr>
        <w:widowControl/>
        <w:ind w:firstLine="480"/>
        <w:jc w:val="left"/>
        <w:rPr>
          <w:rFonts w:hint="default" w:ascii="Times New Roman" w:hAnsi="Times New Roman" w:cs="Times New Roman"/>
          <w:color w:val="auto"/>
          <w:kern w:val="0"/>
          <w:highlight w:val="none"/>
          <w:lang w:bidi="ar"/>
        </w:rPr>
      </w:pPr>
      <w:r>
        <w:rPr>
          <w:rFonts w:hint="eastAsia" w:cs="Times New Roman"/>
          <w:color w:val="auto"/>
          <w:highlight w:val="none"/>
          <w:lang w:val="en-US" w:eastAsia="zh-CN"/>
        </w:rPr>
        <w:t>根据现有污水处理厂针对</w:t>
      </w:r>
      <w:r>
        <w:rPr>
          <w:rFonts w:hint="default" w:ascii="Times New Roman" w:hAnsi="Times New Roman" w:cs="Times New Roman"/>
          <w:color w:val="auto"/>
          <w:highlight w:val="none"/>
          <w:lang w:val="zh-CN"/>
        </w:rPr>
        <w:t>污泥危险废物鉴别实验，</w:t>
      </w:r>
      <w:r>
        <w:rPr>
          <w:rFonts w:hint="eastAsia" w:cs="Times New Roman"/>
          <w:color w:val="auto"/>
          <w:highlight w:val="none"/>
          <w:lang w:val="en-US" w:eastAsia="zh-CN"/>
        </w:rPr>
        <w:t>可知本项目污泥为一般固体废物（见附件污泥鉴别报告），</w:t>
      </w:r>
      <w:r>
        <w:rPr>
          <w:rFonts w:hint="eastAsia" w:cs="Times New Roman"/>
          <w:color w:val="auto"/>
          <w:highlight w:val="none"/>
          <w:lang w:val="zh-CN"/>
        </w:rPr>
        <w:t>污泥经脱水至含水率小于60%后，与栅渣、沉砂一起运至生活垃圾填埋场进行卫生填埋</w:t>
      </w:r>
      <w:r>
        <w:rPr>
          <w:rFonts w:hint="default" w:ascii="Times New Roman" w:hAnsi="Times New Roman" w:cs="Times New Roman"/>
          <w:color w:val="auto"/>
          <w:highlight w:val="none"/>
          <w:lang w:val="zh-CN"/>
        </w:rPr>
        <w:t>。</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消毒方案</w:t>
      </w:r>
    </w:p>
    <w:p>
      <w:pPr>
        <w:widowControl/>
        <w:ind w:firstLine="480"/>
        <w:jc w:val="left"/>
        <w:rPr>
          <w:rFonts w:hint="default" w:ascii="Times New Roman" w:hAnsi="Times New Roman" w:eastAsia="黑体" w:cs="Times New Roman"/>
          <w:color w:val="auto"/>
          <w:highlight w:val="none"/>
        </w:rPr>
      </w:pPr>
      <w:r>
        <w:rPr>
          <w:rFonts w:hint="default" w:ascii="Times New Roman" w:hAnsi="Times New Roman" w:cs="Times New Roman"/>
          <w:color w:val="auto"/>
          <w:highlight w:val="none"/>
        </w:rPr>
        <w:t>消毒是水处理中的重要工序，消毒方法大体分为两类：物理方法和化学方法。物理方法主要有加热、冷冻、紫外线和微波消毒等方法。化学方法是利用各种化学药剂进行消毒，常用的化学消毒剂</w:t>
      </w:r>
      <w:r>
        <w:rPr>
          <w:rFonts w:hint="eastAsia" w:cs="Times New Roman"/>
          <w:color w:val="auto"/>
          <w:highlight w:val="none"/>
          <w:lang w:val="en-US" w:eastAsia="zh-CN"/>
        </w:rPr>
        <w:t>主要为</w:t>
      </w:r>
      <w:r>
        <w:rPr>
          <w:rFonts w:hint="default" w:ascii="Times New Roman" w:hAnsi="Times New Roman" w:cs="Times New Roman"/>
          <w:color w:val="auto"/>
          <w:highlight w:val="none"/>
        </w:rPr>
        <w:t>氯、臭氧、碘、高锰酸钾等</w:t>
      </w:r>
      <w:r>
        <w:rPr>
          <w:rFonts w:hint="default" w:ascii="Times New Roman" w:hAnsi="Times New Roman" w:cs="Times New Roman"/>
          <w:color w:val="auto"/>
          <w:highlight w:val="none"/>
          <w:lang w:eastAsia="zh-CN"/>
        </w:rPr>
        <w:t>。</w:t>
      </w:r>
    </w:p>
    <w:p>
      <w:pPr>
        <w:ind w:firstLine="48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表3.4-3几种常用的消毒方法的比较</w:t>
      </w:r>
    </w:p>
    <w:tbl>
      <w:tblPr>
        <w:tblStyle w:val="57"/>
        <w:tblW w:w="893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0"/>
        <w:gridCol w:w="1417"/>
        <w:gridCol w:w="1466"/>
        <w:gridCol w:w="1367"/>
        <w:gridCol w:w="1983"/>
        <w:gridCol w:w="14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280"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项目</w:t>
            </w:r>
          </w:p>
        </w:tc>
        <w:tc>
          <w:tcPr>
            <w:tcW w:w="1417"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液氯</w:t>
            </w:r>
          </w:p>
        </w:tc>
        <w:tc>
          <w:tcPr>
            <w:tcW w:w="1466"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5"/>
                <w:kern w:val="0"/>
                <w:sz w:val="21"/>
                <w:szCs w:val="21"/>
                <w:highlight w:val="none"/>
                <w:lang w:eastAsia="en-US"/>
              </w:rPr>
              <w:t>臭氧</w:t>
            </w:r>
          </w:p>
        </w:tc>
        <w:tc>
          <w:tcPr>
            <w:tcW w:w="1367"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二氧化氯</w:t>
            </w:r>
          </w:p>
        </w:tc>
        <w:tc>
          <w:tcPr>
            <w:tcW w:w="1983"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紫外线</w:t>
            </w:r>
          </w:p>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9"/>
                <w:kern w:val="0"/>
                <w:sz w:val="21"/>
                <w:szCs w:val="21"/>
                <w:highlight w:val="none"/>
                <w:lang w:eastAsia="en-US"/>
              </w:rPr>
              <w:t>照射</w:t>
            </w:r>
          </w:p>
        </w:tc>
        <w:tc>
          <w:tcPr>
            <w:tcW w:w="1422"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5"/>
                <w:kern w:val="0"/>
                <w:sz w:val="21"/>
                <w:szCs w:val="21"/>
                <w:highlight w:val="none"/>
                <w:lang w:eastAsia="en-US"/>
              </w:rPr>
              <w:t>加热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280"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spacing w:val="-3"/>
                <w:kern w:val="0"/>
                <w:sz w:val="21"/>
                <w:szCs w:val="21"/>
                <w:highlight w:val="none"/>
                <w:lang w:eastAsia="en-US"/>
              </w:rPr>
            </w:pPr>
            <w:r>
              <w:rPr>
                <w:rFonts w:hint="default" w:ascii="Times New Roman" w:hAnsi="Times New Roman" w:cs="Times New Roman"/>
                <w:snapToGrid w:val="0"/>
                <w:color w:val="auto"/>
                <w:spacing w:val="-3"/>
                <w:kern w:val="0"/>
                <w:sz w:val="21"/>
                <w:szCs w:val="21"/>
                <w:highlight w:val="none"/>
                <w:lang w:eastAsia="en-US"/>
              </w:rPr>
              <w:t>使用剂量</w:t>
            </w:r>
          </w:p>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7"/>
                <w:kern w:val="0"/>
                <w:sz w:val="21"/>
                <w:szCs w:val="21"/>
                <w:highlight w:val="none"/>
                <w:lang w:eastAsia="en-US"/>
              </w:rPr>
              <w:t>（</w:t>
            </w:r>
            <w:r>
              <w:rPr>
                <w:rFonts w:hint="default" w:ascii="Times New Roman" w:hAnsi="Times New Roman" w:eastAsia="Times New Roman" w:cs="Times New Roman"/>
                <w:snapToGrid w:val="0"/>
                <w:color w:val="auto"/>
                <w:spacing w:val="-7"/>
                <w:kern w:val="0"/>
                <w:sz w:val="21"/>
                <w:szCs w:val="21"/>
                <w:highlight w:val="none"/>
                <w:lang w:eastAsia="en-US"/>
              </w:rPr>
              <w:t>mg/L</w:t>
            </w:r>
            <w:r>
              <w:rPr>
                <w:rFonts w:hint="default" w:ascii="Times New Roman" w:hAnsi="Times New Roman" w:cs="Times New Roman"/>
                <w:snapToGrid w:val="0"/>
                <w:color w:val="auto"/>
                <w:spacing w:val="-7"/>
                <w:kern w:val="0"/>
                <w:sz w:val="21"/>
                <w:szCs w:val="21"/>
                <w:highlight w:val="none"/>
                <w:lang w:eastAsia="en-US"/>
              </w:rPr>
              <w:t>）</w:t>
            </w:r>
          </w:p>
        </w:tc>
        <w:tc>
          <w:tcPr>
            <w:tcW w:w="1417"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auto"/>
                <w:kern w:val="0"/>
                <w:sz w:val="21"/>
                <w:szCs w:val="21"/>
                <w:highlight w:val="none"/>
                <w:lang w:eastAsia="en-US"/>
              </w:rPr>
            </w:pPr>
            <w:r>
              <w:rPr>
                <w:rFonts w:hint="default" w:ascii="Times New Roman" w:hAnsi="Times New Roman" w:eastAsia="Times New Roman" w:cs="Times New Roman"/>
                <w:snapToGrid w:val="0"/>
                <w:color w:val="auto"/>
                <w:spacing w:val="-8"/>
                <w:kern w:val="0"/>
                <w:sz w:val="21"/>
                <w:szCs w:val="21"/>
                <w:highlight w:val="none"/>
                <w:lang w:eastAsia="en-US"/>
              </w:rPr>
              <w:t>10.0</w:t>
            </w:r>
          </w:p>
        </w:tc>
        <w:tc>
          <w:tcPr>
            <w:tcW w:w="1466"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auto"/>
                <w:kern w:val="0"/>
                <w:sz w:val="21"/>
                <w:szCs w:val="21"/>
                <w:highlight w:val="none"/>
                <w:lang w:eastAsia="en-US"/>
              </w:rPr>
            </w:pPr>
            <w:r>
              <w:rPr>
                <w:rFonts w:hint="default" w:ascii="Times New Roman" w:hAnsi="Times New Roman" w:eastAsia="Times New Roman" w:cs="Times New Roman"/>
                <w:snapToGrid w:val="0"/>
                <w:color w:val="auto"/>
                <w:spacing w:val="-8"/>
                <w:kern w:val="0"/>
                <w:sz w:val="21"/>
                <w:szCs w:val="21"/>
                <w:highlight w:val="none"/>
                <w:lang w:eastAsia="en-US"/>
              </w:rPr>
              <w:t>10.0</w:t>
            </w:r>
          </w:p>
        </w:tc>
        <w:tc>
          <w:tcPr>
            <w:tcW w:w="1367"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auto"/>
                <w:kern w:val="0"/>
                <w:sz w:val="21"/>
                <w:szCs w:val="21"/>
                <w:highlight w:val="none"/>
                <w:lang w:eastAsia="en-US"/>
              </w:rPr>
            </w:pPr>
            <w:r>
              <w:rPr>
                <w:rFonts w:hint="default" w:ascii="Times New Roman" w:hAnsi="Times New Roman" w:eastAsia="Times New Roman" w:cs="Times New Roman"/>
                <w:snapToGrid w:val="0"/>
                <w:color w:val="auto"/>
                <w:spacing w:val="-2"/>
                <w:kern w:val="0"/>
                <w:sz w:val="21"/>
                <w:szCs w:val="21"/>
                <w:highlight w:val="none"/>
                <w:lang w:eastAsia="en-US"/>
              </w:rPr>
              <w:t>2-5</w:t>
            </w:r>
          </w:p>
        </w:tc>
        <w:tc>
          <w:tcPr>
            <w:tcW w:w="1983" w:type="dxa"/>
            <w:vAlign w:val="center"/>
          </w:tcPr>
          <w:p>
            <w:pPr>
              <w:widowControl/>
              <w:tabs>
                <w:tab w:val="left" w:pos="1110"/>
              </w:tabs>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Arial" w:cs="Times New Roman"/>
                <w:snapToGrid w:val="0"/>
                <w:color w:val="auto"/>
                <w:kern w:val="0"/>
                <w:sz w:val="21"/>
                <w:szCs w:val="21"/>
                <w:highlight w:val="none"/>
                <w:lang w:eastAsia="en-US"/>
              </w:rPr>
            </w:pPr>
          </w:p>
        </w:tc>
        <w:tc>
          <w:tcPr>
            <w:tcW w:w="1422"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position w:val="-4"/>
                <w:sz w:val="21"/>
                <w:szCs w:val="21"/>
                <w:highlight w:val="none"/>
                <w:lang w:eastAsia="en-US"/>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280"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3"/>
                <w:kern w:val="0"/>
                <w:sz w:val="21"/>
                <w:szCs w:val="21"/>
                <w:highlight w:val="none"/>
                <w:lang w:eastAsia="en-US"/>
              </w:rPr>
              <w:t>接触时间</w:t>
            </w:r>
          </w:p>
        </w:tc>
        <w:tc>
          <w:tcPr>
            <w:tcW w:w="1417"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auto"/>
                <w:kern w:val="0"/>
                <w:sz w:val="21"/>
                <w:szCs w:val="21"/>
                <w:highlight w:val="none"/>
                <w:lang w:eastAsia="en-US"/>
              </w:rPr>
            </w:pPr>
            <w:r>
              <w:rPr>
                <w:rFonts w:hint="default" w:ascii="Times New Roman" w:hAnsi="Times New Roman" w:eastAsia="Times New Roman" w:cs="Times New Roman"/>
                <w:snapToGrid w:val="0"/>
                <w:color w:val="auto"/>
                <w:spacing w:val="-6"/>
                <w:kern w:val="0"/>
                <w:sz w:val="21"/>
                <w:szCs w:val="21"/>
                <w:highlight w:val="none"/>
                <w:lang w:eastAsia="en-US"/>
              </w:rPr>
              <w:t>10-30</w:t>
            </w:r>
          </w:p>
        </w:tc>
        <w:tc>
          <w:tcPr>
            <w:tcW w:w="1466"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auto"/>
                <w:kern w:val="0"/>
                <w:sz w:val="21"/>
                <w:szCs w:val="21"/>
                <w:highlight w:val="none"/>
                <w:lang w:eastAsia="en-US"/>
              </w:rPr>
            </w:pPr>
            <w:r>
              <w:rPr>
                <w:rFonts w:hint="default" w:ascii="Times New Roman" w:hAnsi="Times New Roman" w:eastAsia="Times New Roman" w:cs="Times New Roman"/>
                <w:snapToGrid w:val="0"/>
                <w:color w:val="auto"/>
                <w:spacing w:val="-10"/>
                <w:kern w:val="0"/>
                <w:sz w:val="21"/>
                <w:szCs w:val="21"/>
                <w:highlight w:val="none"/>
                <w:lang w:eastAsia="en-US"/>
              </w:rPr>
              <w:t>5-10</w:t>
            </w:r>
          </w:p>
        </w:tc>
        <w:tc>
          <w:tcPr>
            <w:tcW w:w="1367"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auto"/>
                <w:kern w:val="0"/>
                <w:sz w:val="21"/>
                <w:szCs w:val="21"/>
                <w:highlight w:val="none"/>
                <w:lang w:eastAsia="en-US"/>
              </w:rPr>
            </w:pPr>
            <w:r>
              <w:rPr>
                <w:rFonts w:hint="default" w:ascii="Times New Roman" w:hAnsi="Times New Roman" w:eastAsia="Times New Roman" w:cs="Times New Roman"/>
                <w:snapToGrid w:val="0"/>
                <w:color w:val="auto"/>
                <w:spacing w:val="-6"/>
                <w:kern w:val="0"/>
                <w:sz w:val="21"/>
                <w:szCs w:val="21"/>
                <w:highlight w:val="none"/>
                <w:lang w:eastAsia="en-US"/>
              </w:rPr>
              <w:t>10-20</w:t>
            </w:r>
          </w:p>
        </w:tc>
        <w:tc>
          <w:tcPr>
            <w:tcW w:w="1983"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kern w:val="0"/>
                <w:sz w:val="21"/>
                <w:szCs w:val="21"/>
                <w:highlight w:val="none"/>
                <w:lang w:eastAsia="en-US"/>
              </w:rPr>
              <w:t>短</w:t>
            </w:r>
          </w:p>
        </w:tc>
        <w:tc>
          <w:tcPr>
            <w:tcW w:w="1422"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auto"/>
                <w:kern w:val="0"/>
                <w:sz w:val="21"/>
                <w:szCs w:val="21"/>
                <w:highlight w:val="none"/>
                <w:lang w:eastAsia="en-US"/>
              </w:rPr>
            </w:pPr>
            <w:r>
              <w:rPr>
                <w:rFonts w:hint="default" w:ascii="Times New Roman" w:hAnsi="Times New Roman" w:eastAsia="Times New Roman" w:cs="Times New Roman"/>
                <w:snapToGrid w:val="0"/>
                <w:color w:val="auto"/>
                <w:spacing w:val="-6"/>
                <w:kern w:val="0"/>
                <w:sz w:val="21"/>
                <w:szCs w:val="21"/>
                <w:highlight w:val="none"/>
                <w:lang w:eastAsia="en-US"/>
              </w:rPr>
              <w:t>10-20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280"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3"/>
                <w:kern w:val="0"/>
                <w:sz w:val="21"/>
                <w:szCs w:val="21"/>
                <w:highlight w:val="none"/>
                <w:lang w:eastAsia="en-US"/>
              </w:rPr>
              <w:t>对细菌</w:t>
            </w:r>
          </w:p>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3"/>
                <w:kern w:val="0"/>
                <w:sz w:val="21"/>
                <w:szCs w:val="21"/>
                <w:highlight w:val="none"/>
                <w:lang w:eastAsia="en-US"/>
              </w:rPr>
              <w:t>对病毒</w:t>
            </w:r>
          </w:p>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3"/>
                <w:kern w:val="0"/>
                <w:sz w:val="21"/>
                <w:szCs w:val="21"/>
                <w:highlight w:val="none"/>
                <w:lang w:eastAsia="en-US"/>
              </w:rPr>
              <w:t>对芽孢</w:t>
            </w:r>
          </w:p>
        </w:tc>
        <w:tc>
          <w:tcPr>
            <w:tcW w:w="1417"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有效</w:t>
            </w:r>
          </w:p>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4"/>
                <w:kern w:val="0"/>
                <w:sz w:val="21"/>
                <w:szCs w:val="21"/>
                <w:highlight w:val="none"/>
                <w:lang w:eastAsia="en-US"/>
              </w:rPr>
              <w:t>部分有效</w:t>
            </w:r>
          </w:p>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无效</w:t>
            </w:r>
          </w:p>
        </w:tc>
        <w:tc>
          <w:tcPr>
            <w:tcW w:w="1466"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有效</w:t>
            </w:r>
          </w:p>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有效</w:t>
            </w:r>
          </w:p>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有效</w:t>
            </w:r>
          </w:p>
        </w:tc>
        <w:tc>
          <w:tcPr>
            <w:tcW w:w="1367"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有效</w:t>
            </w:r>
          </w:p>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4"/>
                <w:kern w:val="0"/>
                <w:sz w:val="21"/>
                <w:szCs w:val="21"/>
                <w:highlight w:val="none"/>
                <w:lang w:eastAsia="en-US"/>
              </w:rPr>
              <w:t>部分有效</w:t>
            </w:r>
          </w:p>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有效</w:t>
            </w:r>
          </w:p>
        </w:tc>
        <w:tc>
          <w:tcPr>
            <w:tcW w:w="1983"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有效</w:t>
            </w:r>
          </w:p>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4"/>
                <w:kern w:val="0"/>
                <w:sz w:val="21"/>
                <w:szCs w:val="21"/>
                <w:highlight w:val="none"/>
                <w:lang w:eastAsia="en-US"/>
              </w:rPr>
              <w:t>部分有效</w:t>
            </w:r>
          </w:p>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无效</w:t>
            </w:r>
          </w:p>
        </w:tc>
        <w:tc>
          <w:tcPr>
            <w:tcW w:w="1422"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有效</w:t>
            </w:r>
          </w:p>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有效</w:t>
            </w:r>
          </w:p>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有效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280"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spacing w:val="-6"/>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优点</w:t>
            </w:r>
          </w:p>
        </w:tc>
        <w:tc>
          <w:tcPr>
            <w:tcW w:w="1417"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spacing w:val="-6"/>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便宜、成熟，有后续消毒作用</w:t>
            </w:r>
          </w:p>
        </w:tc>
        <w:tc>
          <w:tcPr>
            <w:tcW w:w="1466"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spacing w:val="-6"/>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除色、臭味效果好，溶解氧增加</w:t>
            </w:r>
          </w:p>
        </w:tc>
        <w:tc>
          <w:tcPr>
            <w:tcW w:w="1367"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spacing w:val="-6"/>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杀菌效果好，无气味，有定型产品</w:t>
            </w:r>
          </w:p>
        </w:tc>
        <w:tc>
          <w:tcPr>
            <w:tcW w:w="1983"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spacing w:val="-6"/>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不产生任何消毒副产物、操作安全简易</w:t>
            </w:r>
          </w:p>
        </w:tc>
        <w:tc>
          <w:tcPr>
            <w:tcW w:w="1422"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spacing w:val="-6"/>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简单加热慢，价格贵，能耗高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280"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spacing w:val="-6"/>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缺点</w:t>
            </w:r>
          </w:p>
        </w:tc>
        <w:tc>
          <w:tcPr>
            <w:tcW w:w="1417"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spacing w:val="-6"/>
                <w:kern w:val="0"/>
                <w:sz w:val="21"/>
                <w:szCs w:val="21"/>
                <w:highlight w:val="none"/>
                <w:lang w:eastAsia="en-US"/>
              </w:rPr>
            </w:pPr>
          </w:p>
        </w:tc>
        <w:tc>
          <w:tcPr>
            <w:tcW w:w="1466"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spacing w:val="-6"/>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比氯贵、无后续作用</w:t>
            </w:r>
          </w:p>
        </w:tc>
        <w:tc>
          <w:tcPr>
            <w:tcW w:w="1367"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spacing w:val="-6"/>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维修管理要求较高</w:t>
            </w:r>
          </w:p>
        </w:tc>
        <w:tc>
          <w:tcPr>
            <w:tcW w:w="1983"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spacing w:val="-6"/>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快速、无化学药剂无后续作用，对浊度要求高</w:t>
            </w:r>
          </w:p>
        </w:tc>
        <w:tc>
          <w:tcPr>
            <w:tcW w:w="1422"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spacing w:val="-6"/>
                <w:kern w:val="0"/>
                <w:sz w:val="21"/>
                <w:szCs w:val="21"/>
                <w:highlight w:val="none"/>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280"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spacing w:val="-6"/>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用途</w:t>
            </w:r>
          </w:p>
        </w:tc>
        <w:tc>
          <w:tcPr>
            <w:tcW w:w="1417"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spacing w:val="-6"/>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常用方法</w:t>
            </w:r>
          </w:p>
        </w:tc>
        <w:tc>
          <w:tcPr>
            <w:tcW w:w="1466"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spacing w:val="-6"/>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应用日益广泛</w:t>
            </w:r>
          </w:p>
        </w:tc>
        <w:tc>
          <w:tcPr>
            <w:tcW w:w="1367"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spacing w:val="-6"/>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中水及小水量</w:t>
            </w:r>
          </w:p>
        </w:tc>
        <w:tc>
          <w:tcPr>
            <w:tcW w:w="1983"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spacing w:val="-6"/>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应用日益广泛</w:t>
            </w:r>
          </w:p>
        </w:tc>
        <w:tc>
          <w:tcPr>
            <w:tcW w:w="1422" w:type="dxa"/>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auto"/>
                <w:spacing w:val="-6"/>
                <w:kern w:val="0"/>
                <w:sz w:val="21"/>
                <w:szCs w:val="21"/>
                <w:highlight w:val="none"/>
                <w:lang w:eastAsia="en-US"/>
              </w:rPr>
            </w:pPr>
            <w:r>
              <w:rPr>
                <w:rFonts w:hint="default" w:ascii="Times New Roman" w:hAnsi="Times New Roman" w:cs="Times New Roman"/>
                <w:snapToGrid w:val="0"/>
                <w:color w:val="auto"/>
                <w:spacing w:val="-6"/>
                <w:kern w:val="0"/>
                <w:sz w:val="21"/>
                <w:szCs w:val="21"/>
                <w:highlight w:val="none"/>
                <w:lang w:eastAsia="en-US"/>
              </w:rPr>
              <w:t>适用于家庭</w:t>
            </w:r>
          </w:p>
        </w:tc>
      </w:tr>
    </w:tbl>
    <w:p>
      <w:pPr>
        <w:widowControl/>
        <w:ind w:firstLine="480"/>
        <w:jc w:val="left"/>
        <w:rPr>
          <w:rFonts w:hint="default" w:ascii="Times New Roman" w:hAnsi="Times New Roman" w:cs="Times New Roman"/>
          <w:color w:val="auto"/>
          <w:kern w:val="0"/>
          <w:highlight w:val="none"/>
          <w:lang w:bidi="ar"/>
        </w:rPr>
      </w:pPr>
      <w:r>
        <w:rPr>
          <w:rFonts w:hint="default" w:ascii="Times New Roman" w:hAnsi="Times New Roman" w:cs="Times New Roman"/>
          <w:color w:val="auto"/>
          <w:kern w:val="0"/>
          <w:highlight w:val="none"/>
          <w:lang w:bidi="ar"/>
        </w:rPr>
        <w:t>基于上述比较分析，</w:t>
      </w:r>
      <w:r>
        <w:rPr>
          <w:rFonts w:hint="eastAsia" w:cs="Times New Roman"/>
          <w:color w:val="auto"/>
          <w:kern w:val="0"/>
          <w:highlight w:val="none"/>
          <w:lang w:eastAsia="zh-CN" w:bidi="ar"/>
        </w:rPr>
        <w:t>本项目</w:t>
      </w:r>
      <w:r>
        <w:rPr>
          <w:rFonts w:hint="default" w:ascii="Times New Roman" w:hAnsi="Times New Roman" w:cs="Times New Roman"/>
          <w:color w:val="auto"/>
          <w:kern w:val="0"/>
          <w:highlight w:val="none"/>
          <w:lang w:bidi="ar"/>
        </w:rPr>
        <w:t>推荐采用二氧化氯消毒。</w:t>
      </w:r>
    </w:p>
    <w:p>
      <w:pPr>
        <w:widowControl/>
        <w:ind w:firstLine="480"/>
        <w:jc w:val="left"/>
        <w:rPr>
          <w:rFonts w:ascii="Arial" w:hAnsi="Arial" w:eastAsia="宋体" w:cs="Arial"/>
          <w:i w:val="0"/>
          <w:iCs w:val="0"/>
          <w:caps w:val="0"/>
          <w:color w:val="0000FF"/>
          <w:spacing w:val="0"/>
          <w:sz w:val="24"/>
          <w:szCs w:val="24"/>
          <w:highlight w:val="none"/>
        </w:rPr>
      </w:pPr>
      <w:r>
        <w:rPr>
          <w:color w:val="0000FF"/>
          <w:sz w:val="24"/>
          <w:highlight w:val="none"/>
        </w:rPr>
        <mc:AlternateContent>
          <mc:Choice Requires="wps">
            <w:drawing>
              <wp:anchor distT="0" distB="0" distL="114300" distR="114300" simplePos="0" relativeHeight="251671552" behindDoc="0" locked="0" layoutInCell="1" allowOverlap="1">
                <wp:simplePos x="0" y="0"/>
                <wp:positionH relativeFrom="column">
                  <wp:posOffset>435610</wp:posOffset>
                </wp:positionH>
                <wp:positionV relativeFrom="paragraph">
                  <wp:posOffset>904240</wp:posOffset>
                </wp:positionV>
                <wp:extent cx="542925" cy="381000"/>
                <wp:effectExtent l="0" t="0" r="9525" b="0"/>
                <wp:wrapNone/>
                <wp:docPr id="37" name="文本框 37"/>
                <wp:cNvGraphicFramePr/>
                <a:graphic xmlns:a="http://schemas.openxmlformats.org/drawingml/2006/main">
                  <a:graphicData uri="http://schemas.microsoft.com/office/word/2010/wordprocessingShape">
                    <wps:wsp>
                      <wps:cNvSpPr txBox="1"/>
                      <wps:spPr>
                        <a:xfrm>
                          <a:off x="1263650" y="7946390"/>
                          <a:ext cx="542925"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3pt;margin-top:71.2pt;height:30pt;width:42.75pt;z-index:251671552;mso-width-relative:page;mso-height-relative:page;" fillcolor="#FFFFFF [3201]" filled="t" stroked="f" coordsize="21600,21600" o:gfxdata="UEsDBAoAAAAAAIdO4kAAAAAAAAAAAAAAAAAEAAAAZHJzL1BLAwQUAAAACACHTuJATudiw9QAAAAK&#10;AQAADwAAAGRycy9kb3ducmV2LnhtbE2PTU/DMAyG70j8h8hI3FjSqlRTaboDElcktrFz1nhtReJU&#10;Sfb56/FOcPTrR68ft6uLd+KEMU2BNBQLBQKpD3aiQcN28/GyBJGyIWtcINRwxQSr7vGhNY0NZ/rC&#10;0zoPgksoNUbDmPPcSJn6Eb1JizAj8e4QojeZxzhIG82Zy72TpVK19GYivjCaGd9H7H/WR69hN/jb&#10;7ruY42i9q+jzdt1sw6T181Oh3kBkvOQ/GO76rA4dO+3DkWwSTkO9rJnkvCorEHfgtSpA7DWUihPZ&#10;tfL/C90vUEsDBBQAAAAIAIdO4kBPpKFTXAIAAJwEAAAOAAAAZHJzL2Uyb0RvYy54bWytVM1uEzEQ&#10;viPxDpbvZPPfJuqmCq2CkCpaKSDOjtebtWR7jO1kNzwAvEFPXLjzXHkOxt5NWwqHHsjBGXs+z8z3&#10;eWYvLhutyF44L8HkdNDrUyIMh0KabU4/fVy9OafEB2YKpsCInB6Ep5eL168uajsXQ6hAFcIRDGL8&#10;vLY5rUKw8yzzvBKa+R5YYdBZgtMs4NZts8KxGqNrlQ37/WlWgyusAy68x9Pr1km7iO4lAaEsJRfX&#10;wHdamNBGdUKxgJR8Ja2ni1RtWQoebsvSi0BUTpFpSCsmQXsT12xxweZbx2wleVcCe0kJzzhpJg0m&#10;fQh1zQIjOyf/CqUld+ChDD0OOmuJJEWQxaD/TJt1xaxIXFBqbx9E9/8vLP+wv3NEFjkdnVFimMYX&#10;P95/P/74dfz5jeAZClRbP0fc2iIyNG+hwbY5nXs8jLyb0un4j4xI9A+no+kERT7k9Gw2no5mndSi&#10;CYQjYDIezoYTSjgCRueDfj/5s8dA1vnwToAm0cipw5dMArP9jQ9YFEJPkJjXg5LFSiqVNm67uVKO&#10;7Bm++ir9Yr145Q+YMqTO6XSEdcZbBuL9FqcMwiPvll+0QrNpOjE2UBxQCwdtO3nLVxKrvGE+3DGH&#10;/YPEccLCLS6lAkwCnUVJBe7rv84jHp8VvZTU2I859V92zAlK1HuDDz4bjMexgdNmPDkb4sY99Wye&#10;esxOXwGSH+AsW57MiA/qZJYO9GccxGXMii5mOObOaTiZV6GdEhxkLpbLBMKWtSzcmLXlMXQr2nIX&#10;oJTpSaJMrTadeti0SfZuwOJUPN0n1ONHZf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udiw9QA&#10;AAAKAQAADwAAAAAAAAABACAAAAAiAAAAZHJzL2Rvd25yZXYueG1sUEsBAhQAFAAAAAgAh07iQE+k&#10;oVNcAgAAnAQAAA4AAAAAAAAAAQAgAAAAIwEAAGRycy9lMm9Eb2MueG1sUEsFBgAAAAAGAAYAWQEA&#10;APEFAAAAAA==&#10;">
                <v:fill on="t" focussize="0,0"/>
                <v:stroke on="f" weight="0.5pt"/>
                <v:imagedata o:title=""/>
                <o:lock v:ext="edit" aspectratio="f"/>
                <v:textbox>
                  <w:txbxContent>
                    <w:p/>
                  </w:txbxContent>
                </v:textbox>
              </v:shape>
            </w:pict>
          </mc:Fallback>
        </mc:AlternateContent>
      </w:r>
      <w:r>
        <w:rPr>
          <w:rFonts w:ascii="Arial" w:hAnsi="Arial" w:eastAsia="宋体" w:cs="Arial"/>
          <w:i w:val="0"/>
          <w:iCs w:val="0"/>
          <w:caps w:val="0"/>
          <w:color w:val="0000FF"/>
          <w:spacing w:val="0"/>
          <w:sz w:val="24"/>
          <w:szCs w:val="24"/>
          <w:highlight w:val="none"/>
        </w:rPr>
        <w:drawing>
          <wp:inline distT="0" distB="0" distL="114300" distR="114300">
            <wp:extent cx="4057650" cy="1326515"/>
            <wp:effectExtent l="0" t="0" r="0" b="0"/>
            <wp:docPr id="33" name="图片 33" descr="171825434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718254341309"/>
                    <pic:cNvPicPr>
                      <a:picLocks noChangeAspect="1"/>
                    </pic:cNvPicPr>
                  </pic:nvPicPr>
                  <pic:blipFill>
                    <a:blip r:embed="rId27"/>
                    <a:srcRect t="5261"/>
                    <a:stretch>
                      <a:fillRect/>
                    </a:stretch>
                  </pic:blipFill>
                  <pic:spPr>
                    <a:xfrm>
                      <a:off x="0" y="0"/>
                      <a:ext cx="4057650" cy="1326515"/>
                    </a:xfrm>
                    <a:prstGeom prst="rect">
                      <a:avLst/>
                    </a:prstGeom>
                  </pic:spPr>
                </pic:pic>
              </a:graphicData>
            </a:graphic>
          </wp:inline>
        </w:drawing>
      </w:r>
    </w:p>
    <w:p>
      <w:pPr>
        <w:spacing w:line="240" w:lineRule="auto"/>
        <w:ind w:firstLine="0" w:firstLineChars="0"/>
        <w:jc w:val="center"/>
        <w:rPr>
          <w:rFonts w:hint="default" w:ascii="Times New Roman" w:hAnsi="Times New Roman" w:eastAsia="黑体" w:cs="Times New Roman"/>
          <w:color w:val="0000FF"/>
          <w:highlight w:val="none"/>
          <w:lang w:val="en-US" w:eastAsia="zh-CN"/>
        </w:rPr>
      </w:pPr>
      <w:r>
        <w:rPr>
          <w:rFonts w:hint="eastAsia" w:ascii="Times New Roman" w:hAnsi="Times New Roman" w:eastAsia="黑体" w:cs="Times New Roman"/>
          <w:color w:val="0000FF"/>
          <w:highlight w:val="none"/>
          <w:lang w:val="en-US" w:eastAsia="zh-CN"/>
        </w:rPr>
        <w:t>图3.4-1二氧化氯发生器的反应原理</w:t>
      </w:r>
    </w:p>
    <w:p>
      <w:pPr>
        <w:widowControl/>
        <w:ind w:firstLine="480"/>
        <w:jc w:val="left"/>
        <w:rPr>
          <w:rFonts w:ascii="Arial" w:hAnsi="Arial" w:eastAsia="宋体" w:cs="Arial"/>
          <w:i w:val="0"/>
          <w:iCs w:val="0"/>
          <w:caps w:val="0"/>
          <w:color w:val="0000FF"/>
          <w:spacing w:val="0"/>
          <w:sz w:val="24"/>
          <w:szCs w:val="24"/>
          <w:highlight w:val="none"/>
        </w:rPr>
      </w:pPr>
      <w:r>
        <w:rPr>
          <w:rFonts w:ascii="Arial" w:hAnsi="Arial" w:eastAsia="宋体" w:cs="Arial"/>
          <w:i w:val="0"/>
          <w:iCs w:val="0"/>
          <w:caps w:val="0"/>
          <w:color w:val="0000FF"/>
          <w:spacing w:val="0"/>
          <w:sz w:val="24"/>
          <w:szCs w:val="24"/>
          <w:highlight w:val="none"/>
        </w:rPr>
        <w:t>2N</w:t>
      </w:r>
      <w:r>
        <w:rPr>
          <w:rFonts w:hint="eastAsia" w:ascii="Arial" w:hAnsi="Arial" w:eastAsia="宋体" w:cs="Arial"/>
          <w:i w:val="0"/>
          <w:iCs w:val="0"/>
          <w:caps w:val="0"/>
          <w:color w:val="0000FF"/>
          <w:spacing w:val="0"/>
          <w:sz w:val="24"/>
          <w:szCs w:val="24"/>
          <w:highlight w:val="none"/>
          <w:lang w:val="en-US" w:eastAsia="zh-CN"/>
        </w:rPr>
        <w:t>a</w:t>
      </w:r>
      <w:r>
        <w:rPr>
          <w:rFonts w:ascii="Arial" w:hAnsi="Arial" w:eastAsia="宋体" w:cs="Arial"/>
          <w:i w:val="0"/>
          <w:iCs w:val="0"/>
          <w:caps w:val="0"/>
          <w:color w:val="0000FF"/>
          <w:spacing w:val="0"/>
          <w:sz w:val="24"/>
          <w:szCs w:val="24"/>
          <w:highlight w:val="none"/>
        </w:rPr>
        <w:t>C</w:t>
      </w:r>
      <w:r>
        <w:rPr>
          <w:rFonts w:hint="eastAsia" w:ascii="Arial" w:hAnsi="Arial" w:eastAsia="宋体" w:cs="Arial"/>
          <w:i w:val="0"/>
          <w:iCs w:val="0"/>
          <w:caps w:val="0"/>
          <w:color w:val="0000FF"/>
          <w:spacing w:val="0"/>
          <w:sz w:val="24"/>
          <w:szCs w:val="24"/>
          <w:highlight w:val="none"/>
          <w:lang w:val="en-US" w:eastAsia="zh-CN"/>
        </w:rPr>
        <w:t>l</w:t>
      </w:r>
      <w:r>
        <w:rPr>
          <w:rFonts w:ascii="Arial" w:hAnsi="Arial" w:eastAsia="宋体" w:cs="Arial"/>
          <w:i w:val="0"/>
          <w:iCs w:val="0"/>
          <w:caps w:val="0"/>
          <w:color w:val="0000FF"/>
          <w:spacing w:val="0"/>
          <w:sz w:val="24"/>
          <w:szCs w:val="24"/>
          <w:highlight w:val="none"/>
        </w:rPr>
        <w:t>+H</w:t>
      </w:r>
      <w:r>
        <w:rPr>
          <w:rFonts w:ascii="Arial" w:hAnsi="Arial" w:eastAsia="宋体" w:cs="Arial"/>
          <w:i w:val="0"/>
          <w:iCs w:val="0"/>
          <w:caps w:val="0"/>
          <w:color w:val="0000FF"/>
          <w:spacing w:val="0"/>
          <w:sz w:val="24"/>
          <w:szCs w:val="24"/>
          <w:highlight w:val="none"/>
          <w:vertAlign w:val="subscript"/>
        </w:rPr>
        <w:t>2</w:t>
      </w:r>
      <w:r>
        <w:rPr>
          <w:rFonts w:ascii="Arial" w:hAnsi="Arial" w:eastAsia="宋体" w:cs="Arial"/>
          <w:i w:val="0"/>
          <w:iCs w:val="0"/>
          <w:caps w:val="0"/>
          <w:color w:val="0000FF"/>
          <w:spacing w:val="0"/>
          <w:sz w:val="24"/>
          <w:szCs w:val="24"/>
          <w:highlight w:val="none"/>
        </w:rPr>
        <w:t>O=C</w:t>
      </w:r>
      <w:r>
        <w:rPr>
          <w:rFonts w:hint="eastAsia" w:ascii="Arial" w:hAnsi="Arial" w:eastAsia="宋体" w:cs="Arial"/>
          <w:i w:val="0"/>
          <w:iCs w:val="0"/>
          <w:caps w:val="0"/>
          <w:color w:val="0000FF"/>
          <w:spacing w:val="0"/>
          <w:sz w:val="24"/>
          <w:szCs w:val="24"/>
          <w:highlight w:val="none"/>
          <w:lang w:val="en-US" w:eastAsia="zh-CN"/>
        </w:rPr>
        <w:t>l</w:t>
      </w:r>
      <w:r>
        <w:rPr>
          <w:rFonts w:ascii="Arial" w:hAnsi="Arial" w:eastAsia="宋体" w:cs="Arial"/>
          <w:i w:val="0"/>
          <w:iCs w:val="0"/>
          <w:caps w:val="0"/>
          <w:color w:val="0000FF"/>
          <w:spacing w:val="0"/>
          <w:sz w:val="24"/>
          <w:szCs w:val="24"/>
          <w:highlight w:val="none"/>
          <w:vertAlign w:val="subscript"/>
        </w:rPr>
        <w:t>2</w:t>
      </w:r>
      <w:r>
        <w:rPr>
          <w:rFonts w:ascii="Arial" w:hAnsi="Arial" w:eastAsia="宋体" w:cs="Arial"/>
          <w:i w:val="0"/>
          <w:iCs w:val="0"/>
          <w:caps w:val="0"/>
          <w:color w:val="0000FF"/>
          <w:spacing w:val="0"/>
          <w:sz w:val="24"/>
          <w:szCs w:val="24"/>
          <w:highlight w:val="none"/>
        </w:rPr>
        <w:t>+H</w:t>
      </w:r>
      <w:r>
        <w:rPr>
          <w:rFonts w:ascii="Arial" w:hAnsi="Arial" w:eastAsia="宋体" w:cs="Arial"/>
          <w:i w:val="0"/>
          <w:iCs w:val="0"/>
          <w:caps w:val="0"/>
          <w:color w:val="0000FF"/>
          <w:spacing w:val="0"/>
          <w:sz w:val="24"/>
          <w:szCs w:val="24"/>
          <w:highlight w:val="none"/>
          <w:vertAlign w:val="subscript"/>
        </w:rPr>
        <w:t>2</w:t>
      </w:r>
      <w:r>
        <w:rPr>
          <w:rFonts w:ascii="Arial" w:hAnsi="Arial" w:eastAsia="宋体" w:cs="Arial"/>
          <w:i w:val="0"/>
          <w:iCs w:val="0"/>
          <w:caps w:val="0"/>
          <w:color w:val="0000FF"/>
          <w:spacing w:val="0"/>
          <w:sz w:val="24"/>
          <w:szCs w:val="24"/>
          <w:highlight w:val="none"/>
        </w:rPr>
        <w:t>+N</w:t>
      </w:r>
      <w:r>
        <w:rPr>
          <w:rFonts w:hint="eastAsia" w:ascii="Arial" w:hAnsi="Arial" w:eastAsia="宋体" w:cs="Arial"/>
          <w:i w:val="0"/>
          <w:iCs w:val="0"/>
          <w:caps w:val="0"/>
          <w:color w:val="0000FF"/>
          <w:spacing w:val="0"/>
          <w:sz w:val="24"/>
          <w:szCs w:val="24"/>
          <w:highlight w:val="none"/>
          <w:lang w:val="en-US" w:eastAsia="zh-CN"/>
        </w:rPr>
        <w:t>a</w:t>
      </w:r>
      <w:r>
        <w:rPr>
          <w:rFonts w:ascii="Arial" w:hAnsi="Arial" w:eastAsia="宋体" w:cs="Arial"/>
          <w:i w:val="0"/>
          <w:iCs w:val="0"/>
          <w:caps w:val="0"/>
          <w:color w:val="0000FF"/>
          <w:spacing w:val="0"/>
          <w:sz w:val="24"/>
          <w:szCs w:val="24"/>
          <w:highlight w:val="none"/>
        </w:rPr>
        <w:t>OH</w:t>
      </w:r>
    </w:p>
    <w:p>
      <w:pPr>
        <w:widowControl/>
        <w:ind w:firstLine="480"/>
        <w:jc w:val="left"/>
        <w:rPr>
          <w:rFonts w:hint="eastAsia" w:ascii="Arial" w:hAnsi="Arial" w:eastAsia="宋体" w:cs="Arial"/>
          <w:i w:val="0"/>
          <w:iCs w:val="0"/>
          <w:caps w:val="0"/>
          <w:color w:val="0000FF"/>
          <w:spacing w:val="0"/>
          <w:sz w:val="24"/>
          <w:szCs w:val="24"/>
          <w:highlight w:val="none"/>
          <w:lang w:val="en-US" w:eastAsia="zh-CN"/>
        </w:rPr>
      </w:pPr>
      <w:r>
        <w:rPr>
          <w:rFonts w:ascii="Arial" w:hAnsi="Arial" w:eastAsia="宋体" w:cs="Arial"/>
          <w:i w:val="0"/>
          <w:iCs w:val="0"/>
          <w:caps w:val="0"/>
          <w:color w:val="0000FF"/>
          <w:spacing w:val="0"/>
          <w:sz w:val="24"/>
          <w:szCs w:val="24"/>
          <w:highlight w:val="none"/>
        </w:rPr>
        <w:t>C</w:t>
      </w:r>
      <w:r>
        <w:rPr>
          <w:rFonts w:hint="eastAsia" w:ascii="Arial" w:hAnsi="Arial" w:eastAsia="宋体" w:cs="Arial"/>
          <w:i w:val="0"/>
          <w:iCs w:val="0"/>
          <w:caps w:val="0"/>
          <w:color w:val="0000FF"/>
          <w:spacing w:val="0"/>
          <w:sz w:val="24"/>
          <w:szCs w:val="24"/>
          <w:highlight w:val="none"/>
          <w:lang w:val="en-US" w:eastAsia="zh-CN"/>
        </w:rPr>
        <w:t>l</w:t>
      </w:r>
      <w:r>
        <w:rPr>
          <w:rFonts w:ascii="Arial" w:hAnsi="Arial" w:eastAsia="宋体" w:cs="Arial"/>
          <w:i w:val="0"/>
          <w:iCs w:val="0"/>
          <w:caps w:val="0"/>
          <w:color w:val="0000FF"/>
          <w:spacing w:val="0"/>
          <w:sz w:val="24"/>
          <w:szCs w:val="24"/>
          <w:highlight w:val="none"/>
          <w:vertAlign w:val="subscript"/>
        </w:rPr>
        <w:t>2</w:t>
      </w:r>
      <w:r>
        <w:rPr>
          <w:rFonts w:ascii="Arial" w:hAnsi="Arial" w:eastAsia="宋体" w:cs="Arial"/>
          <w:i w:val="0"/>
          <w:iCs w:val="0"/>
          <w:caps w:val="0"/>
          <w:color w:val="0000FF"/>
          <w:spacing w:val="0"/>
          <w:sz w:val="24"/>
          <w:szCs w:val="24"/>
          <w:highlight w:val="none"/>
        </w:rPr>
        <w:t>+H</w:t>
      </w:r>
      <w:r>
        <w:rPr>
          <w:rFonts w:ascii="Arial" w:hAnsi="Arial" w:eastAsia="宋体" w:cs="Arial"/>
          <w:i w:val="0"/>
          <w:iCs w:val="0"/>
          <w:caps w:val="0"/>
          <w:color w:val="0000FF"/>
          <w:spacing w:val="0"/>
          <w:sz w:val="24"/>
          <w:szCs w:val="24"/>
          <w:highlight w:val="none"/>
          <w:vertAlign w:val="subscript"/>
        </w:rPr>
        <w:t>2</w:t>
      </w:r>
      <w:r>
        <w:rPr>
          <w:rFonts w:hint="eastAsia" w:ascii="Arial" w:hAnsi="Arial" w:eastAsia="宋体" w:cs="Arial"/>
          <w:i w:val="0"/>
          <w:iCs w:val="0"/>
          <w:caps w:val="0"/>
          <w:color w:val="0000FF"/>
          <w:spacing w:val="0"/>
          <w:sz w:val="24"/>
          <w:szCs w:val="24"/>
          <w:highlight w:val="none"/>
          <w:lang w:val="en-US" w:eastAsia="zh-CN"/>
        </w:rPr>
        <w:t>=HCl</w:t>
      </w:r>
    </w:p>
    <w:p>
      <w:pPr>
        <w:widowControl/>
        <w:ind w:firstLine="480"/>
        <w:jc w:val="left"/>
        <w:rPr>
          <w:rFonts w:hint="eastAsia" w:ascii="Arial" w:hAnsi="Arial" w:cs="Arial"/>
          <w:i w:val="0"/>
          <w:iCs w:val="0"/>
          <w:caps w:val="0"/>
          <w:color w:val="0000FF"/>
          <w:spacing w:val="0"/>
          <w:sz w:val="24"/>
          <w:szCs w:val="24"/>
          <w:highlight w:val="none"/>
          <w:lang w:val="en-US" w:eastAsia="zh-CN"/>
        </w:rPr>
      </w:pPr>
      <w:r>
        <w:rPr>
          <w:rFonts w:hint="default" w:ascii="Arial" w:hAnsi="Arial" w:eastAsia="宋体" w:cs="Arial"/>
          <w:i w:val="0"/>
          <w:iCs w:val="0"/>
          <w:caps w:val="0"/>
          <w:color w:val="0000FF"/>
          <w:spacing w:val="0"/>
          <w:sz w:val="24"/>
          <w:szCs w:val="24"/>
          <w:highlight w:val="none"/>
          <w:lang w:val="en-US" w:eastAsia="zh-CN"/>
        </w:rPr>
        <w:t>NaCl+3H</w:t>
      </w:r>
      <w:r>
        <w:rPr>
          <w:rFonts w:hint="default" w:ascii="Arial" w:hAnsi="Arial" w:eastAsia="宋体" w:cs="Arial"/>
          <w:i w:val="0"/>
          <w:iCs w:val="0"/>
          <w:caps w:val="0"/>
          <w:color w:val="0000FF"/>
          <w:spacing w:val="0"/>
          <w:sz w:val="24"/>
          <w:szCs w:val="24"/>
          <w:highlight w:val="none"/>
          <w:vertAlign w:val="subscript"/>
          <w:lang w:val="en-US" w:eastAsia="zh-CN"/>
        </w:rPr>
        <w:t>2</w:t>
      </w:r>
      <w:r>
        <w:rPr>
          <w:rFonts w:hint="default" w:ascii="Arial" w:hAnsi="Arial" w:eastAsia="宋体" w:cs="Arial"/>
          <w:i w:val="0"/>
          <w:iCs w:val="0"/>
          <w:caps w:val="0"/>
          <w:color w:val="0000FF"/>
          <w:spacing w:val="0"/>
          <w:sz w:val="24"/>
          <w:szCs w:val="24"/>
          <w:highlight w:val="none"/>
          <w:lang w:val="en-US" w:eastAsia="zh-CN"/>
        </w:rPr>
        <w:t>O=NaClO</w:t>
      </w:r>
      <w:r>
        <w:rPr>
          <w:rFonts w:hint="default" w:ascii="Arial" w:hAnsi="Arial" w:eastAsia="宋体" w:cs="Arial"/>
          <w:i w:val="0"/>
          <w:iCs w:val="0"/>
          <w:caps w:val="0"/>
          <w:color w:val="0000FF"/>
          <w:spacing w:val="0"/>
          <w:sz w:val="24"/>
          <w:szCs w:val="24"/>
          <w:highlight w:val="none"/>
          <w:vertAlign w:val="subscript"/>
          <w:lang w:val="en-US" w:eastAsia="zh-CN"/>
        </w:rPr>
        <w:t>3</w:t>
      </w:r>
      <w:r>
        <w:rPr>
          <w:rFonts w:hint="default" w:ascii="Arial" w:hAnsi="Arial" w:eastAsia="宋体" w:cs="Arial"/>
          <w:i w:val="0"/>
          <w:iCs w:val="0"/>
          <w:caps w:val="0"/>
          <w:color w:val="0000FF"/>
          <w:spacing w:val="0"/>
          <w:sz w:val="24"/>
          <w:szCs w:val="24"/>
          <w:highlight w:val="none"/>
          <w:lang w:val="en-US" w:eastAsia="zh-CN"/>
        </w:rPr>
        <w:t>+3H</w:t>
      </w:r>
      <w:r>
        <w:rPr>
          <w:rFonts w:hint="default" w:ascii="Arial" w:hAnsi="Arial" w:eastAsia="宋体" w:cs="Arial"/>
          <w:i w:val="0"/>
          <w:iCs w:val="0"/>
          <w:caps w:val="0"/>
          <w:color w:val="0000FF"/>
          <w:spacing w:val="0"/>
          <w:sz w:val="24"/>
          <w:szCs w:val="24"/>
          <w:highlight w:val="none"/>
          <w:vertAlign w:val="subscript"/>
          <w:lang w:val="en-US" w:eastAsia="zh-CN"/>
        </w:rPr>
        <w:t>2</w:t>
      </w:r>
      <w:r>
        <w:rPr>
          <w:rFonts w:hint="default" w:ascii="Arial" w:hAnsi="Arial" w:eastAsia="宋体" w:cs="Arial"/>
          <w:i w:val="0"/>
          <w:iCs w:val="0"/>
          <w:caps w:val="0"/>
          <w:color w:val="0000FF"/>
          <w:spacing w:val="0"/>
          <w:sz w:val="24"/>
          <w:szCs w:val="24"/>
          <w:highlight w:val="none"/>
          <w:lang w:val="en-US" w:eastAsia="zh-CN"/>
        </w:rPr>
        <w:t>(在70度左右电解</w:t>
      </w:r>
      <w:r>
        <w:rPr>
          <w:rFonts w:hint="eastAsia" w:ascii="Arial" w:hAnsi="Arial" w:cs="Arial"/>
          <w:i w:val="0"/>
          <w:iCs w:val="0"/>
          <w:caps w:val="0"/>
          <w:color w:val="0000FF"/>
          <w:spacing w:val="0"/>
          <w:sz w:val="24"/>
          <w:szCs w:val="24"/>
          <w:highlight w:val="none"/>
          <w:lang w:val="en-US" w:eastAsia="zh-CN"/>
        </w:rPr>
        <w:t>，</w:t>
      </w:r>
      <w:r>
        <w:rPr>
          <w:rFonts w:hint="default" w:ascii="Arial" w:hAnsi="Arial" w:eastAsia="宋体" w:cs="Arial"/>
          <w:i w:val="0"/>
          <w:iCs w:val="0"/>
          <w:caps w:val="0"/>
          <w:color w:val="0000FF"/>
          <w:spacing w:val="0"/>
          <w:sz w:val="24"/>
          <w:szCs w:val="24"/>
          <w:highlight w:val="none"/>
          <w:lang w:val="en-US" w:eastAsia="zh-CN"/>
        </w:rPr>
        <w:t>且不断搅拌)</w:t>
      </w:r>
      <w:r>
        <w:rPr>
          <w:rFonts w:hint="eastAsia" w:ascii="Arial" w:hAnsi="Arial" w:cs="Arial"/>
          <w:i w:val="0"/>
          <w:iCs w:val="0"/>
          <w:caps w:val="0"/>
          <w:color w:val="0000FF"/>
          <w:spacing w:val="0"/>
          <w:sz w:val="24"/>
          <w:szCs w:val="24"/>
          <w:highlight w:val="none"/>
          <w:lang w:val="en-US" w:eastAsia="zh-CN"/>
        </w:rPr>
        <w:t>。</w:t>
      </w:r>
    </w:p>
    <w:p>
      <w:pPr>
        <w:widowControl/>
        <w:ind w:firstLine="480"/>
        <w:jc w:val="left"/>
        <w:rPr>
          <w:rFonts w:hint="eastAsia" w:ascii="Arial" w:hAnsi="Arial" w:cs="Arial"/>
          <w:i w:val="0"/>
          <w:iCs w:val="0"/>
          <w:caps w:val="0"/>
          <w:color w:val="0000FF"/>
          <w:spacing w:val="0"/>
          <w:sz w:val="24"/>
          <w:szCs w:val="24"/>
          <w:highlight w:val="none"/>
          <w:lang w:val="en-US" w:eastAsia="zh-CN"/>
        </w:rPr>
      </w:pPr>
      <w:r>
        <w:rPr>
          <w:rFonts w:hint="default" w:ascii="Arial" w:hAnsi="Arial" w:eastAsia="宋体" w:cs="Arial"/>
          <w:i w:val="0"/>
          <w:iCs w:val="0"/>
          <w:caps w:val="0"/>
          <w:color w:val="0000FF"/>
          <w:spacing w:val="0"/>
          <w:sz w:val="24"/>
          <w:szCs w:val="24"/>
          <w:highlight w:val="none"/>
          <w:lang w:val="en-US" w:eastAsia="zh-CN"/>
        </w:rPr>
        <w:t>2ClO</w:t>
      </w:r>
      <w:r>
        <w:rPr>
          <w:rFonts w:hint="default" w:ascii="Arial" w:hAnsi="Arial" w:eastAsia="宋体" w:cs="Arial"/>
          <w:i w:val="0"/>
          <w:iCs w:val="0"/>
          <w:caps w:val="0"/>
          <w:color w:val="0000FF"/>
          <w:spacing w:val="0"/>
          <w:sz w:val="24"/>
          <w:szCs w:val="24"/>
          <w:highlight w:val="none"/>
          <w:vertAlign w:val="subscript"/>
          <w:lang w:val="en-US" w:eastAsia="zh-CN"/>
        </w:rPr>
        <w:t>3</w:t>
      </w:r>
      <w:r>
        <w:rPr>
          <w:rFonts w:hint="default" w:ascii="Arial" w:hAnsi="Arial" w:eastAsia="宋体" w:cs="Arial"/>
          <w:i w:val="0"/>
          <w:iCs w:val="0"/>
          <w:caps w:val="0"/>
          <w:color w:val="0000FF"/>
          <w:spacing w:val="0"/>
          <w:sz w:val="24"/>
          <w:szCs w:val="24"/>
          <w:highlight w:val="none"/>
          <w:lang w:val="en-US" w:eastAsia="zh-CN"/>
        </w:rPr>
        <w:t>-+2Cl</w:t>
      </w:r>
      <w:r>
        <w:rPr>
          <w:rFonts w:hint="default" w:ascii="Arial" w:hAnsi="Arial" w:eastAsia="宋体" w:cs="Arial"/>
          <w:i w:val="0"/>
          <w:iCs w:val="0"/>
          <w:caps w:val="0"/>
          <w:color w:val="0000FF"/>
          <w:spacing w:val="0"/>
          <w:sz w:val="24"/>
          <w:szCs w:val="24"/>
          <w:highlight w:val="none"/>
          <w:vertAlign w:val="superscript"/>
          <w:lang w:val="en-US" w:eastAsia="zh-CN"/>
        </w:rPr>
        <w:t>-</w:t>
      </w:r>
      <w:r>
        <w:rPr>
          <w:rFonts w:hint="default" w:ascii="Arial" w:hAnsi="Arial" w:eastAsia="宋体" w:cs="Arial"/>
          <w:i w:val="0"/>
          <w:iCs w:val="0"/>
          <w:caps w:val="0"/>
          <w:color w:val="0000FF"/>
          <w:spacing w:val="0"/>
          <w:sz w:val="24"/>
          <w:szCs w:val="24"/>
          <w:highlight w:val="none"/>
          <w:lang w:val="en-US" w:eastAsia="zh-CN"/>
        </w:rPr>
        <w:t>+4H</w:t>
      </w:r>
      <w:r>
        <w:rPr>
          <w:rFonts w:hint="default" w:ascii="Arial" w:hAnsi="Arial" w:eastAsia="宋体" w:cs="Arial"/>
          <w:i w:val="0"/>
          <w:iCs w:val="0"/>
          <w:caps w:val="0"/>
          <w:color w:val="0000FF"/>
          <w:spacing w:val="0"/>
          <w:sz w:val="24"/>
          <w:szCs w:val="24"/>
          <w:highlight w:val="none"/>
          <w:vertAlign w:val="superscript"/>
          <w:lang w:val="en-US" w:eastAsia="zh-CN"/>
        </w:rPr>
        <w:t>+</w:t>
      </w:r>
      <w:r>
        <w:rPr>
          <w:rFonts w:hint="default" w:ascii="Arial" w:hAnsi="Arial" w:eastAsia="宋体" w:cs="Arial"/>
          <w:i w:val="0"/>
          <w:iCs w:val="0"/>
          <w:caps w:val="0"/>
          <w:color w:val="0000FF"/>
          <w:spacing w:val="0"/>
          <w:sz w:val="24"/>
          <w:szCs w:val="24"/>
          <w:highlight w:val="none"/>
          <w:lang w:val="en-US" w:eastAsia="zh-CN"/>
        </w:rPr>
        <w:t>=2ClO</w:t>
      </w:r>
      <w:r>
        <w:rPr>
          <w:rFonts w:hint="default" w:ascii="Arial" w:hAnsi="Arial" w:eastAsia="宋体" w:cs="Arial"/>
          <w:i w:val="0"/>
          <w:iCs w:val="0"/>
          <w:caps w:val="0"/>
          <w:color w:val="0000FF"/>
          <w:spacing w:val="0"/>
          <w:sz w:val="24"/>
          <w:szCs w:val="24"/>
          <w:highlight w:val="none"/>
          <w:vertAlign w:val="subscript"/>
          <w:lang w:val="en-US" w:eastAsia="zh-CN"/>
        </w:rPr>
        <w:t>2</w:t>
      </w:r>
      <w:r>
        <w:rPr>
          <w:rFonts w:hint="default" w:ascii="Arial" w:hAnsi="Arial" w:eastAsia="宋体" w:cs="Arial"/>
          <w:i w:val="0"/>
          <w:iCs w:val="0"/>
          <w:caps w:val="0"/>
          <w:color w:val="0000FF"/>
          <w:spacing w:val="0"/>
          <w:sz w:val="24"/>
          <w:szCs w:val="24"/>
          <w:highlight w:val="none"/>
          <w:lang w:val="en-US" w:eastAsia="zh-CN"/>
        </w:rPr>
        <w:t>↑+Cl</w:t>
      </w:r>
      <w:r>
        <w:rPr>
          <w:rFonts w:hint="default" w:ascii="Arial" w:hAnsi="Arial" w:eastAsia="宋体" w:cs="Arial"/>
          <w:i w:val="0"/>
          <w:iCs w:val="0"/>
          <w:caps w:val="0"/>
          <w:color w:val="0000FF"/>
          <w:spacing w:val="0"/>
          <w:sz w:val="24"/>
          <w:szCs w:val="24"/>
          <w:highlight w:val="none"/>
          <w:vertAlign w:val="subscript"/>
          <w:lang w:val="en-US" w:eastAsia="zh-CN"/>
        </w:rPr>
        <w:t>2</w:t>
      </w:r>
      <w:r>
        <w:rPr>
          <w:rFonts w:hint="default" w:ascii="Arial" w:hAnsi="Arial" w:eastAsia="宋体" w:cs="Arial"/>
          <w:i w:val="0"/>
          <w:iCs w:val="0"/>
          <w:caps w:val="0"/>
          <w:color w:val="0000FF"/>
          <w:spacing w:val="0"/>
          <w:sz w:val="24"/>
          <w:szCs w:val="24"/>
          <w:highlight w:val="none"/>
          <w:lang w:val="en-US" w:eastAsia="zh-CN"/>
        </w:rPr>
        <w:t>↑+2H</w:t>
      </w:r>
      <w:r>
        <w:rPr>
          <w:rFonts w:hint="default" w:ascii="Arial" w:hAnsi="Arial" w:eastAsia="宋体" w:cs="Arial"/>
          <w:i w:val="0"/>
          <w:iCs w:val="0"/>
          <w:caps w:val="0"/>
          <w:color w:val="0000FF"/>
          <w:spacing w:val="0"/>
          <w:sz w:val="24"/>
          <w:szCs w:val="24"/>
          <w:highlight w:val="none"/>
          <w:vertAlign w:val="subscript"/>
          <w:lang w:val="en-US" w:eastAsia="zh-CN"/>
        </w:rPr>
        <w:t>2</w:t>
      </w:r>
      <w:r>
        <w:rPr>
          <w:rFonts w:hint="default" w:ascii="Arial" w:hAnsi="Arial" w:eastAsia="宋体" w:cs="Arial"/>
          <w:i w:val="0"/>
          <w:iCs w:val="0"/>
          <w:caps w:val="0"/>
          <w:color w:val="0000FF"/>
          <w:spacing w:val="0"/>
          <w:sz w:val="24"/>
          <w:szCs w:val="24"/>
          <w:highlight w:val="none"/>
          <w:lang w:val="en-US" w:eastAsia="zh-CN"/>
        </w:rPr>
        <w:t>O</w:t>
      </w:r>
    </w:p>
    <w:p>
      <w:pPr>
        <w:widowControl/>
        <w:ind w:firstLine="480"/>
        <w:jc w:val="left"/>
        <w:rPr>
          <w:rFonts w:hint="eastAsia" w:ascii="Arial" w:hAnsi="Arial" w:cs="Arial"/>
          <w:i w:val="0"/>
          <w:iCs w:val="0"/>
          <w:caps w:val="0"/>
          <w:color w:val="0000FF"/>
          <w:spacing w:val="0"/>
          <w:sz w:val="24"/>
          <w:szCs w:val="24"/>
          <w:highlight w:val="none"/>
          <w:lang w:val="en-US" w:eastAsia="zh-CN"/>
        </w:rPr>
      </w:pPr>
      <w:r>
        <w:rPr>
          <w:rFonts w:hint="default" w:ascii="Arial" w:hAnsi="Arial" w:eastAsia="宋体" w:cs="Arial"/>
          <w:i w:val="0"/>
          <w:iCs w:val="0"/>
          <w:caps w:val="0"/>
          <w:color w:val="0000FF"/>
          <w:spacing w:val="0"/>
          <w:sz w:val="24"/>
          <w:szCs w:val="24"/>
          <w:highlight w:val="none"/>
          <w:lang w:val="en-US" w:eastAsia="zh-CN"/>
        </w:rPr>
        <w:t>将食盐水在一定条件下电解生成NaClO</w:t>
      </w:r>
      <w:r>
        <w:rPr>
          <w:rFonts w:hint="default" w:ascii="Arial" w:hAnsi="Arial" w:eastAsia="宋体" w:cs="Arial"/>
          <w:i w:val="0"/>
          <w:iCs w:val="0"/>
          <w:caps w:val="0"/>
          <w:color w:val="0000FF"/>
          <w:spacing w:val="0"/>
          <w:sz w:val="24"/>
          <w:szCs w:val="24"/>
          <w:highlight w:val="none"/>
          <w:vertAlign w:val="subscript"/>
          <w:lang w:val="en-US" w:eastAsia="zh-CN"/>
        </w:rPr>
        <w:t>3</w:t>
      </w:r>
      <w:r>
        <w:rPr>
          <w:rFonts w:hint="default" w:ascii="Arial" w:hAnsi="Arial" w:eastAsia="宋体" w:cs="Arial"/>
          <w:i w:val="0"/>
          <w:iCs w:val="0"/>
          <w:caps w:val="0"/>
          <w:color w:val="0000FF"/>
          <w:spacing w:val="0"/>
          <w:sz w:val="24"/>
          <w:szCs w:val="24"/>
          <w:highlight w:val="none"/>
          <w:lang w:val="en-US" w:eastAsia="zh-CN"/>
        </w:rPr>
        <w:t>，NaClO</w:t>
      </w:r>
      <w:r>
        <w:rPr>
          <w:rFonts w:hint="default" w:ascii="Arial" w:hAnsi="Arial" w:eastAsia="宋体" w:cs="Arial"/>
          <w:i w:val="0"/>
          <w:iCs w:val="0"/>
          <w:caps w:val="0"/>
          <w:color w:val="0000FF"/>
          <w:spacing w:val="0"/>
          <w:sz w:val="24"/>
          <w:szCs w:val="24"/>
          <w:highlight w:val="none"/>
          <w:vertAlign w:val="subscript"/>
          <w:lang w:val="en-US" w:eastAsia="zh-CN"/>
        </w:rPr>
        <w:t>3</w:t>
      </w:r>
      <w:r>
        <w:rPr>
          <w:rFonts w:hint="default" w:ascii="Arial" w:hAnsi="Arial" w:eastAsia="宋体" w:cs="Arial"/>
          <w:i w:val="0"/>
          <w:iCs w:val="0"/>
          <w:caps w:val="0"/>
          <w:color w:val="0000FF"/>
          <w:spacing w:val="0"/>
          <w:sz w:val="24"/>
          <w:szCs w:val="24"/>
          <w:highlight w:val="none"/>
          <w:lang w:val="en-US" w:eastAsia="zh-CN"/>
        </w:rPr>
        <w:t>再与盐酸反应生成二氧化氯和氯气</w:t>
      </w:r>
      <w:r>
        <w:rPr>
          <w:rFonts w:hint="eastAsia" w:ascii="Arial" w:hAnsi="Arial" w:cs="Arial"/>
          <w:i w:val="0"/>
          <w:iCs w:val="0"/>
          <w:caps w:val="0"/>
          <w:color w:val="0000FF"/>
          <w:spacing w:val="0"/>
          <w:sz w:val="24"/>
          <w:szCs w:val="24"/>
          <w:highlight w:val="none"/>
          <w:lang w:val="en-US" w:eastAsia="zh-CN"/>
        </w:rPr>
        <w:t>，</w:t>
      </w:r>
      <w:r>
        <w:rPr>
          <w:rFonts w:hint="default" w:ascii="Times New Roman" w:hAnsi="Times New Roman" w:eastAsia="宋体" w:cs="Times New Roman"/>
          <w:color w:val="0000FF"/>
          <w:kern w:val="0"/>
          <w:highlight w:val="none"/>
          <w:lang w:bidi="ar"/>
        </w:rPr>
        <w:t>食盐在水中电离形成Na﹢和Cl﹣及水分子电离成H﹢、OH﹣发生一连贯的电化学反应，在电解槽中阳较室发生ClO</w:t>
      </w:r>
      <w:r>
        <w:rPr>
          <w:rFonts w:hint="default" w:ascii="Times New Roman" w:hAnsi="Times New Roman" w:eastAsia="宋体" w:cs="Times New Roman"/>
          <w:color w:val="0000FF"/>
          <w:kern w:val="0"/>
          <w:highlight w:val="none"/>
          <w:vertAlign w:val="subscript"/>
          <w:lang w:bidi="ar"/>
        </w:rPr>
        <w:t>2</w:t>
      </w:r>
      <w:r>
        <w:rPr>
          <w:rFonts w:hint="default" w:ascii="Times New Roman" w:hAnsi="Times New Roman" w:eastAsia="宋体" w:cs="Times New Roman"/>
          <w:color w:val="0000FF"/>
          <w:kern w:val="0"/>
          <w:highlight w:val="none"/>
          <w:lang w:bidi="ar"/>
        </w:rPr>
        <w:t>、Cl</w:t>
      </w:r>
      <w:r>
        <w:rPr>
          <w:rFonts w:hint="default" w:ascii="Times New Roman" w:hAnsi="Times New Roman" w:eastAsia="宋体" w:cs="Times New Roman"/>
          <w:color w:val="0000FF"/>
          <w:kern w:val="0"/>
          <w:highlight w:val="none"/>
          <w:vertAlign w:val="subscript"/>
          <w:lang w:bidi="ar"/>
        </w:rPr>
        <w:t>2</w:t>
      </w:r>
      <w:r>
        <w:rPr>
          <w:rFonts w:hint="default" w:ascii="Times New Roman" w:hAnsi="Times New Roman" w:eastAsia="宋体" w:cs="Times New Roman"/>
          <w:color w:val="0000FF"/>
          <w:kern w:val="0"/>
          <w:highlight w:val="none"/>
          <w:lang w:bidi="ar"/>
        </w:rPr>
        <w:t>、O</w:t>
      </w:r>
      <w:r>
        <w:rPr>
          <w:rFonts w:hint="default" w:ascii="Times New Roman" w:hAnsi="Times New Roman" w:eastAsia="宋体" w:cs="Times New Roman"/>
          <w:color w:val="0000FF"/>
          <w:kern w:val="0"/>
          <w:highlight w:val="none"/>
          <w:vertAlign w:val="subscript"/>
          <w:lang w:bidi="ar"/>
        </w:rPr>
        <w:t>2</w:t>
      </w:r>
      <w:r>
        <w:rPr>
          <w:rFonts w:hint="default" w:ascii="Times New Roman" w:hAnsi="Times New Roman" w:eastAsia="宋体" w:cs="Times New Roman"/>
          <w:color w:val="0000FF"/>
          <w:kern w:val="0"/>
          <w:highlight w:val="none"/>
          <w:lang w:bidi="ar"/>
        </w:rPr>
        <w:t>、O</w:t>
      </w:r>
      <w:r>
        <w:rPr>
          <w:rFonts w:hint="default" w:ascii="Times New Roman" w:hAnsi="Times New Roman" w:eastAsia="宋体" w:cs="Times New Roman"/>
          <w:color w:val="0000FF"/>
          <w:kern w:val="0"/>
          <w:highlight w:val="none"/>
          <w:vertAlign w:val="subscript"/>
          <w:lang w:bidi="ar"/>
        </w:rPr>
        <w:t>3</w:t>
      </w:r>
      <w:r>
        <w:rPr>
          <w:rFonts w:hint="default" w:ascii="Times New Roman" w:hAnsi="Times New Roman" w:eastAsia="宋体" w:cs="Times New Roman"/>
          <w:color w:val="0000FF"/>
          <w:kern w:val="0"/>
          <w:highlight w:val="none"/>
          <w:lang w:bidi="ar"/>
        </w:rPr>
        <w:t>、H</w:t>
      </w:r>
      <w:r>
        <w:rPr>
          <w:rFonts w:hint="default" w:ascii="Times New Roman" w:hAnsi="Times New Roman" w:eastAsia="宋体" w:cs="Times New Roman"/>
          <w:color w:val="0000FF"/>
          <w:kern w:val="0"/>
          <w:highlight w:val="none"/>
          <w:vertAlign w:val="subscript"/>
          <w:lang w:bidi="ar"/>
        </w:rPr>
        <w:t>2</w:t>
      </w:r>
      <w:r>
        <w:rPr>
          <w:rFonts w:hint="default" w:ascii="Times New Roman" w:hAnsi="Times New Roman" w:eastAsia="宋体" w:cs="Times New Roman"/>
          <w:color w:val="0000FF"/>
          <w:kern w:val="0"/>
          <w:highlight w:val="none"/>
          <w:lang w:bidi="ar"/>
        </w:rPr>
        <w:t>O</w:t>
      </w:r>
      <w:r>
        <w:rPr>
          <w:rFonts w:hint="default" w:ascii="Times New Roman" w:hAnsi="Times New Roman" w:eastAsia="宋体" w:cs="Times New Roman"/>
          <w:color w:val="0000FF"/>
          <w:kern w:val="0"/>
          <w:highlight w:val="none"/>
          <w:vertAlign w:val="subscript"/>
          <w:lang w:bidi="ar"/>
        </w:rPr>
        <w:t>2</w:t>
      </w:r>
      <w:r>
        <w:rPr>
          <w:rFonts w:hint="default" w:ascii="Times New Roman" w:hAnsi="Times New Roman" w:eastAsia="宋体" w:cs="Times New Roman"/>
          <w:color w:val="0000FF"/>
          <w:kern w:val="0"/>
          <w:highlight w:val="none"/>
          <w:lang w:bidi="ar"/>
        </w:rPr>
        <w:t>等多种强氧化剂形成了特别的协同效果（当中ClO</w:t>
      </w:r>
      <w:r>
        <w:rPr>
          <w:rFonts w:hint="default" w:ascii="Times New Roman" w:hAnsi="Times New Roman" w:eastAsia="宋体" w:cs="Times New Roman"/>
          <w:color w:val="0000FF"/>
          <w:kern w:val="0"/>
          <w:highlight w:val="none"/>
          <w:vertAlign w:val="subscript"/>
          <w:lang w:bidi="ar"/>
        </w:rPr>
        <w:t>2</w:t>
      </w:r>
      <w:r>
        <w:rPr>
          <w:rFonts w:hint="default" w:ascii="Times New Roman" w:hAnsi="Times New Roman" w:eastAsia="宋体" w:cs="Times New Roman"/>
          <w:color w:val="0000FF"/>
          <w:kern w:val="0"/>
          <w:highlight w:val="none"/>
          <w:lang w:bidi="ar"/>
        </w:rPr>
        <w:t>≥25%左右，Cl</w:t>
      </w:r>
      <w:r>
        <w:rPr>
          <w:rFonts w:hint="default" w:ascii="Times New Roman" w:hAnsi="Times New Roman" w:eastAsia="宋体" w:cs="Times New Roman"/>
          <w:color w:val="0000FF"/>
          <w:kern w:val="0"/>
          <w:highlight w:val="none"/>
          <w:vertAlign w:val="subscript"/>
          <w:lang w:bidi="ar"/>
        </w:rPr>
        <w:t>2</w:t>
      </w:r>
      <w:r>
        <w:rPr>
          <w:rFonts w:hint="default" w:ascii="Times New Roman" w:hAnsi="Times New Roman" w:eastAsia="宋体" w:cs="Times New Roman"/>
          <w:color w:val="0000FF"/>
          <w:kern w:val="0"/>
          <w:highlight w:val="none"/>
          <w:lang w:bidi="ar"/>
        </w:rPr>
        <w:t>≥65%左右，O</w:t>
      </w:r>
      <w:r>
        <w:rPr>
          <w:rFonts w:hint="default" w:ascii="Times New Roman" w:hAnsi="Times New Roman" w:eastAsia="宋体" w:cs="Times New Roman"/>
          <w:color w:val="0000FF"/>
          <w:kern w:val="0"/>
          <w:highlight w:val="none"/>
          <w:vertAlign w:val="subscript"/>
          <w:lang w:bidi="ar"/>
        </w:rPr>
        <w:t>2</w:t>
      </w:r>
      <w:r>
        <w:rPr>
          <w:rFonts w:hint="default" w:ascii="Times New Roman" w:hAnsi="Times New Roman" w:eastAsia="宋体" w:cs="Times New Roman"/>
          <w:color w:val="0000FF"/>
          <w:kern w:val="0"/>
          <w:highlight w:val="none"/>
          <w:lang w:bidi="ar"/>
        </w:rPr>
        <w:t>占8%左右，O</w:t>
      </w:r>
      <w:r>
        <w:rPr>
          <w:rFonts w:hint="default" w:ascii="Times New Roman" w:hAnsi="Times New Roman" w:eastAsia="宋体" w:cs="Times New Roman"/>
          <w:color w:val="0000FF"/>
          <w:kern w:val="0"/>
          <w:highlight w:val="none"/>
          <w:vertAlign w:val="subscript"/>
          <w:lang w:bidi="ar"/>
        </w:rPr>
        <w:t>3</w:t>
      </w:r>
      <w:r>
        <w:rPr>
          <w:rFonts w:hint="default" w:ascii="Times New Roman" w:hAnsi="Times New Roman" w:eastAsia="宋体" w:cs="Times New Roman"/>
          <w:color w:val="0000FF"/>
          <w:kern w:val="0"/>
          <w:highlight w:val="none"/>
          <w:lang w:bidi="ar"/>
        </w:rPr>
        <w:t>、H</w:t>
      </w:r>
      <w:r>
        <w:rPr>
          <w:rFonts w:hint="default" w:ascii="Times New Roman" w:hAnsi="Times New Roman" w:eastAsia="宋体" w:cs="Times New Roman"/>
          <w:color w:val="0000FF"/>
          <w:kern w:val="0"/>
          <w:highlight w:val="none"/>
          <w:vertAlign w:val="subscript"/>
          <w:lang w:bidi="ar"/>
        </w:rPr>
        <w:t>2</w:t>
      </w:r>
      <w:r>
        <w:rPr>
          <w:rFonts w:hint="default" w:ascii="Times New Roman" w:hAnsi="Times New Roman" w:eastAsia="宋体" w:cs="Times New Roman"/>
          <w:color w:val="0000FF"/>
          <w:kern w:val="0"/>
          <w:highlight w:val="none"/>
          <w:lang w:bidi="ar"/>
        </w:rPr>
        <w:t>O</w:t>
      </w:r>
      <w:r>
        <w:rPr>
          <w:rFonts w:hint="default" w:ascii="Times New Roman" w:hAnsi="Times New Roman" w:eastAsia="宋体" w:cs="Times New Roman"/>
          <w:color w:val="0000FF"/>
          <w:kern w:val="0"/>
          <w:highlight w:val="none"/>
          <w:vertAlign w:val="subscript"/>
          <w:lang w:bidi="ar"/>
        </w:rPr>
        <w:t>2</w:t>
      </w:r>
      <w:r>
        <w:rPr>
          <w:rFonts w:hint="default" w:ascii="Times New Roman" w:hAnsi="Times New Roman" w:eastAsia="宋体" w:cs="Times New Roman"/>
          <w:color w:val="0000FF"/>
          <w:kern w:val="0"/>
          <w:highlight w:val="none"/>
          <w:lang w:bidi="ar"/>
        </w:rPr>
        <w:t>占2%左右），</w:t>
      </w:r>
      <w:r>
        <w:rPr>
          <w:rFonts w:ascii="Arial" w:hAnsi="Arial" w:eastAsia="宋体" w:cs="Arial"/>
          <w:i w:val="0"/>
          <w:iCs w:val="0"/>
          <w:caps w:val="0"/>
          <w:color w:val="0000FF"/>
          <w:spacing w:val="0"/>
          <w:sz w:val="24"/>
          <w:szCs w:val="24"/>
          <w:highlight w:val="none"/>
        </w:rPr>
        <w:t>C</w:t>
      </w:r>
      <w:r>
        <w:rPr>
          <w:rFonts w:hint="eastAsia" w:ascii="Arial" w:hAnsi="Arial" w:eastAsia="宋体" w:cs="Arial"/>
          <w:i w:val="0"/>
          <w:iCs w:val="0"/>
          <w:caps w:val="0"/>
          <w:color w:val="0000FF"/>
          <w:spacing w:val="0"/>
          <w:sz w:val="24"/>
          <w:szCs w:val="24"/>
          <w:highlight w:val="none"/>
          <w:lang w:val="en-US" w:eastAsia="zh-CN"/>
        </w:rPr>
        <w:t>l</w:t>
      </w:r>
      <w:r>
        <w:rPr>
          <w:rFonts w:ascii="Arial" w:hAnsi="Arial" w:eastAsia="宋体" w:cs="Arial"/>
          <w:i w:val="0"/>
          <w:iCs w:val="0"/>
          <w:caps w:val="0"/>
          <w:color w:val="0000FF"/>
          <w:spacing w:val="0"/>
          <w:sz w:val="24"/>
          <w:szCs w:val="24"/>
          <w:highlight w:val="none"/>
          <w:vertAlign w:val="subscript"/>
        </w:rPr>
        <w:t>2</w:t>
      </w:r>
      <w:r>
        <w:rPr>
          <w:rFonts w:hint="eastAsia" w:ascii="Arial" w:hAnsi="Arial" w:cs="Arial"/>
          <w:i w:val="0"/>
          <w:iCs w:val="0"/>
          <w:caps w:val="0"/>
          <w:color w:val="0000FF"/>
          <w:spacing w:val="0"/>
          <w:sz w:val="24"/>
          <w:szCs w:val="24"/>
          <w:highlight w:val="none"/>
          <w:lang w:val="en-US" w:eastAsia="zh-CN"/>
        </w:rPr>
        <w:t>和</w:t>
      </w:r>
      <w:r>
        <w:rPr>
          <w:rFonts w:ascii="Arial" w:hAnsi="Arial" w:eastAsia="宋体" w:cs="Arial"/>
          <w:i w:val="0"/>
          <w:iCs w:val="0"/>
          <w:caps w:val="0"/>
          <w:color w:val="0000FF"/>
          <w:spacing w:val="0"/>
          <w:sz w:val="24"/>
          <w:szCs w:val="24"/>
          <w:highlight w:val="none"/>
        </w:rPr>
        <w:t>H</w:t>
      </w:r>
      <w:r>
        <w:rPr>
          <w:rFonts w:ascii="Arial" w:hAnsi="Arial" w:eastAsia="宋体" w:cs="Arial"/>
          <w:i w:val="0"/>
          <w:iCs w:val="0"/>
          <w:caps w:val="0"/>
          <w:color w:val="0000FF"/>
          <w:spacing w:val="0"/>
          <w:sz w:val="24"/>
          <w:szCs w:val="24"/>
          <w:highlight w:val="none"/>
          <w:vertAlign w:val="subscript"/>
        </w:rPr>
        <w:t>2</w:t>
      </w:r>
      <w:r>
        <w:rPr>
          <w:rFonts w:hint="eastAsia" w:ascii="Arial" w:hAnsi="Arial" w:cs="Arial"/>
          <w:i w:val="0"/>
          <w:iCs w:val="0"/>
          <w:caps w:val="0"/>
          <w:color w:val="0000FF"/>
          <w:spacing w:val="0"/>
          <w:sz w:val="24"/>
          <w:szCs w:val="24"/>
          <w:highlight w:val="none"/>
          <w:lang w:val="en-US" w:eastAsia="zh-CN"/>
        </w:rPr>
        <w:t>继续反应生产</w:t>
      </w:r>
      <w:r>
        <w:rPr>
          <w:rFonts w:hint="eastAsia" w:ascii="Arial" w:hAnsi="Arial" w:eastAsia="宋体" w:cs="Arial"/>
          <w:i w:val="0"/>
          <w:iCs w:val="0"/>
          <w:caps w:val="0"/>
          <w:color w:val="0000FF"/>
          <w:spacing w:val="0"/>
          <w:sz w:val="24"/>
          <w:szCs w:val="24"/>
          <w:highlight w:val="none"/>
          <w:lang w:val="en-US" w:eastAsia="zh-CN"/>
        </w:rPr>
        <w:t>HCl</w:t>
      </w:r>
      <w:r>
        <w:rPr>
          <w:rFonts w:hint="eastAsia" w:ascii="Arial" w:hAnsi="Arial" w:cs="Arial"/>
          <w:i w:val="0"/>
          <w:iCs w:val="0"/>
          <w:caps w:val="0"/>
          <w:color w:val="0000FF"/>
          <w:spacing w:val="0"/>
          <w:sz w:val="24"/>
          <w:szCs w:val="24"/>
          <w:highlight w:val="none"/>
          <w:lang w:val="en-US" w:eastAsia="zh-CN"/>
        </w:rPr>
        <w:t>，循环反应，无废气和废水的排放。</w:t>
      </w:r>
    </w:p>
    <w:p>
      <w:pPr>
        <w:widowControl/>
        <w:ind w:firstLine="480"/>
        <w:jc w:val="left"/>
        <w:rPr>
          <w:rFonts w:hint="eastAsia" w:ascii="Times New Roman" w:hAnsi="Times New Roman" w:eastAsia="宋体" w:cs="Times New Roman"/>
          <w:color w:val="0000FF"/>
          <w:kern w:val="0"/>
          <w:highlight w:val="none"/>
          <w:lang w:eastAsia="zh-CN" w:bidi="ar"/>
        </w:rPr>
      </w:pPr>
      <w:r>
        <w:rPr>
          <w:rFonts w:hint="default" w:ascii="Times New Roman" w:hAnsi="Times New Roman" w:eastAsia="宋体" w:cs="Times New Roman"/>
          <w:color w:val="0000FF"/>
          <w:kern w:val="0"/>
          <w:highlight w:val="none"/>
          <w:lang w:bidi="ar"/>
        </w:rPr>
        <w:t>其消毒灭菌能力强于任何一种单组份的消毒剂。该混合气不仅具备ClO</w:t>
      </w:r>
      <w:r>
        <w:rPr>
          <w:rFonts w:hint="default" w:ascii="Times New Roman" w:hAnsi="Times New Roman" w:eastAsia="宋体" w:cs="Times New Roman"/>
          <w:color w:val="0000FF"/>
          <w:kern w:val="0"/>
          <w:highlight w:val="none"/>
          <w:vertAlign w:val="subscript"/>
          <w:lang w:bidi="ar"/>
        </w:rPr>
        <w:t>2</w:t>
      </w:r>
      <w:r>
        <w:rPr>
          <w:rFonts w:hint="default" w:ascii="Times New Roman" w:hAnsi="Times New Roman" w:eastAsia="宋体" w:cs="Times New Roman"/>
          <w:color w:val="0000FF"/>
          <w:kern w:val="0"/>
          <w:highlight w:val="none"/>
          <w:lang w:bidi="ar"/>
        </w:rPr>
        <w:t>消毒的优点，同时由于多种混合因子的协同效果，使混合气体的灭菌速度更快，灭菌更广泛，成效更好，通过负压吸收管路投放到待处理水中实现消毒灭菌的目的</w:t>
      </w:r>
      <w:r>
        <w:rPr>
          <w:rFonts w:hint="eastAsia" w:cs="Times New Roman"/>
          <w:color w:val="0000FF"/>
          <w:kern w:val="0"/>
          <w:highlight w:val="none"/>
          <w:lang w:eastAsia="zh-CN" w:bidi="ar"/>
        </w:rPr>
        <w:t>。</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污水处理工艺流程</w:t>
      </w:r>
    </w:p>
    <w:p>
      <w:pPr>
        <w:ind w:firstLine="48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本项目生活污水与工业污水合并处理。根据《新疆昌吉国家农业高新技术产业示范区现代农业精深加工示范区污水处理厂改造扩容项目可行性研究报告》及《新疆昌吉国家农业高新技术产业示范区现代农业精深加工示范区污水处理厂改造扩容项目初步设计》，采用</w:t>
      </w:r>
      <w:r>
        <w:rPr>
          <w:rFonts w:hint="eastAsia" w:cs="Times New Roman"/>
          <w:color w:val="auto"/>
          <w:highlight w:val="none"/>
          <w:lang w:eastAsia="zh-CN"/>
        </w:rPr>
        <w:t>“预处理+调节池+AAO生物池＋高效沉淀池+反硝化深床滤池+接触消毒池”</w:t>
      </w:r>
      <w:r>
        <w:rPr>
          <w:rFonts w:hint="default" w:ascii="Times New Roman" w:hAnsi="Times New Roman" w:cs="Times New Roman"/>
          <w:color w:val="auto"/>
          <w:highlight w:val="none"/>
        </w:rPr>
        <w:t>的组合工艺，产生的剩余污泥浓缩脱水机脱水至含水率</w:t>
      </w:r>
      <w:r>
        <w:rPr>
          <w:rFonts w:hint="eastAsia" w:cs="Times New Roman"/>
          <w:color w:val="auto"/>
          <w:highlight w:val="none"/>
          <w:lang w:val="en-US" w:eastAsia="zh-CN"/>
        </w:rPr>
        <w:t>小于</w:t>
      </w:r>
      <w:r>
        <w:rPr>
          <w:rFonts w:hint="default" w:ascii="Times New Roman" w:hAnsi="Times New Roman" w:cs="Times New Roman"/>
          <w:color w:val="auto"/>
          <w:highlight w:val="none"/>
        </w:rPr>
        <w:t>60%后</w:t>
      </w:r>
      <w:r>
        <w:rPr>
          <w:rFonts w:hint="default" w:ascii="Times New Roman" w:hAnsi="Times New Roman" w:eastAsia="宋体" w:cs="Times New Roman"/>
          <w:color w:val="auto"/>
          <w:sz w:val="24"/>
          <w:szCs w:val="24"/>
          <w:highlight w:val="none"/>
        </w:rPr>
        <w:t>，</w:t>
      </w:r>
      <w:r>
        <w:rPr>
          <w:rFonts w:hint="eastAsia" w:cs="Times New Roman"/>
          <w:color w:val="auto"/>
          <w:highlight w:val="none"/>
          <w:lang w:val="zh-CN"/>
        </w:rPr>
        <w:t>与栅渣、沉砂一起运至生活垃圾填埋场进行卫生填埋</w:t>
      </w:r>
      <w:r>
        <w:rPr>
          <w:rFonts w:hint="default" w:ascii="Times New Roman" w:hAnsi="Times New Roman" w:cs="Times New Roman"/>
          <w:color w:val="auto"/>
          <w:highlight w:val="none"/>
        </w:rPr>
        <w:t>；产生的臭气经生物滤池除臭后经15m排气筒高空排放。工艺流程</w:t>
      </w:r>
      <w:r>
        <w:rPr>
          <w:rFonts w:hint="eastAsia" w:cs="Times New Roman"/>
          <w:color w:val="auto"/>
          <w:highlight w:val="none"/>
          <w:lang w:val="en-US" w:eastAsia="zh-CN"/>
        </w:rPr>
        <w:t>及</w:t>
      </w:r>
      <w:r>
        <w:rPr>
          <w:rFonts w:hint="default" w:ascii="Times New Roman" w:hAnsi="Times New Roman" w:cs="Times New Roman"/>
          <w:color w:val="auto"/>
          <w:highlight w:val="none"/>
        </w:rPr>
        <w:t>臭气处理流程见</w:t>
      </w:r>
      <w:r>
        <w:rPr>
          <w:rFonts w:hint="eastAsia" w:cs="Times New Roman"/>
          <w:color w:val="auto"/>
          <w:highlight w:val="none"/>
          <w:lang w:val="en-US" w:eastAsia="zh-CN"/>
        </w:rPr>
        <w:t>下</w:t>
      </w:r>
      <w:r>
        <w:rPr>
          <w:rFonts w:hint="default" w:ascii="Times New Roman" w:hAnsi="Times New Roman" w:cs="Times New Roman"/>
          <w:color w:val="auto"/>
          <w:highlight w:val="none"/>
        </w:rPr>
        <w:t>图</w:t>
      </w:r>
      <w:r>
        <w:rPr>
          <w:rFonts w:hint="eastAsia" w:cs="Times New Roman"/>
          <w:color w:val="auto"/>
          <w:highlight w:val="none"/>
          <w:lang w:eastAsia="zh-CN"/>
        </w:rPr>
        <w:t>：</w:t>
      </w:r>
    </w:p>
    <w:p>
      <w:pPr>
        <w:pStyle w:val="49"/>
        <w:rPr>
          <w:rFonts w:hint="default" w:ascii="Times New Roman" w:hAnsi="Times New Roman" w:cs="Times New Roman"/>
          <w:color w:val="auto"/>
          <w:highlight w:val="none"/>
        </w:rPr>
      </w:pPr>
    </w:p>
    <w:p>
      <w:pPr>
        <w:pStyle w:val="16"/>
        <w:rPr>
          <w:rFonts w:hint="default"/>
          <w:color w:val="auto"/>
          <w:highlight w:val="none"/>
        </w:rPr>
      </w:pPr>
    </w:p>
    <w:p>
      <w:pPr>
        <w:ind w:firstLine="0" w:firstLineChars="0"/>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drawing>
          <wp:inline distT="0" distB="0" distL="114300" distR="114300">
            <wp:extent cx="5902960" cy="2474595"/>
            <wp:effectExtent l="9525" t="9525" r="12065" b="11430"/>
            <wp:docPr id="159" name="图片 159" descr="未命名文件(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未命名文件(33)"/>
                    <pic:cNvPicPr>
                      <a:picLocks noChangeAspect="1"/>
                    </pic:cNvPicPr>
                  </pic:nvPicPr>
                  <pic:blipFill>
                    <a:blip r:embed="rId28"/>
                    <a:stretch>
                      <a:fillRect/>
                    </a:stretch>
                  </pic:blipFill>
                  <pic:spPr>
                    <a:xfrm>
                      <a:off x="0" y="0"/>
                      <a:ext cx="5902960" cy="2474595"/>
                    </a:xfrm>
                    <a:prstGeom prst="rect">
                      <a:avLst/>
                    </a:prstGeom>
                    <a:ln>
                      <a:solidFill>
                        <a:schemeClr val="tx1"/>
                      </a:solidFill>
                    </a:ln>
                  </pic:spPr>
                </pic:pic>
              </a:graphicData>
            </a:graphic>
          </wp:inline>
        </w:drawing>
      </w:r>
    </w:p>
    <w:p>
      <w:pPr>
        <w:spacing w:line="240" w:lineRule="auto"/>
        <w:ind w:firstLine="0" w:firstLineChars="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图3.4-</w:t>
      </w:r>
      <w:r>
        <w:rPr>
          <w:rFonts w:hint="eastAsia" w:eastAsia="黑体" w:cs="Times New Roman"/>
          <w:color w:val="auto"/>
          <w:highlight w:val="none"/>
          <w:lang w:val="en-US" w:eastAsia="zh-CN"/>
        </w:rPr>
        <w:t>2</w:t>
      </w:r>
      <w:r>
        <w:rPr>
          <w:rFonts w:hint="default" w:ascii="Times New Roman" w:hAnsi="Times New Roman" w:eastAsia="黑体" w:cs="Times New Roman"/>
          <w:color w:val="auto"/>
          <w:highlight w:val="none"/>
        </w:rPr>
        <w:t>项目改造和扩建污水处理工艺流程及产排污节点图</w:t>
      </w:r>
    </w:p>
    <w:p>
      <w:pPr>
        <w:spacing w:line="240" w:lineRule="auto"/>
        <w:ind w:firstLine="0" w:firstLineChars="0"/>
        <w:jc w:val="center"/>
        <w:rPr>
          <w:rFonts w:hint="default" w:ascii="Times New Roman" w:hAnsi="Times New Roman" w:eastAsia="黑体" w:cs="Times New Roman"/>
          <w:color w:val="auto"/>
          <w:highlight w:val="none"/>
        </w:rPr>
      </w:pPr>
    </w:p>
    <w:p>
      <w:pPr>
        <w:adjustRightInd w:val="0"/>
        <w:snapToGrid w:val="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902960" cy="845820"/>
            <wp:effectExtent l="0" t="0" r="2540" b="11430"/>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1"/>
                    </pic:cNvPicPr>
                  </pic:nvPicPr>
                  <pic:blipFill>
                    <a:blip r:embed="rId29" cstate="print"/>
                    <a:stretch>
                      <a:fillRect/>
                    </a:stretch>
                  </pic:blipFill>
                  <pic:spPr>
                    <a:xfrm>
                      <a:off x="0" y="0"/>
                      <a:ext cx="5902960" cy="845820"/>
                    </a:xfrm>
                    <a:prstGeom prst="rect">
                      <a:avLst/>
                    </a:prstGeom>
                    <a:noFill/>
                    <a:ln>
                      <a:noFill/>
                    </a:ln>
                  </pic:spPr>
                </pic:pic>
              </a:graphicData>
            </a:graphic>
          </wp:inline>
        </w:drawing>
      </w:r>
    </w:p>
    <w:p>
      <w:pPr>
        <w:spacing w:line="240" w:lineRule="auto"/>
        <w:ind w:firstLine="0" w:firstLineChars="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图3.4-</w:t>
      </w:r>
      <w:r>
        <w:rPr>
          <w:rFonts w:hint="eastAsia" w:eastAsia="黑体" w:cs="Times New Roman"/>
          <w:color w:val="auto"/>
          <w:highlight w:val="none"/>
          <w:lang w:val="en-US" w:eastAsia="zh-CN"/>
        </w:rPr>
        <w:t>3</w:t>
      </w:r>
      <w:r>
        <w:rPr>
          <w:rFonts w:hint="default" w:ascii="Times New Roman" w:hAnsi="Times New Roman" w:eastAsia="黑体" w:cs="Times New Roman"/>
          <w:color w:val="auto"/>
          <w:highlight w:val="none"/>
        </w:rPr>
        <w:t>臭气处理流程及产排污节点图</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污水处理工艺流程描述：</w:t>
      </w:r>
    </w:p>
    <w:p>
      <w:pPr>
        <w:ind w:firstLine="480"/>
        <w:rPr>
          <w:rFonts w:hint="default" w:ascii="Times New Roman" w:hAnsi="Times New Roman" w:cs="Times New Roman"/>
          <w:color w:val="auto"/>
          <w:highlight w:val="none"/>
        </w:rPr>
      </w:pPr>
      <w:r>
        <w:rPr>
          <w:rFonts w:hint="eastAsia" w:cs="Times New Roman"/>
          <w:color w:val="auto"/>
          <w:highlight w:val="none"/>
          <w:lang w:val="en-US" w:eastAsia="zh-CN"/>
        </w:rPr>
        <w:t>园区污水</w:t>
      </w:r>
      <w:r>
        <w:rPr>
          <w:rFonts w:hint="default" w:ascii="Times New Roman" w:hAnsi="Times New Roman" w:cs="Times New Roman"/>
          <w:color w:val="auto"/>
          <w:highlight w:val="none"/>
        </w:rPr>
        <w:t>一部分的经收集管进入细格栅与沉砂池，拦截污水中的</w:t>
      </w:r>
      <w:r>
        <w:rPr>
          <w:rFonts w:hint="eastAsia" w:cs="Times New Roman"/>
          <w:color w:val="auto"/>
          <w:highlight w:val="none"/>
          <w:lang w:eastAsia="zh-CN"/>
        </w:rPr>
        <w:t>（</w:t>
      </w:r>
      <w:r>
        <w:rPr>
          <w:rFonts w:hint="default" w:ascii="Times New Roman" w:hAnsi="Times New Roman" w:cs="Times New Roman"/>
          <w:color w:val="auto"/>
          <w:highlight w:val="none"/>
        </w:rPr>
        <w:t>如树叶、垃圾等）与颗粒较大的泥砂，重力流入集水池及调节池，再进入水解酸化池，利用微生物将大分子有机物降解为小分子有机物，提高污水的可生化性，便于后续生物处理；经水解后的污水，自流进入</w:t>
      </w:r>
      <w:r>
        <w:rPr>
          <w:rFonts w:hint="eastAsia" w:cs="Times New Roman"/>
          <w:color w:val="auto"/>
          <w:highlight w:val="none"/>
          <w:lang w:eastAsia="zh-CN"/>
        </w:rPr>
        <w:t>CAST</w:t>
      </w:r>
      <w:r>
        <w:rPr>
          <w:rFonts w:hint="default" w:ascii="Times New Roman" w:hAnsi="Times New Roman" w:cs="Times New Roman"/>
          <w:color w:val="auto"/>
          <w:highlight w:val="none"/>
        </w:rPr>
        <w:t>池，去除大部分的有机物和氨氮，并在混合沉淀池中进行泥水分离；污泥回流池用于接纳混合沉淀池的回流污泥和剩余污泥。将混合沉淀池污泥回流至生化系统，保证进行生化反应所需的生物量；并将剩余污泥提升至贮泥池。出水进入高效沉淀池，在污水厂二级处理的基础上，通过加药絮凝沉淀，进一步去除水中磷和SS，再通过转盘滤池截留高效沉淀池不能去除的细微的絮体颗粒及去除N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-N。出水进入接触消毒池，采用二氧化氯接触消毒，再经计量渠、出水泵站、在线监测井进入排水井，一部分的污水经收集管进入细格栅与沉砂池，拦截污水中的</w:t>
      </w:r>
      <w:r>
        <w:rPr>
          <w:rFonts w:hint="eastAsia" w:cs="Times New Roman"/>
          <w:color w:val="auto"/>
          <w:highlight w:val="none"/>
          <w:lang w:eastAsia="zh-CN"/>
        </w:rPr>
        <w:t>（</w:t>
      </w:r>
      <w:r>
        <w:rPr>
          <w:rFonts w:hint="default" w:ascii="Times New Roman" w:hAnsi="Times New Roman" w:cs="Times New Roman"/>
          <w:color w:val="auto"/>
          <w:highlight w:val="none"/>
        </w:rPr>
        <w:t>如树叶、垃圾等）与颗粒较大的泥砂，重力流入集水池及调节池，再进入AAO池，利用微生物将大分子有机物降解为小分子有机物，提高污水的可生化性，便于后续生物处理；经水解后的污水，自流进入“缺氧-好氧”的生物处理段，去除大部分的有机物和氨氮，并在混合沉淀池中进行泥水分离；污泥回流池用于接纳混合沉淀池的回流污泥和剩余污泥。将混合沉淀池污泥回流至生化系统，保证进行生化反应所需的生物量；并将剩余污泥提升至贮泥池。出水进入高效沉淀池，在污水厂二级处理的基础上，通过加药絮凝沉淀，进一步去除水中磷和SS，再通过反硝化滤池截留高效沉淀池不能去除的细微的絮体颗粒及去除N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-N。出水进入接触消毒池，采用二氧化氯接触消毒，再经计量渠、出水泵站、在线监测井进入排水井，外排水满足</w:t>
      </w:r>
      <w:r>
        <w:rPr>
          <w:rFonts w:hint="eastAsia" w:cs="Times New Roman"/>
          <w:color w:val="auto"/>
          <w:highlight w:val="none"/>
          <w:lang w:eastAsia="zh-CN"/>
        </w:rPr>
        <w:t>《城镇污水处理厂污染物排放标准》（GB18918-2002）及修改单的一级A标准</w:t>
      </w:r>
      <w:r>
        <w:rPr>
          <w:rFonts w:hint="default" w:ascii="Times New Roman" w:hAnsi="Times New Roman" w:cs="Times New Roman"/>
          <w:color w:val="auto"/>
          <w:highlight w:val="none"/>
        </w:rPr>
        <w:t>，同时满足《</w:t>
      </w:r>
      <w:r>
        <w:rPr>
          <w:rFonts w:hint="eastAsia" w:cs="Times New Roman"/>
          <w:color w:val="auto"/>
          <w:highlight w:val="none"/>
          <w:lang w:eastAsia="zh-CN"/>
        </w:rPr>
        <w:t>城市污水再生利用城市杂用水水质》（GB/T18920-2020）</w:t>
      </w:r>
      <w:r>
        <w:rPr>
          <w:rFonts w:hint="default" w:ascii="Times New Roman" w:hAnsi="Times New Roman" w:cs="Times New Roman"/>
          <w:color w:val="auto"/>
          <w:highlight w:val="none"/>
        </w:rPr>
        <w:t>和《城市污水再生利用绿地灌溉水质》（GB/T25499-2010）</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经专用管道夏季用于灌溉示范区的林地，冬季储存于</w:t>
      </w:r>
      <w:r>
        <w:rPr>
          <w:rFonts w:hint="eastAsia" w:cs="Times New Roman"/>
          <w:color w:val="auto"/>
          <w:highlight w:val="none"/>
          <w:lang w:eastAsia="zh-CN"/>
        </w:rPr>
        <w:t>中水池</w:t>
      </w:r>
      <w:r>
        <w:rPr>
          <w:rFonts w:hint="default" w:ascii="Times New Roman" w:hAnsi="Times New Roman" w:cs="Times New Roman"/>
          <w:color w:val="auto"/>
          <w:highlight w:val="none"/>
        </w:rPr>
        <w:t>中，实现污水有效利用。</w:t>
      </w:r>
    </w:p>
    <w:p>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格栅渠、沉砂池、调节池、AAO池（厌氧段、缺氧段））和污泥处理部分（污泥脱水机房、贮泥池等）等散发的臭气，经管道收集后，引至1套臭气治理装置，臭气治理装置采用生物滤池一体化设备处理，臭气处理后经1根15m高排气筒排放，确保排气筒尾气排放满足《恶臭污染物排放标准》（GB14554-1993）</w:t>
      </w:r>
      <w:r>
        <w:rPr>
          <w:rFonts w:hint="eastAsia"/>
          <w:color w:val="auto"/>
          <w:highlight w:val="none"/>
          <w:lang w:val="en-US" w:eastAsia="zh-CN"/>
        </w:rPr>
        <w:t>表2中有组织排放标准</w:t>
      </w:r>
      <w:r>
        <w:rPr>
          <w:rFonts w:hint="default" w:ascii="Times New Roman" w:hAnsi="Times New Roman" w:cs="Times New Roman"/>
          <w:color w:val="auto"/>
          <w:highlight w:val="none"/>
        </w:rPr>
        <w:t>的要求，污水处理厂厂界</w:t>
      </w:r>
      <w:r>
        <w:rPr>
          <w:rFonts w:hint="eastAsia"/>
          <w:color w:val="auto"/>
          <w:highlight w:val="none"/>
          <w:lang w:val="en-US" w:eastAsia="zh-CN"/>
        </w:rPr>
        <w:t>恶臭污染物</w:t>
      </w:r>
      <w:r>
        <w:rPr>
          <w:rFonts w:hint="default" w:ascii="Times New Roman" w:hAnsi="Times New Roman" w:cs="Times New Roman"/>
          <w:color w:val="auto"/>
          <w:highlight w:val="none"/>
        </w:rPr>
        <w:t>浓度满足《城镇污水处理厂污染物排放标准》（GB18918-2002）</w:t>
      </w:r>
      <w:r>
        <w:rPr>
          <w:rFonts w:hint="eastAsia"/>
          <w:color w:val="auto"/>
          <w:highlight w:val="none"/>
          <w:lang w:val="en-US" w:eastAsia="zh-CN"/>
        </w:rPr>
        <w:t>表4</w:t>
      </w:r>
      <w:r>
        <w:rPr>
          <w:rFonts w:hint="default" w:ascii="Times New Roman" w:hAnsi="Times New Roman" w:cs="Times New Roman"/>
          <w:color w:val="auto"/>
          <w:highlight w:val="none"/>
        </w:rPr>
        <w:t>中的二级标准。</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工业污水处理系统产生的污泥经污泥浓缩池进行浓缩后，通过一套污泥脱水机脱水后至污泥含水率</w:t>
      </w:r>
      <w:r>
        <w:rPr>
          <w:rFonts w:hint="eastAsia" w:cs="Times New Roman"/>
          <w:color w:val="auto"/>
          <w:highlight w:val="none"/>
          <w:lang w:val="en-US" w:eastAsia="zh-CN"/>
        </w:rPr>
        <w:t>小于</w:t>
      </w:r>
      <w:r>
        <w:rPr>
          <w:rFonts w:hint="default" w:ascii="Times New Roman" w:hAnsi="Times New Roman" w:cs="Times New Roman"/>
          <w:color w:val="auto"/>
          <w:highlight w:val="none"/>
        </w:rPr>
        <w:t>60%，</w:t>
      </w:r>
      <w:r>
        <w:rPr>
          <w:rFonts w:hint="eastAsia" w:cs="Times New Roman"/>
          <w:color w:val="auto"/>
          <w:highlight w:val="none"/>
          <w:lang w:val="en-US" w:eastAsia="zh-CN"/>
        </w:rPr>
        <w:t>根据现有污水处理厂针对</w:t>
      </w:r>
      <w:r>
        <w:rPr>
          <w:rFonts w:hint="default" w:ascii="Times New Roman" w:hAnsi="Times New Roman" w:cs="Times New Roman"/>
          <w:color w:val="auto"/>
          <w:highlight w:val="none"/>
          <w:lang w:val="zh-CN"/>
        </w:rPr>
        <w:t>污泥危险废物鉴别实验，</w:t>
      </w:r>
      <w:r>
        <w:rPr>
          <w:rFonts w:hint="eastAsia" w:cs="Times New Roman"/>
          <w:color w:val="auto"/>
          <w:highlight w:val="none"/>
          <w:lang w:val="en-US" w:eastAsia="zh-CN"/>
        </w:rPr>
        <w:t>可知本项目污泥为一般固体废物（见附件污泥鉴别报告）</w:t>
      </w:r>
      <w:r>
        <w:rPr>
          <w:rFonts w:hint="eastAsia" w:cs="Times New Roman"/>
          <w:color w:val="auto"/>
          <w:highlight w:val="none"/>
          <w:lang w:val="zh-CN"/>
        </w:rPr>
        <w:t>，与栅渣、沉砂一起运至生活垃圾填埋场进行卫生填埋</w:t>
      </w:r>
      <w:r>
        <w:rPr>
          <w:rFonts w:hint="default" w:ascii="Times New Roman" w:hAnsi="Times New Roman" w:cs="Times New Roman"/>
          <w:color w:val="auto"/>
          <w:highlight w:val="none"/>
          <w:lang w:val="zh-CN"/>
        </w:rPr>
        <w:t>。</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污泥浓缩和脱水产生的废水及过滤器反洗产生的废水进入调节池，再进行后续处理。</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污水处理厂处理工艺合理性分析</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（1）出水水质达标可行性分析</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/CODcr比值</w:t>
      </w:r>
    </w:p>
    <w:p>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污水中污染物BOD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/CODcr比值是判定污水可生化性的最简便易行和最常用的方法。一般认为BOD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/CODcr＞0.45可生化性较好，BOD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/CODcr＞0.30可生化，BOD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/CODcr＜0.3较难生化，BOD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/CODcr＜0.25不易生化。</w:t>
      </w:r>
      <w:r>
        <w:rPr>
          <w:rFonts w:hint="eastAsia" w:cs="Times New Roman"/>
          <w:color w:val="auto"/>
          <w:highlight w:val="none"/>
          <w:lang w:eastAsia="zh-CN"/>
        </w:rPr>
        <w:t>本项目</w:t>
      </w:r>
      <w:r>
        <w:rPr>
          <w:rFonts w:hint="default" w:ascii="Times New Roman" w:hAnsi="Times New Roman" w:cs="Times New Roman"/>
          <w:color w:val="auto"/>
          <w:highlight w:val="none"/>
        </w:rPr>
        <w:t>的进水水质CODcr=600mg/L，BOD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w:t>
      </w:r>
      <w:r>
        <w:rPr>
          <w:rFonts w:hint="eastAsia" w:cs="Times New Roman"/>
          <w:color w:val="auto"/>
          <w:highlight w:val="none"/>
          <w:lang w:eastAsia="zh-CN"/>
        </w:rPr>
        <w:t>300m</w:t>
      </w:r>
      <w:r>
        <w:rPr>
          <w:rFonts w:hint="default" w:ascii="Times New Roman" w:hAnsi="Times New Roman" w:cs="Times New Roman"/>
          <w:color w:val="auto"/>
          <w:highlight w:val="none"/>
        </w:rPr>
        <w:t>g/L，BOD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/CODcr=0.58，</w:t>
      </w:r>
      <w:r>
        <w:rPr>
          <w:rFonts w:hint="eastAsia"/>
          <w:color w:val="auto"/>
          <w:highlight w:val="none"/>
          <w:lang w:val="en-US" w:eastAsia="zh-CN"/>
        </w:rPr>
        <w:t>说明本项目处理的</w:t>
      </w:r>
      <w:r>
        <w:rPr>
          <w:rFonts w:hint="default" w:ascii="Times New Roman" w:hAnsi="Times New Roman" w:cs="Times New Roman"/>
          <w:color w:val="auto"/>
          <w:highlight w:val="none"/>
        </w:rPr>
        <w:t>污水可以采用生物工艺处理。</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/TN比值</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/TN比值是鉴别采用生物脱氮碳源的主要指标，该比值越大，碳源越充足，反硝化进行越彻底，理论上BOD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/TN＞2.86时反硝化可以进行。实际运行资料表明BOD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/TN＞4.0时可使反硝化过程正常进行。</w:t>
      </w:r>
      <w:r>
        <w:rPr>
          <w:rFonts w:hint="eastAsia" w:cs="Times New Roman"/>
          <w:color w:val="auto"/>
          <w:highlight w:val="none"/>
          <w:lang w:eastAsia="zh-CN"/>
        </w:rPr>
        <w:t>本项目</w:t>
      </w:r>
      <w:r>
        <w:rPr>
          <w:rFonts w:hint="default" w:ascii="Times New Roman" w:hAnsi="Times New Roman" w:cs="Times New Roman"/>
          <w:color w:val="auto"/>
          <w:highlight w:val="none"/>
        </w:rPr>
        <w:t>的进水水质BOD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w:t>
      </w:r>
      <w:r>
        <w:rPr>
          <w:rFonts w:hint="eastAsia" w:cs="Times New Roman"/>
          <w:color w:val="auto"/>
          <w:highlight w:val="none"/>
          <w:lang w:eastAsia="zh-CN"/>
        </w:rPr>
        <w:t>300m</w:t>
      </w:r>
      <w:r>
        <w:rPr>
          <w:rFonts w:hint="default" w:ascii="Times New Roman" w:hAnsi="Times New Roman" w:cs="Times New Roman"/>
          <w:color w:val="auto"/>
          <w:highlight w:val="none"/>
        </w:rPr>
        <w:t>g/L，TN=70mg/L，BOD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/TN比值为5，可以满足生物脱氮的要求。</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/TP比值</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/TP比值是鉴别能否生物除磷的主要指标，一般认为该值需＞17，且比值越大，生物除磷效果越明显。</w:t>
      </w:r>
      <w:r>
        <w:rPr>
          <w:rFonts w:hint="eastAsia" w:cs="Times New Roman"/>
          <w:color w:val="auto"/>
          <w:highlight w:val="none"/>
          <w:lang w:eastAsia="zh-CN"/>
        </w:rPr>
        <w:t>本项目</w:t>
      </w:r>
      <w:r>
        <w:rPr>
          <w:rFonts w:hint="default" w:ascii="Times New Roman" w:hAnsi="Times New Roman" w:cs="Times New Roman"/>
          <w:color w:val="auto"/>
          <w:highlight w:val="none"/>
        </w:rPr>
        <w:t>的进水水质BOD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=3.50mg/L，TP=5mg/L，BOD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/TP比值为70，可以取得较好的除磷效果。</w:t>
      </w:r>
    </w:p>
    <w:p>
      <w:pPr>
        <w:ind w:firstLine="480"/>
        <w:rPr>
          <w:rFonts w:hint="default" w:ascii="Times New Roman" w:hAnsi="Times New Roman" w:cs="Times New Roman" w:eastAsiaTheme="minorEastAsia"/>
          <w:color w:val="auto"/>
          <w:highlight w:val="none"/>
        </w:rPr>
      </w:pPr>
      <w:r>
        <w:rPr>
          <w:rFonts w:hint="default" w:ascii="Times New Roman" w:hAnsi="Times New Roman" w:cs="Times New Roman"/>
          <w:color w:val="auto"/>
          <w:highlight w:val="none"/>
        </w:rPr>
        <w:t>④消毒工艺：目前较常用的消毒方式有液氯和二氧化氯消毒法、紫外线消毒三种方案，经过调研现状昌吉市内污水处理厂均采用二氧化氯消毒法，因此</w:t>
      </w:r>
      <w:r>
        <w:rPr>
          <w:rFonts w:hint="eastAsia" w:cs="Times New Roman"/>
          <w:color w:val="auto"/>
          <w:highlight w:val="none"/>
          <w:lang w:eastAsia="zh-CN"/>
        </w:rPr>
        <w:t>本项目</w:t>
      </w:r>
      <w:r>
        <w:rPr>
          <w:rFonts w:hint="default" w:ascii="Times New Roman" w:hAnsi="Times New Roman" w:cs="Times New Roman"/>
          <w:color w:val="auto"/>
          <w:highlight w:val="none"/>
        </w:rPr>
        <w:t>出水采用二氧化氯</w:t>
      </w:r>
      <w:r>
        <w:rPr>
          <w:rFonts w:hint="default" w:ascii="Times New Roman" w:hAnsi="Times New Roman" w:cs="Times New Roman"/>
          <w:bCs/>
          <w:color w:val="auto"/>
          <w:highlight w:val="none"/>
        </w:rPr>
        <w:t>符合实际条件且能满足出水要求</w:t>
      </w:r>
      <w:r>
        <w:rPr>
          <w:rFonts w:hint="default" w:ascii="Times New Roman" w:hAnsi="Times New Roman" w:cs="Times New Roman"/>
          <w:color w:val="auto"/>
          <w:highlight w:val="none"/>
        </w:rPr>
        <w:t>。</w:t>
      </w:r>
    </w:p>
    <w:p>
      <w:pPr>
        <w:autoSpaceDE w:val="0"/>
        <w:autoSpaceDN w:val="0"/>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⑤污泥处理工艺：剩余污泥→污泥浓缩→污泥稳定→污泥脱水→泥饼；污泥须经过浓缩、消化、脱水三个处理步骤，污泥脱水，含水率降至50~60%左右，最后达到稳定状态。</w:t>
      </w:r>
      <w:r>
        <w:rPr>
          <w:rFonts w:hint="eastAsia" w:cs="Times New Roman"/>
          <w:color w:val="auto"/>
          <w:highlight w:val="none"/>
          <w:lang w:val="en-US" w:eastAsia="zh-CN"/>
        </w:rPr>
        <w:t>根据现有污水处理厂针对</w:t>
      </w:r>
      <w:r>
        <w:rPr>
          <w:rFonts w:hint="default" w:ascii="Times New Roman" w:hAnsi="Times New Roman" w:cs="Times New Roman"/>
          <w:color w:val="auto"/>
          <w:highlight w:val="none"/>
          <w:lang w:val="zh-CN"/>
        </w:rPr>
        <w:t>污泥危险废物鉴别实验，</w:t>
      </w:r>
      <w:r>
        <w:rPr>
          <w:rFonts w:hint="eastAsia" w:cs="Times New Roman"/>
          <w:color w:val="auto"/>
          <w:highlight w:val="none"/>
          <w:lang w:val="en-US" w:eastAsia="zh-CN"/>
        </w:rPr>
        <w:t>可知本项目污泥为一般固体废物（见附件污泥鉴别报告），</w:t>
      </w:r>
      <w:r>
        <w:rPr>
          <w:rFonts w:hint="eastAsia" w:cs="Times New Roman"/>
          <w:color w:val="auto"/>
          <w:highlight w:val="none"/>
          <w:lang w:val="zh-CN"/>
        </w:rPr>
        <w:t>污泥经脱水至含水率小于60%后，与栅渣、沉砂一起运至生活垃圾填埋场进行卫生填埋</w:t>
      </w:r>
      <w:r>
        <w:rPr>
          <w:rFonts w:hint="default" w:ascii="Times New Roman" w:hAnsi="Times New Roman" w:cs="Times New Roman"/>
          <w:color w:val="auto"/>
          <w:highlight w:val="none"/>
        </w:rPr>
        <w:t>。</w:t>
      </w:r>
    </w:p>
    <w:p>
      <w:pPr>
        <w:ind w:firstLine="480"/>
        <w:rPr>
          <w:rFonts w:hint="default" w:ascii="Times New Roman" w:hAnsi="Times New Roman" w:cs="Times New Roman" w:eastAsiaTheme="minorEastAsia"/>
          <w:color w:val="auto"/>
          <w:highlight w:val="none"/>
        </w:rPr>
      </w:pPr>
      <w:r>
        <w:rPr>
          <w:rFonts w:hint="default" w:ascii="Times New Roman" w:hAnsi="Times New Roman" w:cs="Times New Roman"/>
          <w:color w:val="auto"/>
          <w:highlight w:val="none"/>
        </w:rPr>
        <w:t>⑥臭气处理工艺：目前对臭味的处理方法有直接焚烧法、催化剂氧化法、酸碱洗净法、臭氧氧化法、化学反应法、活性炭物理吸附法、生物脱臭法、土壤脱臭法、全过程除臭法等。</w:t>
      </w:r>
      <w:r>
        <w:rPr>
          <w:rFonts w:hint="eastAsia" w:cs="Times New Roman"/>
          <w:color w:val="auto"/>
          <w:highlight w:val="none"/>
          <w:lang w:eastAsia="zh-CN"/>
        </w:rPr>
        <w:t>本项目</w:t>
      </w:r>
      <w:r>
        <w:rPr>
          <w:rFonts w:hint="default" w:ascii="Times New Roman" w:hAnsi="Times New Roman" w:cs="Times New Roman"/>
          <w:color w:val="auto"/>
          <w:highlight w:val="none"/>
        </w:rPr>
        <w:t>除臭采用生物滤池除臭工艺满足实际需求。</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综上所示，本项目采用水解酸化+AAO处理工艺与进水水质要求相符，选取消毒工艺、污泥处理工艺、臭气处理工艺满足实际需求，技术工艺可行。</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（2）污水处理效率</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新疆昌吉国家农业高新技术产业示范区现代农业精深加工示范区污水处理厂改造扩容项目进出水水质及污染物的去除率如下表所示。</w:t>
      </w:r>
    </w:p>
    <w:p>
      <w:pPr>
        <w:spacing w:line="240" w:lineRule="auto"/>
        <w:ind w:firstLine="0" w:firstLineChars="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表3.4-4污水处理厂主要污染物设计进、出水水质指标单位：mg/L</w:t>
      </w:r>
    </w:p>
    <w:tbl>
      <w:tblPr>
        <w:tblStyle w:val="33"/>
        <w:tblW w:w="4997"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33"/>
        <w:gridCol w:w="1190"/>
        <w:gridCol w:w="1408"/>
        <w:gridCol w:w="1159"/>
        <w:gridCol w:w="1311"/>
        <w:gridCol w:w="1471"/>
        <w:gridCol w:w="133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5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项目</w:t>
            </w:r>
          </w:p>
        </w:tc>
        <w:tc>
          <w:tcPr>
            <w:tcW w:w="62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CODcr</w:t>
            </w:r>
          </w:p>
        </w:tc>
        <w:tc>
          <w:tcPr>
            <w:tcW w:w="74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BOD</w:t>
            </w:r>
            <w:r>
              <w:rPr>
                <w:rFonts w:hint="default" w:ascii="Times New Roman" w:hAnsi="Times New Roman" w:cs="Times New Roman"/>
                <w:color w:val="auto"/>
                <w:sz w:val="21"/>
                <w:szCs w:val="20"/>
                <w:highlight w:val="none"/>
                <w:vertAlign w:val="subscript"/>
              </w:rPr>
              <w:t>5</w:t>
            </w:r>
          </w:p>
        </w:tc>
        <w:tc>
          <w:tcPr>
            <w:tcW w:w="60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SS</w:t>
            </w:r>
          </w:p>
        </w:tc>
        <w:tc>
          <w:tcPr>
            <w:tcW w:w="68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TN</w:t>
            </w:r>
          </w:p>
        </w:tc>
        <w:tc>
          <w:tcPr>
            <w:tcW w:w="77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NH</w:t>
            </w:r>
            <w:r>
              <w:rPr>
                <w:rFonts w:hint="default" w:ascii="Times New Roman" w:hAnsi="Times New Roman" w:cs="Times New Roman"/>
                <w:color w:val="auto"/>
                <w:sz w:val="21"/>
                <w:szCs w:val="20"/>
                <w:highlight w:val="none"/>
                <w:vertAlign w:val="subscript"/>
              </w:rPr>
              <w:t>3</w:t>
            </w:r>
            <w:r>
              <w:rPr>
                <w:rFonts w:hint="default" w:ascii="Times New Roman" w:hAnsi="Times New Roman" w:cs="Times New Roman"/>
                <w:color w:val="auto"/>
                <w:sz w:val="21"/>
                <w:szCs w:val="20"/>
                <w:highlight w:val="none"/>
              </w:rPr>
              <w:t>-N</w:t>
            </w:r>
          </w:p>
        </w:tc>
        <w:tc>
          <w:tcPr>
            <w:tcW w:w="70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TP</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5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设计进水水质</w:t>
            </w:r>
          </w:p>
        </w:tc>
        <w:tc>
          <w:tcPr>
            <w:tcW w:w="119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600</w:t>
            </w:r>
          </w:p>
        </w:tc>
        <w:tc>
          <w:tcPr>
            <w:tcW w:w="140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350</w:t>
            </w:r>
          </w:p>
        </w:tc>
        <w:tc>
          <w:tcPr>
            <w:tcW w:w="11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350</w:t>
            </w:r>
          </w:p>
        </w:tc>
        <w:tc>
          <w:tcPr>
            <w:tcW w:w="131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35</w:t>
            </w:r>
          </w:p>
        </w:tc>
        <w:tc>
          <w:tcPr>
            <w:tcW w:w="147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70</w:t>
            </w:r>
          </w:p>
        </w:tc>
        <w:tc>
          <w:tcPr>
            <w:tcW w:w="133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5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去除率（%）</w:t>
            </w:r>
          </w:p>
        </w:tc>
        <w:tc>
          <w:tcPr>
            <w:tcW w:w="119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91.67%</w:t>
            </w:r>
          </w:p>
        </w:tc>
        <w:tc>
          <w:tcPr>
            <w:tcW w:w="140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97.14%</w:t>
            </w:r>
          </w:p>
        </w:tc>
        <w:tc>
          <w:tcPr>
            <w:tcW w:w="1159"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97.14%</w:t>
            </w:r>
          </w:p>
        </w:tc>
        <w:tc>
          <w:tcPr>
            <w:tcW w:w="131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85.71%</w:t>
            </w:r>
          </w:p>
        </w:tc>
        <w:tc>
          <w:tcPr>
            <w:tcW w:w="147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78.57%</w:t>
            </w:r>
          </w:p>
        </w:tc>
        <w:tc>
          <w:tcPr>
            <w:tcW w:w="133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90.00%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58"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设计出水水质</w:t>
            </w:r>
          </w:p>
        </w:tc>
        <w:tc>
          <w:tcPr>
            <w:tcW w:w="625"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≤50</w:t>
            </w:r>
          </w:p>
        </w:tc>
        <w:tc>
          <w:tcPr>
            <w:tcW w:w="74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≤10</w:t>
            </w:r>
          </w:p>
        </w:tc>
        <w:tc>
          <w:tcPr>
            <w:tcW w:w="60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≤10</w:t>
            </w:r>
          </w:p>
        </w:tc>
        <w:tc>
          <w:tcPr>
            <w:tcW w:w="68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≤15</w:t>
            </w:r>
          </w:p>
        </w:tc>
        <w:tc>
          <w:tcPr>
            <w:tcW w:w="77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≤5（8）</w:t>
            </w:r>
          </w:p>
        </w:tc>
        <w:tc>
          <w:tcPr>
            <w:tcW w:w="70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≤0.5</w:t>
            </w:r>
          </w:p>
        </w:tc>
      </w:tr>
    </w:tbl>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注：（1）括号外数值为水温＞12℃时的控制指标，括号内数值为水温≤12℃时的控制指标。</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（2）出水粪大肠杆菌群数≤10</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个/L。</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根据上表可知，本项目污水处理设施处理效率能满足出水水质要求，可使出水水质达到</w:t>
      </w:r>
      <w:r>
        <w:rPr>
          <w:rFonts w:hint="eastAsia" w:cs="Times New Roman"/>
          <w:color w:val="auto"/>
          <w:highlight w:val="none"/>
          <w:lang w:eastAsia="zh-CN"/>
        </w:rPr>
        <w:t>《城镇污水处理厂污染物排放标准》（GB18918-2002）及修改单的一级A标准</w:t>
      </w:r>
      <w:r>
        <w:rPr>
          <w:rFonts w:hint="default" w:ascii="Times New Roman" w:hAnsi="Times New Roman" w:cs="Times New Roman"/>
          <w:color w:val="auto"/>
          <w:highlight w:val="none"/>
        </w:rPr>
        <w:t>要求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同时满足《</w:t>
      </w:r>
      <w:r>
        <w:rPr>
          <w:rFonts w:hint="eastAsia" w:cs="Times New Roman"/>
          <w:color w:val="auto"/>
          <w:highlight w:val="none"/>
          <w:lang w:eastAsia="zh-CN"/>
        </w:rPr>
        <w:t>城市污水再生利用城市杂用水水质》（GB/T18920-2020）</w:t>
      </w:r>
      <w:r>
        <w:rPr>
          <w:rFonts w:hint="default" w:ascii="Times New Roman" w:hAnsi="Times New Roman" w:cs="Times New Roman"/>
          <w:color w:val="auto"/>
          <w:highlight w:val="none"/>
        </w:rPr>
        <w:t>和《城市污水再生利用绿地灌溉水质》（GB/T25499-2010）。</w:t>
      </w:r>
    </w:p>
    <w:p>
      <w:pPr>
        <w:pStyle w:val="5"/>
        <w:rPr>
          <w:rFonts w:hint="default" w:ascii="Times New Roman" w:hAnsi="Times New Roman" w:cs="Times New Roman"/>
          <w:color w:val="auto"/>
          <w:highlight w:val="none"/>
        </w:rPr>
      </w:pPr>
      <w:bookmarkStart w:id="83" w:name="_Toc19014"/>
      <w:r>
        <w:rPr>
          <w:rFonts w:hint="default" w:ascii="Times New Roman" w:hAnsi="Times New Roman" w:cs="Times New Roman"/>
          <w:color w:val="auto"/>
          <w:highlight w:val="none"/>
        </w:rPr>
        <w:t>污泥处置目标</w:t>
      </w:r>
      <w:bookmarkEnd w:id="83"/>
      <w:r>
        <w:rPr>
          <w:rFonts w:hint="default" w:ascii="Times New Roman" w:hAnsi="Times New Roman" w:cs="Times New Roman"/>
          <w:color w:val="auto"/>
          <w:highlight w:val="none"/>
        </w:rPr>
        <w:t>及尾水排放去向</w:t>
      </w:r>
    </w:p>
    <w:p>
      <w:pPr>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污泥处置目标：</w:t>
      </w:r>
      <w:r>
        <w:rPr>
          <w:rFonts w:hint="eastAsia" w:cs="Times New Roman"/>
          <w:color w:val="auto"/>
          <w:highlight w:val="none"/>
          <w:lang w:val="en-US" w:eastAsia="zh-CN"/>
        </w:rPr>
        <w:t>根据现有污水处理厂针对</w:t>
      </w:r>
      <w:r>
        <w:rPr>
          <w:rFonts w:hint="default" w:ascii="Times New Roman" w:hAnsi="Times New Roman" w:cs="Times New Roman"/>
          <w:color w:val="auto"/>
          <w:highlight w:val="none"/>
          <w:lang w:val="zh-CN"/>
        </w:rPr>
        <w:t>污泥危险废物鉴别实验，</w:t>
      </w:r>
      <w:r>
        <w:rPr>
          <w:rFonts w:hint="eastAsia" w:cs="Times New Roman"/>
          <w:color w:val="auto"/>
          <w:highlight w:val="none"/>
          <w:lang w:val="en-US" w:eastAsia="zh-CN"/>
        </w:rPr>
        <w:t>可知本项目污泥为一般固体废物（见附件污泥鉴别报告），</w:t>
      </w:r>
      <w:r>
        <w:rPr>
          <w:rFonts w:hint="eastAsia" w:cs="Times New Roman"/>
          <w:color w:val="auto"/>
          <w:highlight w:val="none"/>
          <w:lang w:val="zh-CN"/>
        </w:rPr>
        <w:t>污泥经脱水至含水率小于60%后，与栅渣、沉砂一起运至生活垃圾填埋场进行卫生填埋</w:t>
      </w:r>
      <w:r>
        <w:rPr>
          <w:rFonts w:hint="default" w:ascii="Times New Roman" w:hAnsi="Times New Roman" w:cs="Times New Roman"/>
          <w:color w:val="auto"/>
          <w:highlight w:val="none"/>
          <w:lang w:val="zh-CN"/>
        </w:rPr>
        <w:t>。</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尾水排放去向：项目生活污水与工业废水合并经处理达标后，尾水通过管道夏季用于</w:t>
      </w:r>
      <w:r>
        <w:rPr>
          <w:rFonts w:hint="eastAsia" w:cs="Times New Roman"/>
          <w:color w:val="auto"/>
          <w:highlight w:val="none"/>
          <w:lang w:val="en-US" w:eastAsia="zh-CN"/>
        </w:rPr>
        <w:t>园区绿化及</w:t>
      </w:r>
      <w:r>
        <w:rPr>
          <w:rFonts w:hint="default" w:ascii="Times New Roman" w:hAnsi="Times New Roman" w:cs="Times New Roman"/>
          <w:color w:val="auto"/>
          <w:highlight w:val="none"/>
        </w:rPr>
        <w:t>示范区的林地</w:t>
      </w:r>
      <w:r>
        <w:rPr>
          <w:rFonts w:hint="eastAsia" w:cs="Times New Roman"/>
          <w:color w:val="auto"/>
          <w:highlight w:val="none"/>
          <w:lang w:val="en-US" w:eastAsia="zh-CN"/>
        </w:rPr>
        <w:t>灌溉</w:t>
      </w:r>
      <w:r>
        <w:rPr>
          <w:rFonts w:hint="default" w:ascii="Times New Roman" w:hAnsi="Times New Roman" w:cs="Times New Roman"/>
          <w:color w:val="auto"/>
          <w:highlight w:val="none"/>
        </w:rPr>
        <w:t>，冬季储存于</w:t>
      </w:r>
      <w:r>
        <w:rPr>
          <w:rFonts w:hint="eastAsia" w:cs="Times New Roman"/>
          <w:color w:val="auto"/>
          <w:highlight w:val="none"/>
          <w:lang w:eastAsia="zh-CN"/>
        </w:rPr>
        <w:t>中水池</w:t>
      </w:r>
      <w:r>
        <w:rPr>
          <w:rFonts w:hint="default" w:ascii="Times New Roman" w:hAnsi="Times New Roman" w:cs="Times New Roman"/>
          <w:color w:val="auto"/>
          <w:highlight w:val="none"/>
        </w:rPr>
        <w:t>中，实现污水有效利用。</w:t>
      </w:r>
    </w:p>
    <w:p>
      <w:pPr>
        <w:pStyle w:val="4"/>
        <w:bidi w:val="0"/>
        <w:rPr>
          <w:rFonts w:hint="default"/>
          <w:color w:val="auto"/>
          <w:highlight w:val="none"/>
        </w:rPr>
      </w:pPr>
      <w:bookmarkStart w:id="84" w:name="_Toc32481"/>
      <w:bookmarkStart w:id="85" w:name="_Toc5154"/>
      <w:bookmarkStart w:id="86" w:name="_Toc22357"/>
      <w:r>
        <w:rPr>
          <w:rFonts w:hint="default"/>
          <w:color w:val="auto"/>
          <w:highlight w:val="none"/>
        </w:rPr>
        <w:t>污染源分析</w:t>
      </w:r>
      <w:bookmarkEnd w:id="84"/>
      <w:bookmarkEnd w:id="85"/>
      <w:bookmarkEnd w:id="86"/>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施工期污染源分析</w:t>
      </w:r>
    </w:p>
    <w:p>
      <w:pPr>
        <w:pStyle w:val="2"/>
        <w:rPr>
          <w:rFonts w:hint="default" w:ascii="Times New Roman" w:hAnsi="Times New Roman" w:cs="Times New Roman"/>
          <w:color w:val="auto"/>
          <w:highlight w:val="none"/>
        </w:rPr>
      </w:pPr>
      <w:bookmarkStart w:id="87" w:name="_Toc17280"/>
      <w:r>
        <w:rPr>
          <w:rFonts w:hint="default" w:ascii="Times New Roman" w:hAnsi="Times New Roman" w:cs="Times New Roman"/>
          <w:color w:val="auto"/>
          <w:highlight w:val="none"/>
        </w:rPr>
        <w:t>施工期大气污染源分析</w:t>
      </w:r>
      <w:bookmarkEnd w:id="87"/>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项目施工过程中的气型污染源主要有施工扬尘、施工车辆排放的尾气。</w:t>
      </w:r>
    </w:p>
    <w:p>
      <w:pPr>
        <w:ind w:firstLine="480"/>
        <w:rPr>
          <w:rFonts w:hint="default" w:ascii="Times New Roman" w:hAnsi="Times New Roman" w:cs="Times New Roman"/>
          <w:color w:val="auto"/>
          <w:highlight w:val="none"/>
        </w:rPr>
      </w:pPr>
      <w:r>
        <w:rPr>
          <w:rFonts w:hint="eastAsia" w:cs="Times New Roman"/>
          <w:color w:val="auto"/>
          <w:highlight w:val="none"/>
          <w:lang w:eastAsia="zh-CN"/>
        </w:rPr>
        <w:t>本项目</w:t>
      </w:r>
      <w:r>
        <w:rPr>
          <w:rFonts w:hint="default" w:ascii="Times New Roman" w:hAnsi="Times New Roman" w:cs="Times New Roman"/>
          <w:color w:val="auto"/>
          <w:highlight w:val="none"/>
        </w:rPr>
        <w:t>施工扬尘主要来源有：①场地平整、地基开挖；②混凝土和灰土拌和；③建筑材料（白灰、水泥、砂子、石子、砖等）的现场搬运及堆放；④车辆行驶所造成的现场道路扬尘；⑤建筑垃圾的清理及堆放。如遇天晴和无雨天气，在自然风作用下扬尘对周边的环境空气质量产生较大的影响，其影响范围和浓度与风速大小、土壤裸露面积、颗粒大小均直接相关。根据类比调查施工工地扬尘污染情况见</w:t>
      </w:r>
      <w:r>
        <w:rPr>
          <w:rFonts w:hint="eastAsia" w:cs="Times New Roman"/>
          <w:color w:val="auto"/>
          <w:highlight w:val="none"/>
          <w:lang w:val="en-US" w:eastAsia="zh-CN"/>
        </w:rPr>
        <w:t>下</w:t>
      </w:r>
      <w:r>
        <w:rPr>
          <w:rFonts w:hint="default" w:ascii="Times New Roman" w:hAnsi="Times New Roman" w:cs="Times New Roman"/>
          <w:color w:val="auto"/>
          <w:highlight w:val="none"/>
        </w:rPr>
        <w:t>表。</w:t>
      </w:r>
    </w:p>
    <w:p>
      <w:pPr>
        <w:ind w:firstLine="0" w:firstLineChars="0"/>
        <w:jc w:val="center"/>
        <w:rPr>
          <w:rFonts w:hint="default" w:ascii="Times New Roman" w:hAnsi="Times New Roman" w:cs="Times New Roman"/>
          <w:b w:val="0"/>
          <w:bCs/>
          <w:color w:val="auto"/>
          <w:highlight w:val="none"/>
        </w:rPr>
      </w:pPr>
      <w:r>
        <w:rPr>
          <w:rFonts w:hint="eastAsia" w:ascii="黑体" w:hAnsi="黑体" w:eastAsia="黑体" w:cs="黑体"/>
          <w:b w:val="0"/>
          <w:bCs/>
          <w:color w:val="auto"/>
          <w:highlight w:val="none"/>
        </w:rPr>
        <w:t>表3.5-1建筑施工工地扬尘污染情况（mg/m</w:t>
      </w:r>
      <w:r>
        <w:rPr>
          <w:rFonts w:hint="eastAsia" w:ascii="黑体" w:hAnsi="黑体" w:eastAsia="黑体" w:cs="黑体"/>
          <w:b w:val="0"/>
          <w:bCs/>
          <w:color w:val="auto"/>
          <w:highlight w:val="none"/>
          <w:vertAlign w:val="superscript"/>
        </w:rPr>
        <w:t>3</w:t>
      </w:r>
      <w:r>
        <w:rPr>
          <w:rFonts w:hint="eastAsia" w:ascii="黑体" w:hAnsi="黑体" w:eastAsia="黑体" w:cs="黑体"/>
          <w:b w:val="0"/>
          <w:bCs/>
          <w:color w:val="auto"/>
          <w:highlight w:val="none"/>
        </w:rPr>
        <w:t>）</w:t>
      </w:r>
    </w:p>
    <w:tbl>
      <w:tblPr>
        <w:tblStyle w:val="33"/>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543"/>
        <w:gridCol w:w="1598"/>
        <w:gridCol w:w="1452"/>
        <w:gridCol w:w="1452"/>
        <w:gridCol w:w="1452"/>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highlight w:val="none"/>
              </w:rPr>
            </w:pPr>
            <w:r>
              <w:rPr>
                <w:rFonts w:hint="default" w:ascii="Times New Roman" w:hAnsi="Times New Roman" w:cs="Times New Roman"/>
                <w:b/>
                <w:color w:val="auto"/>
                <w:kern w:val="0"/>
                <w:sz w:val="21"/>
                <w:highlight w:val="none"/>
              </w:rPr>
              <w:t>检测</w:t>
            </w:r>
          </w:p>
          <w:p>
            <w:pPr>
              <w:spacing w:line="240" w:lineRule="auto"/>
              <w:ind w:firstLine="0" w:firstLineChars="0"/>
              <w:jc w:val="center"/>
              <w:rPr>
                <w:rFonts w:hint="default" w:ascii="Times New Roman" w:hAnsi="Times New Roman" w:cs="Times New Roman"/>
                <w:b/>
                <w:color w:val="auto"/>
                <w:kern w:val="0"/>
                <w:sz w:val="21"/>
                <w:highlight w:val="none"/>
              </w:rPr>
            </w:pPr>
            <w:r>
              <w:rPr>
                <w:rFonts w:hint="default" w:ascii="Times New Roman" w:hAnsi="Times New Roman" w:cs="Times New Roman"/>
                <w:b/>
                <w:color w:val="auto"/>
                <w:kern w:val="0"/>
                <w:sz w:val="21"/>
                <w:highlight w:val="none"/>
              </w:rPr>
              <w:t>位置</w:t>
            </w:r>
          </w:p>
        </w:tc>
        <w:tc>
          <w:tcPr>
            <w:tcW w:w="154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highlight w:val="none"/>
              </w:rPr>
            </w:pPr>
            <w:r>
              <w:rPr>
                <w:rFonts w:hint="default" w:ascii="Times New Roman" w:hAnsi="Times New Roman" w:cs="Times New Roman"/>
                <w:b/>
                <w:color w:val="auto"/>
                <w:kern w:val="0"/>
                <w:sz w:val="21"/>
                <w:highlight w:val="none"/>
              </w:rPr>
              <w:t>工地上风向50m</w:t>
            </w:r>
          </w:p>
        </w:tc>
        <w:tc>
          <w:tcPr>
            <w:tcW w:w="159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highlight w:val="none"/>
              </w:rPr>
            </w:pPr>
            <w:r>
              <w:rPr>
                <w:rFonts w:hint="default" w:ascii="Times New Roman" w:hAnsi="Times New Roman" w:cs="Times New Roman"/>
                <w:b/>
                <w:color w:val="auto"/>
                <w:kern w:val="0"/>
                <w:sz w:val="21"/>
                <w:highlight w:val="none"/>
              </w:rPr>
              <w:t>工地内</w:t>
            </w:r>
          </w:p>
        </w:tc>
        <w:tc>
          <w:tcPr>
            <w:tcW w:w="4356"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highlight w:val="none"/>
              </w:rPr>
            </w:pPr>
            <w:r>
              <w:rPr>
                <w:rFonts w:hint="default" w:ascii="Times New Roman" w:hAnsi="Times New Roman" w:cs="Times New Roman"/>
                <w:b/>
                <w:color w:val="auto"/>
                <w:kern w:val="0"/>
                <w:sz w:val="21"/>
                <w:highlight w:val="none"/>
              </w:rPr>
              <w:t>工地下风向</w:t>
            </w:r>
          </w:p>
        </w:tc>
        <w:tc>
          <w:tcPr>
            <w:tcW w:w="112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highlight w:val="none"/>
              </w:rPr>
            </w:pPr>
            <w:r>
              <w:rPr>
                <w:rFonts w:hint="default" w:ascii="Times New Roman" w:hAnsi="Times New Roman" w:cs="Times New Roman"/>
                <w:b/>
                <w:color w:val="auto"/>
                <w:kern w:val="0"/>
                <w:sz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highlight w:val="none"/>
              </w:rPr>
            </w:pPr>
          </w:p>
        </w:tc>
        <w:tc>
          <w:tcPr>
            <w:tcW w:w="154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highlight w:val="none"/>
              </w:rPr>
            </w:pPr>
          </w:p>
        </w:tc>
        <w:tc>
          <w:tcPr>
            <w:tcW w:w="159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highlight w:val="none"/>
              </w:rPr>
            </w:pPr>
          </w:p>
        </w:tc>
        <w:tc>
          <w:tcPr>
            <w:tcW w:w="1452" w:type="dxa"/>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highlight w:val="none"/>
              </w:rPr>
            </w:pPr>
            <w:r>
              <w:rPr>
                <w:rFonts w:hint="default" w:ascii="Times New Roman" w:hAnsi="Times New Roman" w:cs="Times New Roman"/>
                <w:b/>
                <w:color w:val="auto"/>
                <w:kern w:val="0"/>
                <w:sz w:val="21"/>
                <w:highlight w:val="none"/>
              </w:rPr>
              <w:t>50m</w:t>
            </w:r>
          </w:p>
        </w:tc>
        <w:tc>
          <w:tcPr>
            <w:tcW w:w="1452" w:type="dxa"/>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highlight w:val="none"/>
              </w:rPr>
            </w:pPr>
            <w:r>
              <w:rPr>
                <w:rFonts w:hint="default" w:ascii="Times New Roman" w:hAnsi="Times New Roman" w:cs="Times New Roman"/>
                <w:b/>
                <w:color w:val="auto"/>
                <w:kern w:val="0"/>
                <w:sz w:val="21"/>
                <w:highlight w:val="none"/>
              </w:rPr>
              <w:t>100m</w:t>
            </w:r>
          </w:p>
        </w:tc>
        <w:tc>
          <w:tcPr>
            <w:tcW w:w="1452" w:type="dxa"/>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highlight w:val="none"/>
              </w:rPr>
            </w:pPr>
            <w:r>
              <w:rPr>
                <w:rFonts w:hint="default" w:ascii="Times New Roman" w:hAnsi="Times New Roman" w:cs="Times New Roman"/>
                <w:b/>
                <w:color w:val="auto"/>
                <w:kern w:val="0"/>
                <w:sz w:val="21"/>
                <w:highlight w:val="none"/>
              </w:rPr>
              <w:t>150m</w:t>
            </w:r>
          </w:p>
        </w:tc>
        <w:tc>
          <w:tcPr>
            <w:tcW w:w="112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范围值</w:t>
            </w:r>
          </w:p>
        </w:tc>
        <w:tc>
          <w:tcPr>
            <w:tcW w:w="154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0.303～0.328</w:t>
            </w:r>
          </w:p>
        </w:tc>
        <w:tc>
          <w:tcPr>
            <w:tcW w:w="1598" w:type="dxa"/>
            <w:tcBorders>
              <w:tl2br w:val="nil"/>
              <w:tr2bl w:val="nil"/>
            </w:tcBorders>
            <w:vAlign w:val="center"/>
          </w:tcPr>
          <w:p>
            <w:pPr>
              <w:spacing w:line="240" w:lineRule="auto"/>
              <w:ind w:firstLine="105" w:firstLineChars="50"/>
              <w:jc w:val="center"/>
              <w:rPr>
                <w:rFonts w:hint="default"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0.409～0.759</w:t>
            </w:r>
          </w:p>
        </w:tc>
        <w:tc>
          <w:tcPr>
            <w:tcW w:w="14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0.434～0.538</w:t>
            </w:r>
          </w:p>
        </w:tc>
        <w:tc>
          <w:tcPr>
            <w:tcW w:w="14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0.356～0.465</w:t>
            </w:r>
          </w:p>
        </w:tc>
        <w:tc>
          <w:tcPr>
            <w:tcW w:w="14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0.309～0.336</w:t>
            </w:r>
          </w:p>
        </w:tc>
        <w:tc>
          <w:tcPr>
            <w:tcW w:w="112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平均风速1.3m/s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均值</w:t>
            </w:r>
          </w:p>
        </w:tc>
        <w:tc>
          <w:tcPr>
            <w:tcW w:w="154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0.317</w:t>
            </w:r>
          </w:p>
        </w:tc>
        <w:tc>
          <w:tcPr>
            <w:tcW w:w="15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0.596</w:t>
            </w:r>
          </w:p>
        </w:tc>
        <w:tc>
          <w:tcPr>
            <w:tcW w:w="14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0.487</w:t>
            </w:r>
          </w:p>
        </w:tc>
        <w:tc>
          <w:tcPr>
            <w:tcW w:w="14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0.390</w:t>
            </w:r>
          </w:p>
        </w:tc>
        <w:tc>
          <w:tcPr>
            <w:tcW w:w="14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highlight w:val="none"/>
              </w:rPr>
            </w:pPr>
            <w:r>
              <w:rPr>
                <w:rFonts w:hint="default" w:ascii="Times New Roman" w:hAnsi="Times New Roman" w:cs="Times New Roman"/>
                <w:color w:val="auto"/>
                <w:kern w:val="0"/>
                <w:sz w:val="21"/>
                <w:highlight w:val="none"/>
              </w:rPr>
              <w:t>0.322</w:t>
            </w:r>
          </w:p>
        </w:tc>
        <w:tc>
          <w:tcPr>
            <w:tcW w:w="112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highlight w:val="none"/>
              </w:rPr>
            </w:pPr>
          </w:p>
        </w:tc>
      </w:tr>
    </w:tbl>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施工扬尘的起尘量和含水率、起尘风速有关，环评要求建设方采取路面洒水、堆场覆盖、对撒落在路面的尘土及时清扫、采用围栏封闭式施工等防治措施减少施工中地面扬尘产生。</w:t>
      </w:r>
    </w:p>
    <w:p>
      <w:pPr>
        <w:ind w:firstLine="540" w:firstLineChars="225"/>
        <w:rPr>
          <w:rFonts w:hint="default" w:ascii="Times New Roman" w:hAnsi="Times New Roman" w:cs="Times New Roman"/>
          <w:color w:val="auto"/>
          <w:highlight w:val="none"/>
        </w:rPr>
      </w:pPr>
      <w:r>
        <w:rPr>
          <w:rFonts w:hint="default" w:ascii="Times New Roman" w:hAnsi="Times New Roman" w:cs="Times New Roman"/>
          <w:color w:val="auto"/>
          <w:highlight w:val="none"/>
        </w:rPr>
        <w:t>工地上使用的施工机械和建筑材料运输车辆一般都以柴油为燃料。由柴油燃烧产生的尾气中主要含有</w:t>
      </w:r>
      <w:r>
        <w:rPr>
          <w:rFonts w:hint="default" w:ascii="Times New Roman" w:hAnsi="Times New Roman" w:cs="Times New Roman"/>
          <w:color w:val="auto"/>
          <w:highlight w:val="none"/>
          <w:lang w:val="en-GB"/>
        </w:rPr>
        <w:t>CO、</w:t>
      </w:r>
      <w:r>
        <w:rPr>
          <w:rFonts w:hint="default" w:ascii="Times New Roman" w:hAnsi="Times New Roman" w:cs="Times New Roman"/>
          <w:color w:val="auto"/>
          <w:highlight w:val="none"/>
        </w:rPr>
        <w:t>碳氢化合物和</w:t>
      </w:r>
      <w:r>
        <w:rPr>
          <w:rFonts w:hint="default" w:ascii="Times New Roman" w:hAnsi="Times New Roman" w:cs="Times New Roman"/>
          <w:color w:val="auto"/>
          <w:highlight w:val="none"/>
          <w:lang w:val="en-GB"/>
        </w:rPr>
        <w:t>NOx</w:t>
      </w:r>
      <w:r>
        <w:rPr>
          <w:rFonts w:hint="default" w:ascii="Times New Roman" w:hAnsi="Times New Roman" w:cs="Times New Roman"/>
          <w:color w:val="auto"/>
          <w:highlight w:val="none"/>
        </w:rPr>
        <w:t>，其排放情况分别为：</w:t>
      </w:r>
      <w:r>
        <w:rPr>
          <w:rFonts w:hint="default" w:ascii="Times New Roman" w:hAnsi="Times New Roman" w:cs="Times New Roman"/>
          <w:color w:val="auto"/>
          <w:highlight w:val="none"/>
          <w:lang w:val="en-GB"/>
        </w:rPr>
        <w:t>CO：5.25g/辆·km、THC：2.08g/辆·km、NOx：10.44g/辆·km。</w:t>
      </w:r>
    </w:p>
    <w:p>
      <w:pPr>
        <w:pStyle w:val="2"/>
        <w:rPr>
          <w:rFonts w:hint="default" w:ascii="Times New Roman" w:hAnsi="Times New Roman" w:cs="Times New Roman"/>
          <w:color w:val="auto"/>
          <w:highlight w:val="none"/>
        </w:rPr>
      </w:pPr>
      <w:bookmarkStart w:id="88" w:name="_Toc7715"/>
      <w:r>
        <w:rPr>
          <w:rFonts w:hint="default" w:ascii="Times New Roman" w:hAnsi="Times New Roman" w:cs="Times New Roman"/>
          <w:color w:val="auto"/>
          <w:highlight w:val="none"/>
        </w:rPr>
        <w:t>施工期水污染源分析</w:t>
      </w:r>
      <w:bookmarkEnd w:id="88"/>
    </w:p>
    <w:p>
      <w:pPr>
        <w:ind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废水主要来自暴雨的地表径流、施工废水及施工人员的生活污水。厂区施工废水包括厂区开挖和钻孔产生的泥浆水、机械设备运转的冷却水和洗涤水；生活污水包括施工人员的食堂废水、卫生间废水；暴雨地表径流冲刷浮土、建筑砂石、垃圾、弃土等，不但会夹带大量泥沙，而且会携带水泥、油类等各种污染物。该类废水含有少量石油类污染物和大量悬浮物，经沉淀后循环使用不外排。</w:t>
      </w:r>
    </w:p>
    <w:p>
      <w:pPr>
        <w:pStyle w:val="2"/>
        <w:rPr>
          <w:rFonts w:hint="default" w:ascii="Times New Roman" w:hAnsi="Times New Roman" w:cs="Times New Roman"/>
          <w:color w:val="auto"/>
          <w:highlight w:val="none"/>
        </w:rPr>
      </w:pPr>
      <w:bookmarkStart w:id="89" w:name="_Toc22772"/>
      <w:r>
        <w:rPr>
          <w:rFonts w:hint="default" w:ascii="Times New Roman" w:hAnsi="Times New Roman" w:cs="Times New Roman"/>
          <w:color w:val="auto"/>
          <w:highlight w:val="none"/>
        </w:rPr>
        <w:t>施工期噪声污染源分析</w:t>
      </w:r>
      <w:bookmarkEnd w:id="89"/>
    </w:p>
    <w:p>
      <w:pPr>
        <w:adjustRightInd w:val="0"/>
        <w:ind w:firstLine="480"/>
        <w:rPr>
          <w:rFonts w:hint="default" w:ascii="Times New Roman" w:hAnsi="Times New Roman" w:cs="Times New Roman"/>
          <w:color w:val="auto"/>
          <w:szCs w:val="20"/>
          <w:highlight w:val="none"/>
        </w:rPr>
      </w:pPr>
      <w:r>
        <w:rPr>
          <w:rStyle w:val="90"/>
          <w:rFonts w:hint="default" w:ascii="Times New Roman" w:hAnsi="Times New Roman" w:cs="Times New Roman"/>
          <w:color w:val="auto"/>
          <w:highlight w:val="none"/>
        </w:rPr>
        <w:t>项目施工期基础阶段的主要噪声源是各类施工机械产生的噪声</w:t>
      </w:r>
      <w:r>
        <w:rPr>
          <w:rFonts w:hint="default" w:ascii="Times New Roman" w:hAnsi="Times New Roman" w:cs="Times New Roman"/>
          <w:color w:val="auto"/>
          <w:szCs w:val="20"/>
          <w:highlight w:val="none"/>
        </w:rPr>
        <w:t>，以及原材料运输时车辆引起的交通噪声。</w:t>
      </w:r>
      <w:r>
        <w:rPr>
          <w:rStyle w:val="90"/>
          <w:rFonts w:hint="default" w:ascii="Times New Roman" w:hAnsi="Times New Roman" w:cs="Times New Roman"/>
          <w:color w:val="auto"/>
          <w:highlight w:val="none"/>
        </w:rPr>
        <w:t>结构和装修阶段设备主要为装卸机、电焊机、电钻、电锤、切割机、手工钻，</w:t>
      </w:r>
      <w:r>
        <w:rPr>
          <w:rFonts w:hint="default" w:ascii="Times New Roman" w:hAnsi="Times New Roman" w:cs="Times New Roman"/>
          <w:color w:val="auto"/>
          <w:szCs w:val="20"/>
          <w:highlight w:val="none"/>
        </w:rPr>
        <w:t>施工机械都具有噪声高、无规律、突发性强等特点。根据类比调查，各施工阶段的主要噪声源及其声级详见</w:t>
      </w:r>
      <w:r>
        <w:rPr>
          <w:rFonts w:hint="eastAsia" w:cs="Times New Roman"/>
          <w:color w:val="auto"/>
          <w:szCs w:val="20"/>
          <w:highlight w:val="none"/>
          <w:lang w:val="en-US" w:eastAsia="zh-CN"/>
        </w:rPr>
        <w:t>下</w:t>
      </w:r>
      <w:r>
        <w:rPr>
          <w:rFonts w:hint="default" w:ascii="Times New Roman" w:hAnsi="Times New Roman" w:cs="Times New Roman"/>
          <w:color w:val="auto"/>
          <w:szCs w:val="20"/>
          <w:highlight w:val="none"/>
        </w:rPr>
        <w:t>表。</w:t>
      </w:r>
    </w:p>
    <w:p>
      <w:pPr>
        <w:ind w:firstLine="482"/>
        <w:jc w:val="center"/>
        <w:rPr>
          <w:rFonts w:hint="eastAsia" w:ascii="黑体" w:hAnsi="黑体" w:eastAsia="黑体" w:cs="黑体"/>
          <w:b w:val="0"/>
          <w:bCs/>
          <w:color w:val="auto"/>
          <w:highlight w:val="none"/>
        </w:rPr>
      </w:pPr>
      <w:r>
        <w:rPr>
          <w:rFonts w:hint="eastAsia" w:ascii="黑体" w:hAnsi="黑体" w:eastAsia="黑体" w:cs="黑体"/>
          <w:b w:val="0"/>
          <w:bCs/>
          <w:color w:val="auto"/>
          <w:highlight w:val="none"/>
        </w:rPr>
        <w:t>表3.5-2各施工阶段的主要噪声源及其声级</w:t>
      </w:r>
    </w:p>
    <w:tbl>
      <w:tblPr>
        <w:tblStyle w:val="33"/>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0"/>
        <w:gridCol w:w="3600"/>
        <w:gridCol w:w="1611"/>
        <w:gridCol w:w="1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施工阶段</w:t>
            </w:r>
          </w:p>
        </w:tc>
        <w:tc>
          <w:tcPr>
            <w:tcW w:w="360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声源</w:t>
            </w:r>
          </w:p>
        </w:tc>
        <w:tc>
          <w:tcPr>
            <w:tcW w:w="161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测量距离</w:t>
            </w:r>
          </w:p>
        </w:tc>
        <w:tc>
          <w:tcPr>
            <w:tcW w:w="167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声级〔dB(A)〕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基础阶段</w:t>
            </w:r>
          </w:p>
        </w:tc>
        <w:tc>
          <w:tcPr>
            <w:tcW w:w="3600" w:type="dxa"/>
            <w:tcBorders>
              <w:tl2br w:val="nil"/>
              <w:tr2bl w:val="nil"/>
            </w:tcBorders>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推土机</w:t>
            </w:r>
          </w:p>
        </w:tc>
        <w:tc>
          <w:tcPr>
            <w:tcW w:w="161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1m</w:t>
            </w:r>
          </w:p>
        </w:tc>
        <w:tc>
          <w:tcPr>
            <w:tcW w:w="1675" w:type="dxa"/>
            <w:tcBorders>
              <w:tl2br w:val="nil"/>
              <w:tr2bl w:val="nil"/>
            </w:tcBorders>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3600" w:type="dxa"/>
            <w:tcBorders>
              <w:tl2br w:val="nil"/>
              <w:tr2bl w:val="nil"/>
            </w:tcBorders>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挖掘机</w:t>
            </w:r>
          </w:p>
        </w:tc>
        <w:tc>
          <w:tcPr>
            <w:tcW w:w="161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1m</w:t>
            </w:r>
          </w:p>
        </w:tc>
        <w:tc>
          <w:tcPr>
            <w:tcW w:w="1675" w:type="dxa"/>
            <w:tcBorders>
              <w:tl2br w:val="nil"/>
              <w:tr2bl w:val="nil"/>
            </w:tcBorders>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3600" w:type="dxa"/>
            <w:tcBorders>
              <w:tl2br w:val="nil"/>
              <w:tr2bl w:val="nil"/>
            </w:tcBorders>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装载机</w:t>
            </w:r>
          </w:p>
        </w:tc>
        <w:tc>
          <w:tcPr>
            <w:tcW w:w="161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1m</w:t>
            </w:r>
          </w:p>
        </w:tc>
        <w:tc>
          <w:tcPr>
            <w:tcW w:w="1675" w:type="dxa"/>
            <w:tcBorders>
              <w:tl2br w:val="nil"/>
              <w:tr2bl w:val="nil"/>
            </w:tcBorders>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3600" w:type="dxa"/>
            <w:tcBorders>
              <w:tl2br w:val="nil"/>
              <w:tr2bl w:val="nil"/>
            </w:tcBorders>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搅拌机</w:t>
            </w:r>
          </w:p>
        </w:tc>
        <w:tc>
          <w:tcPr>
            <w:tcW w:w="161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1m</w:t>
            </w:r>
          </w:p>
        </w:tc>
        <w:tc>
          <w:tcPr>
            <w:tcW w:w="1675" w:type="dxa"/>
            <w:tcBorders>
              <w:tl2br w:val="nil"/>
              <w:tr2bl w:val="nil"/>
            </w:tcBorders>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3600" w:type="dxa"/>
            <w:tcBorders>
              <w:tl2br w:val="nil"/>
              <w:tr2bl w:val="nil"/>
            </w:tcBorders>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振捣棒</w:t>
            </w:r>
          </w:p>
        </w:tc>
        <w:tc>
          <w:tcPr>
            <w:tcW w:w="161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1m</w:t>
            </w:r>
          </w:p>
        </w:tc>
        <w:tc>
          <w:tcPr>
            <w:tcW w:w="1675" w:type="dxa"/>
            <w:tcBorders>
              <w:tl2br w:val="nil"/>
              <w:tr2bl w:val="nil"/>
            </w:tcBorders>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结构阶段</w:t>
            </w:r>
          </w:p>
        </w:tc>
        <w:tc>
          <w:tcPr>
            <w:tcW w:w="360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装卸机</w:t>
            </w:r>
          </w:p>
        </w:tc>
        <w:tc>
          <w:tcPr>
            <w:tcW w:w="161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1m</w:t>
            </w:r>
          </w:p>
        </w:tc>
        <w:tc>
          <w:tcPr>
            <w:tcW w:w="167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360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电焊机</w:t>
            </w:r>
          </w:p>
        </w:tc>
        <w:tc>
          <w:tcPr>
            <w:tcW w:w="161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1m</w:t>
            </w:r>
          </w:p>
        </w:tc>
        <w:tc>
          <w:tcPr>
            <w:tcW w:w="167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4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装修与安装阶段</w:t>
            </w:r>
          </w:p>
        </w:tc>
        <w:tc>
          <w:tcPr>
            <w:tcW w:w="360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电钻、电锤、切割机、手工钻等</w:t>
            </w:r>
          </w:p>
        </w:tc>
        <w:tc>
          <w:tcPr>
            <w:tcW w:w="161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1m</w:t>
            </w:r>
          </w:p>
        </w:tc>
        <w:tc>
          <w:tcPr>
            <w:tcW w:w="167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90</w:t>
            </w:r>
          </w:p>
        </w:tc>
      </w:tr>
    </w:tbl>
    <w:p>
      <w:pPr>
        <w:pStyle w:val="2"/>
        <w:rPr>
          <w:rFonts w:hint="default" w:ascii="Times New Roman" w:hAnsi="Times New Roman" w:cs="Times New Roman"/>
          <w:color w:val="auto"/>
          <w:highlight w:val="none"/>
        </w:rPr>
      </w:pPr>
      <w:bookmarkStart w:id="90" w:name="_Toc31107"/>
      <w:r>
        <w:rPr>
          <w:rFonts w:hint="default" w:ascii="Times New Roman" w:hAnsi="Times New Roman" w:cs="Times New Roman"/>
          <w:color w:val="auto"/>
          <w:highlight w:val="none"/>
        </w:rPr>
        <w:t>施工期固体废物排放分析</w:t>
      </w:r>
      <w:bookmarkEnd w:id="90"/>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厂址施工开挖作业时产生大量土方、渣土、以及弃土、弃石堆放场，施工剩余废物料以及施工和管理人员的生活垃圾等，以一般固体废物为主。这些固废在开挖、存放、运输等过程中如不妥善处理，则会阻碍交通、影响景观、污染环境、造成水土流失和破坏生态环境等。</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运营期污染源分析</w:t>
      </w:r>
    </w:p>
    <w:p>
      <w:pPr>
        <w:ind w:firstLine="480"/>
        <w:rPr>
          <w:rFonts w:hint="default" w:ascii="Times New Roman" w:hAnsi="Times New Roman" w:cs="Times New Roman"/>
          <w:color w:val="auto"/>
          <w:highlight w:val="none"/>
        </w:rPr>
      </w:pPr>
      <w:r>
        <w:rPr>
          <w:rFonts w:hint="eastAsia" w:cs="Times New Roman"/>
          <w:color w:val="auto"/>
          <w:highlight w:val="none"/>
          <w:lang w:eastAsia="zh-CN"/>
        </w:rPr>
        <w:t>本项目</w:t>
      </w:r>
      <w:r>
        <w:rPr>
          <w:rFonts w:hint="default" w:ascii="Times New Roman" w:hAnsi="Times New Roman" w:cs="Times New Roman"/>
          <w:color w:val="auto"/>
          <w:highlight w:val="none"/>
        </w:rPr>
        <w:t>属于区域污水治理工程，其目的是减少污染的排放量，但工程建成后仍存在一定程度的污染物排放。</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本项目在营运期产生的污染源主要为污水处理产生的尾水、生活污水、过滤反冲洗过程产生的废水、恶臭废气、固体废物（生活垃圾、污泥、废机油、含油抹布手套）和噪声。</w:t>
      </w:r>
    </w:p>
    <w:p>
      <w:pPr>
        <w:pStyle w:val="2"/>
        <w:rPr>
          <w:rFonts w:hint="default" w:ascii="Times New Roman" w:hAnsi="Times New Roman" w:cs="Times New Roman"/>
          <w:color w:val="auto"/>
          <w:highlight w:val="none"/>
        </w:rPr>
      </w:pPr>
      <w:bookmarkStart w:id="91" w:name="_Toc20803"/>
      <w:r>
        <w:rPr>
          <w:rFonts w:hint="default" w:ascii="Times New Roman" w:hAnsi="Times New Roman" w:cs="Times New Roman"/>
          <w:color w:val="auto"/>
          <w:highlight w:val="none"/>
        </w:rPr>
        <w:t>运营期水</w:t>
      </w:r>
      <w:bookmarkEnd w:id="91"/>
      <w:r>
        <w:rPr>
          <w:rFonts w:hint="default" w:ascii="Times New Roman" w:hAnsi="Times New Roman" w:cs="Times New Roman"/>
          <w:color w:val="auto"/>
          <w:highlight w:val="none"/>
        </w:rPr>
        <w:t>污染源分析</w:t>
      </w:r>
    </w:p>
    <w:p>
      <w:pPr>
        <w:ind w:firstLine="480"/>
        <w:rPr>
          <w:rFonts w:hint="default" w:ascii="Times New Roman" w:hAnsi="Times New Roman" w:cs="Times New Roman"/>
          <w:color w:val="auto"/>
          <w:highlight w:val="none"/>
        </w:rPr>
      </w:pPr>
      <w:r>
        <w:rPr>
          <w:color w:val="auto"/>
          <w:highlight w:val="none"/>
        </w:rPr>
        <w:t>拟建项目废水主要为</w:t>
      </w:r>
      <w:r>
        <w:rPr>
          <w:rFonts w:hint="eastAsia"/>
          <w:color w:val="auto"/>
          <w:highlight w:val="none"/>
          <w:lang w:eastAsia="zh-CN"/>
        </w:rPr>
        <w:t>生产废水及生活污水</w:t>
      </w:r>
      <w:r>
        <w:rPr>
          <w:color w:val="auto"/>
          <w:highlight w:val="none"/>
        </w:rPr>
        <w:t>，生产废水包括设备反冲洗废水、生物滤池除臭装置排水、药剂配置废水。项目废水均经厂区污水管网收集后进入污水处理系统进行处理。</w:t>
      </w:r>
    </w:p>
    <w:p>
      <w:pPr>
        <w:ind w:firstLine="540" w:firstLineChars="225"/>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本项目废水</w:t>
      </w:r>
      <w:r>
        <w:rPr>
          <w:rFonts w:hint="eastAsia" w:cs="Times New Roman"/>
          <w:color w:val="auto"/>
          <w:highlight w:val="none"/>
          <w:lang w:val="en-US" w:eastAsia="zh-CN"/>
        </w:rPr>
        <w:t>总</w:t>
      </w:r>
      <w:r>
        <w:rPr>
          <w:rFonts w:hint="default" w:ascii="Times New Roman" w:hAnsi="Times New Roman" w:cs="Times New Roman"/>
          <w:color w:val="auto"/>
          <w:highlight w:val="none"/>
        </w:rPr>
        <w:t>处理规模30000m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/d，在正常运行情况下，尾水能达标排放，夏季用于</w:t>
      </w:r>
      <w:r>
        <w:rPr>
          <w:rFonts w:hint="eastAsia" w:cs="Times New Roman"/>
          <w:color w:val="auto"/>
          <w:highlight w:val="none"/>
          <w:lang w:val="en-US" w:eastAsia="zh-CN"/>
        </w:rPr>
        <w:t>园区绿化及</w:t>
      </w:r>
      <w:r>
        <w:rPr>
          <w:rFonts w:hint="default" w:ascii="Times New Roman" w:hAnsi="Times New Roman" w:cs="Times New Roman"/>
          <w:color w:val="auto"/>
          <w:highlight w:val="none"/>
        </w:rPr>
        <w:t>灌溉示范区的林地，冬季储存于</w:t>
      </w:r>
      <w:r>
        <w:rPr>
          <w:rFonts w:hint="eastAsia" w:cs="Times New Roman"/>
          <w:color w:val="auto"/>
          <w:highlight w:val="none"/>
          <w:lang w:eastAsia="zh-CN"/>
        </w:rPr>
        <w:t>中水池</w:t>
      </w:r>
      <w:r>
        <w:rPr>
          <w:rFonts w:hint="default" w:ascii="Times New Roman" w:hAnsi="Times New Roman" w:cs="Times New Roman"/>
          <w:color w:val="auto"/>
          <w:highlight w:val="none"/>
        </w:rPr>
        <w:t>。采用</w:t>
      </w:r>
      <w:r>
        <w:rPr>
          <w:rFonts w:hint="eastAsia" w:cs="Times New Roman"/>
          <w:color w:val="auto"/>
          <w:highlight w:val="none"/>
          <w:lang w:eastAsia="zh-CN"/>
        </w:rPr>
        <w:t>“预处理+调节池+AAO生物池＋高效沉淀池+反硝化深床滤池+接触消毒池”</w:t>
      </w:r>
      <w:r>
        <w:rPr>
          <w:rFonts w:hint="default" w:ascii="Times New Roman" w:hAnsi="Times New Roman" w:cs="Times New Roman"/>
          <w:color w:val="auto"/>
          <w:highlight w:val="none"/>
        </w:rPr>
        <w:t>处理工艺，尾水排放执行《城镇污水处理厂污染物排放标准》（GB18918-2002）修改单一级A标准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同时满足《</w:t>
      </w:r>
      <w:r>
        <w:rPr>
          <w:rFonts w:hint="eastAsia" w:cs="Times New Roman"/>
          <w:color w:val="auto"/>
          <w:highlight w:val="none"/>
          <w:lang w:eastAsia="zh-CN"/>
        </w:rPr>
        <w:t>城市污水再生利用城市杂用水水质》（GB/T18920-2020）</w:t>
      </w:r>
      <w:r>
        <w:rPr>
          <w:rFonts w:hint="default" w:ascii="Times New Roman" w:hAnsi="Times New Roman" w:cs="Times New Roman"/>
          <w:color w:val="auto"/>
          <w:highlight w:val="none"/>
        </w:rPr>
        <w:t>和《城市污水再生利用绿地灌溉水质》（GB/T25499-2010）</w:t>
      </w:r>
      <w:r>
        <w:rPr>
          <w:rFonts w:hint="eastAsia" w:cs="Times New Roman"/>
          <w:color w:val="auto"/>
          <w:highlight w:val="none"/>
          <w:lang w:val="en-US" w:eastAsia="zh-CN"/>
        </w:rPr>
        <w:t>的绿化用水要求</w:t>
      </w:r>
      <w:r>
        <w:rPr>
          <w:rFonts w:hint="default" w:ascii="Times New Roman" w:hAnsi="Times New Roman" w:cs="Times New Roman"/>
          <w:color w:val="auto"/>
          <w:highlight w:val="none"/>
        </w:rPr>
        <w:t>。</w:t>
      </w:r>
    </w:p>
    <w:p>
      <w:pPr>
        <w:ind w:firstLine="480"/>
        <w:rPr>
          <w:color w:val="auto"/>
          <w:highlight w:val="none"/>
        </w:rPr>
      </w:pPr>
      <w:r>
        <w:rPr>
          <w:rFonts w:hint="default" w:ascii="Times New Roman" w:hAnsi="Times New Roman" w:eastAsia="宋体" w:cs="Times New Roman"/>
          <w:b w:val="0"/>
          <w:bCs/>
          <w:color w:val="auto"/>
          <w:kern w:val="2"/>
          <w:sz w:val="24"/>
          <w:szCs w:val="24"/>
          <w:highlight w:val="none"/>
          <w:lang w:val="en-US" w:eastAsia="zh-CN" w:bidi="ar-SA"/>
        </w:rPr>
        <w:t>本项目</w:t>
      </w:r>
      <w:r>
        <w:rPr>
          <w:rFonts w:hint="eastAsia" w:cs="Times New Roman"/>
          <w:b w:val="0"/>
          <w:bCs/>
          <w:color w:val="auto"/>
          <w:kern w:val="2"/>
          <w:sz w:val="24"/>
          <w:szCs w:val="24"/>
          <w:highlight w:val="none"/>
          <w:lang w:val="en-US" w:eastAsia="zh-CN" w:bidi="ar-SA"/>
        </w:rPr>
        <w:t>夏季</w:t>
      </w:r>
      <w:r>
        <w:rPr>
          <w:rFonts w:hint="default"/>
          <w:b w:val="0"/>
          <w:bCs/>
          <w:color w:val="auto"/>
          <w:highlight w:val="none"/>
        </w:rPr>
        <w:t>灌溉季按210天计，污水厂尾水量为</w:t>
      </w:r>
      <w:r>
        <w:rPr>
          <w:rFonts w:hint="eastAsia"/>
          <w:b w:val="0"/>
          <w:bCs/>
          <w:color w:val="auto"/>
          <w:highlight w:val="none"/>
          <w:lang w:val="en-US" w:eastAsia="zh-CN"/>
        </w:rPr>
        <w:t>3</w:t>
      </w:r>
      <w:r>
        <w:rPr>
          <w:rFonts w:hint="default"/>
          <w:b w:val="0"/>
          <w:bCs/>
          <w:color w:val="auto"/>
          <w:highlight w:val="none"/>
        </w:rPr>
        <w:t>0000m</w:t>
      </w:r>
      <w:r>
        <w:rPr>
          <w:rFonts w:hint="default"/>
          <w:b w:val="0"/>
          <w:bCs/>
          <w:color w:val="auto"/>
          <w:highlight w:val="none"/>
          <w:vertAlign w:val="superscript"/>
        </w:rPr>
        <w:t>3</w:t>
      </w:r>
      <w:r>
        <w:rPr>
          <w:rFonts w:hint="default"/>
          <w:b w:val="0"/>
          <w:bCs/>
          <w:color w:val="auto"/>
          <w:highlight w:val="none"/>
        </w:rPr>
        <w:t>/d，</w:t>
      </w:r>
      <w:r>
        <w:rPr>
          <w:rFonts w:hint="eastAsia"/>
          <w:b w:val="0"/>
          <w:bCs/>
          <w:color w:val="auto"/>
          <w:highlight w:val="none"/>
          <w:lang w:val="en-US" w:eastAsia="zh-CN"/>
        </w:rPr>
        <w:t>冬季</w:t>
      </w:r>
      <w:r>
        <w:rPr>
          <w:rFonts w:hint="default"/>
          <w:b w:val="0"/>
          <w:bCs/>
          <w:color w:val="auto"/>
          <w:highlight w:val="none"/>
        </w:rPr>
        <w:t>污水厂尾水量为</w:t>
      </w:r>
      <w:r>
        <w:rPr>
          <w:rFonts w:hint="eastAsia"/>
          <w:b w:val="0"/>
          <w:bCs/>
          <w:color w:val="auto"/>
          <w:highlight w:val="none"/>
          <w:lang w:val="en-US" w:eastAsia="zh-CN"/>
        </w:rPr>
        <w:t>2447</w:t>
      </w:r>
      <w:r>
        <w:rPr>
          <w:rFonts w:hint="default"/>
          <w:b w:val="0"/>
          <w:bCs/>
          <w:color w:val="auto"/>
          <w:highlight w:val="none"/>
        </w:rPr>
        <w:t>m</w:t>
      </w:r>
      <w:r>
        <w:rPr>
          <w:rFonts w:hint="default"/>
          <w:b w:val="0"/>
          <w:bCs/>
          <w:color w:val="auto"/>
          <w:highlight w:val="none"/>
          <w:vertAlign w:val="superscript"/>
        </w:rPr>
        <w:t>3</w:t>
      </w:r>
      <w:r>
        <w:rPr>
          <w:rFonts w:hint="default"/>
          <w:b w:val="0"/>
          <w:bCs/>
          <w:color w:val="auto"/>
          <w:highlight w:val="none"/>
        </w:rPr>
        <w:t>/d，</w:t>
      </w:r>
      <w:r>
        <w:rPr>
          <w:rFonts w:hint="eastAsia"/>
          <w:b w:val="0"/>
          <w:bCs/>
          <w:color w:val="auto"/>
          <w:highlight w:val="none"/>
          <w:lang w:val="en-US" w:eastAsia="zh-CN"/>
        </w:rPr>
        <w:t>冬季</w:t>
      </w:r>
      <w:r>
        <w:rPr>
          <w:rFonts w:hint="default"/>
          <w:b w:val="0"/>
          <w:bCs/>
          <w:color w:val="auto"/>
          <w:highlight w:val="none"/>
        </w:rPr>
        <w:t>储存季按</w:t>
      </w:r>
      <w:r>
        <w:rPr>
          <w:rFonts w:hint="eastAsia"/>
          <w:b w:val="0"/>
          <w:bCs/>
          <w:color w:val="auto"/>
          <w:highlight w:val="none"/>
          <w:lang w:val="en-US" w:eastAsia="zh-CN"/>
        </w:rPr>
        <w:t>155</w:t>
      </w:r>
      <w:r>
        <w:rPr>
          <w:rFonts w:hint="default"/>
          <w:b w:val="0"/>
          <w:bCs/>
          <w:color w:val="auto"/>
          <w:highlight w:val="none"/>
        </w:rPr>
        <w:t>天计。</w:t>
      </w:r>
    </w:p>
    <w:p>
      <w:pPr>
        <w:ind w:firstLine="540" w:firstLineChars="225"/>
        <w:rPr>
          <w:rFonts w:hint="default" w:ascii="Times New Roman" w:hAnsi="Times New Roman" w:cs="Times New Roman"/>
          <w:color w:val="auto"/>
          <w:highlight w:val="none"/>
        </w:rPr>
      </w:pPr>
      <w:r>
        <w:rPr>
          <w:rFonts w:hint="default" w:ascii="Times New Roman" w:hAnsi="Times New Roman" w:cs="Times New Roman"/>
          <w:bCs/>
          <w:color w:val="auto"/>
          <w:highlight w:val="none"/>
        </w:rPr>
        <w:t>污水进水水质</w:t>
      </w:r>
      <w:r>
        <w:rPr>
          <w:rFonts w:hint="default" w:ascii="Times New Roman" w:hAnsi="Times New Roman" w:cs="Times New Roman"/>
          <w:color w:val="auto"/>
          <w:highlight w:val="none"/>
        </w:rPr>
        <w:t>，</w:t>
      </w:r>
      <w:r>
        <w:rPr>
          <w:rFonts w:hint="eastAsia" w:cs="Times New Roman"/>
          <w:color w:val="auto"/>
          <w:highlight w:val="none"/>
          <w:lang w:val="en-US" w:eastAsia="zh-CN"/>
        </w:rPr>
        <w:t>新增污染物产、排情况</w:t>
      </w:r>
      <w:r>
        <w:rPr>
          <w:rFonts w:hint="default" w:ascii="Times New Roman" w:hAnsi="Times New Roman" w:cs="Times New Roman"/>
          <w:color w:val="auto"/>
          <w:highlight w:val="none"/>
        </w:rPr>
        <w:t>见</w:t>
      </w:r>
      <w:r>
        <w:rPr>
          <w:rFonts w:hint="eastAsia" w:cs="Times New Roman"/>
          <w:color w:val="auto"/>
          <w:highlight w:val="none"/>
          <w:lang w:val="en-US" w:eastAsia="zh-CN"/>
        </w:rPr>
        <w:t>下</w:t>
      </w:r>
      <w:r>
        <w:rPr>
          <w:rFonts w:hint="default" w:ascii="Times New Roman" w:hAnsi="Times New Roman" w:cs="Times New Roman"/>
          <w:color w:val="auto"/>
          <w:highlight w:val="none"/>
        </w:rPr>
        <w:t>表。</w:t>
      </w:r>
    </w:p>
    <w:p>
      <w:pPr>
        <w:spacing w:line="240" w:lineRule="auto"/>
        <w:ind w:firstLine="0" w:firstLineChars="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表</w:t>
      </w:r>
      <w:r>
        <w:rPr>
          <w:rFonts w:hint="default" w:ascii="Times New Roman" w:hAnsi="Times New Roman" w:cs="Times New Roman"/>
          <w:color w:val="auto"/>
          <w:highlight w:val="none"/>
        </w:rPr>
        <w:t>3.5-3</w:t>
      </w:r>
      <w:r>
        <w:rPr>
          <w:rFonts w:hint="eastAsia" w:eastAsia="黑体" w:cs="Times New Roman"/>
          <w:color w:val="auto"/>
          <w:highlight w:val="none"/>
          <w:lang w:eastAsia="zh-CN"/>
        </w:rPr>
        <w:t>本项目</w:t>
      </w:r>
      <w:r>
        <w:rPr>
          <w:rFonts w:hint="default" w:ascii="Times New Roman" w:hAnsi="Times New Roman" w:eastAsia="黑体" w:cs="Times New Roman"/>
          <w:color w:val="auto"/>
          <w:highlight w:val="none"/>
        </w:rPr>
        <w:t>进、出水水质要求单位：mg/l</w:t>
      </w:r>
    </w:p>
    <w:tbl>
      <w:tblPr>
        <w:tblStyle w:val="33"/>
        <w:tblW w:w="9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106"/>
        <w:gridCol w:w="1100"/>
        <w:gridCol w:w="1040"/>
        <w:gridCol w:w="1077"/>
        <w:gridCol w:w="1827"/>
        <w:gridCol w:w="1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8" w:type="dxa"/>
            <w:vMerge w:val="restar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项目</w:t>
            </w:r>
          </w:p>
        </w:tc>
        <w:tc>
          <w:tcPr>
            <w:tcW w:w="7773" w:type="dxa"/>
            <w:gridSpan w:val="6"/>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8" w:type="dxa"/>
            <w:vMerge w:val="continue"/>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1106" w:type="dxa"/>
            <w:tcBorders>
              <w:tl2br w:val="nil"/>
              <w:tr2bl w:val="nil"/>
            </w:tcBorders>
            <w:shd w:val="clear" w:color="auto" w:fill="FFFFFF"/>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COD</w:t>
            </w:r>
          </w:p>
        </w:tc>
        <w:tc>
          <w:tcPr>
            <w:tcW w:w="1100" w:type="dxa"/>
            <w:tcBorders>
              <w:tl2br w:val="nil"/>
              <w:tr2bl w:val="nil"/>
            </w:tcBorders>
            <w:shd w:val="clear" w:color="auto" w:fill="FFFFFF"/>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BOD</w:t>
            </w:r>
            <w:r>
              <w:rPr>
                <w:rFonts w:hint="default" w:ascii="Times New Roman" w:hAnsi="Times New Roman" w:cs="Times New Roman"/>
                <w:color w:val="auto"/>
                <w:sz w:val="21"/>
                <w:szCs w:val="20"/>
                <w:highlight w:val="none"/>
                <w:vertAlign w:val="subscript"/>
              </w:rPr>
              <w:t>5</w:t>
            </w:r>
          </w:p>
        </w:tc>
        <w:tc>
          <w:tcPr>
            <w:tcW w:w="1040" w:type="dxa"/>
            <w:tcBorders>
              <w:tl2br w:val="nil"/>
              <w:tr2bl w:val="nil"/>
            </w:tcBorders>
            <w:shd w:val="clear" w:color="auto" w:fill="FFFFFF"/>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SS</w:t>
            </w:r>
          </w:p>
        </w:tc>
        <w:tc>
          <w:tcPr>
            <w:tcW w:w="1077" w:type="dxa"/>
            <w:tcBorders>
              <w:tl2br w:val="nil"/>
              <w:tr2bl w:val="nil"/>
            </w:tcBorders>
            <w:shd w:val="clear" w:color="auto" w:fill="FFFFFF"/>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氨氮</w:t>
            </w:r>
          </w:p>
        </w:tc>
        <w:tc>
          <w:tcPr>
            <w:tcW w:w="1827" w:type="dxa"/>
            <w:tcBorders>
              <w:tl2br w:val="nil"/>
              <w:tr2bl w:val="nil"/>
            </w:tcBorders>
            <w:shd w:val="clear" w:color="auto" w:fill="FFFFFF"/>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总氮</w:t>
            </w:r>
          </w:p>
        </w:tc>
        <w:tc>
          <w:tcPr>
            <w:tcW w:w="1623" w:type="dxa"/>
            <w:tcBorders>
              <w:tl2br w:val="nil"/>
              <w:tr2bl w:val="nil"/>
            </w:tcBorders>
            <w:shd w:val="clear" w:color="auto" w:fill="FFFFFF"/>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8"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污水进水水质</w:t>
            </w:r>
          </w:p>
        </w:tc>
        <w:tc>
          <w:tcPr>
            <w:tcW w:w="1106" w:type="dxa"/>
            <w:tcBorders>
              <w:tl2br w:val="nil"/>
              <w:tr2bl w:val="nil"/>
            </w:tcBorders>
            <w:shd w:val="clear" w:color="auto" w:fill="FFFFFF"/>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600</w:t>
            </w:r>
          </w:p>
        </w:tc>
        <w:tc>
          <w:tcPr>
            <w:tcW w:w="1100" w:type="dxa"/>
            <w:tcBorders>
              <w:tl2br w:val="nil"/>
              <w:tr2bl w:val="nil"/>
            </w:tcBorders>
            <w:shd w:val="clear" w:color="auto" w:fill="FFFFFF"/>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350</w:t>
            </w:r>
          </w:p>
        </w:tc>
        <w:tc>
          <w:tcPr>
            <w:tcW w:w="1040" w:type="dxa"/>
            <w:tcBorders>
              <w:tl2br w:val="nil"/>
              <w:tr2bl w:val="nil"/>
            </w:tcBorders>
            <w:shd w:val="clear" w:color="auto" w:fill="FFFFFF"/>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350</w:t>
            </w:r>
          </w:p>
        </w:tc>
        <w:tc>
          <w:tcPr>
            <w:tcW w:w="1077" w:type="dxa"/>
            <w:tcBorders>
              <w:tl2br w:val="nil"/>
              <w:tr2bl w:val="nil"/>
            </w:tcBorders>
            <w:shd w:val="clear" w:color="auto" w:fill="FFFFFF"/>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35</w:t>
            </w:r>
          </w:p>
        </w:tc>
        <w:tc>
          <w:tcPr>
            <w:tcW w:w="1827" w:type="dxa"/>
            <w:tcBorders>
              <w:tl2br w:val="nil"/>
              <w:tr2bl w:val="nil"/>
            </w:tcBorders>
            <w:shd w:val="clear" w:color="auto" w:fill="FFFFFF"/>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70</w:t>
            </w:r>
          </w:p>
        </w:tc>
        <w:tc>
          <w:tcPr>
            <w:tcW w:w="1623" w:type="dxa"/>
            <w:tcBorders>
              <w:tl2br w:val="nil"/>
              <w:tr2bl w:val="nil"/>
            </w:tcBorders>
            <w:shd w:val="clear" w:color="auto" w:fill="FFFFFF"/>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8"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出水水质标准</w:t>
            </w:r>
          </w:p>
        </w:tc>
        <w:tc>
          <w:tcPr>
            <w:tcW w:w="1106" w:type="dxa"/>
            <w:tcBorders>
              <w:tl2br w:val="nil"/>
              <w:tr2bl w:val="nil"/>
            </w:tcBorders>
            <w:shd w:val="clear" w:color="auto" w:fill="FFFFFF"/>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50</w:t>
            </w:r>
          </w:p>
        </w:tc>
        <w:tc>
          <w:tcPr>
            <w:tcW w:w="1100" w:type="dxa"/>
            <w:tcBorders>
              <w:tl2br w:val="nil"/>
              <w:tr2bl w:val="nil"/>
            </w:tcBorders>
            <w:shd w:val="clear" w:color="auto" w:fill="FFFFFF"/>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10</w:t>
            </w:r>
          </w:p>
        </w:tc>
        <w:tc>
          <w:tcPr>
            <w:tcW w:w="1040" w:type="dxa"/>
            <w:tcBorders>
              <w:tl2br w:val="nil"/>
              <w:tr2bl w:val="nil"/>
            </w:tcBorders>
            <w:shd w:val="clear" w:color="auto" w:fill="FFFFFF"/>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10</w:t>
            </w:r>
          </w:p>
        </w:tc>
        <w:tc>
          <w:tcPr>
            <w:tcW w:w="1077" w:type="dxa"/>
            <w:tcBorders>
              <w:tl2br w:val="nil"/>
              <w:tr2bl w:val="nil"/>
            </w:tcBorders>
            <w:shd w:val="clear" w:color="auto" w:fill="FFFFFF"/>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5</w:t>
            </w:r>
          </w:p>
        </w:tc>
        <w:tc>
          <w:tcPr>
            <w:tcW w:w="1827" w:type="dxa"/>
            <w:tcBorders>
              <w:tl2br w:val="nil"/>
              <w:tr2bl w:val="nil"/>
            </w:tcBorders>
            <w:shd w:val="clear" w:color="auto" w:fill="FFFFFF"/>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15</w:t>
            </w:r>
          </w:p>
        </w:tc>
        <w:tc>
          <w:tcPr>
            <w:tcW w:w="1623" w:type="dxa"/>
            <w:tcBorders>
              <w:tl2br w:val="nil"/>
              <w:tr2bl w:val="nil"/>
            </w:tcBorders>
            <w:shd w:val="clear" w:color="auto" w:fill="FFFFFF"/>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0.5</w:t>
            </w:r>
          </w:p>
        </w:tc>
      </w:tr>
    </w:tbl>
    <w:p>
      <w:pPr>
        <w:spacing w:line="240" w:lineRule="auto"/>
        <w:ind w:firstLine="0" w:firstLineChars="0"/>
        <w:jc w:val="center"/>
        <w:rPr>
          <w:rFonts w:hint="default" w:ascii="Times New Roman" w:hAnsi="Times New Roman" w:eastAsia="黑体" w:cs="Times New Roman"/>
          <w:color w:val="FF0000"/>
          <w:highlight w:val="none"/>
        </w:rPr>
      </w:pPr>
      <w:r>
        <w:rPr>
          <w:rFonts w:hint="default" w:ascii="Times New Roman" w:hAnsi="Times New Roman" w:eastAsia="黑体" w:cs="Times New Roman"/>
          <w:color w:val="FF0000"/>
          <w:highlight w:val="none"/>
        </w:rPr>
        <w:t>表</w:t>
      </w:r>
      <w:r>
        <w:rPr>
          <w:rFonts w:hint="default" w:ascii="Times New Roman" w:hAnsi="Times New Roman" w:cs="Times New Roman"/>
          <w:color w:val="FF0000"/>
          <w:highlight w:val="none"/>
        </w:rPr>
        <w:t>3.5-4</w:t>
      </w:r>
      <w:r>
        <w:rPr>
          <w:rFonts w:hint="eastAsia" w:eastAsia="黑体" w:cs="Times New Roman"/>
          <w:color w:val="FF0000"/>
          <w:highlight w:val="none"/>
          <w:lang w:val="en-US" w:eastAsia="zh-CN"/>
        </w:rPr>
        <w:t>扩建冬季非灌溉季新增</w:t>
      </w:r>
      <w:r>
        <w:rPr>
          <w:rFonts w:hint="default" w:ascii="Times New Roman" w:hAnsi="Times New Roman" w:eastAsia="黑体" w:cs="Times New Roman"/>
          <w:color w:val="FF0000"/>
          <w:highlight w:val="none"/>
        </w:rPr>
        <w:t>废水污染物产、排情况一览表</w:t>
      </w:r>
    </w:p>
    <w:tbl>
      <w:tblPr>
        <w:tblStyle w:val="33"/>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056"/>
        <w:gridCol w:w="845"/>
        <w:gridCol w:w="2090"/>
        <w:gridCol w:w="1047"/>
        <w:gridCol w:w="1033"/>
        <w:gridCol w:w="1056"/>
        <w:gridCol w:w="794"/>
        <w:gridCol w:w="689"/>
        <w:gridCol w:w="8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55" w:type="pct"/>
            <w:vMerge w:val="restart"/>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rPr>
            </w:pPr>
            <w:r>
              <w:rPr>
                <w:rFonts w:hint="default" w:ascii="Times New Roman" w:hAnsi="Times New Roman" w:cs="Times New Roman"/>
                <w:color w:val="FF0000"/>
                <w:sz w:val="21"/>
                <w:szCs w:val="20"/>
                <w:highlight w:val="none"/>
              </w:rPr>
              <w:t>进水总量</w:t>
            </w:r>
          </w:p>
        </w:tc>
        <w:tc>
          <w:tcPr>
            <w:tcW w:w="444" w:type="pct"/>
            <w:vMerge w:val="restart"/>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eastAsia" w:ascii="Times New Roman" w:hAnsi="Times New Roman" w:eastAsia="宋体" w:cs="Times New Roman"/>
                <w:color w:val="FF0000"/>
                <w:sz w:val="21"/>
                <w:szCs w:val="20"/>
                <w:highlight w:val="none"/>
                <w:lang w:val="en-US" w:eastAsia="zh-CN"/>
              </w:rPr>
              <w:t>污染物</w:t>
            </w:r>
          </w:p>
        </w:tc>
        <w:tc>
          <w:tcPr>
            <w:tcW w:w="1098" w:type="pct"/>
            <w:vMerge w:val="restart"/>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rPr>
            </w:pPr>
            <w:r>
              <w:rPr>
                <w:rFonts w:hint="eastAsia" w:ascii="Times New Roman" w:hAnsi="Times New Roman" w:eastAsia="宋体" w:cs="Times New Roman"/>
                <w:color w:val="FF0000"/>
                <w:sz w:val="21"/>
                <w:szCs w:val="20"/>
                <w:highlight w:val="none"/>
                <w:lang w:val="en-US" w:eastAsia="zh-CN"/>
              </w:rPr>
              <w:t>污水进水浓度（mg/L）</w:t>
            </w:r>
          </w:p>
        </w:tc>
        <w:tc>
          <w:tcPr>
            <w:tcW w:w="1093" w:type="pct"/>
            <w:gridSpan w:val="2"/>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rPr>
            </w:pPr>
            <w:r>
              <w:rPr>
                <w:rFonts w:hint="eastAsia" w:ascii="Times New Roman" w:hAnsi="Times New Roman" w:eastAsia="宋体" w:cs="Times New Roman"/>
                <w:color w:val="FF0000"/>
                <w:sz w:val="21"/>
                <w:szCs w:val="20"/>
                <w:highlight w:val="none"/>
                <w:lang w:val="en-US" w:eastAsia="zh-CN"/>
              </w:rPr>
              <w:t>进水总量</w:t>
            </w:r>
          </w:p>
        </w:tc>
        <w:tc>
          <w:tcPr>
            <w:tcW w:w="555" w:type="pct"/>
            <w:vMerge w:val="restart"/>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rPr>
            </w:pPr>
            <w:r>
              <w:rPr>
                <w:rFonts w:hint="eastAsia" w:ascii="Times New Roman" w:hAnsi="Times New Roman" w:eastAsia="宋体" w:cs="Times New Roman"/>
                <w:color w:val="FF0000"/>
                <w:sz w:val="21"/>
                <w:szCs w:val="20"/>
                <w:highlight w:val="none"/>
                <w:lang w:val="en-US" w:eastAsia="zh-CN"/>
              </w:rPr>
              <w:t>处理效率</w:t>
            </w:r>
          </w:p>
        </w:tc>
        <w:tc>
          <w:tcPr>
            <w:tcW w:w="417" w:type="pct"/>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rPr>
            </w:pPr>
          </w:p>
        </w:tc>
        <w:tc>
          <w:tcPr>
            <w:tcW w:w="834" w:type="pct"/>
            <w:gridSpan w:val="2"/>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rPr>
            </w:pPr>
            <w:r>
              <w:rPr>
                <w:rFonts w:hint="eastAsia" w:ascii="Times New Roman" w:hAnsi="Times New Roman" w:eastAsia="宋体" w:cs="Times New Roman"/>
                <w:color w:val="FF0000"/>
                <w:sz w:val="21"/>
                <w:szCs w:val="20"/>
                <w:highlight w:val="none"/>
                <w:lang w:val="en-US" w:eastAsia="zh-CN"/>
              </w:rPr>
              <w:t>出水总量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55" w:type="pct"/>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rPr>
            </w:pPr>
          </w:p>
        </w:tc>
        <w:tc>
          <w:tcPr>
            <w:tcW w:w="444" w:type="pct"/>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rPr>
            </w:pPr>
          </w:p>
        </w:tc>
        <w:tc>
          <w:tcPr>
            <w:tcW w:w="1098" w:type="pct"/>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rPr>
            </w:pPr>
          </w:p>
        </w:tc>
        <w:tc>
          <w:tcPr>
            <w:tcW w:w="55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r>
              <w:rPr>
                <w:rFonts w:hint="default" w:ascii="Times New Roman" w:hAnsi="Times New Roman" w:eastAsia="宋体" w:cs="Times New Roman"/>
                <w:color w:val="FF0000"/>
                <w:sz w:val="21"/>
                <w:szCs w:val="20"/>
                <w:highlight w:val="none"/>
                <w:lang w:val="en-US" w:eastAsia="zh-CN"/>
              </w:rPr>
              <w:t>t/d</w:t>
            </w:r>
          </w:p>
        </w:tc>
        <w:tc>
          <w:tcPr>
            <w:tcW w:w="542"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r>
              <w:rPr>
                <w:rFonts w:hint="default" w:ascii="Times New Roman" w:hAnsi="Times New Roman" w:eastAsia="宋体" w:cs="Times New Roman"/>
                <w:color w:val="FF0000"/>
                <w:sz w:val="21"/>
                <w:szCs w:val="20"/>
                <w:highlight w:val="none"/>
                <w:lang w:val="en-US" w:eastAsia="zh-CN"/>
              </w:rPr>
              <w:t>t/a</w:t>
            </w:r>
          </w:p>
        </w:tc>
        <w:tc>
          <w:tcPr>
            <w:tcW w:w="555" w:type="pct"/>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rPr>
            </w:pPr>
          </w:p>
        </w:tc>
        <w:tc>
          <w:tcPr>
            <w:tcW w:w="417"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rPr>
            </w:pPr>
            <w:r>
              <w:rPr>
                <w:rFonts w:hint="eastAsia" w:ascii="Times New Roman" w:hAnsi="Times New Roman" w:eastAsia="宋体" w:cs="Times New Roman"/>
                <w:color w:val="FF0000"/>
                <w:sz w:val="21"/>
                <w:szCs w:val="20"/>
                <w:highlight w:val="none"/>
                <w:lang w:val="en-US" w:eastAsia="zh-CN"/>
              </w:rPr>
              <w:t>出水水质浓度</w:t>
            </w:r>
          </w:p>
        </w:tc>
        <w:tc>
          <w:tcPr>
            <w:tcW w:w="362"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r>
              <w:rPr>
                <w:rFonts w:hint="default" w:ascii="Times New Roman" w:hAnsi="Times New Roman" w:eastAsia="宋体" w:cs="Times New Roman"/>
                <w:color w:val="FF0000"/>
                <w:sz w:val="21"/>
                <w:szCs w:val="20"/>
                <w:highlight w:val="none"/>
                <w:lang w:val="en-US" w:eastAsia="zh-CN"/>
              </w:rPr>
              <w:t>t/d</w:t>
            </w:r>
          </w:p>
        </w:tc>
        <w:tc>
          <w:tcPr>
            <w:tcW w:w="472"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r>
              <w:rPr>
                <w:rFonts w:hint="default" w:ascii="Times New Roman" w:hAnsi="Times New Roman" w:eastAsia="宋体" w:cs="Times New Roman"/>
                <w:color w:val="FF0000"/>
                <w:sz w:val="21"/>
                <w:szCs w:val="20"/>
                <w:highlight w:val="none"/>
                <w:lang w:val="en-US" w:eastAsia="zh-CN"/>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555" w:type="pct"/>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r>
              <w:rPr>
                <w:rFonts w:hint="default" w:ascii="Times New Roman" w:hAnsi="Times New Roman" w:eastAsia="宋体" w:cs="Times New Roman"/>
                <w:color w:val="FF0000"/>
                <w:sz w:val="21"/>
                <w:szCs w:val="20"/>
                <w:highlight w:val="none"/>
                <w:lang w:val="en-US" w:eastAsia="zh-CN"/>
              </w:rPr>
              <w:t>2447</w:t>
            </w:r>
          </w:p>
        </w:tc>
        <w:tc>
          <w:tcPr>
            <w:tcW w:w="444" w:type="pc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r>
              <w:rPr>
                <w:rFonts w:hint="default" w:ascii="Times New Roman" w:hAnsi="Times New Roman" w:eastAsia="宋体" w:cs="Times New Roman"/>
                <w:color w:val="FF0000"/>
                <w:sz w:val="21"/>
                <w:szCs w:val="20"/>
                <w:highlight w:val="none"/>
                <w:lang w:val="en-US" w:eastAsia="zh-CN"/>
              </w:rPr>
              <w:t>COD</w:t>
            </w:r>
          </w:p>
        </w:tc>
        <w:tc>
          <w:tcPr>
            <w:tcW w:w="1098" w:type="pct"/>
            <w:tcBorders>
              <w:tl2br w:val="nil"/>
              <w:tr2bl w:val="nil"/>
            </w:tcBorders>
            <w:shd w:val="clear" w:color="auto" w:fill="FFFFFF"/>
            <w:vAlign w:val="center"/>
          </w:tcPr>
          <w:p>
            <w:pPr>
              <w:spacing w:line="240" w:lineRule="auto"/>
              <w:ind w:firstLine="0" w:firstLineChars="0"/>
              <w:jc w:val="center"/>
              <w:rPr>
                <w:rFonts w:hint="default" w:ascii="Times New Roman" w:hAnsi="Times New Roman" w:cs="Times New Roman"/>
                <w:color w:val="FF0000"/>
                <w:sz w:val="21"/>
                <w:szCs w:val="20"/>
                <w:highlight w:val="none"/>
              </w:rPr>
            </w:pPr>
            <w:r>
              <w:rPr>
                <w:rFonts w:hint="default" w:ascii="Times New Roman" w:hAnsi="Times New Roman" w:cs="Times New Roman"/>
                <w:color w:val="FF0000"/>
                <w:sz w:val="21"/>
                <w:szCs w:val="20"/>
                <w:highlight w:val="none"/>
                <w:lang w:val="en-US" w:eastAsia="zh-CN"/>
              </w:rPr>
              <w:t>600</w:t>
            </w:r>
          </w:p>
        </w:tc>
        <w:tc>
          <w:tcPr>
            <w:tcW w:w="550" w:type="pct"/>
            <w:tcBorders>
              <w:tl2br w:val="nil"/>
              <w:tr2bl w:val="nil"/>
            </w:tcBorders>
            <w:shd w:val="clear" w:color="auto" w:fill="auto"/>
            <w:vAlign w:val="center"/>
          </w:tcPr>
          <w:p>
            <w:pPr>
              <w:spacing w:line="240" w:lineRule="auto"/>
              <w:ind w:firstLine="0" w:firstLineChars="0"/>
              <w:jc w:val="center"/>
              <w:rPr>
                <w:rFonts w:hint="eastAsia" w:ascii="Times New Roman" w:hAnsi="Times New Roman" w:cs="Times New Roman"/>
                <w:color w:val="FF0000"/>
                <w:sz w:val="21"/>
                <w:szCs w:val="20"/>
                <w:highlight w:val="none"/>
                <w:lang w:val="en-US" w:eastAsia="zh-CN"/>
              </w:rPr>
            </w:pPr>
            <w:r>
              <w:rPr>
                <w:rFonts w:hint="eastAsia" w:ascii="Times New Roman" w:hAnsi="Times New Roman" w:cs="Times New Roman"/>
                <w:color w:val="FF0000"/>
                <w:sz w:val="21"/>
                <w:szCs w:val="20"/>
                <w:highlight w:val="none"/>
                <w:lang w:val="en-US" w:eastAsia="zh-CN"/>
              </w:rPr>
              <w:t>1.468</w:t>
            </w:r>
          </w:p>
        </w:tc>
        <w:tc>
          <w:tcPr>
            <w:tcW w:w="542" w:type="pct"/>
            <w:tcBorders>
              <w:tl2br w:val="nil"/>
              <w:tr2bl w:val="nil"/>
            </w:tcBorders>
            <w:shd w:val="clear" w:color="auto" w:fill="auto"/>
            <w:noWrap/>
            <w:vAlign w:val="center"/>
          </w:tcPr>
          <w:p>
            <w:pPr>
              <w:spacing w:line="240" w:lineRule="auto"/>
              <w:ind w:firstLine="0" w:firstLineChars="0"/>
              <w:jc w:val="center"/>
              <w:rPr>
                <w:rFonts w:hint="eastAsia" w:ascii="Times New Roman" w:hAnsi="Times New Roman" w:cs="Times New Roman"/>
                <w:color w:val="FF0000"/>
                <w:sz w:val="21"/>
                <w:szCs w:val="20"/>
                <w:highlight w:val="none"/>
                <w:lang w:val="en-US" w:eastAsia="zh-CN"/>
              </w:rPr>
            </w:pPr>
            <w:r>
              <w:rPr>
                <w:rFonts w:hint="eastAsia" w:ascii="Times New Roman" w:hAnsi="Times New Roman" w:cs="Times New Roman"/>
                <w:color w:val="FF0000"/>
                <w:sz w:val="21"/>
                <w:szCs w:val="20"/>
                <w:highlight w:val="none"/>
                <w:lang w:val="en-US" w:eastAsia="zh-CN"/>
              </w:rPr>
              <w:t>227.571</w:t>
            </w:r>
          </w:p>
        </w:tc>
        <w:tc>
          <w:tcPr>
            <w:tcW w:w="555"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FF0000"/>
                <w:sz w:val="21"/>
                <w:szCs w:val="20"/>
                <w:highlight w:val="none"/>
              </w:rPr>
            </w:pPr>
            <w:r>
              <w:rPr>
                <w:rFonts w:hint="default" w:ascii="Times New Roman" w:hAnsi="Times New Roman" w:cs="Times New Roman"/>
                <w:color w:val="FF0000"/>
                <w:sz w:val="21"/>
                <w:szCs w:val="20"/>
                <w:highlight w:val="none"/>
                <w:lang w:val="en-US" w:eastAsia="zh-CN"/>
              </w:rPr>
              <w:t>91.67%</w:t>
            </w:r>
          </w:p>
        </w:tc>
        <w:tc>
          <w:tcPr>
            <w:tcW w:w="417" w:type="pct"/>
            <w:tcBorders>
              <w:tl2br w:val="nil"/>
              <w:tr2bl w:val="nil"/>
            </w:tcBorders>
            <w:shd w:val="clear" w:color="auto" w:fill="FFFFFF"/>
            <w:vAlign w:val="center"/>
          </w:tcPr>
          <w:p>
            <w:pPr>
              <w:spacing w:line="240" w:lineRule="auto"/>
              <w:ind w:firstLine="0" w:firstLineChars="0"/>
              <w:jc w:val="center"/>
              <w:rPr>
                <w:rFonts w:hint="default" w:ascii="Times New Roman" w:hAnsi="Times New Roman" w:cs="Times New Roman"/>
                <w:color w:val="FF0000"/>
                <w:sz w:val="21"/>
                <w:szCs w:val="20"/>
                <w:highlight w:val="none"/>
                <w:lang w:val="en-US"/>
              </w:rPr>
            </w:pPr>
            <w:r>
              <w:rPr>
                <w:rFonts w:hint="eastAsia" w:ascii="Times New Roman" w:hAnsi="Times New Roman" w:cs="Times New Roman"/>
                <w:color w:val="FF0000"/>
                <w:sz w:val="21"/>
                <w:szCs w:val="20"/>
                <w:highlight w:val="none"/>
                <w:lang w:val="en-US" w:eastAsia="zh-CN"/>
              </w:rPr>
              <w:t>43.35</w:t>
            </w:r>
          </w:p>
        </w:tc>
        <w:tc>
          <w:tcPr>
            <w:tcW w:w="362" w:type="pct"/>
            <w:tcBorders>
              <w:tl2br w:val="nil"/>
              <w:tr2bl w:val="nil"/>
            </w:tcBorders>
            <w:shd w:val="clear" w:color="auto" w:fill="auto"/>
            <w:noWrap/>
            <w:vAlign w:val="center"/>
          </w:tcPr>
          <w:p>
            <w:pPr>
              <w:spacing w:line="240" w:lineRule="auto"/>
              <w:ind w:firstLine="0" w:firstLineChars="0"/>
              <w:jc w:val="center"/>
              <w:rPr>
                <w:rFonts w:hint="eastAsia" w:ascii="Times New Roman" w:hAnsi="Times New Roman" w:cs="Times New Roman"/>
                <w:color w:val="FF0000"/>
                <w:sz w:val="21"/>
                <w:szCs w:val="20"/>
                <w:highlight w:val="none"/>
                <w:lang w:val="en-US" w:eastAsia="zh-CN"/>
              </w:rPr>
            </w:pPr>
            <w:r>
              <w:rPr>
                <w:rFonts w:hint="default" w:ascii="Times New Roman" w:hAnsi="Times New Roman" w:cs="Times New Roman"/>
                <w:color w:val="FF0000"/>
                <w:sz w:val="21"/>
                <w:szCs w:val="20"/>
                <w:highlight w:val="none"/>
                <w:lang w:val="en-US" w:eastAsia="zh-CN"/>
              </w:rPr>
              <w:t>0.106</w:t>
            </w:r>
          </w:p>
        </w:tc>
        <w:tc>
          <w:tcPr>
            <w:tcW w:w="472" w:type="pct"/>
            <w:tcBorders>
              <w:tl2br w:val="nil"/>
              <w:tr2bl w:val="nil"/>
            </w:tcBorders>
            <w:shd w:val="clear" w:color="auto" w:fill="auto"/>
            <w:noWrap/>
            <w:vAlign w:val="center"/>
          </w:tcPr>
          <w:p>
            <w:pPr>
              <w:spacing w:line="240" w:lineRule="auto"/>
              <w:ind w:firstLine="0" w:firstLineChars="0"/>
              <w:jc w:val="center"/>
              <w:rPr>
                <w:rFonts w:hint="eastAsia" w:ascii="Times New Roman" w:hAnsi="Times New Roman" w:cs="Times New Roman"/>
                <w:color w:val="FF0000"/>
                <w:sz w:val="21"/>
                <w:szCs w:val="20"/>
                <w:highlight w:val="none"/>
                <w:lang w:val="en-US" w:eastAsia="zh-CN"/>
              </w:rPr>
            </w:pPr>
            <w:r>
              <w:rPr>
                <w:rFonts w:hint="default" w:ascii="Times New Roman" w:hAnsi="Times New Roman" w:cs="Times New Roman"/>
                <w:color w:val="FF0000"/>
                <w:sz w:val="21"/>
                <w:szCs w:val="20"/>
                <w:highlight w:val="none"/>
                <w:lang w:val="en-US" w:eastAsia="zh-CN"/>
              </w:rPr>
              <w:t>16.4</w:t>
            </w:r>
            <w:r>
              <w:rPr>
                <w:rFonts w:hint="eastAsia" w:cs="Times New Roman"/>
                <w:color w:val="FF0000"/>
                <w:sz w:val="21"/>
                <w:szCs w:val="20"/>
                <w:highlight w:val="none"/>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5" w:hRule="atLeast"/>
        </w:trPr>
        <w:tc>
          <w:tcPr>
            <w:tcW w:w="555"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p>
        </w:tc>
        <w:tc>
          <w:tcPr>
            <w:tcW w:w="444" w:type="pc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r>
              <w:rPr>
                <w:rFonts w:hint="default" w:ascii="Times New Roman" w:hAnsi="Times New Roman" w:eastAsia="宋体" w:cs="Times New Roman"/>
                <w:color w:val="FF0000"/>
                <w:sz w:val="21"/>
                <w:szCs w:val="20"/>
                <w:highlight w:val="none"/>
                <w:lang w:val="en-US" w:eastAsia="zh-CN"/>
              </w:rPr>
              <w:t>BOD5</w:t>
            </w:r>
          </w:p>
        </w:tc>
        <w:tc>
          <w:tcPr>
            <w:tcW w:w="1098" w:type="pct"/>
            <w:tcBorders>
              <w:tl2br w:val="nil"/>
              <w:tr2bl w:val="nil"/>
            </w:tcBorders>
            <w:shd w:val="clear" w:color="auto" w:fill="FFFFFF"/>
            <w:vAlign w:val="center"/>
          </w:tcPr>
          <w:p>
            <w:pPr>
              <w:spacing w:line="240" w:lineRule="auto"/>
              <w:ind w:firstLine="0" w:firstLineChars="0"/>
              <w:jc w:val="center"/>
              <w:rPr>
                <w:rFonts w:hint="default" w:ascii="Times New Roman" w:hAnsi="Times New Roman" w:cs="Times New Roman"/>
                <w:color w:val="FF0000"/>
                <w:sz w:val="21"/>
                <w:szCs w:val="20"/>
                <w:highlight w:val="none"/>
              </w:rPr>
            </w:pPr>
            <w:r>
              <w:rPr>
                <w:rFonts w:hint="default" w:ascii="Times New Roman" w:hAnsi="Times New Roman" w:cs="Times New Roman"/>
                <w:color w:val="FF0000"/>
                <w:sz w:val="21"/>
                <w:szCs w:val="20"/>
                <w:highlight w:val="none"/>
                <w:lang w:val="en-US" w:eastAsia="zh-CN"/>
              </w:rPr>
              <w:t>350</w:t>
            </w:r>
          </w:p>
        </w:tc>
        <w:tc>
          <w:tcPr>
            <w:tcW w:w="550" w:type="pct"/>
            <w:tcBorders>
              <w:tl2br w:val="nil"/>
              <w:tr2bl w:val="nil"/>
            </w:tcBorders>
            <w:shd w:val="clear" w:color="auto" w:fill="auto"/>
            <w:vAlign w:val="center"/>
          </w:tcPr>
          <w:p>
            <w:pPr>
              <w:spacing w:line="240" w:lineRule="auto"/>
              <w:ind w:firstLine="0" w:firstLineChars="0"/>
              <w:jc w:val="center"/>
              <w:rPr>
                <w:rFonts w:hint="eastAsia" w:ascii="Times New Roman" w:hAnsi="Times New Roman" w:cs="Times New Roman"/>
                <w:color w:val="FF0000"/>
                <w:sz w:val="21"/>
                <w:szCs w:val="20"/>
                <w:highlight w:val="none"/>
                <w:lang w:val="en-US" w:eastAsia="zh-CN"/>
              </w:rPr>
            </w:pPr>
            <w:r>
              <w:rPr>
                <w:rFonts w:hint="eastAsia" w:ascii="Times New Roman" w:hAnsi="Times New Roman" w:cs="Times New Roman"/>
                <w:color w:val="FF0000"/>
                <w:sz w:val="21"/>
                <w:szCs w:val="20"/>
                <w:highlight w:val="none"/>
                <w:lang w:val="en-US" w:eastAsia="zh-CN"/>
              </w:rPr>
              <w:t>0.856</w:t>
            </w:r>
          </w:p>
        </w:tc>
        <w:tc>
          <w:tcPr>
            <w:tcW w:w="542" w:type="pct"/>
            <w:tcBorders>
              <w:tl2br w:val="nil"/>
              <w:tr2bl w:val="nil"/>
            </w:tcBorders>
            <w:shd w:val="clear" w:color="auto" w:fill="auto"/>
            <w:noWrap/>
            <w:vAlign w:val="center"/>
          </w:tcPr>
          <w:p>
            <w:pPr>
              <w:spacing w:line="240" w:lineRule="auto"/>
              <w:ind w:firstLine="0" w:firstLineChars="0"/>
              <w:jc w:val="center"/>
              <w:rPr>
                <w:rFonts w:hint="eastAsia" w:ascii="Times New Roman" w:hAnsi="Times New Roman" w:cs="Times New Roman"/>
                <w:color w:val="FF0000"/>
                <w:sz w:val="21"/>
                <w:szCs w:val="20"/>
                <w:highlight w:val="none"/>
                <w:lang w:val="en-US" w:eastAsia="zh-CN"/>
              </w:rPr>
            </w:pPr>
            <w:r>
              <w:rPr>
                <w:rFonts w:hint="eastAsia" w:ascii="Times New Roman" w:hAnsi="Times New Roman" w:cs="Times New Roman"/>
                <w:color w:val="FF0000"/>
                <w:sz w:val="21"/>
                <w:szCs w:val="20"/>
                <w:highlight w:val="none"/>
                <w:lang w:val="en-US" w:eastAsia="zh-CN"/>
              </w:rPr>
              <w:t>132.750</w:t>
            </w:r>
          </w:p>
        </w:tc>
        <w:tc>
          <w:tcPr>
            <w:tcW w:w="555"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FF0000"/>
                <w:sz w:val="21"/>
                <w:szCs w:val="20"/>
                <w:highlight w:val="none"/>
              </w:rPr>
            </w:pPr>
            <w:r>
              <w:rPr>
                <w:rFonts w:hint="default" w:ascii="Times New Roman" w:hAnsi="Times New Roman" w:cs="Times New Roman"/>
                <w:color w:val="FF0000"/>
                <w:sz w:val="21"/>
                <w:szCs w:val="20"/>
                <w:highlight w:val="none"/>
                <w:lang w:val="en-US" w:eastAsia="zh-CN"/>
              </w:rPr>
              <w:t>97.14%</w:t>
            </w:r>
          </w:p>
        </w:tc>
        <w:tc>
          <w:tcPr>
            <w:tcW w:w="417" w:type="pct"/>
            <w:tcBorders>
              <w:tl2br w:val="nil"/>
              <w:tr2bl w:val="nil"/>
            </w:tcBorders>
            <w:shd w:val="clear" w:color="auto" w:fill="FFFFFF"/>
            <w:vAlign w:val="center"/>
          </w:tcPr>
          <w:p>
            <w:pPr>
              <w:spacing w:line="240" w:lineRule="auto"/>
              <w:ind w:firstLine="0" w:firstLineChars="0"/>
              <w:jc w:val="center"/>
              <w:rPr>
                <w:rFonts w:hint="default" w:ascii="Times New Roman" w:hAnsi="Times New Roman" w:cs="Times New Roman"/>
                <w:color w:val="FF0000"/>
                <w:sz w:val="21"/>
                <w:szCs w:val="20"/>
                <w:highlight w:val="none"/>
                <w:lang w:val="en-US"/>
              </w:rPr>
            </w:pPr>
            <w:r>
              <w:rPr>
                <w:rFonts w:hint="eastAsia" w:ascii="Times New Roman" w:hAnsi="Times New Roman" w:cs="Times New Roman"/>
                <w:color w:val="FF0000"/>
                <w:sz w:val="21"/>
                <w:szCs w:val="20"/>
                <w:highlight w:val="none"/>
                <w:lang w:val="en-US" w:eastAsia="zh-CN"/>
              </w:rPr>
              <w:t>7.09</w:t>
            </w:r>
          </w:p>
        </w:tc>
        <w:tc>
          <w:tcPr>
            <w:tcW w:w="362" w:type="pct"/>
            <w:tcBorders>
              <w:tl2br w:val="nil"/>
              <w:tr2bl w:val="nil"/>
            </w:tcBorders>
            <w:shd w:val="clear" w:color="auto" w:fill="auto"/>
            <w:noWrap/>
            <w:vAlign w:val="center"/>
          </w:tcPr>
          <w:p>
            <w:pPr>
              <w:spacing w:line="240" w:lineRule="auto"/>
              <w:ind w:firstLine="0" w:firstLineChars="0"/>
              <w:jc w:val="center"/>
              <w:rPr>
                <w:rFonts w:hint="eastAsia" w:ascii="Times New Roman" w:hAnsi="Times New Roman" w:cs="Times New Roman"/>
                <w:color w:val="FF0000"/>
                <w:sz w:val="21"/>
                <w:szCs w:val="20"/>
                <w:highlight w:val="none"/>
                <w:lang w:val="en-US" w:eastAsia="zh-CN"/>
              </w:rPr>
            </w:pPr>
            <w:r>
              <w:rPr>
                <w:rFonts w:hint="default" w:ascii="Times New Roman" w:hAnsi="Times New Roman" w:cs="Times New Roman"/>
                <w:color w:val="FF0000"/>
                <w:sz w:val="21"/>
                <w:szCs w:val="20"/>
                <w:highlight w:val="none"/>
                <w:lang w:val="en-US" w:eastAsia="zh-CN"/>
              </w:rPr>
              <w:t>0.017</w:t>
            </w:r>
          </w:p>
        </w:tc>
        <w:tc>
          <w:tcPr>
            <w:tcW w:w="472" w:type="pct"/>
            <w:tcBorders>
              <w:tl2br w:val="nil"/>
              <w:tr2bl w:val="nil"/>
            </w:tcBorders>
            <w:shd w:val="clear" w:color="auto" w:fill="auto"/>
            <w:noWrap/>
            <w:vAlign w:val="center"/>
          </w:tcPr>
          <w:p>
            <w:pPr>
              <w:spacing w:line="240" w:lineRule="auto"/>
              <w:ind w:firstLine="0" w:firstLineChars="0"/>
              <w:jc w:val="center"/>
              <w:rPr>
                <w:rFonts w:hint="eastAsia" w:ascii="Times New Roman" w:hAnsi="Times New Roman" w:cs="Times New Roman"/>
                <w:color w:val="FF0000"/>
                <w:sz w:val="21"/>
                <w:szCs w:val="20"/>
                <w:highlight w:val="none"/>
                <w:lang w:val="en-US" w:eastAsia="zh-CN"/>
              </w:rPr>
            </w:pPr>
            <w:r>
              <w:rPr>
                <w:rFonts w:hint="default" w:ascii="Times New Roman" w:hAnsi="Times New Roman" w:cs="Times New Roman"/>
                <w:color w:val="FF0000"/>
                <w:sz w:val="21"/>
                <w:szCs w:val="20"/>
                <w:highlight w:val="none"/>
                <w:lang w:val="en-US" w:eastAsia="zh-CN"/>
              </w:rPr>
              <w:t>2.689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55"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p>
        </w:tc>
        <w:tc>
          <w:tcPr>
            <w:tcW w:w="444" w:type="pc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r>
              <w:rPr>
                <w:rFonts w:hint="default" w:ascii="Times New Roman" w:hAnsi="Times New Roman" w:eastAsia="宋体" w:cs="Times New Roman"/>
                <w:color w:val="FF0000"/>
                <w:sz w:val="21"/>
                <w:szCs w:val="20"/>
                <w:highlight w:val="none"/>
                <w:lang w:val="en-US" w:eastAsia="zh-CN"/>
              </w:rPr>
              <w:t>SS</w:t>
            </w:r>
          </w:p>
        </w:tc>
        <w:tc>
          <w:tcPr>
            <w:tcW w:w="1098" w:type="pct"/>
            <w:tcBorders>
              <w:tl2br w:val="nil"/>
              <w:tr2bl w:val="nil"/>
            </w:tcBorders>
            <w:shd w:val="clear" w:color="auto" w:fill="FFFFFF"/>
            <w:vAlign w:val="center"/>
          </w:tcPr>
          <w:p>
            <w:pPr>
              <w:spacing w:line="240" w:lineRule="auto"/>
              <w:ind w:firstLine="0" w:firstLineChars="0"/>
              <w:jc w:val="center"/>
              <w:rPr>
                <w:rFonts w:hint="default" w:ascii="Times New Roman" w:hAnsi="Times New Roman" w:cs="Times New Roman"/>
                <w:color w:val="FF0000"/>
                <w:sz w:val="21"/>
                <w:szCs w:val="20"/>
                <w:highlight w:val="none"/>
              </w:rPr>
            </w:pPr>
            <w:r>
              <w:rPr>
                <w:rFonts w:hint="default" w:ascii="Times New Roman" w:hAnsi="Times New Roman" w:cs="Times New Roman"/>
                <w:color w:val="FF0000"/>
                <w:sz w:val="21"/>
                <w:szCs w:val="20"/>
                <w:highlight w:val="none"/>
                <w:lang w:val="en-US" w:eastAsia="zh-CN"/>
              </w:rPr>
              <w:t>350</w:t>
            </w:r>
          </w:p>
        </w:tc>
        <w:tc>
          <w:tcPr>
            <w:tcW w:w="550" w:type="pct"/>
            <w:tcBorders>
              <w:tl2br w:val="nil"/>
              <w:tr2bl w:val="nil"/>
            </w:tcBorders>
            <w:shd w:val="clear" w:color="auto" w:fill="auto"/>
            <w:vAlign w:val="center"/>
          </w:tcPr>
          <w:p>
            <w:pPr>
              <w:spacing w:line="240" w:lineRule="auto"/>
              <w:ind w:firstLine="0" w:firstLineChars="0"/>
              <w:jc w:val="center"/>
              <w:rPr>
                <w:rFonts w:hint="eastAsia" w:ascii="Times New Roman" w:hAnsi="Times New Roman" w:cs="Times New Roman"/>
                <w:color w:val="FF0000"/>
                <w:sz w:val="21"/>
                <w:szCs w:val="20"/>
                <w:highlight w:val="none"/>
                <w:lang w:val="en-US" w:eastAsia="zh-CN"/>
              </w:rPr>
            </w:pPr>
            <w:r>
              <w:rPr>
                <w:rFonts w:hint="eastAsia" w:ascii="Times New Roman" w:hAnsi="Times New Roman" w:cs="Times New Roman"/>
                <w:color w:val="FF0000"/>
                <w:sz w:val="21"/>
                <w:szCs w:val="20"/>
                <w:highlight w:val="none"/>
                <w:lang w:val="en-US" w:eastAsia="zh-CN"/>
              </w:rPr>
              <w:t>0.856</w:t>
            </w:r>
          </w:p>
        </w:tc>
        <w:tc>
          <w:tcPr>
            <w:tcW w:w="542" w:type="pct"/>
            <w:tcBorders>
              <w:tl2br w:val="nil"/>
              <w:tr2bl w:val="nil"/>
            </w:tcBorders>
            <w:shd w:val="clear" w:color="auto" w:fill="auto"/>
            <w:noWrap/>
            <w:vAlign w:val="center"/>
          </w:tcPr>
          <w:p>
            <w:pPr>
              <w:spacing w:line="240" w:lineRule="auto"/>
              <w:ind w:firstLine="0" w:firstLineChars="0"/>
              <w:jc w:val="center"/>
              <w:rPr>
                <w:rFonts w:hint="eastAsia" w:ascii="Times New Roman" w:hAnsi="Times New Roman" w:cs="Times New Roman"/>
                <w:color w:val="FF0000"/>
                <w:sz w:val="21"/>
                <w:szCs w:val="20"/>
                <w:highlight w:val="none"/>
                <w:lang w:val="en-US" w:eastAsia="zh-CN"/>
              </w:rPr>
            </w:pPr>
            <w:r>
              <w:rPr>
                <w:rFonts w:hint="eastAsia" w:ascii="Times New Roman" w:hAnsi="Times New Roman" w:cs="Times New Roman"/>
                <w:color w:val="FF0000"/>
                <w:sz w:val="21"/>
                <w:szCs w:val="20"/>
                <w:highlight w:val="none"/>
                <w:lang w:val="en-US" w:eastAsia="zh-CN"/>
              </w:rPr>
              <w:t>132.750</w:t>
            </w:r>
          </w:p>
        </w:tc>
        <w:tc>
          <w:tcPr>
            <w:tcW w:w="555"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FF0000"/>
                <w:sz w:val="21"/>
                <w:szCs w:val="20"/>
                <w:highlight w:val="none"/>
              </w:rPr>
            </w:pPr>
            <w:r>
              <w:rPr>
                <w:rFonts w:hint="default" w:ascii="Times New Roman" w:hAnsi="Times New Roman" w:cs="Times New Roman"/>
                <w:color w:val="FF0000"/>
                <w:sz w:val="21"/>
                <w:szCs w:val="20"/>
                <w:highlight w:val="none"/>
                <w:lang w:val="en-US" w:eastAsia="zh-CN"/>
              </w:rPr>
              <w:t>97.14%</w:t>
            </w:r>
          </w:p>
        </w:tc>
        <w:tc>
          <w:tcPr>
            <w:tcW w:w="417" w:type="pct"/>
            <w:tcBorders>
              <w:tl2br w:val="nil"/>
              <w:tr2bl w:val="nil"/>
            </w:tcBorders>
            <w:shd w:val="clear" w:color="auto" w:fill="FFFFFF"/>
            <w:vAlign w:val="center"/>
          </w:tcPr>
          <w:p>
            <w:pPr>
              <w:spacing w:line="240" w:lineRule="auto"/>
              <w:ind w:firstLine="0" w:firstLineChars="0"/>
              <w:jc w:val="center"/>
              <w:rPr>
                <w:rFonts w:hint="default" w:ascii="Times New Roman" w:hAnsi="Times New Roman" w:cs="Times New Roman"/>
                <w:color w:val="FF0000"/>
                <w:sz w:val="21"/>
                <w:szCs w:val="20"/>
                <w:highlight w:val="none"/>
              </w:rPr>
            </w:pPr>
            <w:r>
              <w:rPr>
                <w:rFonts w:hint="eastAsia" w:ascii="Times New Roman" w:hAnsi="Times New Roman" w:cs="Times New Roman"/>
                <w:color w:val="FF0000"/>
                <w:sz w:val="21"/>
                <w:szCs w:val="20"/>
                <w:highlight w:val="none"/>
                <w:lang w:val="en-US" w:eastAsia="zh-CN"/>
              </w:rPr>
              <w:t>5</w:t>
            </w:r>
          </w:p>
        </w:tc>
        <w:tc>
          <w:tcPr>
            <w:tcW w:w="362" w:type="pct"/>
            <w:tcBorders>
              <w:tl2br w:val="nil"/>
              <w:tr2bl w:val="nil"/>
            </w:tcBorders>
            <w:shd w:val="clear" w:color="auto" w:fill="auto"/>
            <w:noWrap/>
            <w:vAlign w:val="center"/>
          </w:tcPr>
          <w:p>
            <w:pPr>
              <w:spacing w:line="240" w:lineRule="auto"/>
              <w:ind w:firstLine="0" w:firstLineChars="0"/>
              <w:jc w:val="center"/>
              <w:rPr>
                <w:rFonts w:hint="eastAsia" w:ascii="Times New Roman" w:hAnsi="Times New Roman" w:cs="Times New Roman"/>
                <w:color w:val="FF0000"/>
                <w:sz w:val="21"/>
                <w:szCs w:val="20"/>
                <w:highlight w:val="none"/>
                <w:lang w:val="en-US" w:eastAsia="zh-CN"/>
              </w:rPr>
            </w:pPr>
            <w:r>
              <w:rPr>
                <w:rFonts w:hint="default" w:ascii="Times New Roman" w:hAnsi="Times New Roman" w:cs="Times New Roman"/>
                <w:color w:val="FF0000"/>
                <w:sz w:val="21"/>
                <w:szCs w:val="20"/>
                <w:highlight w:val="none"/>
                <w:lang w:val="en-US" w:eastAsia="zh-CN"/>
              </w:rPr>
              <w:t>0.012</w:t>
            </w:r>
          </w:p>
        </w:tc>
        <w:tc>
          <w:tcPr>
            <w:tcW w:w="472" w:type="pct"/>
            <w:tcBorders>
              <w:tl2br w:val="nil"/>
              <w:tr2bl w:val="nil"/>
            </w:tcBorders>
            <w:shd w:val="clear" w:color="auto" w:fill="auto"/>
            <w:noWrap/>
            <w:vAlign w:val="center"/>
          </w:tcPr>
          <w:p>
            <w:pPr>
              <w:spacing w:line="240" w:lineRule="auto"/>
              <w:ind w:firstLine="0" w:firstLineChars="0"/>
              <w:jc w:val="center"/>
              <w:rPr>
                <w:rFonts w:hint="eastAsia" w:ascii="Times New Roman" w:hAnsi="Times New Roman" w:cs="Times New Roman"/>
                <w:color w:val="FF0000"/>
                <w:sz w:val="21"/>
                <w:szCs w:val="20"/>
                <w:highlight w:val="none"/>
                <w:lang w:val="en-US" w:eastAsia="zh-CN"/>
              </w:rPr>
            </w:pPr>
            <w:r>
              <w:rPr>
                <w:rFonts w:hint="default" w:ascii="Times New Roman" w:hAnsi="Times New Roman" w:cs="Times New Roman"/>
                <w:color w:val="FF0000"/>
                <w:sz w:val="21"/>
                <w:szCs w:val="20"/>
                <w:highlight w:val="none"/>
                <w:lang w:val="en-US" w:eastAsia="zh-CN"/>
              </w:rPr>
              <w:t>1.896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55"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p>
        </w:tc>
        <w:tc>
          <w:tcPr>
            <w:tcW w:w="444" w:type="pc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rPr>
            </w:pPr>
            <w:r>
              <w:rPr>
                <w:rFonts w:hint="eastAsia" w:ascii="Times New Roman" w:hAnsi="Times New Roman" w:eastAsia="宋体" w:cs="Times New Roman"/>
                <w:color w:val="FF0000"/>
                <w:sz w:val="21"/>
                <w:szCs w:val="20"/>
                <w:highlight w:val="none"/>
                <w:lang w:val="en-US" w:eastAsia="zh-CN"/>
              </w:rPr>
              <w:t>氨氮</w:t>
            </w:r>
          </w:p>
        </w:tc>
        <w:tc>
          <w:tcPr>
            <w:tcW w:w="1098" w:type="pct"/>
            <w:tcBorders>
              <w:tl2br w:val="nil"/>
              <w:tr2bl w:val="nil"/>
            </w:tcBorders>
            <w:shd w:val="clear" w:color="auto" w:fill="FFFFFF"/>
            <w:vAlign w:val="center"/>
          </w:tcPr>
          <w:p>
            <w:pPr>
              <w:spacing w:line="240" w:lineRule="auto"/>
              <w:ind w:firstLine="0" w:firstLineChars="0"/>
              <w:jc w:val="center"/>
              <w:rPr>
                <w:rFonts w:hint="default" w:ascii="Times New Roman" w:hAnsi="Times New Roman" w:cs="Times New Roman"/>
                <w:color w:val="FF0000"/>
                <w:sz w:val="21"/>
                <w:szCs w:val="20"/>
                <w:highlight w:val="none"/>
              </w:rPr>
            </w:pPr>
            <w:r>
              <w:rPr>
                <w:rFonts w:hint="default" w:ascii="Times New Roman" w:hAnsi="Times New Roman" w:cs="Times New Roman"/>
                <w:color w:val="FF0000"/>
                <w:sz w:val="21"/>
                <w:szCs w:val="20"/>
                <w:highlight w:val="none"/>
                <w:lang w:val="en-US" w:eastAsia="zh-CN"/>
              </w:rPr>
              <w:t>35</w:t>
            </w:r>
          </w:p>
        </w:tc>
        <w:tc>
          <w:tcPr>
            <w:tcW w:w="550" w:type="pct"/>
            <w:tcBorders>
              <w:tl2br w:val="nil"/>
              <w:tr2bl w:val="nil"/>
            </w:tcBorders>
            <w:shd w:val="clear" w:color="auto" w:fill="auto"/>
            <w:vAlign w:val="center"/>
          </w:tcPr>
          <w:p>
            <w:pPr>
              <w:spacing w:line="240" w:lineRule="auto"/>
              <w:ind w:firstLine="0" w:firstLineChars="0"/>
              <w:jc w:val="center"/>
              <w:rPr>
                <w:rFonts w:hint="eastAsia" w:ascii="Times New Roman" w:hAnsi="Times New Roman" w:cs="Times New Roman"/>
                <w:color w:val="FF0000"/>
                <w:sz w:val="21"/>
                <w:szCs w:val="20"/>
                <w:highlight w:val="none"/>
                <w:lang w:val="en-US" w:eastAsia="zh-CN"/>
              </w:rPr>
            </w:pPr>
            <w:r>
              <w:rPr>
                <w:rFonts w:hint="eastAsia" w:ascii="Times New Roman" w:hAnsi="Times New Roman" w:cs="Times New Roman"/>
                <w:color w:val="FF0000"/>
                <w:sz w:val="21"/>
                <w:szCs w:val="20"/>
                <w:highlight w:val="none"/>
                <w:lang w:val="en-US" w:eastAsia="zh-CN"/>
              </w:rPr>
              <w:t>0.086</w:t>
            </w:r>
          </w:p>
        </w:tc>
        <w:tc>
          <w:tcPr>
            <w:tcW w:w="542" w:type="pct"/>
            <w:tcBorders>
              <w:tl2br w:val="nil"/>
              <w:tr2bl w:val="nil"/>
            </w:tcBorders>
            <w:shd w:val="clear" w:color="auto" w:fill="auto"/>
            <w:noWrap/>
            <w:vAlign w:val="center"/>
          </w:tcPr>
          <w:p>
            <w:pPr>
              <w:spacing w:line="240" w:lineRule="auto"/>
              <w:ind w:firstLine="0" w:firstLineChars="0"/>
              <w:jc w:val="center"/>
              <w:rPr>
                <w:rFonts w:hint="eastAsia" w:ascii="Times New Roman" w:hAnsi="Times New Roman" w:cs="Times New Roman"/>
                <w:color w:val="FF0000"/>
                <w:sz w:val="21"/>
                <w:szCs w:val="20"/>
                <w:highlight w:val="none"/>
                <w:lang w:val="en-US" w:eastAsia="zh-CN"/>
              </w:rPr>
            </w:pPr>
            <w:r>
              <w:rPr>
                <w:rFonts w:hint="eastAsia" w:ascii="Times New Roman" w:hAnsi="Times New Roman" w:cs="Times New Roman"/>
                <w:color w:val="FF0000"/>
                <w:sz w:val="21"/>
                <w:szCs w:val="20"/>
                <w:highlight w:val="none"/>
                <w:lang w:val="en-US" w:eastAsia="zh-CN"/>
              </w:rPr>
              <w:t>13.275</w:t>
            </w:r>
          </w:p>
        </w:tc>
        <w:tc>
          <w:tcPr>
            <w:tcW w:w="555"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FF0000"/>
                <w:sz w:val="21"/>
                <w:szCs w:val="20"/>
                <w:highlight w:val="none"/>
              </w:rPr>
            </w:pPr>
            <w:r>
              <w:rPr>
                <w:rFonts w:hint="default" w:ascii="Times New Roman" w:hAnsi="Times New Roman" w:cs="Times New Roman"/>
                <w:color w:val="FF0000"/>
                <w:sz w:val="21"/>
                <w:szCs w:val="20"/>
                <w:highlight w:val="none"/>
                <w:lang w:val="en-US" w:eastAsia="zh-CN"/>
              </w:rPr>
              <w:t>85.71%</w:t>
            </w:r>
          </w:p>
        </w:tc>
        <w:tc>
          <w:tcPr>
            <w:tcW w:w="417" w:type="pct"/>
            <w:tcBorders>
              <w:tl2br w:val="nil"/>
              <w:tr2bl w:val="nil"/>
            </w:tcBorders>
            <w:shd w:val="clear" w:color="auto" w:fill="FFFFFF"/>
            <w:vAlign w:val="center"/>
          </w:tcPr>
          <w:p>
            <w:pPr>
              <w:spacing w:line="240" w:lineRule="auto"/>
              <w:ind w:firstLine="0" w:firstLineChars="0"/>
              <w:jc w:val="center"/>
              <w:rPr>
                <w:rFonts w:hint="default" w:ascii="Times New Roman" w:hAnsi="Times New Roman" w:cs="Times New Roman"/>
                <w:color w:val="FF0000"/>
                <w:sz w:val="21"/>
                <w:szCs w:val="20"/>
                <w:highlight w:val="none"/>
                <w:lang w:val="en-US"/>
              </w:rPr>
            </w:pPr>
            <w:r>
              <w:rPr>
                <w:rFonts w:hint="eastAsia" w:ascii="Times New Roman" w:hAnsi="Times New Roman" w:cs="Times New Roman"/>
                <w:color w:val="FF0000"/>
                <w:sz w:val="21"/>
                <w:szCs w:val="20"/>
                <w:highlight w:val="none"/>
                <w:lang w:val="en-US" w:eastAsia="zh-CN"/>
              </w:rPr>
              <w:t>4.86</w:t>
            </w:r>
          </w:p>
        </w:tc>
        <w:tc>
          <w:tcPr>
            <w:tcW w:w="362" w:type="pct"/>
            <w:tcBorders>
              <w:tl2br w:val="nil"/>
              <w:tr2bl w:val="nil"/>
            </w:tcBorders>
            <w:shd w:val="clear" w:color="auto" w:fill="auto"/>
            <w:noWrap/>
            <w:vAlign w:val="center"/>
          </w:tcPr>
          <w:p>
            <w:pPr>
              <w:spacing w:line="240" w:lineRule="auto"/>
              <w:ind w:firstLine="0" w:firstLineChars="0"/>
              <w:jc w:val="center"/>
              <w:rPr>
                <w:rFonts w:hint="eastAsia" w:ascii="Times New Roman" w:hAnsi="Times New Roman" w:cs="Times New Roman"/>
                <w:color w:val="FF0000"/>
                <w:sz w:val="21"/>
                <w:szCs w:val="20"/>
                <w:highlight w:val="none"/>
                <w:lang w:val="en-US" w:eastAsia="zh-CN"/>
              </w:rPr>
            </w:pPr>
            <w:r>
              <w:rPr>
                <w:rFonts w:hint="default" w:ascii="Times New Roman" w:hAnsi="Times New Roman" w:cs="Times New Roman"/>
                <w:color w:val="FF0000"/>
                <w:sz w:val="21"/>
                <w:szCs w:val="20"/>
                <w:highlight w:val="none"/>
                <w:lang w:val="en-US" w:eastAsia="zh-CN"/>
              </w:rPr>
              <w:t>0.012</w:t>
            </w:r>
          </w:p>
        </w:tc>
        <w:tc>
          <w:tcPr>
            <w:tcW w:w="472" w:type="pct"/>
            <w:tcBorders>
              <w:tl2br w:val="nil"/>
              <w:tr2bl w:val="nil"/>
            </w:tcBorders>
            <w:shd w:val="clear" w:color="auto" w:fill="auto"/>
            <w:noWrap/>
            <w:vAlign w:val="center"/>
          </w:tcPr>
          <w:p>
            <w:pPr>
              <w:spacing w:line="240" w:lineRule="auto"/>
              <w:ind w:firstLine="0" w:firstLineChars="0"/>
              <w:jc w:val="center"/>
              <w:rPr>
                <w:rFonts w:hint="eastAsia" w:ascii="Times New Roman" w:hAnsi="Times New Roman" w:cs="Times New Roman"/>
                <w:color w:val="FF0000"/>
                <w:sz w:val="21"/>
                <w:szCs w:val="20"/>
                <w:highlight w:val="none"/>
                <w:lang w:val="en-US" w:eastAsia="zh-CN"/>
              </w:rPr>
            </w:pPr>
            <w:r>
              <w:rPr>
                <w:rFonts w:hint="default" w:ascii="Times New Roman" w:hAnsi="Times New Roman" w:cs="Times New Roman"/>
                <w:color w:val="FF0000"/>
                <w:sz w:val="21"/>
                <w:szCs w:val="20"/>
                <w:highlight w:val="none"/>
                <w:lang w:val="en-US" w:eastAsia="zh-CN"/>
              </w:rPr>
              <w:t>1.843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55"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p>
        </w:tc>
        <w:tc>
          <w:tcPr>
            <w:tcW w:w="444" w:type="pc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rPr>
            </w:pPr>
            <w:r>
              <w:rPr>
                <w:rFonts w:hint="eastAsia" w:ascii="Times New Roman" w:hAnsi="Times New Roman" w:eastAsia="宋体" w:cs="Times New Roman"/>
                <w:color w:val="FF0000"/>
                <w:sz w:val="21"/>
                <w:szCs w:val="20"/>
                <w:highlight w:val="none"/>
                <w:lang w:val="en-US" w:eastAsia="zh-CN"/>
              </w:rPr>
              <w:t>总氮</w:t>
            </w:r>
          </w:p>
        </w:tc>
        <w:tc>
          <w:tcPr>
            <w:tcW w:w="1098" w:type="pct"/>
            <w:tcBorders>
              <w:tl2br w:val="nil"/>
              <w:tr2bl w:val="nil"/>
            </w:tcBorders>
            <w:shd w:val="clear" w:color="auto" w:fill="FFFFFF"/>
            <w:vAlign w:val="center"/>
          </w:tcPr>
          <w:p>
            <w:pPr>
              <w:spacing w:line="240" w:lineRule="auto"/>
              <w:ind w:firstLine="0" w:firstLineChars="0"/>
              <w:jc w:val="center"/>
              <w:rPr>
                <w:rFonts w:hint="default" w:ascii="Times New Roman" w:hAnsi="Times New Roman" w:cs="Times New Roman"/>
                <w:color w:val="FF0000"/>
                <w:sz w:val="21"/>
                <w:szCs w:val="20"/>
                <w:highlight w:val="none"/>
              </w:rPr>
            </w:pPr>
            <w:r>
              <w:rPr>
                <w:rFonts w:hint="default" w:ascii="Times New Roman" w:hAnsi="Times New Roman" w:cs="Times New Roman"/>
                <w:color w:val="FF0000"/>
                <w:sz w:val="21"/>
                <w:szCs w:val="20"/>
                <w:highlight w:val="none"/>
                <w:lang w:val="en-US" w:eastAsia="zh-CN"/>
              </w:rPr>
              <w:t>70</w:t>
            </w:r>
          </w:p>
        </w:tc>
        <w:tc>
          <w:tcPr>
            <w:tcW w:w="550" w:type="pct"/>
            <w:tcBorders>
              <w:tl2br w:val="nil"/>
              <w:tr2bl w:val="nil"/>
            </w:tcBorders>
            <w:shd w:val="clear" w:color="auto" w:fill="auto"/>
            <w:vAlign w:val="center"/>
          </w:tcPr>
          <w:p>
            <w:pPr>
              <w:spacing w:line="240" w:lineRule="auto"/>
              <w:ind w:firstLine="0" w:firstLineChars="0"/>
              <w:jc w:val="center"/>
              <w:rPr>
                <w:rFonts w:hint="eastAsia" w:ascii="Times New Roman" w:hAnsi="Times New Roman" w:cs="Times New Roman"/>
                <w:color w:val="FF0000"/>
                <w:sz w:val="21"/>
                <w:szCs w:val="20"/>
                <w:highlight w:val="none"/>
                <w:lang w:val="en-US" w:eastAsia="zh-CN"/>
              </w:rPr>
            </w:pPr>
            <w:r>
              <w:rPr>
                <w:rFonts w:hint="eastAsia" w:ascii="Times New Roman" w:hAnsi="Times New Roman" w:cs="Times New Roman"/>
                <w:color w:val="FF0000"/>
                <w:sz w:val="21"/>
                <w:szCs w:val="20"/>
                <w:highlight w:val="none"/>
                <w:lang w:val="en-US" w:eastAsia="zh-CN"/>
              </w:rPr>
              <w:t>0.171</w:t>
            </w:r>
          </w:p>
        </w:tc>
        <w:tc>
          <w:tcPr>
            <w:tcW w:w="542" w:type="pct"/>
            <w:tcBorders>
              <w:tl2br w:val="nil"/>
              <w:tr2bl w:val="nil"/>
            </w:tcBorders>
            <w:shd w:val="clear" w:color="auto" w:fill="auto"/>
            <w:noWrap/>
            <w:vAlign w:val="center"/>
          </w:tcPr>
          <w:p>
            <w:pPr>
              <w:spacing w:line="240" w:lineRule="auto"/>
              <w:ind w:firstLine="0" w:firstLineChars="0"/>
              <w:jc w:val="center"/>
              <w:rPr>
                <w:rFonts w:hint="eastAsia" w:ascii="Times New Roman" w:hAnsi="Times New Roman" w:cs="Times New Roman"/>
                <w:color w:val="FF0000"/>
                <w:sz w:val="21"/>
                <w:szCs w:val="20"/>
                <w:highlight w:val="none"/>
                <w:lang w:val="en-US" w:eastAsia="zh-CN"/>
              </w:rPr>
            </w:pPr>
            <w:r>
              <w:rPr>
                <w:rFonts w:hint="eastAsia" w:ascii="Times New Roman" w:hAnsi="Times New Roman" w:cs="Times New Roman"/>
                <w:color w:val="FF0000"/>
                <w:sz w:val="21"/>
                <w:szCs w:val="20"/>
                <w:highlight w:val="none"/>
                <w:lang w:val="en-US" w:eastAsia="zh-CN"/>
              </w:rPr>
              <w:t>26.550</w:t>
            </w:r>
          </w:p>
        </w:tc>
        <w:tc>
          <w:tcPr>
            <w:tcW w:w="555"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FF0000"/>
                <w:sz w:val="21"/>
                <w:szCs w:val="20"/>
                <w:highlight w:val="none"/>
              </w:rPr>
            </w:pPr>
            <w:r>
              <w:rPr>
                <w:rFonts w:hint="default" w:ascii="Times New Roman" w:hAnsi="Times New Roman" w:cs="Times New Roman"/>
                <w:color w:val="FF0000"/>
                <w:sz w:val="21"/>
                <w:szCs w:val="20"/>
                <w:highlight w:val="none"/>
                <w:lang w:val="en-US" w:eastAsia="zh-CN"/>
              </w:rPr>
              <w:t>78.57%</w:t>
            </w:r>
          </w:p>
        </w:tc>
        <w:tc>
          <w:tcPr>
            <w:tcW w:w="417" w:type="pct"/>
            <w:tcBorders>
              <w:tl2br w:val="nil"/>
              <w:tr2bl w:val="nil"/>
            </w:tcBorders>
            <w:shd w:val="clear" w:color="auto" w:fill="FFFFFF"/>
            <w:vAlign w:val="center"/>
          </w:tcPr>
          <w:p>
            <w:pPr>
              <w:spacing w:line="240" w:lineRule="auto"/>
              <w:ind w:firstLine="0" w:firstLineChars="0"/>
              <w:jc w:val="center"/>
              <w:rPr>
                <w:rFonts w:hint="default" w:ascii="Times New Roman" w:hAnsi="Times New Roman" w:cs="Times New Roman"/>
                <w:color w:val="FF0000"/>
                <w:sz w:val="21"/>
                <w:szCs w:val="20"/>
                <w:highlight w:val="none"/>
                <w:lang w:val="en-US"/>
              </w:rPr>
            </w:pPr>
            <w:r>
              <w:rPr>
                <w:rFonts w:hint="eastAsia" w:ascii="Times New Roman" w:hAnsi="Times New Roman" w:cs="Times New Roman"/>
                <w:color w:val="FF0000"/>
                <w:sz w:val="21"/>
                <w:szCs w:val="20"/>
                <w:highlight w:val="none"/>
                <w:lang w:val="en-US" w:eastAsia="zh-CN"/>
              </w:rPr>
              <w:t>14.175</w:t>
            </w:r>
          </w:p>
        </w:tc>
        <w:tc>
          <w:tcPr>
            <w:tcW w:w="362" w:type="pct"/>
            <w:tcBorders>
              <w:tl2br w:val="nil"/>
              <w:tr2bl w:val="nil"/>
            </w:tcBorders>
            <w:shd w:val="clear" w:color="auto" w:fill="auto"/>
            <w:noWrap/>
            <w:vAlign w:val="center"/>
          </w:tcPr>
          <w:p>
            <w:pPr>
              <w:spacing w:line="240" w:lineRule="auto"/>
              <w:ind w:firstLine="0" w:firstLineChars="0"/>
              <w:jc w:val="center"/>
              <w:rPr>
                <w:rFonts w:hint="eastAsia" w:ascii="Times New Roman" w:hAnsi="Times New Roman" w:cs="Times New Roman"/>
                <w:color w:val="FF0000"/>
                <w:sz w:val="21"/>
                <w:szCs w:val="20"/>
                <w:highlight w:val="none"/>
                <w:lang w:val="en-US" w:eastAsia="zh-CN"/>
              </w:rPr>
            </w:pPr>
            <w:r>
              <w:rPr>
                <w:rFonts w:hint="default" w:ascii="Times New Roman" w:hAnsi="Times New Roman" w:cs="Times New Roman"/>
                <w:color w:val="FF0000"/>
                <w:sz w:val="21"/>
                <w:szCs w:val="20"/>
                <w:highlight w:val="none"/>
                <w:lang w:val="en-US" w:eastAsia="zh-CN"/>
              </w:rPr>
              <w:t>0.035</w:t>
            </w:r>
          </w:p>
        </w:tc>
        <w:tc>
          <w:tcPr>
            <w:tcW w:w="472" w:type="pct"/>
            <w:tcBorders>
              <w:tl2br w:val="nil"/>
              <w:tr2bl w:val="nil"/>
            </w:tcBorders>
            <w:shd w:val="clear" w:color="auto" w:fill="auto"/>
            <w:noWrap/>
            <w:vAlign w:val="center"/>
          </w:tcPr>
          <w:p>
            <w:pPr>
              <w:spacing w:line="240" w:lineRule="auto"/>
              <w:ind w:firstLine="0" w:firstLineChars="0"/>
              <w:jc w:val="center"/>
              <w:rPr>
                <w:rFonts w:hint="eastAsia" w:ascii="Times New Roman" w:hAnsi="Times New Roman" w:cs="Times New Roman"/>
                <w:color w:val="FF0000"/>
                <w:sz w:val="21"/>
                <w:szCs w:val="20"/>
                <w:highlight w:val="none"/>
                <w:lang w:val="en-US" w:eastAsia="zh-CN"/>
              </w:rPr>
            </w:pPr>
            <w:r>
              <w:rPr>
                <w:rFonts w:hint="default" w:ascii="Times New Roman" w:hAnsi="Times New Roman" w:cs="Times New Roman"/>
                <w:color w:val="FF0000"/>
                <w:sz w:val="21"/>
                <w:szCs w:val="20"/>
                <w:highlight w:val="none"/>
                <w:lang w:val="en-US" w:eastAsia="zh-CN"/>
              </w:rPr>
              <w:t>5.376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55"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p>
        </w:tc>
        <w:tc>
          <w:tcPr>
            <w:tcW w:w="444" w:type="pc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r>
              <w:rPr>
                <w:rFonts w:hint="default" w:ascii="Times New Roman" w:hAnsi="Times New Roman" w:eastAsia="宋体" w:cs="Times New Roman"/>
                <w:color w:val="FF0000"/>
                <w:sz w:val="21"/>
                <w:szCs w:val="20"/>
                <w:highlight w:val="none"/>
                <w:lang w:val="en-US" w:eastAsia="zh-CN"/>
              </w:rPr>
              <w:t>TP</w:t>
            </w:r>
          </w:p>
        </w:tc>
        <w:tc>
          <w:tcPr>
            <w:tcW w:w="1098" w:type="pct"/>
            <w:tcBorders>
              <w:tl2br w:val="nil"/>
              <w:tr2bl w:val="nil"/>
            </w:tcBorders>
            <w:shd w:val="clear" w:color="auto" w:fill="FFFFFF"/>
            <w:vAlign w:val="center"/>
          </w:tcPr>
          <w:p>
            <w:pPr>
              <w:spacing w:line="240" w:lineRule="auto"/>
              <w:ind w:firstLine="0" w:firstLineChars="0"/>
              <w:jc w:val="center"/>
              <w:rPr>
                <w:rFonts w:hint="default" w:ascii="Times New Roman" w:hAnsi="Times New Roman" w:cs="Times New Roman"/>
                <w:color w:val="FF0000"/>
                <w:sz w:val="21"/>
                <w:szCs w:val="20"/>
                <w:highlight w:val="none"/>
              </w:rPr>
            </w:pPr>
            <w:r>
              <w:rPr>
                <w:rFonts w:hint="default" w:ascii="Times New Roman" w:hAnsi="Times New Roman" w:cs="Times New Roman"/>
                <w:color w:val="FF0000"/>
                <w:sz w:val="21"/>
                <w:szCs w:val="20"/>
                <w:highlight w:val="none"/>
                <w:lang w:val="en-US" w:eastAsia="zh-CN"/>
              </w:rPr>
              <w:t>5</w:t>
            </w:r>
          </w:p>
        </w:tc>
        <w:tc>
          <w:tcPr>
            <w:tcW w:w="550" w:type="pct"/>
            <w:tcBorders>
              <w:tl2br w:val="nil"/>
              <w:tr2bl w:val="nil"/>
            </w:tcBorders>
            <w:shd w:val="clear" w:color="auto" w:fill="auto"/>
            <w:vAlign w:val="center"/>
          </w:tcPr>
          <w:p>
            <w:pPr>
              <w:spacing w:line="240" w:lineRule="auto"/>
              <w:ind w:firstLine="0" w:firstLineChars="0"/>
              <w:jc w:val="center"/>
              <w:rPr>
                <w:rFonts w:hint="eastAsia" w:ascii="Times New Roman" w:hAnsi="Times New Roman" w:cs="Times New Roman"/>
                <w:color w:val="FF0000"/>
                <w:sz w:val="21"/>
                <w:szCs w:val="20"/>
                <w:highlight w:val="none"/>
                <w:lang w:val="en-US" w:eastAsia="zh-CN"/>
              </w:rPr>
            </w:pPr>
            <w:r>
              <w:rPr>
                <w:rFonts w:hint="eastAsia" w:ascii="Times New Roman" w:hAnsi="Times New Roman" w:cs="Times New Roman"/>
                <w:color w:val="FF0000"/>
                <w:sz w:val="21"/>
                <w:szCs w:val="20"/>
                <w:highlight w:val="none"/>
                <w:lang w:val="en-US" w:eastAsia="zh-CN"/>
              </w:rPr>
              <w:t>0.012</w:t>
            </w:r>
          </w:p>
        </w:tc>
        <w:tc>
          <w:tcPr>
            <w:tcW w:w="542" w:type="pct"/>
            <w:tcBorders>
              <w:tl2br w:val="nil"/>
              <w:tr2bl w:val="nil"/>
            </w:tcBorders>
            <w:shd w:val="clear" w:color="auto" w:fill="auto"/>
            <w:noWrap/>
            <w:vAlign w:val="center"/>
          </w:tcPr>
          <w:p>
            <w:pPr>
              <w:spacing w:line="240" w:lineRule="auto"/>
              <w:ind w:firstLine="0" w:firstLineChars="0"/>
              <w:jc w:val="center"/>
              <w:rPr>
                <w:rFonts w:hint="eastAsia" w:ascii="Times New Roman" w:hAnsi="Times New Roman" w:cs="Times New Roman"/>
                <w:color w:val="FF0000"/>
                <w:sz w:val="21"/>
                <w:szCs w:val="20"/>
                <w:highlight w:val="none"/>
                <w:lang w:val="en-US" w:eastAsia="zh-CN"/>
              </w:rPr>
            </w:pPr>
            <w:r>
              <w:rPr>
                <w:rFonts w:hint="eastAsia" w:ascii="Times New Roman" w:hAnsi="Times New Roman" w:cs="Times New Roman"/>
                <w:color w:val="FF0000"/>
                <w:sz w:val="21"/>
                <w:szCs w:val="20"/>
                <w:highlight w:val="none"/>
                <w:lang w:val="en-US" w:eastAsia="zh-CN"/>
              </w:rPr>
              <w:t>1.896</w:t>
            </w:r>
          </w:p>
        </w:tc>
        <w:tc>
          <w:tcPr>
            <w:tcW w:w="555" w:type="pct"/>
            <w:tcBorders>
              <w:tl2br w:val="nil"/>
              <w:tr2bl w:val="nil"/>
            </w:tcBorders>
            <w:shd w:val="clear" w:color="auto" w:fill="auto"/>
            <w:noWrap/>
            <w:vAlign w:val="center"/>
          </w:tcPr>
          <w:p>
            <w:pPr>
              <w:spacing w:line="240" w:lineRule="auto"/>
              <w:ind w:firstLine="0" w:firstLineChars="0"/>
              <w:jc w:val="center"/>
              <w:rPr>
                <w:rFonts w:hint="default" w:ascii="Times New Roman" w:hAnsi="Times New Roman" w:cs="Times New Roman"/>
                <w:color w:val="FF0000"/>
                <w:sz w:val="21"/>
                <w:szCs w:val="20"/>
                <w:highlight w:val="none"/>
              </w:rPr>
            </w:pPr>
            <w:r>
              <w:rPr>
                <w:rFonts w:hint="default" w:ascii="Times New Roman" w:hAnsi="Times New Roman" w:cs="Times New Roman"/>
                <w:color w:val="FF0000"/>
                <w:sz w:val="21"/>
                <w:szCs w:val="20"/>
                <w:highlight w:val="none"/>
                <w:lang w:val="en-US" w:eastAsia="zh-CN"/>
              </w:rPr>
              <w:t>90.00%</w:t>
            </w:r>
          </w:p>
        </w:tc>
        <w:tc>
          <w:tcPr>
            <w:tcW w:w="417" w:type="pct"/>
            <w:tcBorders>
              <w:tl2br w:val="nil"/>
              <w:tr2bl w:val="nil"/>
            </w:tcBorders>
            <w:shd w:val="clear" w:color="auto" w:fill="FFFFFF"/>
            <w:vAlign w:val="center"/>
          </w:tcPr>
          <w:p>
            <w:pPr>
              <w:spacing w:line="240" w:lineRule="auto"/>
              <w:ind w:firstLine="0" w:firstLineChars="0"/>
              <w:jc w:val="center"/>
              <w:rPr>
                <w:rFonts w:hint="default" w:ascii="Times New Roman" w:hAnsi="Times New Roman" w:cs="Times New Roman"/>
                <w:color w:val="FF0000"/>
                <w:sz w:val="21"/>
                <w:szCs w:val="20"/>
                <w:highlight w:val="none"/>
                <w:lang w:val="en-US"/>
              </w:rPr>
            </w:pPr>
            <w:r>
              <w:rPr>
                <w:rFonts w:hint="eastAsia" w:ascii="Times New Roman" w:hAnsi="Times New Roman" w:cs="Times New Roman"/>
                <w:color w:val="FF0000"/>
                <w:sz w:val="21"/>
                <w:szCs w:val="20"/>
                <w:highlight w:val="none"/>
                <w:lang w:val="en-US" w:eastAsia="zh-CN"/>
              </w:rPr>
              <w:t>0.274</w:t>
            </w:r>
          </w:p>
        </w:tc>
        <w:tc>
          <w:tcPr>
            <w:tcW w:w="362" w:type="pct"/>
            <w:tcBorders>
              <w:tl2br w:val="nil"/>
              <w:tr2bl w:val="nil"/>
            </w:tcBorders>
            <w:shd w:val="clear" w:color="auto" w:fill="auto"/>
            <w:noWrap/>
            <w:vAlign w:val="center"/>
          </w:tcPr>
          <w:p>
            <w:pPr>
              <w:spacing w:line="240" w:lineRule="auto"/>
              <w:ind w:firstLine="0" w:firstLineChars="0"/>
              <w:jc w:val="center"/>
              <w:rPr>
                <w:rFonts w:hint="eastAsia" w:ascii="Times New Roman" w:hAnsi="Times New Roman" w:cs="Times New Roman"/>
                <w:color w:val="FF0000"/>
                <w:sz w:val="21"/>
                <w:szCs w:val="20"/>
                <w:highlight w:val="none"/>
                <w:lang w:val="en-US" w:eastAsia="zh-CN"/>
              </w:rPr>
            </w:pPr>
            <w:r>
              <w:rPr>
                <w:rFonts w:hint="default" w:ascii="Times New Roman" w:hAnsi="Times New Roman" w:cs="Times New Roman"/>
                <w:color w:val="FF0000"/>
                <w:sz w:val="21"/>
                <w:szCs w:val="20"/>
                <w:highlight w:val="none"/>
                <w:lang w:val="en-US" w:eastAsia="zh-CN"/>
              </w:rPr>
              <w:t>0.001</w:t>
            </w:r>
          </w:p>
        </w:tc>
        <w:tc>
          <w:tcPr>
            <w:tcW w:w="472" w:type="pct"/>
            <w:tcBorders>
              <w:tl2br w:val="nil"/>
              <w:tr2bl w:val="nil"/>
            </w:tcBorders>
            <w:shd w:val="clear" w:color="auto" w:fill="auto"/>
            <w:noWrap/>
            <w:vAlign w:val="center"/>
          </w:tcPr>
          <w:p>
            <w:pPr>
              <w:spacing w:line="240" w:lineRule="auto"/>
              <w:ind w:firstLine="0" w:firstLineChars="0"/>
              <w:jc w:val="center"/>
              <w:rPr>
                <w:rFonts w:hint="eastAsia" w:ascii="Times New Roman" w:hAnsi="Times New Roman" w:cs="Times New Roman"/>
                <w:color w:val="FF0000"/>
                <w:sz w:val="21"/>
                <w:szCs w:val="20"/>
                <w:highlight w:val="none"/>
                <w:lang w:val="en-US" w:eastAsia="zh-CN"/>
              </w:rPr>
            </w:pPr>
            <w:r>
              <w:rPr>
                <w:rFonts w:hint="default" w:ascii="Times New Roman" w:hAnsi="Times New Roman" w:cs="Times New Roman"/>
                <w:color w:val="FF0000"/>
                <w:sz w:val="21"/>
                <w:szCs w:val="20"/>
                <w:highlight w:val="none"/>
                <w:lang w:val="en-US" w:eastAsia="zh-CN"/>
              </w:rPr>
              <w:t>0.104</w:t>
            </w:r>
          </w:p>
        </w:tc>
      </w:tr>
    </w:tbl>
    <w:p>
      <w:pPr>
        <w:spacing w:line="240" w:lineRule="auto"/>
        <w:ind w:firstLine="0" w:firstLineChars="0"/>
        <w:jc w:val="center"/>
        <w:rPr>
          <w:rFonts w:hint="default" w:ascii="Times New Roman" w:hAnsi="Times New Roman" w:eastAsia="黑体" w:cs="Times New Roman"/>
          <w:color w:val="FF0000"/>
          <w:highlight w:val="none"/>
        </w:rPr>
      </w:pPr>
      <w:r>
        <w:rPr>
          <w:rFonts w:hint="default" w:ascii="Times New Roman" w:hAnsi="Times New Roman" w:eastAsia="黑体" w:cs="Times New Roman"/>
          <w:color w:val="FF0000"/>
          <w:highlight w:val="none"/>
        </w:rPr>
        <w:t>表</w:t>
      </w:r>
      <w:r>
        <w:rPr>
          <w:rFonts w:hint="default" w:ascii="Times New Roman" w:hAnsi="Times New Roman" w:cs="Times New Roman"/>
          <w:color w:val="FF0000"/>
          <w:highlight w:val="none"/>
        </w:rPr>
        <w:t>3.5-</w:t>
      </w:r>
      <w:r>
        <w:rPr>
          <w:rFonts w:hint="eastAsia" w:cs="Times New Roman"/>
          <w:color w:val="FF0000"/>
          <w:highlight w:val="none"/>
          <w:lang w:val="en-US" w:eastAsia="zh-CN"/>
        </w:rPr>
        <w:t>5</w:t>
      </w:r>
      <w:r>
        <w:rPr>
          <w:rFonts w:hint="eastAsia" w:eastAsia="黑体" w:cs="Times New Roman"/>
          <w:color w:val="FF0000"/>
          <w:highlight w:val="none"/>
          <w:lang w:val="en-US" w:eastAsia="zh-CN"/>
        </w:rPr>
        <w:t>扩建夏季灌溉季新增</w:t>
      </w:r>
      <w:r>
        <w:rPr>
          <w:rFonts w:hint="default" w:ascii="Times New Roman" w:hAnsi="Times New Roman" w:eastAsia="黑体" w:cs="Times New Roman"/>
          <w:color w:val="FF0000"/>
          <w:highlight w:val="none"/>
        </w:rPr>
        <w:t>废水污染物产、排情况一览表</w:t>
      </w:r>
    </w:p>
    <w:tbl>
      <w:tblPr>
        <w:tblStyle w:val="33"/>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056"/>
        <w:gridCol w:w="845"/>
        <w:gridCol w:w="2053"/>
        <w:gridCol w:w="886"/>
        <w:gridCol w:w="1232"/>
        <w:gridCol w:w="913"/>
        <w:gridCol w:w="936"/>
        <w:gridCol w:w="689"/>
        <w:gridCol w:w="8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55" w:type="pct"/>
            <w:vMerge w:val="restart"/>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rPr>
            </w:pPr>
            <w:r>
              <w:rPr>
                <w:rFonts w:hint="default" w:ascii="Times New Roman" w:hAnsi="Times New Roman" w:cs="Times New Roman"/>
                <w:color w:val="FF0000"/>
                <w:sz w:val="21"/>
                <w:szCs w:val="20"/>
                <w:highlight w:val="none"/>
              </w:rPr>
              <w:t>进水总量</w:t>
            </w:r>
          </w:p>
        </w:tc>
        <w:tc>
          <w:tcPr>
            <w:tcW w:w="444" w:type="pct"/>
            <w:vMerge w:val="restart"/>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eastAsia" w:ascii="Times New Roman" w:hAnsi="Times New Roman" w:eastAsia="宋体" w:cs="Times New Roman"/>
                <w:color w:val="FF0000"/>
                <w:sz w:val="21"/>
                <w:szCs w:val="20"/>
                <w:highlight w:val="none"/>
                <w:lang w:val="en-US" w:eastAsia="zh-CN"/>
              </w:rPr>
              <w:t>污染物</w:t>
            </w:r>
          </w:p>
        </w:tc>
        <w:tc>
          <w:tcPr>
            <w:tcW w:w="1079" w:type="pct"/>
            <w:vMerge w:val="restart"/>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rPr>
            </w:pPr>
            <w:r>
              <w:rPr>
                <w:rFonts w:hint="eastAsia" w:ascii="Times New Roman" w:hAnsi="Times New Roman" w:eastAsia="宋体" w:cs="Times New Roman"/>
                <w:color w:val="FF0000"/>
                <w:sz w:val="21"/>
                <w:szCs w:val="20"/>
                <w:highlight w:val="none"/>
                <w:lang w:val="en-US" w:eastAsia="zh-CN"/>
              </w:rPr>
              <w:t>污水进水浓度（mg/L）</w:t>
            </w:r>
          </w:p>
        </w:tc>
        <w:tc>
          <w:tcPr>
            <w:tcW w:w="1113" w:type="pct"/>
            <w:gridSpan w:val="2"/>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rPr>
            </w:pPr>
            <w:r>
              <w:rPr>
                <w:rFonts w:hint="eastAsia" w:ascii="Times New Roman" w:hAnsi="Times New Roman" w:eastAsia="宋体" w:cs="Times New Roman"/>
                <w:color w:val="FF0000"/>
                <w:sz w:val="21"/>
                <w:szCs w:val="20"/>
                <w:highlight w:val="none"/>
                <w:lang w:val="en-US" w:eastAsia="zh-CN"/>
              </w:rPr>
              <w:t>进水总量</w:t>
            </w:r>
          </w:p>
        </w:tc>
        <w:tc>
          <w:tcPr>
            <w:tcW w:w="480" w:type="pct"/>
            <w:vMerge w:val="restart"/>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rPr>
            </w:pPr>
            <w:r>
              <w:rPr>
                <w:rFonts w:hint="eastAsia" w:ascii="Times New Roman" w:hAnsi="Times New Roman" w:eastAsia="宋体" w:cs="Times New Roman"/>
                <w:color w:val="FF0000"/>
                <w:sz w:val="21"/>
                <w:szCs w:val="20"/>
                <w:highlight w:val="none"/>
                <w:lang w:val="en-US" w:eastAsia="zh-CN"/>
              </w:rPr>
              <w:t>处理效率</w:t>
            </w:r>
          </w:p>
        </w:tc>
        <w:tc>
          <w:tcPr>
            <w:tcW w:w="1326" w:type="pct"/>
            <w:gridSpan w:val="3"/>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rPr>
            </w:pPr>
            <w:r>
              <w:rPr>
                <w:rFonts w:hint="eastAsia" w:ascii="Times New Roman" w:hAnsi="Times New Roman" w:eastAsia="宋体" w:cs="Times New Roman"/>
                <w:color w:val="FF0000"/>
                <w:sz w:val="21"/>
                <w:szCs w:val="20"/>
                <w:highlight w:val="none"/>
                <w:lang w:val="en-US" w:eastAsia="zh-CN"/>
              </w:rPr>
              <w:t>出水总量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55" w:type="pct"/>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rPr>
            </w:pPr>
          </w:p>
        </w:tc>
        <w:tc>
          <w:tcPr>
            <w:tcW w:w="444" w:type="pct"/>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rPr>
            </w:pPr>
          </w:p>
        </w:tc>
        <w:tc>
          <w:tcPr>
            <w:tcW w:w="1079" w:type="pct"/>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rPr>
            </w:pPr>
          </w:p>
        </w:tc>
        <w:tc>
          <w:tcPr>
            <w:tcW w:w="465"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r>
              <w:rPr>
                <w:rFonts w:hint="default" w:ascii="Times New Roman" w:hAnsi="Times New Roman" w:eastAsia="宋体" w:cs="Times New Roman"/>
                <w:color w:val="FF0000"/>
                <w:sz w:val="21"/>
                <w:szCs w:val="20"/>
                <w:highlight w:val="none"/>
                <w:lang w:val="en-US" w:eastAsia="zh-CN"/>
              </w:rPr>
              <w:t>t/d</w:t>
            </w:r>
          </w:p>
        </w:tc>
        <w:tc>
          <w:tcPr>
            <w:tcW w:w="647"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r>
              <w:rPr>
                <w:rFonts w:hint="default" w:ascii="Times New Roman" w:hAnsi="Times New Roman" w:eastAsia="宋体" w:cs="Times New Roman"/>
                <w:color w:val="FF0000"/>
                <w:sz w:val="21"/>
                <w:szCs w:val="20"/>
                <w:highlight w:val="none"/>
                <w:lang w:val="en-US" w:eastAsia="zh-CN"/>
              </w:rPr>
              <w:t>t/a</w:t>
            </w:r>
          </w:p>
        </w:tc>
        <w:tc>
          <w:tcPr>
            <w:tcW w:w="480" w:type="pct"/>
            <w:vMerge w:val="continue"/>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rPr>
            </w:pPr>
          </w:p>
        </w:tc>
        <w:tc>
          <w:tcPr>
            <w:tcW w:w="492"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rPr>
            </w:pPr>
            <w:r>
              <w:rPr>
                <w:rFonts w:hint="eastAsia" w:ascii="Times New Roman" w:hAnsi="Times New Roman" w:eastAsia="宋体" w:cs="Times New Roman"/>
                <w:color w:val="FF0000"/>
                <w:sz w:val="21"/>
                <w:szCs w:val="20"/>
                <w:highlight w:val="none"/>
                <w:lang w:val="en-US" w:eastAsia="zh-CN"/>
              </w:rPr>
              <w:t>出水水质浓度</w:t>
            </w:r>
          </w:p>
        </w:tc>
        <w:tc>
          <w:tcPr>
            <w:tcW w:w="362"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r>
              <w:rPr>
                <w:rFonts w:hint="default" w:ascii="Times New Roman" w:hAnsi="Times New Roman" w:eastAsia="宋体" w:cs="Times New Roman"/>
                <w:color w:val="FF0000"/>
                <w:sz w:val="21"/>
                <w:szCs w:val="20"/>
                <w:highlight w:val="none"/>
                <w:lang w:val="en-US" w:eastAsia="zh-CN"/>
              </w:rPr>
              <w:t>t/d</w:t>
            </w:r>
          </w:p>
        </w:tc>
        <w:tc>
          <w:tcPr>
            <w:tcW w:w="472"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r>
              <w:rPr>
                <w:rFonts w:hint="default" w:ascii="Times New Roman" w:hAnsi="Times New Roman" w:eastAsia="宋体" w:cs="Times New Roman"/>
                <w:color w:val="FF0000"/>
                <w:sz w:val="21"/>
                <w:szCs w:val="20"/>
                <w:highlight w:val="none"/>
                <w:lang w:val="en-US" w:eastAsia="zh-CN"/>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02" w:hRule="atLeast"/>
        </w:trPr>
        <w:tc>
          <w:tcPr>
            <w:tcW w:w="555" w:type="pct"/>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r>
              <w:rPr>
                <w:rFonts w:hint="eastAsia" w:cs="Times New Roman"/>
                <w:color w:val="FF0000"/>
                <w:sz w:val="21"/>
                <w:szCs w:val="20"/>
                <w:highlight w:val="none"/>
                <w:lang w:val="en-US" w:eastAsia="zh-CN"/>
              </w:rPr>
              <w:t>30</w:t>
            </w:r>
            <w:r>
              <w:rPr>
                <w:rFonts w:hint="default" w:ascii="Times New Roman" w:hAnsi="Times New Roman" w:eastAsia="宋体" w:cs="Times New Roman"/>
                <w:color w:val="FF0000"/>
                <w:sz w:val="21"/>
                <w:szCs w:val="20"/>
                <w:highlight w:val="none"/>
                <w:lang w:val="en-US" w:eastAsia="zh-CN"/>
              </w:rPr>
              <w:t>000</w:t>
            </w:r>
          </w:p>
        </w:tc>
        <w:tc>
          <w:tcPr>
            <w:tcW w:w="444" w:type="pc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r>
              <w:rPr>
                <w:rFonts w:hint="default" w:ascii="Times New Roman" w:hAnsi="Times New Roman" w:eastAsia="宋体" w:cs="Times New Roman"/>
                <w:color w:val="FF0000"/>
                <w:sz w:val="21"/>
                <w:szCs w:val="20"/>
                <w:highlight w:val="none"/>
                <w:lang w:val="en-US" w:eastAsia="zh-CN"/>
              </w:rPr>
              <w:t>COD</w:t>
            </w:r>
          </w:p>
        </w:tc>
        <w:tc>
          <w:tcPr>
            <w:tcW w:w="1079" w:type="pc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r>
              <w:rPr>
                <w:rFonts w:hint="default" w:ascii="Times New Roman" w:hAnsi="Times New Roman" w:eastAsia="宋体" w:cs="Times New Roman"/>
                <w:color w:val="FF0000"/>
                <w:sz w:val="21"/>
                <w:szCs w:val="20"/>
                <w:highlight w:val="none"/>
                <w:lang w:val="en-US" w:eastAsia="zh-CN"/>
              </w:rPr>
              <w:t>600</w:t>
            </w:r>
          </w:p>
        </w:tc>
        <w:tc>
          <w:tcPr>
            <w:tcW w:w="88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18</w:t>
            </w:r>
          </w:p>
        </w:tc>
        <w:tc>
          <w:tcPr>
            <w:tcW w:w="1232" w:type="dxa"/>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3780</w:t>
            </w:r>
          </w:p>
        </w:tc>
        <w:tc>
          <w:tcPr>
            <w:tcW w:w="48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91.67%</w:t>
            </w:r>
          </w:p>
        </w:tc>
        <w:tc>
          <w:tcPr>
            <w:tcW w:w="492" w:type="pc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eastAsia" w:ascii="Times New Roman" w:hAnsi="Times New Roman" w:eastAsia="宋体" w:cs="Times New Roman"/>
                <w:color w:val="FF0000"/>
                <w:sz w:val="21"/>
                <w:szCs w:val="20"/>
                <w:highlight w:val="none"/>
                <w:lang w:val="en-US" w:eastAsia="zh-CN"/>
              </w:rPr>
              <w:t>43.35</w:t>
            </w:r>
          </w:p>
        </w:tc>
        <w:tc>
          <w:tcPr>
            <w:tcW w:w="689" w:type="dxa"/>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1.301</w:t>
            </w:r>
          </w:p>
        </w:tc>
        <w:tc>
          <w:tcPr>
            <w:tcW w:w="898" w:type="dxa"/>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273.105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5" w:hRule="atLeast"/>
        </w:trPr>
        <w:tc>
          <w:tcPr>
            <w:tcW w:w="555"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p>
        </w:tc>
        <w:tc>
          <w:tcPr>
            <w:tcW w:w="444" w:type="pc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r>
              <w:rPr>
                <w:rFonts w:hint="default" w:ascii="Times New Roman" w:hAnsi="Times New Roman" w:eastAsia="宋体" w:cs="Times New Roman"/>
                <w:color w:val="FF0000"/>
                <w:sz w:val="21"/>
                <w:szCs w:val="20"/>
                <w:highlight w:val="none"/>
                <w:lang w:val="en-US" w:eastAsia="zh-CN"/>
              </w:rPr>
              <w:t>BOD5</w:t>
            </w:r>
          </w:p>
        </w:tc>
        <w:tc>
          <w:tcPr>
            <w:tcW w:w="1079" w:type="pc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r>
              <w:rPr>
                <w:rFonts w:hint="default" w:ascii="Times New Roman" w:hAnsi="Times New Roman" w:eastAsia="宋体" w:cs="Times New Roman"/>
                <w:color w:val="FF0000"/>
                <w:sz w:val="21"/>
                <w:szCs w:val="20"/>
                <w:highlight w:val="none"/>
                <w:lang w:val="en-US" w:eastAsia="zh-CN"/>
              </w:rPr>
              <w:t>350</w:t>
            </w:r>
          </w:p>
        </w:tc>
        <w:tc>
          <w:tcPr>
            <w:tcW w:w="88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10.5</w:t>
            </w:r>
          </w:p>
        </w:tc>
        <w:tc>
          <w:tcPr>
            <w:tcW w:w="1232" w:type="dxa"/>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2205</w:t>
            </w:r>
          </w:p>
        </w:tc>
        <w:tc>
          <w:tcPr>
            <w:tcW w:w="48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97.14%</w:t>
            </w:r>
          </w:p>
        </w:tc>
        <w:tc>
          <w:tcPr>
            <w:tcW w:w="492" w:type="pc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eastAsia" w:ascii="Times New Roman" w:hAnsi="Times New Roman" w:eastAsia="宋体" w:cs="Times New Roman"/>
                <w:color w:val="FF0000"/>
                <w:sz w:val="21"/>
                <w:szCs w:val="20"/>
                <w:highlight w:val="none"/>
                <w:lang w:val="en-US" w:eastAsia="zh-CN"/>
              </w:rPr>
              <w:t>7.09</w:t>
            </w:r>
          </w:p>
        </w:tc>
        <w:tc>
          <w:tcPr>
            <w:tcW w:w="689" w:type="dxa"/>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0.213</w:t>
            </w:r>
          </w:p>
        </w:tc>
        <w:tc>
          <w:tcPr>
            <w:tcW w:w="898" w:type="dxa"/>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44.667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55"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p>
        </w:tc>
        <w:tc>
          <w:tcPr>
            <w:tcW w:w="444" w:type="pc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r>
              <w:rPr>
                <w:rFonts w:hint="default" w:ascii="Times New Roman" w:hAnsi="Times New Roman" w:eastAsia="宋体" w:cs="Times New Roman"/>
                <w:color w:val="FF0000"/>
                <w:sz w:val="21"/>
                <w:szCs w:val="20"/>
                <w:highlight w:val="none"/>
                <w:lang w:val="en-US" w:eastAsia="zh-CN"/>
              </w:rPr>
              <w:t>SS</w:t>
            </w:r>
          </w:p>
        </w:tc>
        <w:tc>
          <w:tcPr>
            <w:tcW w:w="1079" w:type="pc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r>
              <w:rPr>
                <w:rFonts w:hint="default" w:ascii="Times New Roman" w:hAnsi="Times New Roman" w:eastAsia="宋体" w:cs="Times New Roman"/>
                <w:color w:val="FF0000"/>
                <w:sz w:val="21"/>
                <w:szCs w:val="20"/>
                <w:highlight w:val="none"/>
                <w:lang w:val="en-US" w:eastAsia="zh-CN"/>
              </w:rPr>
              <w:t>350</w:t>
            </w:r>
          </w:p>
        </w:tc>
        <w:tc>
          <w:tcPr>
            <w:tcW w:w="88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10.5</w:t>
            </w:r>
          </w:p>
        </w:tc>
        <w:tc>
          <w:tcPr>
            <w:tcW w:w="1232" w:type="dxa"/>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2205</w:t>
            </w:r>
          </w:p>
        </w:tc>
        <w:tc>
          <w:tcPr>
            <w:tcW w:w="48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97.14%</w:t>
            </w:r>
          </w:p>
        </w:tc>
        <w:tc>
          <w:tcPr>
            <w:tcW w:w="492" w:type="pc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eastAsia" w:ascii="Times New Roman" w:hAnsi="Times New Roman" w:eastAsia="宋体" w:cs="Times New Roman"/>
                <w:color w:val="FF0000"/>
                <w:sz w:val="21"/>
                <w:szCs w:val="20"/>
                <w:highlight w:val="none"/>
                <w:lang w:val="en-US" w:eastAsia="zh-CN"/>
              </w:rPr>
              <w:t>5</w:t>
            </w:r>
          </w:p>
        </w:tc>
        <w:tc>
          <w:tcPr>
            <w:tcW w:w="689" w:type="dxa"/>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0.150</w:t>
            </w:r>
          </w:p>
        </w:tc>
        <w:tc>
          <w:tcPr>
            <w:tcW w:w="898" w:type="dxa"/>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31.500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55"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p>
        </w:tc>
        <w:tc>
          <w:tcPr>
            <w:tcW w:w="444" w:type="pc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rPr>
            </w:pPr>
            <w:r>
              <w:rPr>
                <w:rFonts w:hint="eastAsia" w:ascii="Times New Roman" w:hAnsi="Times New Roman" w:eastAsia="宋体" w:cs="Times New Roman"/>
                <w:color w:val="FF0000"/>
                <w:sz w:val="21"/>
                <w:szCs w:val="20"/>
                <w:highlight w:val="none"/>
                <w:lang w:val="en-US" w:eastAsia="zh-CN"/>
              </w:rPr>
              <w:t>氨氮</w:t>
            </w:r>
          </w:p>
        </w:tc>
        <w:tc>
          <w:tcPr>
            <w:tcW w:w="1079" w:type="pc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r>
              <w:rPr>
                <w:rFonts w:hint="default" w:ascii="Times New Roman" w:hAnsi="Times New Roman" w:eastAsia="宋体" w:cs="Times New Roman"/>
                <w:color w:val="FF0000"/>
                <w:sz w:val="21"/>
                <w:szCs w:val="20"/>
                <w:highlight w:val="none"/>
                <w:lang w:val="en-US" w:eastAsia="zh-CN"/>
              </w:rPr>
              <w:t>35</w:t>
            </w:r>
          </w:p>
        </w:tc>
        <w:tc>
          <w:tcPr>
            <w:tcW w:w="88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1.05</w:t>
            </w:r>
          </w:p>
        </w:tc>
        <w:tc>
          <w:tcPr>
            <w:tcW w:w="1232" w:type="dxa"/>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220.5</w:t>
            </w:r>
          </w:p>
        </w:tc>
        <w:tc>
          <w:tcPr>
            <w:tcW w:w="48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85.71%</w:t>
            </w:r>
          </w:p>
        </w:tc>
        <w:tc>
          <w:tcPr>
            <w:tcW w:w="492" w:type="pc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eastAsia" w:ascii="Times New Roman" w:hAnsi="Times New Roman" w:eastAsia="宋体" w:cs="Times New Roman"/>
                <w:color w:val="FF0000"/>
                <w:sz w:val="21"/>
                <w:szCs w:val="20"/>
                <w:highlight w:val="none"/>
                <w:lang w:val="en-US" w:eastAsia="zh-CN"/>
              </w:rPr>
              <w:t>4.86</w:t>
            </w:r>
          </w:p>
        </w:tc>
        <w:tc>
          <w:tcPr>
            <w:tcW w:w="689" w:type="dxa"/>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0.146</w:t>
            </w:r>
          </w:p>
        </w:tc>
        <w:tc>
          <w:tcPr>
            <w:tcW w:w="898" w:type="dxa"/>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30.618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55"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p>
        </w:tc>
        <w:tc>
          <w:tcPr>
            <w:tcW w:w="444" w:type="pc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rPr>
            </w:pPr>
            <w:r>
              <w:rPr>
                <w:rFonts w:hint="eastAsia" w:ascii="Times New Roman" w:hAnsi="Times New Roman" w:eastAsia="宋体" w:cs="Times New Roman"/>
                <w:color w:val="FF0000"/>
                <w:sz w:val="21"/>
                <w:szCs w:val="20"/>
                <w:highlight w:val="none"/>
                <w:lang w:val="en-US" w:eastAsia="zh-CN"/>
              </w:rPr>
              <w:t>总氮</w:t>
            </w:r>
          </w:p>
        </w:tc>
        <w:tc>
          <w:tcPr>
            <w:tcW w:w="1079" w:type="pc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r>
              <w:rPr>
                <w:rFonts w:hint="default" w:ascii="Times New Roman" w:hAnsi="Times New Roman" w:eastAsia="宋体" w:cs="Times New Roman"/>
                <w:color w:val="FF0000"/>
                <w:sz w:val="21"/>
                <w:szCs w:val="20"/>
                <w:highlight w:val="none"/>
                <w:lang w:val="en-US" w:eastAsia="zh-CN"/>
              </w:rPr>
              <w:t>70</w:t>
            </w:r>
          </w:p>
        </w:tc>
        <w:tc>
          <w:tcPr>
            <w:tcW w:w="88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2.1</w:t>
            </w:r>
          </w:p>
        </w:tc>
        <w:tc>
          <w:tcPr>
            <w:tcW w:w="1232" w:type="dxa"/>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441</w:t>
            </w:r>
          </w:p>
        </w:tc>
        <w:tc>
          <w:tcPr>
            <w:tcW w:w="48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78.57%</w:t>
            </w:r>
          </w:p>
        </w:tc>
        <w:tc>
          <w:tcPr>
            <w:tcW w:w="492" w:type="pc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eastAsia" w:ascii="Times New Roman" w:hAnsi="Times New Roman" w:eastAsia="宋体" w:cs="Times New Roman"/>
                <w:color w:val="FF0000"/>
                <w:sz w:val="21"/>
                <w:szCs w:val="20"/>
                <w:highlight w:val="none"/>
                <w:lang w:val="en-US" w:eastAsia="zh-CN"/>
              </w:rPr>
              <w:t>14.175</w:t>
            </w:r>
          </w:p>
        </w:tc>
        <w:tc>
          <w:tcPr>
            <w:tcW w:w="689" w:type="dxa"/>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0.425</w:t>
            </w:r>
          </w:p>
        </w:tc>
        <w:tc>
          <w:tcPr>
            <w:tcW w:w="898" w:type="dxa"/>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89.303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55"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p>
        </w:tc>
        <w:tc>
          <w:tcPr>
            <w:tcW w:w="444" w:type="pc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r>
              <w:rPr>
                <w:rFonts w:hint="default" w:ascii="Times New Roman" w:hAnsi="Times New Roman" w:eastAsia="宋体" w:cs="Times New Roman"/>
                <w:color w:val="FF0000"/>
                <w:sz w:val="21"/>
                <w:szCs w:val="20"/>
                <w:highlight w:val="none"/>
                <w:lang w:val="en-US" w:eastAsia="zh-CN"/>
              </w:rPr>
              <w:t>TP</w:t>
            </w:r>
          </w:p>
        </w:tc>
        <w:tc>
          <w:tcPr>
            <w:tcW w:w="1079" w:type="pc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rPr>
            </w:pPr>
            <w:r>
              <w:rPr>
                <w:rFonts w:hint="default" w:ascii="Times New Roman" w:hAnsi="Times New Roman" w:eastAsia="宋体" w:cs="Times New Roman"/>
                <w:color w:val="FF0000"/>
                <w:sz w:val="21"/>
                <w:szCs w:val="20"/>
                <w:highlight w:val="none"/>
                <w:lang w:val="en-US" w:eastAsia="zh-CN"/>
              </w:rPr>
              <w:t>5</w:t>
            </w:r>
          </w:p>
        </w:tc>
        <w:tc>
          <w:tcPr>
            <w:tcW w:w="88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0.15</w:t>
            </w:r>
          </w:p>
        </w:tc>
        <w:tc>
          <w:tcPr>
            <w:tcW w:w="1232" w:type="dxa"/>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31.5</w:t>
            </w:r>
          </w:p>
        </w:tc>
        <w:tc>
          <w:tcPr>
            <w:tcW w:w="480" w:type="pct"/>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90.00%</w:t>
            </w:r>
          </w:p>
        </w:tc>
        <w:tc>
          <w:tcPr>
            <w:tcW w:w="492" w:type="pc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eastAsia" w:ascii="Times New Roman" w:hAnsi="Times New Roman" w:eastAsia="宋体" w:cs="Times New Roman"/>
                <w:color w:val="FF0000"/>
                <w:sz w:val="21"/>
                <w:szCs w:val="20"/>
                <w:highlight w:val="none"/>
                <w:lang w:val="en-US" w:eastAsia="zh-CN"/>
              </w:rPr>
              <w:t>0.274</w:t>
            </w:r>
          </w:p>
        </w:tc>
        <w:tc>
          <w:tcPr>
            <w:tcW w:w="689" w:type="dxa"/>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0.008</w:t>
            </w:r>
          </w:p>
        </w:tc>
        <w:tc>
          <w:tcPr>
            <w:tcW w:w="898" w:type="dxa"/>
            <w:tcBorders>
              <w:tl2br w:val="nil"/>
              <w:tr2bl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1.726</w:t>
            </w:r>
          </w:p>
        </w:tc>
      </w:tr>
    </w:tbl>
    <w:p>
      <w:pPr>
        <w:spacing w:line="240" w:lineRule="auto"/>
        <w:ind w:firstLine="0" w:firstLineChars="0"/>
        <w:jc w:val="center"/>
        <w:rPr>
          <w:rFonts w:hint="default" w:ascii="Times New Roman" w:hAnsi="Times New Roman" w:eastAsia="黑体" w:cs="Times New Roman"/>
          <w:color w:val="FF0000"/>
          <w:highlight w:val="none"/>
        </w:rPr>
      </w:pPr>
      <w:r>
        <w:rPr>
          <w:rFonts w:hint="eastAsia" w:ascii="黑体" w:hAnsi="黑体" w:eastAsia="黑体" w:cs="黑体"/>
          <w:color w:val="FF0000"/>
          <w:highlight w:val="none"/>
        </w:rPr>
        <w:t>表3.5-</w:t>
      </w:r>
      <w:r>
        <w:rPr>
          <w:rFonts w:hint="eastAsia" w:ascii="黑体" w:hAnsi="黑体" w:eastAsia="黑体" w:cs="黑体"/>
          <w:color w:val="FF0000"/>
          <w:highlight w:val="none"/>
          <w:lang w:val="en-US" w:eastAsia="zh-CN"/>
        </w:rPr>
        <w:t>6扩建后</w:t>
      </w:r>
      <w:r>
        <w:rPr>
          <w:rFonts w:hint="eastAsia" w:ascii="黑体" w:hAnsi="黑体" w:eastAsia="黑体" w:cs="黑体"/>
          <w:color w:val="FF0000"/>
          <w:highlight w:val="none"/>
        </w:rPr>
        <w:t>废水污染物情况一览表</w:t>
      </w:r>
    </w:p>
    <w:tbl>
      <w:tblPr>
        <w:tblStyle w:val="33"/>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108"/>
        <w:gridCol w:w="2375"/>
        <w:gridCol w:w="30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159"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bookmarkStart w:id="92" w:name="_Toc22632"/>
            <w:r>
              <w:rPr>
                <w:rFonts w:hint="eastAsia" w:ascii="Times New Roman" w:hAnsi="Times New Roman" w:eastAsia="宋体" w:cs="Times New Roman"/>
                <w:color w:val="FF0000"/>
                <w:sz w:val="21"/>
                <w:szCs w:val="20"/>
                <w:highlight w:val="none"/>
                <w:lang w:val="en-US" w:eastAsia="zh-CN"/>
              </w:rPr>
              <w:t>污染物</w:t>
            </w:r>
          </w:p>
        </w:tc>
        <w:tc>
          <w:tcPr>
            <w:tcW w:w="2840"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eastAsia" w:ascii="Times New Roman" w:hAnsi="Times New Roman" w:eastAsia="宋体" w:cs="Times New Roman"/>
                <w:color w:val="FF0000"/>
                <w:sz w:val="21"/>
                <w:szCs w:val="20"/>
                <w:highlight w:val="none"/>
                <w:lang w:val="en-US" w:eastAsia="zh-CN"/>
              </w:rPr>
              <w:t>出水总量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2159"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p>
        </w:tc>
        <w:tc>
          <w:tcPr>
            <w:tcW w:w="1248" w:type="pc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t/d</w:t>
            </w:r>
          </w:p>
        </w:tc>
        <w:tc>
          <w:tcPr>
            <w:tcW w:w="1592"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159" w:type="pct"/>
            <w:tcBorders>
              <w:top w:val="nil"/>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COD</w:t>
            </w:r>
          </w:p>
        </w:tc>
        <w:tc>
          <w:tcPr>
            <w:tcW w:w="2375"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eastAsia" w:ascii="Times New Roman" w:hAnsi="Times New Roman" w:eastAsia="宋体" w:cs="Times New Roman"/>
                <w:color w:val="FF0000"/>
                <w:sz w:val="21"/>
                <w:szCs w:val="20"/>
                <w:highlight w:val="none"/>
                <w:lang w:val="en-US" w:eastAsia="zh-CN"/>
              </w:rPr>
              <w:t>1.407</w:t>
            </w:r>
          </w:p>
        </w:tc>
        <w:tc>
          <w:tcPr>
            <w:tcW w:w="3029"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eastAsia" w:ascii="Times New Roman" w:hAnsi="Times New Roman" w:eastAsia="宋体" w:cs="Times New Roman"/>
                <w:color w:val="FF0000"/>
                <w:sz w:val="21"/>
                <w:szCs w:val="20"/>
                <w:highlight w:val="none"/>
                <w:lang w:val="en-US" w:eastAsia="zh-CN"/>
              </w:rPr>
              <w:t>289.535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159" w:type="pct"/>
            <w:tcBorders>
              <w:top w:val="nil"/>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BOD5</w:t>
            </w:r>
          </w:p>
        </w:tc>
        <w:tc>
          <w:tcPr>
            <w:tcW w:w="2375"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eastAsia" w:ascii="Times New Roman" w:hAnsi="Times New Roman" w:eastAsia="宋体" w:cs="Times New Roman"/>
                <w:color w:val="FF0000"/>
                <w:sz w:val="21"/>
                <w:szCs w:val="20"/>
                <w:highlight w:val="none"/>
                <w:lang w:val="en-US" w:eastAsia="zh-CN"/>
              </w:rPr>
              <w:t>0.230</w:t>
            </w:r>
          </w:p>
        </w:tc>
        <w:tc>
          <w:tcPr>
            <w:tcW w:w="3029"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eastAsia" w:ascii="Times New Roman" w:hAnsi="Times New Roman" w:eastAsia="宋体" w:cs="Times New Roman"/>
                <w:color w:val="FF0000"/>
                <w:sz w:val="21"/>
                <w:szCs w:val="20"/>
                <w:highlight w:val="none"/>
                <w:lang w:val="en-US" w:eastAsia="zh-CN"/>
              </w:rPr>
              <w:t>47.356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159" w:type="pct"/>
            <w:tcBorders>
              <w:top w:val="nil"/>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SS</w:t>
            </w:r>
          </w:p>
        </w:tc>
        <w:tc>
          <w:tcPr>
            <w:tcW w:w="2375"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eastAsia" w:ascii="Times New Roman" w:hAnsi="Times New Roman" w:eastAsia="宋体" w:cs="Times New Roman"/>
                <w:color w:val="FF0000"/>
                <w:sz w:val="21"/>
                <w:szCs w:val="20"/>
                <w:highlight w:val="none"/>
                <w:lang w:val="en-US" w:eastAsia="zh-CN"/>
              </w:rPr>
              <w:t>0.162</w:t>
            </w:r>
          </w:p>
        </w:tc>
        <w:tc>
          <w:tcPr>
            <w:tcW w:w="3029"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eastAsia" w:ascii="Times New Roman" w:hAnsi="Times New Roman" w:eastAsia="宋体" w:cs="Times New Roman"/>
                <w:color w:val="FF0000"/>
                <w:sz w:val="21"/>
                <w:szCs w:val="20"/>
                <w:highlight w:val="none"/>
                <w:lang w:val="en-US" w:eastAsia="zh-CN"/>
              </w:rPr>
              <w:t>33.396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159" w:type="pct"/>
            <w:tcBorders>
              <w:top w:val="nil"/>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eastAsia" w:ascii="Times New Roman" w:hAnsi="Times New Roman" w:eastAsia="宋体" w:cs="Times New Roman"/>
                <w:color w:val="FF0000"/>
                <w:sz w:val="21"/>
                <w:szCs w:val="20"/>
                <w:highlight w:val="none"/>
                <w:lang w:val="en-US" w:eastAsia="zh-CN"/>
              </w:rPr>
              <w:t>氨氮</w:t>
            </w:r>
          </w:p>
        </w:tc>
        <w:tc>
          <w:tcPr>
            <w:tcW w:w="2375"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eastAsia" w:ascii="Times New Roman" w:hAnsi="Times New Roman" w:eastAsia="宋体" w:cs="Times New Roman"/>
                <w:color w:val="FF0000"/>
                <w:sz w:val="21"/>
                <w:szCs w:val="20"/>
                <w:highlight w:val="none"/>
                <w:lang w:val="en-US" w:eastAsia="zh-CN"/>
              </w:rPr>
              <w:t>0.158</w:t>
            </w:r>
          </w:p>
        </w:tc>
        <w:tc>
          <w:tcPr>
            <w:tcW w:w="3029"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eastAsia" w:ascii="Times New Roman" w:hAnsi="Times New Roman" w:eastAsia="宋体" w:cs="Times New Roman"/>
                <w:color w:val="FF0000"/>
                <w:sz w:val="21"/>
                <w:szCs w:val="20"/>
                <w:highlight w:val="none"/>
                <w:lang w:val="en-US" w:eastAsia="zh-CN"/>
              </w:rPr>
              <w:t>32.461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159" w:type="pct"/>
            <w:tcBorders>
              <w:top w:val="nil"/>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eastAsia" w:ascii="Times New Roman" w:hAnsi="Times New Roman" w:eastAsia="宋体" w:cs="Times New Roman"/>
                <w:color w:val="FF0000"/>
                <w:sz w:val="21"/>
                <w:szCs w:val="20"/>
                <w:highlight w:val="none"/>
                <w:lang w:val="en-US" w:eastAsia="zh-CN"/>
              </w:rPr>
              <w:t>总氮</w:t>
            </w:r>
          </w:p>
        </w:tc>
        <w:tc>
          <w:tcPr>
            <w:tcW w:w="2375"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eastAsia" w:ascii="Times New Roman" w:hAnsi="Times New Roman" w:eastAsia="宋体" w:cs="Times New Roman"/>
                <w:color w:val="FF0000"/>
                <w:sz w:val="21"/>
                <w:szCs w:val="20"/>
                <w:highlight w:val="none"/>
                <w:lang w:val="en-US" w:eastAsia="zh-CN"/>
              </w:rPr>
              <w:t>0.460</w:t>
            </w:r>
          </w:p>
        </w:tc>
        <w:tc>
          <w:tcPr>
            <w:tcW w:w="3029"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eastAsia" w:ascii="Times New Roman" w:hAnsi="Times New Roman" w:eastAsia="宋体" w:cs="Times New Roman"/>
                <w:color w:val="FF0000"/>
                <w:sz w:val="21"/>
                <w:szCs w:val="20"/>
                <w:highlight w:val="none"/>
                <w:lang w:val="en-US" w:eastAsia="zh-CN"/>
              </w:rPr>
              <w:t>94.679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159" w:type="pct"/>
            <w:tcBorders>
              <w:top w:val="nil"/>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TP</w:t>
            </w:r>
          </w:p>
        </w:tc>
        <w:tc>
          <w:tcPr>
            <w:tcW w:w="2375"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eastAsia" w:ascii="Times New Roman" w:hAnsi="Times New Roman" w:eastAsia="宋体" w:cs="Times New Roman"/>
                <w:color w:val="FF0000"/>
                <w:sz w:val="21"/>
                <w:szCs w:val="20"/>
                <w:highlight w:val="none"/>
                <w:lang w:val="en-US" w:eastAsia="zh-CN"/>
              </w:rPr>
              <w:t>0.009</w:t>
            </w:r>
          </w:p>
        </w:tc>
        <w:tc>
          <w:tcPr>
            <w:tcW w:w="3029"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z w:val="21"/>
                <w:szCs w:val="20"/>
                <w:highlight w:val="none"/>
                <w:lang w:val="en-US" w:eastAsia="zh-CN"/>
              </w:rPr>
            </w:pPr>
            <w:r>
              <w:rPr>
                <w:rFonts w:hint="eastAsia" w:ascii="Times New Roman" w:hAnsi="Times New Roman" w:eastAsia="宋体" w:cs="Times New Roman"/>
                <w:color w:val="FF0000"/>
                <w:sz w:val="21"/>
                <w:szCs w:val="20"/>
                <w:highlight w:val="none"/>
                <w:lang w:val="en-US" w:eastAsia="zh-CN"/>
              </w:rPr>
              <w:t>1.830</w:t>
            </w:r>
          </w:p>
        </w:tc>
      </w:tr>
    </w:tbl>
    <w:p>
      <w:pPr>
        <w:bidi w:val="0"/>
        <w:jc w:val="center"/>
        <w:rPr>
          <w:rFonts w:hint="eastAsia" w:ascii="黑体" w:hAnsi="黑体" w:eastAsia="黑体" w:cs="黑体"/>
          <w:color w:val="FF0000"/>
          <w:lang w:val="en-US" w:eastAsia="zh-CN"/>
        </w:rPr>
      </w:pPr>
      <w:r>
        <w:rPr>
          <w:rFonts w:hint="eastAsia" w:ascii="黑体" w:hAnsi="黑体" w:eastAsia="黑体" w:cs="黑体"/>
          <w:color w:val="FF0000"/>
          <w:lang w:val="en-US" w:eastAsia="zh-CN"/>
        </w:rPr>
        <w:t>表3.5-7</w:t>
      </w:r>
      <w:r>
        <w:rPr>
          <w:rFonts w:hint="eastAsia" w:ascii="黑体" w:hAnsi="黑体" w:eastAsia="黑体" w:cs="黑体"/>
          <w:color w:val="FF0000"/>
        </w:rPr>
        <w:t>本项目各单元处理效率</w:t>
      </w:r>
      <w:r>
        <w:rPr>
          <w:rFonts w:hint="eastAsia" w:ascii="黑体" w:hAnsi="黑体" w:eastAsia="黑体" w:cs="黑体"/>
          <w:color w:val="FF0000"/>
          <w:lang w:val="en-US" w:eastAsia="zh-CN"/>
        </w:rPr>
        <w:t>一览表</w:t>
      </w:r>
    </w:p>
    <w:tbl>
      <w:tblPr>
        <w:tblStyle w:val="34"/>
        <w:tblW w:w="501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036"/>
        <w:gridCol w:w="1581"/>
        <w:gridCol w:w="1234"/>
        <w:gridCol w:w="1182"/>
        <w:gridCol w:w="900"/>
        <w:gridCol w:w="1196"/>
        <w:gridCol w:w="1192"/>
        <w:gridCol w:w="10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2537" w:type="dxa"/>
            <w:gridSpan w:val="2"/>
            <w:vAlign w:val="center"/>
          </w:tcPr>
          <w:p>
            <w:pPr>
              <w:pStyle w:val="104"/>
              <w:rPr>
                <w:color w:val="FF0000"/>
                <w:highlight w:val="none"/>
              </w:rPr>
            </w:pPr>
            <w:r>
              <w:rPr>
                <w:rFonts w:hint="eastAsia"/>
                <w:color w:val="FF0000"/>
                <w:highlight w:val="none"/>
              </w:rPr>
              <w:t>工艺</w:t>
            </w:r>
          </w:p>
        </w:tc>
        <w:tc>
          <w:tcPr>
            <w:tcW w:w="1196" w:type="dxa"/>
            <w:vAlign w:val="center"/>
          </w:tcPr>
          <w:p>
            <w:pPr>
              <w:pStyle w:val="104"/>
              <w:rPr>
                <w:color w:val="FF0000"/>
                <w:highlight w:val="none"/>
              </w:rPr>
            </w:pPr>
            <w:r>
              <w:rPr>
                <w:color w:val="FF0000"/>
                <w:highlight w:val="none"/>
              </w:rPr>
              <w:t>COD</w:t>
            </w:r>
            <w:r>
              <w:rPr>
                <w:color w:val="FF0000"/>
                <w:highlight w:val="none"/>
                <w:vertAlign w:val="subscript"/>
              </w:rPr>
              <w:t>Cr</w:t>
            </w:r>
          </w:p>
        </w:tc>
        <w:tc>
          <w:tcPr>
            <w:tcW w:w="1145" w:type="dxa"/>
            <w:vAlign w:val="center"/>
          </w:tcPr>
          <w:p>
            <w:pPr>
              <w:pStyle w:val="104"/>
              <w:rPr>
                <w:color w:val="FF0000"/>
                <w:highlight w:val="none"/>
              </w:rPr>
            </w:pPr>
            <w:r>
              <w:rPr>
                <w:color w:val="FF0000"/>
                <w:w w:val="95"/>
                <w:highlight w:val="none"/>
              </w:rPr>
              <w:t>BOD</w:t>
            </w:r>
            <w:r>
              <w:rPr>
                <w:color w:val="FF0000"/>
                <w:w w:val="95"/>
                <w:highlight w:val="none"/>
                <w:vertAlign w:val="subscript"/>
              </w:rPr>
              <w:t>5</w:t>
            </w:r>
          </w:p>
        </w:tc>
        <w:tc>
          <w:tcPr>
            <w:tcW w:w="872" w:type="dxa"/>
            <w:vAlign w:val="center"/>
          </w:tcPr>
          <w:p>
            <w:pPr>
              <w:pStyle w:val="104"/>
              <w:rPr>
                <w:color w:val="FF0000"/>
                <w:highlight w:val="none"/>
              </w:rPr>
            </w:pPr>
            <w:r>
              <w:rPr>
                <w:color w:val="FF0000"/>
                <w:highlight w:val="none"/>
              </w:rPr>
              <w:t>SS</w:t>
            </w:r>
          </w:p>
        </w:tc>
        <w:tc>
          <w:tcPr>
            <w:tcW w:w="1159" w:type="dxa"/>
            <w:vAlign w:val="center"/>
          </w:tcPr>
          <w:p>
            <w:pPr>
              <w:pStyle w:val="104"/>
              <w:rPr>
                <w:color w:val="FF0000"/>
                <w:highlight w:val="none"/>
              </w:rPr>
            </w:pPr>
            <w:r>
              <w:rPr>
                <w:color w:val="FF0000"/>
                <w:highlight w:val="none"/>
              </w:rPr>
              <w:t>NH</w:t>
            </w:r>
            <w:r>
              <w:rPr>
                <w:color w:val="FF0000"/>
                <w:highlight w:val="none"/>
                <w:vertAlign w:val="subscript"/>
              </w:rPr>
              <w:t>3</w:t>
            </w:r>
            <w:r>
              <w:rPr>
                <w:color w:val="FF0000"/>
                <w:highlight w:val="none"/>
              </w:rPr>
              <w:t>-N</w:t>
            </w:r>
          </w:p>
        </w:tc>
        <w:tc>
          <w:tcPr>
            <w:tcW w:w="1155" w:type="dxa"/>
            <w:vAlign w:val="center"/>
          </w:tcPr>
          <w:p>
            <w:pPr>
              <w:pStyle w:val="104"/>
              <w:rPr>
                <w:color w:val="FF0000"/>
                <w:highlight w:val="none"/>
              </w:rPr>
            </w:pPr>
            <w:r>
              <w:rPr>
                <w:color w:val="FF0000"/>
                <w:highlight w:val="none"/>
              </w:rPr>
              <w:t>TN</w:t>
            </w:r>
          </w:p>
        </w:tc>
        <w:tc>
          <w:tcPr>
            <w:tcW w:w="1000" w:type="dxa"/>
            <w:vAlign w:val="center"/>
          </w:tcPr>
          <w:p>
            <w:pPr>
              <w:pStyle w:val="104"/>
              <w:rPr>
                <w:color w:val="FF0000"/>
                <w:highlight w:val="none"/>
              </w:rPr>
            </w:pPr>
            <w:r>
              <w:rPr>
                <w:color w:val="FF0000"/>
                <w:highlight w:val="none"/>
              </w:rPr>
              <w:t>TP</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004" w:type="dxa"/>
            <w:vMerge w:val="restart"/>
            <w:vAlign w:val="center"/>
          </w:tcPr>
          <w:p>
            <w:pPr>
              <w:pStyle w:val="104"/>
              <w:rPr>
                <w:color w:val="FF0000"/>
                <w:highlight w:val="none"/>
              </w:rPr>
            </w:pPr>
            <w:r>
              <w:rPr>
                <w:rFonts w:hint="eastAsia"/>
                <w:color w:val="FF0000"/>
                <w:highlight w:val="none"/>
              </w:rPr>
              <w:t>粗、细格栅</w:t>
            </w:r>
            <w:r>
              <w:rPr>
                <w:color w:val="FF0000"/>
                <w:highlight w:val="none"/>
              </w:rPr>
              <w:t>+</w:t>
            </w:r>
            <w:r>
              <w:rPr>
                <w:rFonts w:hint="eastAsia"/>
                <w:color w:val="FF0000"/>
                <w:highlight w:val="none"/>
              </w:rPr>
              <w:t>旋流沉砂池</w:t>
            </w:r>
          </w:p>
        </w:tc>
        <w:tc>
          <w:tcPr>
            <w:tcW w:w="1533" w:type="dxa"/>
            <w:vAlign w:val="center"/>
          </w:tcPr>
          <w:p>
            <w:pPr>
              <w:pStyle w:val="104"/>
              <w:rPr>
                <w:color w:val="FF0000"/>
                <w:highlight w:val="none"/>
              </w:rPr>
            </w:pPr>
            <w:r>
              <w:rPr>
                <w:rFonts w:hint="eastAsia"/>
                <w:color w:val="FF0000"/>
                <w:highlight w:val="none"/>
              </w:rPr>
              <w:t>进水（</w:t>
            </w:r>
            <w:r>
              <w:rPr>
                <w:color w:val="FF0000"/>
                <w:highlight w:val="none"/>
              </w:rPr>
              <w:t>mg/L</w:t>
            </w:r>
            <w:r>
              <w:rPr>
                <w:rFonts w:hint="eastAsia"/>
                <w:color w:val="FF0000"/>
                <w:highlight w:val="none"/>
              </w:rPr>
              <w:t>）</w:t>
            </w:r>
          </w:p>
        </w:tc>
        <w:tc>
          <w:tcPr>
            <w:tcW w:w="1195" w:type="dxa"/>
            <w:vAlign w:val="center"/>
          </w:tcPr>
          <w:p>
            <w:pPr>
              <w:spacing w:line="240" w:lineRule="auto"/>
              <w:ind w:firstLine="0" w:firstLineChars="0"/>
              <w:jc w:val="center"/>
              <w:rPr>
                <w:color w:val="FF0000"/>
                <w:highlight w:val="none"/>
              </w:rPr>
            </w:pPr>
            <w:r>
              <w:rPr>
                <w:rFonts w:hint="default" w:ascii="Times New Roman" w:hAnsi="Times New Roman" w:cs="Times New Roman"/>
                <w:color w:val="FF0000"/>
                <w:sz w:val="21"/>
                <w:szCs w:val="20"/>
                <w:highlight w:val="none"/>
              </w:rPr>
              <w:t>600</w:t>
            </w:r>
          </w:p>
        </w:tc>
        <w:tc>
          <w:tcPr>
            <w:tcW w:w="1145" w:type="dxa"/>
            <w:vAlign w:val="center"/>
          </w:tcPr>
          <w:p>
            <w:pPr>
              <w:spacing w:line="240" w:lineRule="auto"/>
              <w:ind w:firstLine="0" w:firstLineChars="0"/>
              <w:jc w:val="center"/>
              <w:rPr>
                <w:color w:val="FF0000"/>
                <w:highlight w:val="none"/>
              </w:rPr>
            </w:pPr>
            <w:r>
              <w:rPr>
                <w:rFonts w:hint="default" w:ascii="Times New Roman" w:hAnsi="Times New Roman" w:cs="Times New Roman"/>
                <w:color w:val="FF0000"/>
                <w:sz w:val="21"/>
                <w:szCs w:val="20"/>
                <w:highlight w:val="none"/>
              </w:rPr>
              <w:t>350</w:t>
            </w:r>
          </w:p>
        </w:tc>
        <w:tc>
          <w:tcPr>
            <w:tcW w:w="872" w:type="dxa"/>
            <w:vAlign w:val="center"/>
          </w:tcPr>
          <w:p>
            <w:pPr>
              <w:spacing w:line="240" w:lineRule="auto"/>
              <w:ind w:firstLine="0" w:firstLineChars="0"/>
              <w:jc w:val="center"/>
              <w:rPr>
                <w:color w:val="FF0000"/>
                <w:highlight w:val="none"/>
              </w:rPr>
            </w:pPr>
            <w:r>
              <w:rPr>
                <w:rFonts w:hint="default" w:ascii="Times New Roman" w:hAnsi="Times New Roman" w:cs="Times New Roman"/>
                <w:color w:val="FF0000"/>
                <w:sz w:val="21"/>
                <w:szCs w:val="20"/>
                <w:highlight w:val="none"/>
              </w:rPr>
              <w:t>350</w:t>
            </w:r>
          </w:p>
        </w:tc>
        <w:tc>
          <w:tcPr>
            <w:tcW w:w="1159" w:type="dxa"/>
            <w:vAlign w:val="center"/>
          </w:tcPr>
          <w:p>
            <w:pPr>
              <w:spacing w:line="240" w:lineRule="auto"/>
              <w:ind w:firstLine="0" w:firstLineChars="0"/>
              <w:jc w:val="center"/>
              <w:rPr>
                <w:color w:val="FF0000"/>
                <w:highlight w:val="none"/>
              </w:rPr>
            </w:pPr>
            <w:r>
              <w:rPr>
                <w:rFonts w:hint="default" w:ascii="Times New Roman" w:hAnsi="Times New Roman" w:cs="Times New Roman"/>
                <w:color w:val="FF0000"/>
                <w:sz w:val="21"/>
                <w:szCs w:val="20"/>
                <w:highlight w:val="none"/>
              </w:rPr>
              <w:t>35</w:t>
            </w:r>
          </w:p>
        </w:tc>
        <w:tc>
          <w:tcPr>
            <w:tcW w:w="1155" w:type="dxa"/>
            <w:vAlign w:val="center"/>
          </w:tcPr>
          <w:p>
            <w:pPr>
              <w:spacing w:line="240" w:lineRule="auto"/>
              <w:ind w:firstLine="0" w:firstLineChars="0"/>
              <w:jc w:val="center"/>
              <w:rPr>
                <w:color w:val="FF0000"/>
                <w:highlight w:val="none"/>
              </w:rPr>
            </w:pPr>
            <w:r>
              <w:rPr>
                <w:rFonts w:hint="default" w:ascii="Times New Roman" w:hAnsi="Times New Roman" w:cs="Times New Roman"/>
                <w:color w:val="FF0000"/>
                <w:sz w:val="21"/>
                <w:szCs w:val="20"/>
                <w:highlight w:val="none"/>
              </w:rPr>
              <w:t>70</w:t>
            </w:r>
          </w:p>
        </w:tc>
        <w:tc>
          <w:tcPr>
            <w:tcW w:w="1000" w:type="dxa"/>
            <w:vAlign w:val="center"/>
          </w:tcPr>
          <w:p>
            <w:pPr>
              <w:spacing w:line="240" w:lineRule="auto"/>
              <w:ind w:firstLine="0" w:firstLineChars="0"/>
              <w:jc w:val="center"/>
              <w:rPr>
                <w:color w:val="FF0000"/>
                <w:highlight w:val="none"/>
              </w:rPr>
            </w:pPr>
            <w:r>
              <w:rPr>
                <w:rFonts w:hint="default" w:ascii="Times New Roman" w:hAnsi="Times New Roman" w:cs="Times New Roman"/>
                <w:color w:val="FF0000"/>
                <w:sz w:val="21"/>
                <w:szCs w:val="20"/>
                <w:highlight w:val="none"/>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004" w:type="dxa"/>
            <w:vMerge w:val="continue"/>
            <w:vAlign w:val="center"/>
          </w:tcPr>
          <w:p>
            <w:pPr>
              <w:pStyle w:val="104"/>
              <w:rPr>
                <w:color w:val="FF0000"/>
                <w:highlight w:val="none"/>
              </w:rPr>
            </w:pPr>
          </w:p>
        </w:tc>
        <w:tc>
          <w:tcPr>
            <w:tcW w:w="1533" w:type="dxa"/>
            <w:vAlign w:val="center"/>
          </w:tcPr>
          <w:p>
            <w:pPr>
              <w:pStyle w:val="104"/>
              <w:rPr>
                <w:color w:val="FF0000"/>
                <w:highlight w:val="none"/>
              </w:rPr>
            </w:pPr>
            <w:r>
              <w:rPr>
                <w:rFonts w:hint="eastAsia"/>
                <w:color w:val="FF0000"/>
                <w:highlight w:val="none"/>
              </w:rPr>
              <w:t>出水（</w:t>
            </w:r>
            <w:r>
              <w:rPr>
                <w:color w:val="FF0000"/>
                <w:highlight w:val="none"/>
              </w:rPr>
              <w:t>mg/L</w:t>
            </w:r>
            <w:r>
              <w:rPr>
                <w:rFonts w:hint="eastAsia"/>
                <w:color w:val="FF0000"/>
                <w:highlight w:val="none"/>
              </w:rPr>
              <w:t>）</w:t>
            </w:r>
          </w:p>
        </w:tc>
        <w:tc>
          <w:tcPr>
            <w:tcW w:w="1195" w:type="dxa"/>
            <w:vAlign w:val="center"/>
          </w:tcPr>
          <w:p>
            <w:pPr>
              <w:pStyle w:val="104"/>
              <w:rPr>
                <w:rFonts w:hint="default" w:eastAsia="宋体"/>
                <w:color w:val="FF0000"/>
                <w:highlight w:val="none"/>
                <w:lang w:val="en-US" w:eastAsia="zh-CN"/>
              </w:rPr>
            </w:pPr>
            <w:r>
              <w:rPr>
                <w:rFonts w:hint="eastAsia"/>
                <w:color w:val="FF0000"/>
                <w:highlight w:val="none"/>
                <w:lang w:val="en-US" w:eastAsia="zh-CN"/>
              </w:rPr>
              <w:t>510</w:t>
            </w:r>
          </w:p>
        </w:tc>
        <w:tc>
          <w:tcPr>
            <w:tcW w:w="1145" w:type="dxa"/>
            <w:vAlign w:val="center"/>
          </w:tcPr>
          <w:p>
            <w:pPr>
              <w:pStyle w:val="104"/>
              <w:rPr>
                <w:rFonts w:hint="default" w:eastAsia="宋体"/>
                <w:color w:val="FF0000"/>
                <w:highlight w:val="none"/>
                <w:lang w:val="en-US" w:eastAsia="zh-CN"/>
              </w:rPr>
            </w:pPr>
            <w:r>
              <w:rPr>
                <w:rFonts w:hint="eastAsia"/>
                <w:color w:val="FF0000"/>
                <w:highlight w:val="none"/>
                <w:lang w:val="en-US" w:eastAsia="zh-CN"/>
              </w:rPr>
              <w:t>315</w:t>
            </w:r>
          </w:p>
        </w:tc>
        <w:tc>
          <w:tcPr>
            <w:tcW w:w="872" w:type="dxa"/>
            <w:vAlign w:val="center"/>
          </w:tcPr>
          <w:p>
            <w:pPr>
              <w:pStyle w:val="104"/>
              <w:rPr>
                <w:rFonts w:hint="default" w:eastAsia="宋体"/>
                <w:color w:val="FF0000"/>
                <w:highlight w:val="none"/>
                <w:lang w:val="en-US" w:eastAsia="zh-CN"/>
              </w:rPr>
            </w:pPr>
            <w:r>
              <w:rPr>
                <w:rFonts w:hint="eastAsia"/>
                <w:color w:val="FF0000"/>
                <w:highlight w:val="none"/>
                <w:lang w:val="en-US" w:eastAsia="zh-CN"/>
              </w:rPr>
              <w:t>315</w:t>
            </w:r>
          </w:p>
        </w:tc>
        <w:tc>
          <w:tcPr>
            <w:tcW w:w="1159" w:type="dxa"/>
            <w:vAlign w:val="center"/>
          </w:tcPr>
          <w:p>
            <w:pPr>
              <w:pStyle w:val="104"/>
              <w:rPr>
                <w:rFonts w:hint="default" w:eastAsia="宋体"/>
                <w:color w:val="FF0000"/>
                <w:highlight w:val="none"/>
                <w:lang w:val="en-US" w:eastAsia="zh-CN"/>
              </w:rPr>
            </w:pPr>
            <w:r>
              <w:rPr>
                <w:rFonts w:hint="eastAsia"/>
                <w:color w:val="FF0000"/>
                <w:highlight w:val="none"/>
                <w:lang w:val="en-US" w:eastAsia="zh-CN"/>
              </w:rPr>
              <w:t>35</w:t>
            </w:r>
          </w:p>
        </w:tc>
        <w:tc>
          <w:tcPr>
            <w:tcW w:w="1155" w:type="dxa"/>
            <w:vAlign w:val="center"/>
          </w:tcPr>
          <w:p>
            <w:pPr>
              <w:pStyle w:val="104"/>
              <w:rPr>
                <w:color w:val="FF0000"/>
                <w:highlight w:val="none"/>
              </w:rPr>
            </w:pPr>
            <w:r>
              <w:rPr>
                <w:color w:val="FF0000"/>
                <w:highlight w:val="none"/>
              </w:rPr>
              <w:t>70</w:t>
            </w:r>
          </w:p>
        </w:tc>
        <w:tc>
          <w:tcPr>
            <w:tcW w:w="1000" w:type="dxa"/>
            <w:vAlign w:val="center"/>
          </w:tcPr>
          <w:p>
            <w:pPr>
              <w:pStyle w:val="104"/>
              <w:rPr>
                <w:color w:val="FF0000"/>
                <w:highlight w:val="none"/>
              </w:rPr>
            </w:pPr>
            <w:r>
              <w:rPr>
                <w:color w:val="FF0000"/>
                <w:highlight w:val="none"/>
              </w:rPr>
              <w:t>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004" w:type="dxa"/>
            <w:vMerge w:val="continue"/>
            <w:vAlign w:val="center"/>
          </w:tcPr>
          <w:p>
            <w:pPr>
              <w:pStyle w:val="104"/>
              <w:rPr>
                <w:color w:val="FF0000"/>
                <w:highlight w:val="none"/>
              </w:rPr>
            </w:pPr>
          </w:p>
        </w:tc>
        <w:tc>
          <w:tcPr>
            <w:tcW w:w="1533" w:type="dxa"/>
            <w:vAlign w:val="center"/>
          </w:tcPr>
          <w:p>
            <w:pPr>
              <w:pStyle w:val="104"/>
              <w:rPr>
                <w:color w:val="FF0000"/>
                <w:highlight w:val="none"/>
              </w:rPr>
            </w:pPr>
            <w:r>
              <w:rPr>
                <w:rFonts w:hint="eastAsia"/>
                <w:color w:val="FF0000"/>
                <w:highlight w:val="none"/>
              </w:rPr>
              <w:t>去除效率</w:t>
            </w:r>
          </w:p>
        </w:tc>
        <w:tc>
          <w:tcPr>
            <w:tcW w:w="1195" w:type="dxa"/>
            <w:vAlign w:val="center"/>
          </w:tcPr>
          <w:p>
            <w:pPr>
              <w:pStyle w:val="104"/>
              <w:rPr>
                <w:color w:val="FF0000"/>
                <w:highlight w:val="none"/>
              </w:rPr>
            </w:pPr>
            <w:r>
              <w:rPr>
                <w:color w:val="FF0000"/>
                <w:highlight w:val="none"/>
              </w:rPr>
              <w:t>15%</w:t>
            </w:r>
          </w:p>
        </w:tc>
        <w:tc>
          <w:tcPr>
            <w:tcW w:w="1145" w:type="dxa"/>
            <w:vAlign w:val="center"/>
          </w:tcPr>
          <w:p>
            <w:pPr>
              <w:pStyle w:val="104"/>
              <w:rPr>
                <w:color w:val="FF0000"/>
                <w:highlight w:val="none"/>
              </w:rPr>
            </w:pPr>
            <w:r>
              <w:rPr>
                <w:color w:val="FF0000"/>
                <w:highlight w:val="none"/>
              </w:rPr>
              <w:t>10%</w:t>
            </w:r>
          </w:p>
        </w:tc>
        <w:tc>
          <w:tcPr>
            <w:tcW w:w="872" w:type="dxa"/>
            <w:vAlign w:val="center"/>
          </w:tcPr>
          <w:p>
            <w:pPr>
              <w:pStyle w:val="104"/>
              <w:rPr>
                <w:color w:val="FF0000"/>
                <w:highlight w:val="none"/>
              </w:rPr>
            </w:pPr>
            <w:r>
              <w:rPr>
                <w:color w:val="FF0000"/>
                <w:highlight w:val="none"/>
              </w:rPr>
              <w:t>50%</w:t>
            </w:r>
          </w:p>
        </w:tc>
        <w:tc>
          <w:tcPr>
            <w:tcW w:w="1159" w:type="dxa"/>
            <w:vAlign w:val="center"/>
          </w:tcPr>
          <w:p>
            <w:pPr>
              <w:pStyle w:val="104"/>
              <w:rPr>
                <w:color w:val="FF0000"/>
                <w:highlight w:val="none"/>
              </w:rPr>
            </w:pPr>
            <w:r>
              <w:rPr>
                <w:color w:val="FF0000"/>
                <w:highlight w:val="none"/>
              </w:rPr>
              <w:t>0</w:t>
            </w:r>
          </w:p>
        </w:tc>
        <w:tc>
          <w:tcPr>
            <w:tcW w:w="1155" w:type="dxa"/>
            <w:vAlign w:val="center"/>
          </w:tcPr>
          <w:p>
            <w:pPr>
              <w:pStyle w:val="104"/>
              <w:rPr>
                <w:color w:val="FF0000"/>
                <w:highlight w:val="none"/>
              </w:rPr>
            </w:pPr>
            <w:r>
              <w:rPr>
                <w:color w:val="FF0000"/>
                <w:highlight w:val="none"/>
              </w:rPr>
              <w:t>0</w:t>
            </w:r>
          </w:p>
        </w:tc>
        <w:tc>
          <w:tcPr>
            <w:tcW w:w="1000" w:type="dxa"/>
            <w:vAlign w:val="center"/>
          </w:tcPr>
          <w:p>
            <w:pPr>
              <w:pStyle w:val="104"/>
              <w:rPr>
                <w:color w:val="FF0000"/>
                <w:highlight w:val="none"/>
              </w:rPr>
            </w:pPr>
            <w:r>
              <w:rPr>
                <w:color w:val="FF0000"/>
                <w:highlight w:val="none"/>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004" w:type="dxa"/>
            <w:vMerge w:val="restart"/>
            <w:vAlign w:val="center"/>
          </w:tcPr>
          <w:p>
            <w:pPr>
              <w:pStyle w:val="104"/>
              <w:rPr>
                <w:color w:val="FF0000"/>
                <w:highlight w:val="none"/>
              </w:rPr>
            </w:pPr>
            <w:r>
              <w:rPr>
                <w:color w:val="FF0000"/>
                <w:highlight w:val="none"/>
              </w:rPr>
              <w:t>A</w:t>
            </w:r>
            <w:r>
              <w:rPr>
                <w:rFonts w:hint="eastAsia"/>
                <w:color w:val="FF0000"/>
                <w:highlight w:val="none"/>
                <w:vertAlign w:val="superscript"/>
                <w:lang w:val="en-US" w:eastAsia="zh-CN"/>
              </w:rPr>
              <w:t>2</w:t>
            </w:r>
            <w:r>
              <w:rPr>
                <w:color w:val="FF0000"/>
                <w:highlight w:val="none"/>
              </w:rPr>
              <w:t>/O+</w:t>
            </w:r>
          </w:p>
          <w:p>
            <w:pPr>
              <w:pStyle w:val="104"/>
              <w:rPr>
                <w:color w:val="FF0000"/>
                <w:highlight w:val="none"/>
              </w:rPr>
            </w:pPr>
            <w:r>
              <w:rPr>
                <w:rFonts w:hint="eastAsia"/>
                <w:color w:val="FF0000"/>
                <w:highlight w:val="none"/>
              </w:rPr>
              <w:t>终沉池</w:t>
            </w:r>
          </w:p>
        </w:tc>
        <w:tc>
          <w:tcPr>
            <w:tcW w:w="1533" w:type="dxa"/>
            <w:vAlign w:val="center"/>
          </w:tcPr>
          <w:p>
            <w:pPr>
              <w:pStyle w:val="104"/>
              <w:rPr>
                <w:color w:val="FF0000"/>
                <w:highlight w:val="none"/>
              </w:rPr>
            </w:pPr>
            <w:r>
              <w:rPr>
                <w:rFonts w:hint="eastAsia"/>
                <w:color w:val="FF0000"/>
                <w:highlight w:val="none"/>
              </w:rPr>
              <w:t>进水（</w:t>
            </w:r>
            <w:r>
              <w:rPr>
                <w:color w:val="FF0000"/>
                <w:highlight w:val="none"/>
              </w:rPr>
              <w:t>mg/L</w:t>
            </w:r>
            <w:r>
              <w:rPr>
                <w:rFonts w:hint="eastAsia"/>
                <w:color w:val="FF0000"/>
                <w:highlight w:val="none"/>
              </w:rPr>
              <w:t>）</w:t>
            </w:r>
          </w:p>
        </w:tc>
        <w:tc>
          <w:tcPr>
            <w:tcW w:w="1195" w:type="dxa"/>
            <w:vAlign w:val="center"/>
          </w:tcPr>
          <w:p>
            <w:pPr>
              <w:pStyle w:val="104"/>
              <w:rPr>
                <w:color w:val="FF0000"/>
                <w:highlight w:val="none"/>
              </w:rPr>
            </w:pPr>
            <w:r>
              <w:rPr>
                <w:rFonts w:hint="eastAsia"/>
                <w:color w:val="FF0000"/>
                <w:highlight w:val="none"/>
                <w:lang w:val="en-US" w:eastAsia="zh-CN"/>
              </w:rPr>
              <w:t>510</w:t>
            </w:r>
          </w:p>
        </w:tc>
        <w:tc>
          <w:tcPr>
            <w:tcW w:w="1145" w:type="dxa"/>
            <w:vAlign w:val="center"/>
          </w:tcPr>
          <w:p>
            <w:pPr>
              <w:pStyle w:val="104"/>
              <w:rPr>
                <w:color w:val="FF0000"/>
                <w:highlight w:val="none"/>
              </w:rPr>
            </w:pPr>
            <w:r>
              <w:rPr>
                <w:rFonts w:hint="eastAsia"/>
                <w:color w:val="FF0000"/>
                <w:highlight w:val="none"/>
                <w:lang w:val="en-US" w:eastAsia="zh-CN"/>
              </w:rPr>
              <w:t>315</w:t>
            </w:r>
          </w:p>
        </w:tc>
        <w:tc>
          <w:tcPr>
            <w:tcW w:w="872" w:type="dxa"/>
            <w:vAlign w:val="center"/>
          </w:tcPr>
          <w:p>
            <w:pPr>
              <w:pStyle w:val="104"/>
              <w:rPr>
                <w:color w:val="FF0000"/>
                <w:highlight w:val="none"/>
              </w:rPr>
            </w:pPr>
            <w:r>
              <w:rPr>
                <w:rFonts w:hint="eastAsia"/>
                <w:color w:val="FF0000"/>
                <w:highlight w:val="none"/>
                <w:lang w:val="en-US" w:eastAsia="zh-CN"/>
              </w:rPr>
              <w:t>315</w:t>
            </w:r>
          </w:p>
        </w:tc>
        <w:tc>
          <w:tcPr>
            <w:tcW w:w="1159" w:type="dxa"/>
            <w:vAlign w:val="center"/>
          </w:tcPr>
          <w:p>
            <w:pPr>
              <w:pStyle w:val="104"/>
              <w:rPr>
                <w:color w:val="FF0000"/>
                <w:highlight w:val="none"/>
              </w:rPr>
            </w:pPr>
            <w:r>
              <w:rPr>
                <w:rFonts w:hint="eastAsia"/>
                <w:color w:val="FF0000"/>
                <w:highlight w:val="none"/>
                <w:lang w:val="en-US" w:eastAsia="zh-CN"/>
              </w:rPr>
              <w:t>35</w:t>
            </w:r>
          </w:p>
        </w:tc>
        <w:tc>
          <w:tcPr>
            <w:tcW w:w="1155" w:type="dxa"/>
            <w:vAlign w:val="center"/>
          </w:tcPr>
          <w:p>
            <w:pPr>
              <w:pStyle w:val="104"/>
              <w:rPr>
                <w:color w:val="FF0000"/>
                <w:highlight w:val="none"/>
              </w:rPr>
            </w:pPr>
            <w:r>
              <w:rPr>
                <w:color w:val="FF0000"/>
                <w:highlight w:val="none"/>
              </w:rPr>
              <w:t>70</w:t>
            </w:r>
          </w:p>
        </w:tc>
        <w:tc>
          <w:tcPr>
            <w:tcW w:w="1000" w:type="dxa"/>
            <w:vAlign w:val="center"/>
          </w:tcPr>
          <w:p>
            <w:pPr>
              <w:pStyle w:val="104"/>
              <w:rPr>
                <w:color w:val="FF0000"/>
                <w:highlight w:val="none"/>
              </w:rPr>
            </w:pPr>
            <w:r>
              <w:rPr>
                <w:color w:val="FF0000"/>
                <w:highlight w:val="none"/>
              </w:rPr>
              <w:t>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004" w:type="dxa"/>
            <w:vMerge w:val="continue"/>
            <w:vAlign w:val="center"/>
          </w:tcPr>
          <w:p>
            <w:pPr>
              <w:pStyle w:val="104"/>
              <w:rPr>
                <w:color w:val="FF0000"/>
                <w:highlight w:val="none"/>
              </w:rPr>
            </w:pPr>
          </w:p>
        </w:tc>
        <w:tc>
          <w:tcPr>
            <w:tcW w:w="1533" w:type="dxa"/>
            <w:vAlign w:val="center"/>
          </w:tcPr>
          <w:p>
            <w:pPr>
              <w:pStyle w:val="104"/>
              <w:rPr>
                <w:color w:val="FF0000"/>
                <w:highlight w:val="none"/>
              </w:rPr>
            </w:pPr>
            <w:r>
              <w:rPr>
                <w:rFonts w:hint="eastAsia"/>
                <w:color w:val="FF0000"/>
                <w:highlight w:val="none"/>
              </w:rPr>
              <w:t>出水（</w:t>
            </w:r>
            <w:r>
              <w:rPr>
                <w:color w:val="FF0000"/>
                <w:highlight w:val="none"/>
              </w:rPr>
              <w:t>mg/L</w:t>
            </w:r>
            <w:r>
              <w:rPr>
                <w:rFonts w:hint="eastAsia"/>
                <w:color w:val="FF0000"/>
                <w:highlight w:val="none"/>
              </w:rPr>
              <w:t>）</w:t>
            </w:r>
          </w:p>
        </w:tc>
        <w:tc>
          <w:tcPr>
            <w:tcW w:w="1195" w:type="dxa"/>
            <w:vAlign w:val="center"/>
          </w:tcPr>
          <w:p>
            <w:pPr>
              <w:pStyle w:val="104"/>
              <w:rPr>
                <w:color w:val="FF0000"/>
                <w:highlight w:val="none"/>
              </w:rPr>
            </w:pPr>
            <w:r>
              <w:rPr>
                <w:color w:val="FF0000"/>
                <w:highlight w:val="none"/>
              </w:rPr>
              <w:t>340</w:t>
            </w:r>
          </w:p>
        </w:tc>
        <w:tc>
          <w:tcPr>
            <w:tcW w:w="1145" w:type="dxa"/>
            <w:vAlign w:val="center"/>
          </w:tcPr>
          <w:p>
            <w:pPr>
              <w:pStyle w:val="104"/>
              <w:rPr>
                <w:color w:val="FF0000"/>
                <w:highlight w:val="none"/>
              </w:rPr>
            </w:pPr>
            <w:r>
              <w:rPr>
                <w:color w:val="FF0000"/>
                <w:highlight w:val="none"/>
              </w:rPr>
              <w:t>157.5</w:t>
            </w:r>
          </w:p>
        </w:tc>
        <w:tc>
          <w:tcPr>
            <w:tcW w:w="872" w:type="dxa"/>
            <w:vAlign w:val="center"/>
          </w:tcPr>
          <w:p>
            <w:pPr>
              <w:pStyle w:val="104"/>
              <w:rPr>
                <w:color w:val="FF0000"/>
                <w:highlight w:val="none"/>
              </w:rPr>
            </w:pPr>
            <w:r>
              <w:rPr>
                <w:color w:val="FF0000"/>
                <w:highlight w:val="none"/>
              </w:rPr>
              <w:t>100</w:t>
            </w:r>
          </w:p>
        </w:tc>
        <w:tc>
          <w:tcPr>
            <w:tcW w:w="1159" w:type="dxa"/>
            <w:vAlign w:val="center"/>
          </w:tcPr>
          <w:p>
            <w:pPr>
              <w:pStyle w:val="104"/>
              <w:rPr>
                <w:rFonts w:hint="eastAsia" w:eastAsia="宋体"/>
                <w:color w:val="FF0000"/>
                <w:highlight w:val="none"/>
                <w:lang w:eastAsia="zh-CN"/>
              </w:rPr>
            </w:pPr>
            <w:r>
              <w:rPr>
                <w:color w:val="FF0000"/>
                <w:highlight w:val="none"/>
              </w:rPr>
              <w:t>3</w:t>
            </w:r>
            <w:r>
              <w:rPr>
                <w:rFonts w:hint="eastAsia"/>
                <w:color w:val="FF0000"/>
                <w:highlight w:val="none"/>
                <w:lang w:val="en-US" w:eastAsia="zh-CN"/>
              </w:rPr>
              <w:t>0</w:t>
            </w:r>
          </w:p>
        </w:tc>
        <w:tc>
          <w:tcPr>
            <w:tcW w:w="1155" w:type="dxa"/>
            <w:vAlign w:val="center"/>
          </w:tcPr>
          <w:p>
            <w:pPr>
              <w:pStyle w:val="104"/>
              <w:rPr>
                <w:color w:val="FF0000"/>
                <w:highlight w:val="none"/>
              </w:rPr>
            </w:pPr>
            <w:r>
              <w:rPr>
                <w:color w:val="FF0000"/>
                <w:highlight w:val="none"/>
              </w:rPr>
              <w:t>63</w:t>
            </w:r>
          </w:p>
        </w:tc>
        <w:tc>
          <w:tcPr>
            <w:tcW w:w="1000" w:type="dxa"/>
            <w:vAlign w:val="center"/>
          </w:tcPr>
          <w:p>
            <w:pPr>
              <w:pStyle w:val="104"/>
              <w:rPr>
                <w:color w:val="FF0000"/>
                <w:highlight w:val="none"/>
              </w:rPr>
            </w:pPr>
            <w:r>
              <w:rPr>
                <w:color w:val="FF0000"/>
                <w:highlight w:val="none"/>
              </w:rPr>
              <w:t>4.56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004" w:type="dxa"/>
            <w:vMerge w:val="continue"/>
            <w:vAlign w:val="center"/>
          </w:tcPr>
          <w:p>
            <w:pPr>
              <w:pStyle w:val="104"/>
              <w:rPr>
                <w:color w:val="FF0000"/>
                <w:highlight w:val="none"/>
              </w:rPr>
            </w:pPr>
          </w:p>
        </w:tc>
        <w:tc>
          <w:tcPr>
            <w:tcW w:w="1533" w:type="dxa"/>
            <w:vAlign w:val="center"/>
          </w:tcPr>
          <w:p>
            <w:pPr>
              <w:pStyle w:val="104"/>
              <w:rPr>
                <w:color w:val="FF0000"/>
                <w:highlight w:val="none"/>
              </w:rPr>
            </w:pPr>
            <w:r>
              <w:rPr>
                <w:rFonts w:hint="eastAsia"/>
                <w:color w:val="FF0000"/>
                <w:highlight w:val="none"/>
              </w:rPr>
              <w:t>去除效率</w:t>
            </w:r>
          </w:p>
        </w:tc>
        <w:tc>
          <w:tcPr>
            <w:tcW w:w="1195" w:type="dxa"/>
            <w:vAlign w:val="center"/>
          </w:tcPr>
          <w:p>
            <w:pPr>
              <w:pStyle w:val="104"/>
              <w:rPr>
                <w:color w:val="FF0000"/>
                <w:highlight w:val="none"/>
              </w:rPr>
            </w:pPr>
            <w:r>
              <w:rPr>
                <w:rFonts w:hint="eastAsia"/>
                <w:color w:val="FF0000"/>
                <w:highlight w:val="none"/>
                <w:lang w:val="en-US" w:eastAsia="zh-CN"/>
              </w:rPr>
              <w:t>33.3</w:t>
            </w:r>
            <w:r>
              <w:rPr>
                <w:color w:val="FF0000"/>
                <w:highlight w:val="none"/>
              </w:rPr>
              <w:t>%</w:t>
            </w:r>
          </w:p>
        </w:tc>
        <w:tc>
          <w:tcPr>
            <w:tcW w:w="1145" w:type="dxa"/>
            <w:vAlign w:val="center"/>
          </w:tcPr>
          <w:p>
            <w:pPr>
              <w:pStyle w:val="104"/>
              <w:rPr>
                <w:color w:val="FF0000"/>
                <w:highlight w:val="none"/>
              </w:rPr>
            </w:pPr>
            <w:r>
              <w:rPr>
                <w:rFonts w:hint="eastAsia"/>
                <w:color w:val="FF0000"/>
                <w:highlight w:val="none"/>
                <w:lang w:val="en-US" w:eastAsia="zh-CN"/>
              </w:rPr>
              <w:t>5</w:t>
            </w:r>
            <w:r>
              <w:rPr>
                <w:color w:val="FF0000"/>
                <w:highlight w:val="none"/>
              </w:rPr>
              <w:t>0%</w:t>
            </w:r>
          </w:p>
        </w:tc>
        <w:tc>
          <w:tcPr>
            <w:tcW w:w="872" w:type="dxa"/>
            <w:vAlign w:val="center"/>
          </w:tcPr>
          <w:p>
            <w:pPr>
              <w:pStyle w:val="104"/>
              <w:rPr>
                <w:color w:val="FF0000"/>
                <w:highlight w:val="none"/>
              </w:rPr>
            </w:pPr>
            <w:r>
              <w:rPr>
                <w:rFonts w:hint="eastAsia"/>
                <w:color w:val="FF0000"/>
                <w:highlight w:val="none"/>
                <w:lang w:val="en-US" w:eastAsia="zh-CN"/>
              </w:rPr>
              <w:t>68.3</w:t>
            </w:r>
            <w:r>
              <w:rPr>
                <w:color w:val="FF0000"/>
                <w:highlight w:val="none"/>
              </w:rPr>
              <w:t>%</w:t>
            </w:r>
          </w:p>
        </w:tc>
        <w:tc>
          <w:tcPr>
            <w:tcW w:w="1159" w:type="dxa"/>
            <w:vAlign w:val="center"/>
          </w:tcPr>
          <w:p>
            <w:pPr>
              <w:pStyle w:val="104"/>
              <w:rPr>
                <w:color w:val="FF0000"/>
                <w:highlight w:val="none"/>
              </w:rPr>
            </w:pPr>
            <w:r>
              <w:rPr>
                <w:rFonts w:hint="eastAsia"/>
                <w:color w:val="FF0000"/>
                <w:highlight w:val="none"/>
                <w:lang w:val="en-US" w:eastAsia="zh-CN"/>
              </w:rPr>
              <w:t>14.3</w:t>
            </w:r>
            <w:r>
              <w:rPr>
                <w:color w:val="FF0000"/>
                <w:highlight w:val="none"/>
              </w:rPr>
              <w:t>%</w:t>
            </w:r>
          </w:p>
        </w:tc>
        <w:tc>
          <w:tcPr>
            <w:tcW w:w="1155" w:type="dxa"/>
            <w:vAlign w:val="center"/>
          </w:tcPr>
          <w:p>
            <w:pPr>
              <w:pStyle w:val="104"/>
              <w:rPr>
                <w:color w:val="FF0000"/>
                <w:highlight w:val="none"/>
              </w:rPr>
            </w:pPr>
            <w:r>
              <w:rPr>
                <w:color w:val="FF0000"/>
                <w:highlight w:val="none"/>
              </w:rPr>
              <w:t>10%</w:t>
            </w:r>
          </w:p>
        </w:tc>
        <w:tc>
          <w:tcPr>
            <w:tcW w:w="1000" w:type="dxa"/>
            <w:vAlign w:val="center"/>
          </w:tcPr>
          <w:p>
            <w:pPr>
              <w:pStyle w:val="104"/>
              <w:rPr>
                <w:color w:val="FF0000"/>
                <w:highlight w:val="none"/>
              </w:rPr>
            </w:pPr>
            <w:r>
              <w:rPr>
                <w:color w:val="FF0000"/>
                <w:highlight w:val="none"/>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004" w:type="dxa"/>
            <w:vMerge w:val="restart"/>
            <w:vAlign w:val="center"/>
          </w:tcPr>
          <w:p>
            <w:pPr>
              <w:pStyle w:val="104"/>
              <w:rPr>
                <w:color w:val="FF0000"/>
                <w:highlight w:val="none"/>
              </w:rPr>
            </w:pPr>
            <w:r>
              <w:rPr>
                <w:rFonts w:hint="eastAsia"/>
                <w:color w:val="FF0000"/>
                <w:highlight w:val="none"/>
              </w:rPr>
              <w:t>混凝沉淀</w:t>
            </w:r>
          </w:p>
        </w:tc>
        <w:tc>
          <w:tcPr>
            <w:tcW w:w="1533" w:type="dxa"/>
            <w:vAlign w:val="center"/>
          </w:tcPr>
          <w:p>
            <w:pPr>
              <w:pStyle w:val="104"/>
              <w:rPr>
                <w:color w:val="FF0000"/>
                <w:highlight w:val="none"/>
              </w:rPr>
            </w:pPr>
            <w:r>
              <w:rPr>
                <w:rFonts w:hint="eastAsia"/>
                <w:color w:val="FF0000"/>
                <w:highlight w:val="none"/>
              </w:rPr>
              <w:t>进水（</w:t>
            </w:r>
            <w:r>
              <w:rPr>
                <w:color w:val="FF0000"/>
                <w:highlight w:val="none"/>
              </w:rPr>
              <w:t>mg/L</w:t>
            </w:r>
            <w:r>
              <w:rPr>
                <w:rFonts w:hint="eastAsia"/>
                <w:color w:val="FF0000"/>
                <w:highlight w:val="none"/>
              </w:rPr>
              <w:t>）</w:t>
            </w:r>
          </w:p>
        </w:tc>
        <w:tc>
          <w:tcPr>
            <w:tcW w:w="1195" w:type="dxa"/>
            <w:vAlign w:val="center"/>
          </w:tcPr>
          <w:p>
            <w:pPr>
              <w:pStyle w:val="104"/>
              <w:rPr>
                <w:color w:val="FF0000"/>
                <w:highlight w:val="none"/>
              </w:rPr>
            </w:pPr>
            <w:r>
              <w:rPr>
                <w:color w:val="FF0000"/>
                <w:highlight w:val="none"/>
              </w:rPr>
              <w:t>340</w:t>
            </w:r>
          </w:p>
        </w:tc>
        <w:tc>
          <w:tcPr>
            <w:tcW w:w="1145" w:type="dxa"/>
            <w:vAlign w:val="center"/>
          </w:tcPr>
          <w:p>
            <w:pPr>
              <w:pStyle w:val="104"/>
              <w:rPr>
                <w:color w:val="FF0000"/>
                <w:highlight w:val="none"/>
              </w:rPr>
            </w:pPr>
            <w:r>
              <w:rPr>
                <w:color w:val="FF0000"/>
                <w:highlight w:val="none"/>
              </w:rPr>
              <w:t>157.5</w:t>
            </w:r>
          </w:p>
        </w:tc>
        <w:tc>
          <w:tcPr>
            <w:tcW w:w="872" w:type="dxa"/>
            <w:vAlign w:val="center"/>
          </w:tcPr>
          <w:p>
            <w:pPr>
              <w:pStyle w:val="104"/>
              <w:rPr>
                <w:color w:val="FF0000"/>
                <w:highlight w:val="none"/>
              </w:rPr>
            </w:pPr>
            <w:r>
              <w:rPr>
                <w:color w:val="FF0000"/>
                <w:highlight w:val="none"/>
              </w:rPr>
              <w:t>100</w:t>
            </w:r>
          </w:p>
        </w:tc>
        <w:tc>
          <w:tcPr>
            <w:tcW w:w="1159" w:type="dxa"/>
            <w:vAlign w:val="center"/>
          </w:tcPr>
          <w:p>
            <w:pPr>
              <w:pStyle w:val="104"/>
              <w:rPr>
                <w:rFonts w:hint="default" w:eastAsia="宋体"/>
                <w:color w:val="FF0000"/>
                <w:highlight w:val="none"/>
                <w:lang w:val="en-US" w:eastAsia="zh-CN"/>
              </w:rPr>
            </w:pPr>
            <w:r>
              <w:rPr>
                <w:rFonts w:hint="eastAsia"/>
                <w:color w:val="FF0000"/>
                <w:highlight w:val="none"/>
                <w:lang w:val="en-US" w:eastAsia="zh-CN"/>
              </w:rPr>
              <w:t>30</w:t>
            </w:r>
          </w:p>
        </w:tc>
        <w:tc>
          <w:tcPr>
            <w:tcW w:w="1155" w:type="dxa"/>
            <w:vAlign w:val="center"/>
          </w:tcPr>
          <w:p>
            <w:pPr>
              <w:pStyle w:val="104"/>
              <w:rPr>
                <w:color w:val="FF0000"/>
                <w:highlight w:val="none"/>
              </w:rPr>
            </w:pPr>
            <w:r>
              <w:rPr>
                <w:color w:val="FF0000"/>
                <w:highlight w:val="none"/>
              </w:rPr>
              <w:t>63</w:t>
            </w:r>
          </w:p>
        </w:tc>
        <w:tc>
          <w:tcPr>
            <w:tcW w:w="1000" w:type="dxa"/>
            <w:vAlign w:val="center"/>
          </w:tcPr>
          <w:p>
            <w:pPr>
              <w:pStyle w:val="104"/>
              <w:rPr>
                <w:color w:val="FF0000"/>
                <w:highlight w:val="none"/>
              </w:rPr>
            </w:pPr>
            <w:r>
              <w:rPr>
                <w:color w:val="FF0000"/>
                <w:highlight w:val="none"/>
              </w:rPr>
              <w:t>4.56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004" w:type="dxa"/>
            <w:vMerge w:val="continue"/>
            <w:vAlign w:val="center"/>
          </w:tcPr>
          <w:p>
            <w:pPr>
              <w:pStyle w:val="104"/>
              <w:rPr>
                <w:color w:val="FF0000"/>
                <w:highlight w:val="none"/>
              </w:rPr>
            </w:pPr>
          </w:p>
        </w:tc>
        <w:tc>
          <w:tcPr>
            <w:tcW w:w="1533" w:type="dxa"/>
            <w:vAlign w:val="center"/>
          </w:tcPr>
          <w:p>
            <w:pPr>
              <w:pStyle w:val="104"/>
              <w:rPr>
                <w:color w:val="FF0000"/>
                <w:highlight w:val="none"/>
              </w:rPr>
            </w:pPr>
            <w:r>
              <w:rPr>
                <w:rFonts w:hint="eastAsia"/>
                <w:color w:val="FF0000"/>
                <w:highlight w:val="none"/>
              </w:rPr>
              <w:t>出水（</w:t>
            </w:r>
            <w:r>
              <w:rPr>
                <w:color w:val="FF0000"/>
                <w:highlight w:val="none"/>
              </w:rPr>
              <w:t>mg/L</w:t>
            </w:r>
            <w:r>
              <w:rPr>
                <w:rFonts w:hint="eastAsia"/>
                <w:color w:val="FF0000"/>
                <w:highlight w:val="none"/>
              </w:rPr>
              <w:t>）</w:t>
            </w:r>
          </w:p>
        </w:tc>
        <w:tc>
          <w:tcPr>
            <w:tcW w:w="1195" w:type="dxa"/>
            <w:vAlign w:val="center"/>
          </w:tcPr>
          <w:p>
            <w:pPr>
              <w:pStyle w:val="104"/>
              <w:rPr>
                <w:color w:val="FF0000"/>
                <w:highlight w:val="none"/>
              </w:rPr>
            </w:pPr>
            <w:r>
              <w:rPr>
                <w:color w:val="FF0000"/>
                <w:highlight w:val="none"/>
              </w:rPr>
              <w:t>51</w:t>
            </w:r>
          </w:p>
        </w:tc>
        <w:tc>
          <w:tcPr>
            <w:tcW w:w="1145" w:type="dxa"/>
            <w:vAlign w:val="center"/>
          </w:tcPr>
          <w:p>
            <w:pPr>
              <w:pStyle w:val="104"/>
              <w:rPr>
                <w:color w:val="FF0000"/>
                <w:highlight w:val="none"/>
              </w:rPr>
            </w:pPr>
            <w:r>
              <w:rPr>
                <w:color w:val="FF0000"/>
                <w:highlight w:val="none"/>
              </w:rPr>
              <w:t>7.875</w:t>
            </w:r>
          </w:p>
        </w:tc>
        <w:tc>
          <w:tcPr>
            <w:tcW w:w="872" w:type="dxa"/>
            <w:vAlign w:val="center"/>
          </w:tcPr>
          <w:p>
            <w:pPr>
              <w:pStyle w:val="104"/>
              <w:rPr>
                <w:color w:val="FF0000"/>
                <w:highlight w:val="none"/>
              </w:rPr>
            </w:pPr>
            <w:r>
              <w:rPr>
                <w:color w:val="FF0000"/>
                <w:highlight w:val="none"/>
              </w:rPr>
              <w:t>10</w:t>
            </w:r>
          </w:p>
        </w:tc>
        <w:tc>
          <w:tcPr>
            <w:tcW w:w="1159" w:type="dxa"/>
            <w:vAlign w:val="center"/>
          </w:tcPr>
          <w:p>
            <w:pPr>
              <w:pStyle w:val="104"/>
              <w:rPr>
                <w:color w:val="FF0000"/>
                <w:highlight w:val="none"/>
              </w:rPr>
            </w:pPr>
            <w:r>
              <w:rPr>
                <w:color w:val="FF0000"/>
                <w:highlight w:val="none"/>
              </w:rPr>
              <w:t>5.4</w:t>
            </w:r>
          </w:p>
        </w:tc>
        <w:tc>
          <w:tcPr>
            <w:tcW w:w="1155" w:type="dxa"/>
            <w:vAlign w:val="center"/>
          </w:tcPr>
          <w:p>
            <w:pPr>
              <w:pStyle w:val="104"/>
              <w:rPr>
                <w:color w:val="FF0000"/>
                <w:highlight w:val="none"/>
              </w:rPr>
            </w:pPr>
            <w:r>
              <w:rPr>
                <w:color w:val="FF0000"/>
                <w:highlight w:val="none"/>
              </w:rPr>
              <w:t>15.75</w:t>
            </w:r>
          </w:p>
        </w:tc>
        <w:tc>
          <w:tcPr>
            <w:tcW w:w="1000" w:type="dxa"/>
            <w:vAlign w:val="center"/>
          </w:tcPr>
          <w:p>
            <w:pPr>
              <w:pStyle w:val="104"/>
              <w:rPr>
                <w:color w:val="FF0000"/>
                <w:highlight w:val="none"/>
              </w:rPr>
            </w:pPr>
            <w:r>
              <w:rPr>
                <w:color w:val="FF0000"/>
                <w:highlight w:val="none"/>
              </w:rPr>
              <w:t>1.368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004" w:type="dxa"/>
            <w:vMerge w:val="continue"/>
            <w:vAlign w:val="center"/>
          </w:tcPr>
          <w:p>
            <w:pPr>
              <w:pStyle w:val="104"/>
              <w:rPr>
                <w:color w:val="FF0000"/>
                <w:highlight w:val="none"/>
              </w:rPr>
            </w:pPr>
          </w:p>
        </w:tc>
        <w:tc>
          <w:tcPr>
            <w:tcW w:w="1533" w:type="dxa"/>
            <w:vAlign w:val="center"/>
          </w:tcPr>
          <w:p>
            <w:pPr>
              <w:pStyle w:val="104"/>
              <w:rPr>
                <w:color w:val="FF0000"/>
                <w:highlight w:val="none"/>
              </w:rPr>
            </w:pPr>
            <w:r>
              <w:rPr>
                <w:rFonts w:hint="eastAsia"/>
                <w:color w:val="FF0000"/>
                <w:highlight w:val="none"/>
              </w:rPr>
              <w:t>去除效率</w:t>
            </w:r>
          </w:p>
        </w:tc>
        <w:tc>
          <w:tcPr>
            <w:tcW w:w="1195" w:type="dxa"/>
            <w:vAlign w:val="center"/>
          </w:tcPr>
          <w:p>
            <w:pPr>
              <w:pStyle w:val="104"/>
              <w:rPr>
                <w:color w:val="FF0000"/>
                <w:highlight w:val="none"/>
              </w:rPr>
            </w:pPr>
            <w:r>
              <w:rPr>
                <w:color w:val="FF0000"/>
                <w:highlight w:val="none"/>
              </w:rPr>
              <w:t>85%</w:t>
            </w:r>
          </w:p>
        </w:tc>
        <w:tc>
          <w:tcPr>
            <w:tcW w:w="1145" w:type="dxa"/>
            <w:vAlign w:val="center"/>
          </w:tcPr>
          <w:p>
            <w:pPr>
              <w:pStyle w:val="104"/>
              <w:rPr>
                <w:color w:val="FF0000"/>
                <w:highlight w:val="none"/>
              </w:rPr>
            </w:pPr>
            <w:r>
              <w:rPr>
                <w:color w:val="FF0000"/>
                <w:highlight w:val="none"/>
              </w:rPr>
              <w:t>95%</w:t>
            </w:r>
          </w:p>
        </w:tc>
        <w:tc>
          <w:tcPr>
            <w:tcW w:w="872" w:type="dxa"/>
            <w:vAlign w:val="center"/>
          </w:tcPr>
          <w:p>
            <w:pPr>
              <w:pStyle w:val="104"/>
              <w:rPr>
                <w:color w:val="FF0000"/>
                <w:highlight w:val="none"/>
              </w:rPr>
            </w:pPr>
            <w:r>
              <w:rPr>
                <w:rFonts w:hint="eastAsia"/>
                <w:color w:val="FF0000"/>
                <w:highlight w:val="none"/>
                <w:lang w:val="en-US" w:eastAsia="zh-CN"/>
              </w:rPr>
              <w:t>82</w:t>
            </w:r>
            <w:r>
              <w:rPr>
                <w:color w:val="FF0000"/>
                <w:highlight w:val="none"/>
              </w:rPr>
              <w:t>%</w:t>
            </w:r>
          </w:p>
        </w:tc>
        <w:tc>
          <w:tcPr>
            <w:tcW w:w="1159" w:type="dxa"/>
            <w:vAlign w:val="center"/>
          </w:tcPr>
          <w:p>
            <w:pPr>
              <w:pStyle w:val="104"/>
              <w:rPr>
                <w:color w:val="FF0000"/>
                <w:highlight w:val="none"/>
              </w:rPr>
            </w:pPr>
            <w:r>
              <w:rPr>
                <w:color w:val="FF0000"/>
                <w:highlight w:val="none"/>
              </w:rPr>
              <w:t>85%</w:t>
            </w:r>
          </w:p>
        </w:tc>
        <w:tc>
          <w:tcPr>
            <w:tcW w:w="1155" w:type="dxa"/>
            <w:vAlign w:val="center"/>
          </w:tcPr>
          <w:p>
            <w:pPr>
              <w:pStyle w:val="104"/>
              <w:rPr>
                <w:color w:val="FF0000"/>
                <w:highlight w:val="none"/>
              </w:rPr>
            </w:pPr>
            <w:r>
              <w:rPr>
                <w:color w:val="FF0000"/>
                <w:highlight w:val="none"/>
              </w:rPr>
              <w:t>75%</w:t>
            </w:r>
          </w:p>
        </w:tc>
        <w:tc>
          <w:tcPr>
            <w:tcW w:w="1000" w:type="dxa"/>
            <w:vAlign w:val="center"/>
          </w:tcPr>
          <w:p>
            <w:pPr>
              <w:pStyle w:val="104"/>
              <w:rPr>
                <w:color w:val="FF0000"/>
                <w:highlight w:val="none"/>
              </w:rPr>
            </w:pPr>
            <w:r>
              <w:rPr>
                <w:color w:val="FF0000"/>
                <w:highlight w:val="none"/>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004" w:type="dxa"/>
            <w:vMerge w:val="restart"/>
            <w:vAlign w:val="center"/>
          </w:tcPr>
          <w:p>
            <w:pPr>
              <w:pStyle w:val="104"/>
              <w:rPr>
                <w:color w:val="FF0000"/>
                <w:highlight w:val="none"/>
              </w:rPr>
            </w:pPr>
            <w:r>
              <w:rPr>
                <w:rFonts w:hint="eastAsia" w:cs="Times New Roman"/>
                <w:color w:val="FF0000"/>
                <w:highlight w:val="none"/>
                <w:lang w:eastAsia="zh-CN"/>
              </w:rPr>
              <w:t>反硝化深床滤池</w:t>
            </w:r>
          </w:p>
        </w:tc>
        <w:tc>
          <w:tcPr>
            <w:tcW w:w="1533" w:type="dxa"/>
            <w:vAlign w:val="center"/>
          </w:tcPr>
          <w:p>
            <w:pPr>
              <w:pStyle w:val="104"/>
              <w:rPr>
                <w:color w:val="FF0000"/>
                <w:highlight w:val="none"/>
              </w:rPr>
            </w:pPr>
            <w:r>
              <w:rPr>
                <w:rFonts w:hint="eastAsia"/>
                <w:color w:val="FF0000"/>
                <w:highlight w:val="none"/>
              </w:rPr>
              <w:t>进水（</w:t>
            </w:r>
            <w:r>
              <w:rPr>
                <w:color w:val="FF0000"/>
                <w:highlight w:val="none"/>
              </w:rPr>
              <w:t>mg/L</w:t>
            </w:r>
            <w:r>
              <w:rPr>
                <w:rFonts w:hint="eastAsia"/>
                <w:color w:val="FF0000"/>
                <w:highlight w:val="none"/>
              </w:rPr>
              <w:t>）</w:t>
            </w:r>
          </w:p>
        </w:tc>
        <w:tc>
          <w:tcPr>
            <w:tcW w:w="1195" w:type="dxa"/>
            <w:vAlign w:val="center"/>
          </w:tcPr>
          <w:p>
            <w:pPr>
              <w:pStyle w:val="104"/>
              <w:rPr>
                <w:color w:val="FF0000"/>
                <w:highlight w:val="none"/>
              </w:rPr>
            </w:pPr>
            <w:r>
              <w:rPr>
                <w:color w:val="FF0000"/>
                <w:highlight w:val="none"/>
              </w:rPr>
              <w:t>51</w:t>
            </w:r>
          </w:p>
        </w:tc>
        <w:tc>
          <w:tcPr>
            <w:tcW w:w="1145" w:type="dxa"/>
            <w:vAlign w:val="center"/>
          </w:tcPr>
          <w:p>
            <w:pPr>
              <w:pStyle w:val="104"/>
              <w:rPr>
                <w:color w:val="FF0000"/>
                <w:highlight w:val="none"/>
              </w:rPr>
            </w:pPr>
            <w:r>
              <w:rPr>
                <w:color w:val="FF0000"/>
                <w:highlight w:val="none"/>
              </w:rPr>
              <w:t>7.875</w:t>
            </w:r>
          </w:p>
        </w:tc>
        <w:tc>
          <w:tcPr>
            <w:tcW w:w="872" w:type="dxa"/>
            <w:vAlign w:val="center"/>
          </w:tcPr>
          <w:p>
            <w:pPr>
              <w:pStyle w:val="104"/>
              <w:rPr>
                <w:color w:val="FF0000"/>
                <w:highlight w:val="none"/>
              </w:rPr>
            </w:pPr>
            <w:r>
              <w:rPr>
                <w:color w:val="FF0000"/>
                <w:highlight w:val="none"/>
              </w:rPr>
              <w:t>10</w:t>
            </w:r>
          </w:p>
        </w:tc>
        <w:tc>
          <w:tcPr>
            <w:tcW w:w="1159" w:type="dxa"/>
            <w:vAlign w:val="center"/>
          </w:tcPr>
          <w:p>
            <w:pPr>
              <w:pStyle w:val="104"/>
              <w:rPr>
                <w:color w:val="FF0000"/>
                <w:highlight w:val="none"/>
              </w:rPr>
            </w:pPr>
            <w:r>
              <w:rPr>
                <w:color w:val="FF0000"/>
                <w:highlight w:val="none"/>
              </w:rPr>
              <w:t>5.4</w:t>
            </w:r>
          </w:p>
        </w:tc>
        <w:tc>
          <w:tcPr>
            <w:tcW w:w="1155" w:type="dxa"/>
            <w:vAlign w:val="center"/>
          </w:tcPr>
          <w:p>
            <w:pPr>
              <w:pStyle w:val="104"/>
              <w:rPr>
                <w:color w:val="FF0000"/>
                <w:highlight w:val="none"/>
              </w:rPr>
            </w:pPr>
            <w:r>
              <w:rPr>
                <w:color w:val="FF0000"/>
                <w:highlight w:val="none"/>
              </w:rPr>
              <w:t>15.75</w:t>
            </w:r>
          </w:p>
        </w:tc>
        <w:tc>
          <w:tcPr>
            <w:tcW w:w="1000" w:type="dxa"/>
            <w:vAlign w:val="center"/>
          </w:tcPr>
          <w:p>
            <w:pPr>
              <w:pStyle w:val="104"/>
              <w:rPr>
                <w:color w:val="FF0000"/>
                <w:highlight w:val="none"/>
              </w:rPr>
            </w:pPr>
            <w:r>
              <w:rPr>
                <w:color w:val="FF0000"/>
                <w:highlight w:val="none"/>
              </w:rPr>
              <w:t>1.368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004" w:type="dxa"/>
            <w:vMerge w:val="continue"/>
            <w:vAlign w:val="center"/>
          </w:tcPr>
          <w:p>
            <w:pPr>
              <w:pStyle w:val="104"/>
              <w:rPr>
                <w:color w:val="FF0000"/>
                <w:highlight w:val="none"/>
              </w:rPr>
            </w:pPr>
          </w:p>
        </w:tc>
        <w:tc>
          <w:tcPr>
            <w:tcW w:w="1533" w:type="dxa"/>
            <w:vAlign w:val="center"/>
          </w:tcPr>
          <w:p>
            <w:pPr>
              <w:pStyle w:val="104"/>
              <w:rPr>
                <w:color w:val="FF0000"/>
                <w:highlight w:val="none"/>
              </w:rPr>
            </w:pPr>
            <w:r>
              <w:rPr>
                <w:rFonts w:hint="eastAsia"/>
                <w:color w:val="FF0000"/>
                <w:highlight w:val="none"/>
              </w:rPr>
              <w:t>出水（</w:t>
            </w:r>
            <w:r>
              <w:rPr>
                <w:color w:val="FF0000"/>
                <w:highlight w:val="none"/>
              </w:rPr>
              <w:t>mg/L</w:t>
            </w:r>
            <w:r>
              <w:rPr>
                <w:rFonts w:hint="eastAsia"/>
                <w:color w:val="FF0000"/>
                <w:highlight w:val="none"/>
              </w:rPr>
              <w:t>）</w:t>
            </w:r>
          </w:p>
        </w:tc>
        <w:tc>
          <w:tcPr>
            <w:tcW w:w="1195" w:type="dxa"/>
            <w:vAlign w:val="center"/>
          </w:tcPr>
          <w:p>
            <w:pPr>
              <w:pStyle w:val="104"/>
              <w:rPr>
                <w:color w:val="FF0000"/>
                <w:highlight w:val="none"/>
              </w:rPr>
            </w:pPr>
            <w:r>
              <w:rPr>
                <w:color w:val="FF0000"/>
                <w:highlight w:val="none"/>
              </w:rPr>
              <w:t>43.35</w:t>
            </w:r>
          </w:p>
        </w:tc>
        <w:tc>
          <w:tcPr>
            <w:tcW w:w="1145" w:type="dxa"/>
            <w:vAlign w:val="center"/>
          </w:tcPr>
          <w:p>
            <w:pPr>
              <w:pStyle w:val="104"/>
              <w:rPr>
                <w:color w:val="FF0000"/>
                <w:highlight w:val="none"/>
              </w:rPr>
            </w:pPr>
            <w:r>
              <w:rPr>
                <w:color w:val="FF0000"/>
                <w:highlight w:val="none"/>
              </w:rPr>
              <w:t>7.09</w:t>
            </w:r>
          </w:p>
        </w:tc>
        <w:tc>
          <w:tcPr>
            <w:tcW w:w="872" w:type="dxa"/>
            <w:vAlign w:val="center"/>
          </w:tcPr>
          <w:p>
            <w:pPr>
              <w:pStyle w:val="104"/>
              <w:rPr>
                <w:color w:val="FF0000"/>
                <w:highlight w:val="none"/>
              </w:rPr>
            </w:pPr>
            <w:r>
              <w:rPr>
                <w:color w:val="FF0000"/>
                <w:highlight w:val="none"/>
              </w:rPr>
              <w:t>5</w:t>
            </w:r>
          </w:p>
        </w:tc>
        <w:tc>
          <w:tcPr>
            <w:tcW w:w="1159" w:type="dxa"/>
            <w:vAlign w:val="center"/>
          </w:tcPr>
          <w:p>
            <w:pPr>
              <w:pStyle w:val="104"/>
              <w:rPr>
                <w:color w:val="FF0000"/>
                <w:highlight w:val="none"/>
              </w:rPr>
            </w:pPr>
            <w:r>
              <w:rPr>
                <w:color w:val="FF0000"/>
                <w:highlight w:val="none"/>
              </w:rPr>
              <w:t>4.86</w:t>
            </w:r>
          </w:p>
        </w:tc>
        <w:tc>
          <w:tcPr>
            <w:tcW w:w="1155" w:type="dxa"/>
            <w:vAlign w:val="center"/>
          </w:tcPr>
          <w:p>
            <w:pPr>
              <w:pStyle w:val="104"/>
              <w:rPr>
                <w:color w:val="FF0000"/>
                <w:highlight w:val="none"/>
              </w:rPr>
            </w:pPr>
            <w:r>
              <w:rPr>
                <w:color w:val="FF0000"/>
                <w:highlight w:val="none"/>
              </w:rPr>
              <w:t>14.175</w:t>
            </w:r>
          </w:p>
        </w:tc>
        <w:tc>
          <w:tcPr>
            <w:tcW w:w="1000" w:type="dxa"/>
            <w:vAlign w:val="center"/>
          </w:tcPr>
          <w:p>
            <w:pPr>
              <w:pStyle w:val="104"/>
              <w:rPr>
                <w:color w:val="FF0000"/>
                <w:highlight w:val="none"/>
              </w:rPr>
            </w:pPr>
            <w:r>
              <w:rPr>
                <w:color w:val="FF0000"/>
                <w:highlight w:val="none"/>
              </w:rPr>
              <w:t>0.274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1004" w:type="dxa"/>
            <w:vMerge w:val="continue"/>
            <w:vAlign w:val="center"/>
          </w:tcPr>
          <w:p>
            <w:pPr>
              <w:pStyle w:val="104"/>
              <w:rPr>
                <w:color w:val="FF0000"/>
                <w:highlight w:val="none"/>
              </w:rPr>
            </w:pPr>
          </w:p>
        </w:tc>
        <w:tc>
          <w:tcPr>
            <w:tcW w:w="1533" w:type="dxa"/>
            <w:vAlign w:val="center"/>
          </w:tcPr>
          <w:p>
            <w:pPr>
              <w:pStyle w:val="104"/>
              <w:rPr>
                <w:color w:val="FF0000"/>
                <w:highlight w:val="none"/>
              </w:rPr>
            </w:pPr>
            <w:r>
              <w:rPr>
                <w:rFonts w:hint="eastAsia"/>
                <w:color w:val="FF0000"/>
                <w:highlight w:val="none"/>
              </w:rPr>
              <w:t>去除效率</w:t>
            </w:r>
          </w:p>
        </w:tc>
        <w:tc>
          <w:tcPr>
            <w:tcW w:w="1195" w:type="dxa"/>
            <w:vAlign w:val="center"/>
          </w:tcPr>
          <w:p>
            <w:pPr>
              <w:pStyle w:val="104"/>
              <w:rPr>
                <w:color w:val="FF0000"/>
                <w:highlight w:val="none"/>
              </w:rPr>
            </w:pPr>
            <w:r>
              <w:rPr>
                <w:color w:val="FF0000"/>
                <w:highlight w:val="none"/>
              </w:rPr>
              <w:t>15%</w:t>
            </w:r>
          </w:p>
        </w:tc>
        <w:tc>
          <w:tcPr>
            <w:tcW w:w="1145" w:type="dxa"/>
            <w:vAlign w:val="center"/>
          </w:tcPr>
          <w:p>
            <w:pPr>
              <w:pStyle w:val="104"/>
              <w:rPr>
                <w:color w:val="FF0000"/>
                <w:highlight w:val="none"/>
              </w:rPr>
            </w:pPr>
            <w:r>
              <w:rPr>
                <w:color w:val="FF0000"/>
                <w:highlight w:val="none"/>
              </w:rPr>
              <w:t>10%</w:t>
            </w:r>
          </w:p>
        </w:tc>
        <w:tc>
          <w:tcPr>
            <w:tcW w:w="872" w:type="dxa"/>
            <w:vAlign w:val="center"/>
          </w:tcPr>
          <w:p>
            <w:pPr>
              <w:pStyle w:val="104"/>
              <w:rPr>
                <w:color w:val="FF0000"/>
                <w:highlight w:val="none"/>
              </w:rPr>
            </w:pPr>
            <w:r>
              <w:rPr>
                <w:color w:val="FF0000"/>
                <w:highlight w:val="none"/>
              </w:rPr>
              <w:t>50%</w:t>
            </w:r>
          </w:p>
        </w:tc>
        <w:tc>
          <w:tcPr>
            <w:tcW w:w="1159" w:type="dxa"/>
            <w:vAlign w:val="center"/>
          </w:tcPr>
          <w:p>
            <w:pPr>
              <w:pStyle w:val="104"/>
              <w:rPr>
                <w:color w:val="FF0000"/>
                <w:highlight w:val="none"/>
              </w:rPr>
            </w:pPr>
            <w:r>
              <w:rPr>
                <w:color w:val="FF0000"/>
                <w:highlight w:val="none"/>
              </w:rPr>
              <w:t>10%</w:t>
            </w:r>
          </w:p>
        </w:tc>
        <w:tc>
          <w:tcPr>
            <w:tcW w:w="1155" w:type="dxa"/>
            <w:vAlign w:val="center"/>
          </w:tcPr>
          <w:p>
            <w:pPr>
              <w:pStyle w:val="104"/>
              <w:rPr>
                <w:color w:val="FF0000"/>
                <w:highlight w:val="none"/>
              </w:rPr>
            </w:pPr>
            <w:r>
              <w:rPr>
                <w:color w:val="FF0000"/>
                <w:highlight w:val="none"/>
              </w:rPr>
              <w:t>10%</w:t>
            </w:r>
          </w:p>
        </w:tc>
        <w:tc>
          <w:tcPr>
            <w:tcW w:w="1000" w:type="dxa"/>
            <w:vAlign w:val="center"/>
          </w:tcPr>
          <w:p>
            <w:pPr>
              <w:pStyle w:val="104"/>
              <w:rPr>
                <w:color w:val="FF0000"/>
                <w:highlight w:val="none"/>
              </w:rPr>
            </w:pPr>
            <w:r>
              <w:rPr>
                <w:color w:val="FF0000"/>
                <w:highlight w:val="none"/>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2537" w:type="dxa"/>
            <w:gridSpan w:val="2"/>
            <w:vAlign w:val="center"/>
          </w:tcPr>
          <w:p>
            <w:pPr>
              <w:pStyle w:val="104"/>
              <w:rPr>
                <w:color w:val="FF0000"/>
                <w:highlight w:val="none"/>
              </w:rPr>
            </w:pPr>
            <w:r>
              <w:rPr>
                <w:rFonts w:hint="eastAsia"/>
                <w:color w:val="FF0000"/>
                <w:highlight w:val="none"/>
              </w:rPr>
              <w:t>出水</w:t>
            </w:r>
          </w:p>
        </w:tc>
        <w:tc>
          <w:tcPr>
            <w:tcW w:w="1196" w:type="dxa"/>
            <w:vAlign w:val="center"/>
          </w:tcPr>
          <w:p>
            <w:pPr>
              <w:pStyle w:val="104"/>
              <w:rPr>
                <w:color w:val="FF0000"/>
                <w:highlight w:val="none"/>
              </w:rPr>
            </w:pPr>
            <w:r>
              <w:rPr>
                <w:color w:val="FF0000"/>
                <w:highlight w:val="none"/>
              </w:rPr>
              <w:t>43.35</w:t>
            </w:r>
          </w:p>
        </w:tc>
        <w:tc>
          <w:tcPr>
            <w:tcW w:w="1145" w:type="dxa"/>
            <w:vAlign w:val="center"/>
          </w:tcPr>
          <w:p>
            <w:pPr>
              <w:pStyle w:val="104"/>
              <w:rPr>
                <w:color w:val="FF0000"/>
                <w:highlight w:val="none"/>
              </w:rPr>
            </w:pPr>
            <w:r>
              <w:rPr>
                <w:color w:val="FF0000"/>
                <w:highlight w:val="none"/>
              </w:rPr>
              <w:t>7.09</w:t>
            </w:r>
          </w:p>
        </w:tc>
        <w:tc>
          <w:tcPr>
            <w:tcW w:w="872" w:type="dxa"/>
            <w:vAlign w:val="center"/>
          </w:tcPr>
          <w:p>
            <w:pPr>
              <w:pStyle w:val="104"/>
              <w:rPr>
                <w:color w:val="FF0000"/>
                <w:highlight w:val="none"/>
              </w:rPr>
            </w:pPr>
            <w:r>
              <w:rPr>
                <w:color w:val="FF0000"/>
                <w:highlight w:val="none"/>
              </w:rPr>
              <w:t>5</w:t>
            </w:r>
          </w:p>
        </w:tc>
        <w:tc>
          <w:tcPr>
            <w:tcW w:w="1159" w:type="dxa"/>
            <w:vAlign w:val="center"/>
          </w:tcPr>
          <w:p>
            <w:pPr>
              <w:pStyle w:val="104"/>
              <w:rPr>
                <w:color w:val="FF0000"/>
                <w:highlight w:val="none"/>
              </w:rPr>
            </w:pPr>
            <w:r>
              <w:rPr>
                <w:color w:val="FF0000"/>
                <w:highlight w:val="none"/>
              </w:rPr>
              <w:t>4.86</w:t>
            </w:r>
          </w:p>
        </w:tc>
        <w:tc>
          <w:tcPr>
            <w:tcW w:w="1155" w:type="dxa"/>
            <w:vAlign w:val="center"/>
          </w:tcPr>
          <w:p>
            <w:pPr>
              <w:pStyle w:val="104"/>
              <w:rPr>
                <w:color w:val="FF0000"/>
                <w:highlight w:val="none"/>
              </w:rPr>
            </w:pPr>
            <w:r>
              <w:rPr>
                <w:color w:val="FF0000"/>
                <w:highlight w:val="none"/>
              </w:rPr>
              <w:t>14.175</w:t>
            </w:r>
          </w:p>
        </w:tc>
        <w:tc>
          <w:tcPr>
            <w:tcW w:w="1000" w:type="dxa"/>
            <w:vAlign w:val="center"/>
          </w:tcPr>
          <w:p>
            <w:pPr>
              <w:pStyle w:val="104"/>
              <w:rPr>
                <w:color w:val="FF0000"/>
                <w:highlight w:val="none"/>
              </w:rPr>
            </w:pPr>
            <w:r>
              <w:rPr>
                <w:color w:val="FF0000"/>
                <w:highlight w:val="none"/>
              </w:rPr>
              <w:t>0.274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2537" w:type="dxa"/>
            <w:gridSpan w:val="2"/>
            <w:vAlign w:val="center"/>
          </w:tcPr>
          <w:p>
            <w:pPr>
              <w:pStyle w:val="104"/>
              <w:rPr>
                <w:color w:val="FF0000"/>
                <w:highlight w:val="none"/>
              </w:rPr>
            </w:pPr>
            <w:r>
              <w:rPr>
                <w:rFonts w:hint="eastAsia"/>
                <w:color w:val="FF0000"/>
                <w:highlight w:val="none"/>
              </w:rPr>
              <w:t>排放标准</w:t>
            </w:r>
          </w:p>
        </w:tc>
        <w:tc>
          <w:tcPr>
            <w:tcW w:w="1196" w:type="dxa"/>
            <w:vAlign w:val="center"/>
          </w:tcPr>
          <w:p>
            <w:pPr>
              <w:pStyle w:val="104"/>
              <w:rPr>
                <w:color w:val="FF0000"/>
                <w:highlight w:val="none"/>
              </w:rPr>
            </w:pPr>
            <w:r>
              <w:rPr>
                <w:color w:val="FF0000"/>
                <w:highlight w:val="none"/>
              </w:rPr>
              <w:t>≤50</w:t>
            </w:r>
          </w:p>
        </w:tc>
        <w:tc>
          <w:tcPr>
            <w:tcW w:w="1145" w:type="dxa"/>
            <w:vAlign w:val="center"/>
          </w:tcPr>
          <w:p>
            <w:pPr>
              <w:pStyle w:val="104"/>
              <w:rPr>
                <w:color w:val="FF0000"/>
                <w:highlight w:val="none"/>
              </w:rPr>
            </w:pPr>
            <w:r>
              <w:rPr>
                <w:color w:val="FF0000"/>
                <w:highlight w:val="none"/>
              </w:rPr>
              <w:t>≤10</w:t>
            </w:r>
          </w:p>
        </w:tc>
        <w:tc>
          <w:tcPr>
            <w:tcW w:w="872" w:type="dxa"/>
            <w:vAlign w:val="center"/>
          </w:tcPr>
          <w:p>
            <w:pPr>
              <w:pStyle w:val="104"/>
              <w:rPr>
                <w:color w:val="FF0000"/>
                <w:highlight w:val="none"/>
              </w:rPr>
            </w:pPr>
            <w:r>
              <w:rPr>
                <w:color w:val="FF0000"/>
                <w:highlight w:val="none"/>
              </w:rPr>
              <w:t>≤10</w:t>
            </w:r>
          </w:p>
        </w:tc>
        <w:tc>
          <w:tcPr>
            <w:tcW w:w="1159" w:type="dxa"/>
            <w:vAlign w:val="center"/>
          </w:tcPr>
          <w:p>
            <w:pPr>
              <w:pStyle w:val="104"/>
              <w:rPr>
                <w:color w:val="FF0000"/>
                <w:highlight w:val="none"/>
              </w:rPr>
            </w:pPr>
            <w:r>
              <w:rPr>
                <w:color w:val="FF0000"/>
                <w:highlight w:val="none"/>
              </w:rPr>
              <w:t>≤5</w:t>
            </w:r>
          </w:p>
        </w:tc>
        <w:tc>
          <w:tcPr>
            <w:tcW w:w="1155" w:type="dxa"/>
            <w:vAlign w:val="center"/>
          </w:tcPr>
          <w:p>
            <w:pPr>
              <w:pStyle w:val="104"/>
              <w:rPr>
                <w:color w:val="FF0000"/>
                <w:highlight w:val="none"/>
              </w:rPr>
            </w:pPr>
            <w:r>
              <w:rPr>
                <w:color w:val="FF0000"/>
                <w:highlight w:val="none"/>
              </w:rPr>
              <w:t>≤15</w:t>
            </w:r>
          </w:p>
        </w:tc>
        <w:tc>
          <w:tcPr>
            <w:tcW w:w="1000" w:type="dxa"/>
            <w:vAlign w:val="center"/>
          </w:tcPr>
          <w:p>
            <w:pPr>
              <w:pStyle w:val="104"/>
              <w:rPr>
                <w:color w:val="FF0000"/>
                <w:highlight w:val="none"/>
              </w:rPr>
            </w:pPr>
            <w:r>
              <w:rPr>
                <w:color w:val="FF0000"/>
                <w:highlight w:val="none"/>
              </w:rPr>
              <w:t>≤0.5</w:t>
            </w:r>
          </w:p>
        </w:tc>
      </w:tr>
    </w:tbl>
    <w:p>
      <w:pPr>
        <w:rPr>
          <w:rFonts w:hint="eastAsia"/>
          <w:color w:val="auto"/>
          <w:highlight w:val="none"/>
          <w:lang w:eastAsia="zh-CN"/>
        </w:rPr>
      </w:pPr>
    </w:p>
    <w:p>
      <w:pPr>
        <w:bidi w:val="0"/>
        <w:rPr>
          <w:rFonts w:hint="eastAsia"/>
          <w:lang w:eastAsia="zh-CN"/>
        </w:rPr>
      </w:pPr>
      <w:r>
        <w:rPr>
          <w:rFonts w:hint="eastAsia"/>
          <w:lang w:eastAsia="zh-CN"/>
        </w:rPr>
        <w:drawing>
          <wp:inline distT="0" distB="0" distL="114300" distR="114300">
            <wp:extent cx="5895975" cy="3069590"/>
            <wp:effectExtent l="0" t="0" r="9525" b="16510"/>
            <wp:docPr id="101" name="图片 101" descr="图片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图片6666"/>
                    <pic:cNvPicPr>
                      <a:picLocks noChangeAspect="1"/>
                    </pic:cNvPicPr>
                  </pic:nvPicPr>
                  <pic:blipFill>
                    <a:blip r:embed="rId30"/>
                    <a:stretch>
                      <a:fillRect/>
                    </a:stretch>
                  </pic:blipFill>
                  <pic:spPr>
                    <a:xfrm>
                      <a:off x="0" y="0"/>
                      <a:ext cx="5895975" cy="3069590"/>
                    </a:xfrm>
                    <a:prstGeom prst="rect">
                      <a:avLst/>
                    </a:prstGeom>
                  </pic:spPr>
                </pic:pic>
              </a:graphicData>
            </a:graphic>
          </wp:inline>
        </w:drawing>
      </w:r>
    </w:p>
    <w:p>
      <w:pPr>
        <w:pStyle w:val="13"/>
        <w:rPr>
          <w:rFonts w:hint="eastAsia"/>
          <w:color w:val="auto"/>
          <w:highlight w:val="none"/>
          <w:lang w:eastAsia="zh-CN"/>
        </w:rPr>
      </w:pPr>
      <w:r>
        <w:rPr>
          <w:rFonts w:hint="eastAsia"/>
          <w:color w:val="auto"/>
          <w:highlight w:val="none"/>
        </w:rPr>
        <w:t>图</w:t>
      </w:r>
      <w:r>
        <w:rPr>
          <w:rFonts w:hint="eastAsia"/>
          <w:color w:val="auto"/>
          <w:highlight w:val="none"/>
          <w:lang w:val="en-US" w:eastAsia="zh-CN"/>
        </w:rPr>
        <w:t>3.5-1</w:t>
      </w:r>
      <w:r>
        <w:rPr>
          <w:rFonts w:hint="eastAsia"/>
          <w:color w:val="auto"/>
          <w:highlight w:val="none"/>
        </w:rPr>
        <w:t>本项目水平衡图</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运营期废气</w:t>
      </w:r>
      <w:bookmarkEnd w:id="92"/>
      <w:r>
        <w:rPr>
          <w:rFonts w:hint="default" w:ascii="Times New Roman" w:hAnsi="Times New Roman" w:cs="Times New Roman"/>
          <w:color w:val="auto"/>
          <w:highlight w:val="none"/>
        </w:rPr>
        <w:t>污染源分析</w:t>
      </w:r>
    </w:p>
    <w:p>
      <w:pPr>
        <w:snapToGrid w:val="0"/>
        <w:ind w:firstLine="480"/>
        <w:rPr>
          <w:rFonts w:ascii="Times New Roman" w:hAnsi="Times New Roman" w:eastAsia="宋体"/>
          <w:color w:val="auto"/>
          <w:highlight w:val="none"/>
        </w:rPr>
      </w:pPr>
      <w:bookmarkStart w:id="93" w:name="_Toc535414559"/>
      <w:bookmarkStart w:id="94" w:name="_Toc536071604"/>
      <w:bookmarkStart w:id="95" w:name="_Toc536589579"/>
      <w:r>
        <w:rPr>
          <w:rFonts w:ascii="Times New Roman" w:hAnsi="Times New Roman" w:eastAsia="宋体"/>
          <w:color w:val="auto"/>
          <w:highlight w:val="none"/>
        </w:rPr>
        <w:t>拟建项目主要大气污染物为污水处理和污泥处置过程中，微生物、原生动物、菌胶团等生物的新陈代谢产生的恶臭气体，主要成份为NH</w:t>
      </w:r>
      <w:r>
        <w:rPr>
          <w:rFonts w:ascii="Times New Roman" w:hAnsi="Times New Roman" w:eastAsia="宋体"/>
          <w:color w:val="auto"/>
          <w:highlight w:val="none"/>
          <w:vertAlign w:val="subscript"/>
        </w:rPr>
        <w:t>3</w:t>
      </w:r>
      <w:r>
        <w:rPr>
          <w:rFonts w:ascii="Times New Roman" w:hAnsi="Times New Roman" w:eastAsia="宋体"/>
          <w:color w:val="auto"/>
          <w:highlight w:val="none"/>
        </w:rPr>
        <w:t>、H</w:t>
      </w:r>
      <w:r>
        <w:rPr>
          <w:rFonts w:ascii="Times New Roman" w:hAnsi="Times New Roman" w:eastAsia="宋体"/>
          <w:color w:val="auto"/>
          <w:highlight w:val="none"/>
          <w:vertAlign w:val="subscript"/>
        </w:rPr>
        <w:t>2</w:t>
      </w:r>
      <w:r>
        <w:rPr>
          <w:rFonts w:ascii="Times New Roman" w:hAnsi="Times New Roman" w:eastAsia="宋体"/>
          <w:color w:val="auto"/>
          <w:highlight w:val="none"/>
        </w:rPr>
        <w:t>S等，其产生的浓度与进水水质、处理工艺（如微生物生长、充氧、污水停留时间长短）和当时气候条件均密切相关，排放方式多为无组织排放。</w:t>
      </w:r>
    </w:p>
    <w:p>
      <w:pPr>
        <w:snapToGrid w:val="0"/>
        <w:ind w:firstLine="480"/>
        <w:rPr>
          <w:rFonts w:ascii="Times New Roman" w:hAnsi="Times New Roman" w:eastAsia="宋体"/>
          <w:color w:val="auto"/>
          <w:highlight w:val="none"/>
        </w:rPr>
      </w:pPr>
      <w:r>
        <w:rPr>
          <w:rFonts w:ascii="Times New Roman" w:hAnsi="Times New Roman" w:eastAsia="宋体"/>
          <w:color w:val="auto"/>
          <w:highlight w:val="none"/>
        </w:rPr>
        <w:t>拟建项目主要恶臭气体排放工段包括粗格栅渠</w:t>
      </w:r>
      <w:r>
        <w:rPr>
          <w:rFonts w:hint="eastAsia" w:ascii="Times New Roman" w:hAnsi="Times New Roman" w:eastAsia="宋体"/>
          <w:color w:val="auto"/>
          <w:highlight w:val="none"/>
        </w:rPr>
        <w:t>及</w:t>
      </w:r>
      <w:r>
        <w:rPr>
          <w:rFonts w:ascii="Times New Roman" w:hAnsi="Times New Roman" w:eastAsia="宋体"/>
          <w:color w:val="auto"/>
          <w:highlight w:val="none"/>
        </w:rPr>
        <w:t>提升泵房、</w:t>
      </w:r>
      <w:r>
        <w:rPr>
          <w:rFonts w:hint="eastAsia" w:ascii="Times New Roman" w:hAnsi="Times New Roman" w:eastAsia="宋体"/>
          <w:color w:val="auto"/>
          <w:highlight w:val="none"/>
        </w:rPr>
        <w:t>细格栅及旋流</w:t>
      </w:r>
      <w:r>
        <w:rPr>
          <w:rFonts w:ascii="Times New Roman" w:hAnsi="Times New Roman" w:eastAsia="宋体"/>
          <w:color w:val="auto"/>
          <w:highlight w:val="none"/>
        </w:rPr>
        <w:t>沉砂池、水解酸化池、</w:t>
      </w:r>
      <w:r>
        <w:rPr>
          <w:rFonts w:hint="eastAsia" w:eastAsia="宋体"/>
          <w:color w:val="auto"/>
          <w:highlight w:val="none"/>
          <w:lang w:val="en-US" w:eastAsia="zh-CN"/>
        </w:rPr>
        <w:t>一体化生物池</w:t>
      </w:r>
      <w:r>
        <w:rPr>
          <w:rFonts w:ascii="Times New Roman" w:hAnsi="Times New Roman" w:eastAsia="宋体"/>
          <w:color w:val="auto"/>
          <w:highlight w:val="none"/>
        </w:rPr>
        <w:t>、</w:t>
      </w:r>
      <w:r>
        <w:rPr>
          <w:rFonts w:hint="eastAsia" w:ascii="Times New Roman" w:hAnsi="Times New Roman" w:eastAsia="宋体"/>
          <w:color w:val="auto"/>
          <w:highlight w:val="none"/>
        </w:rPr>
        <w:t>高效沉淀池</w:t>
      </w:r>
      <w:r>
        <w:rPr>
          <w:rFonts w:ascii="Times New Roman" w:hAnsi="Times New Roman" w:eastAsia="宋体"/>
          <w:color w:val="auto"/>
          <w:highlight w:val="none"/>
        </w:rPr>
        <w:t>、污泥脱水间。</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（1）臭气风量</w:t>
      </w:r>
    </w:p>
    <w:p>
      <w:pPr>
        <w:snapToGrid w:val="0"/>
        <w:ind w:firstLine="480"/>
        <w:rPr>
          <w:rFonts w:hint="eastAsia" w:ascii="Times New Roman" w:hAnsi="Times New Roman" w:eastAsia="宋体"/>
          <w:color w:val="auto"/>
          <w:highlight w:val="none"/>
          <w:lang w:eastAsia="zh-CN"/>
        </w:rPr>
      </w:pPr>
      <w:r>
        <w:rPr>
          <w:rFonts w:ascii="Times New Roman" w:hAnsi="Times New Roman" w:eastAsia="宋体"/>
          <w:color w:val="auto"/>
          <w:highlight w:val="none"/>
        </w:rPr>
        <w:t>根据《城镇污水处理厂臭气处理技术规程》（CJJ/T243-2016），</w:t>
      </w:r>
      <w:r>
        <w:rPr>
          <w:rFonts w:ascii="Times New Roman" w:hAnsi="Times New Roman" w:eastAsia="宋体"/>
          <w:color w:val="auto"/>
          <w:kern w:val="0"/>
          <w:highlight w:val="none"/>
          <w:lang w:bidi="ar"/>
        </w:rPr>
        <w:t>臭气处理设施收集的总臭气风量应按下列公式计算：</w:t>
      </w:r>
    </w:p>
    <w:p>
      <w:pPr>
        <w:snapToGrid w:val="0"/>
        <w:ind w:firstLine="480"/>
        <w:rPr>
          <w:rFonts w:ascii="Times New Roman" w:hAnsi="Times New Roman" w:eastAsia="宋体"/>
          <w:color w:val="auto"/>
          <w:highlight w:val="none"/>
        </w:rPr>
      </w:pPr>
      <w:r>
        <w:rPr>
          <w:rFonts w:ascii="Times New Roman" w:hAnsi="Times New Roman" w:eastAsia="TimesNewRomanPSMT"/>
          <w:color w:val="auto"/>
          <w:highlight w:val="none"/>
          <w:lang w:bidi="ar"/>
        </w:rPr>
        <w:t>Q</w:t>
      </w:r>
      <w:r>
        <w:rPr>
          <w:rFonts w:ascii="Times New Roman" w:hAnsi="Times New Roman" w:eastAsia="宋体"/>
          <w:color w:val="auto"/>
          <w:highlight w:val="none"/>
          <w:lang w:bidi="ar"/>
        </w:rPr>
        <w:t>=</w:t>
      </w:r>
      <w:r>
        <w:rPr>
          <w:rFonts w:ascii="Times New Roman" w:hAnsi="Times New Roman" w:eastAsia="TimesNewRomanPSMT"/>
          <w:color w:val="auto"/>
          <w:highlight w:val="none"/>
          <w:lang w:bidi="ar"/>
        </w:rPr>
        <w:t>Q</w:t>
      </w:r>
      <w:r>
        <w:rPr>
          <w:rFonts w:ascii="Times New Roman" w:hAnsi="Times New Roman" w:eastAsia="宋体"/>
          <w:color w:val="auto"/>
          <w:highlight w:val="none"/>
          <w:vertAlign w:val="subscript"/>
          <w:lang w:bidi="ar"/>
        </w:rPr>
        <w:t>l</w:t>
      </w:r>
      <w:r>
        <w:rPr>
          <w:rFonts w:ascii="Times New Roman" w:hAnsi="Times New Roman" w:eastAsia="宋体"/>
          <w:color w:val="auto"/>
          <w:highlight w:val="none"/>
          <w:lang w:bidi="ar"/>
        </w:rPr>
        <w:t>+</w:t>
      </w:r>
      <w:r>
        <w:rPr>
          <w:rFonts w:ascii="Times New Roman" w:hAnsi="Times New Roman" w:eastAsia="TimesNewRomanPSMT"/>
          <w:color w:val="auto"/>
          <w:highlight w:val="none"/>
          <w:lang w:bidi="ar"/>
        </w:rPr>
        <w:t>Q</w:t>
      </w:r>
      <w:r>
        <w:rPr>
          <w:rFonts w:ascii="Times New Roman" w:hAnsi="Times New Roman" w:eastAsia="宋体"/>
          <w:color w:val="auto"/>
          <w:highlight w:val="none"/>
          <w:vertAlign w:val="subscript"/>
          <w:lang w:bidi="ar"/>
        </w:rPr>
        <w:t>2</w:t>
      </w:r>
      <w:r>
        <w:rPr>
          <w:rFonts w:ascii="Times New Roman" w:hAnsi="Times New Roman" w:eastAsia="宋体"/>
          <w:color w:val="auto"/>
          <w:highlight w:val="none"/>
          <w:lang w:bidi="ar"/>
        </w:rPr>
        <w:t>+</w:t>
      </w:r>
      <w:r>
        <w:rPr>
          <w:rFonts w:ascii="Times New Roman" w:hAnsi="Times New Roman" w:eastAsia="TimesNewRomanPSMT"/>
          <w:color w:val="auto"/>
          <w:highlight w:val="none"/>
          <w:lang w:bidi="ar"/>
        </w:rPr>
        <w:t>Q</w:t>
      </w:r>
      <w:r>
        <w:rPr>
          <w:rFonts w:ascii="Times New Roman" w:hAnsi="Times New Roman" w:eastAsia="宋体"/>
          <w:color w:val="auto"/>
          <w:highlight w:val="none"/>
          <w:vertAlign w:val="subscript"/>
          <w:lang w:bidi="ar"/>
        </w:rPr>
        <w:t>3</w:t>
      </w:r>
    </w:p>
    <w:p>
      <w:pPr>
        <w:snapToGrid w:val="0"/>
        <w:ind w:firstLine="480"/>
        <w:rPr>
          <w:rFonts w:ascii="Times New Roman" w:hAnsi="Times New Roman" w:eastAsia="宋体"/>
          <w:color w:val="auto"/>
          <w:highlight w:val="none"/>
        </w:rPr>
      </w:pPr>
      <w:r>
        <w:rPr>
          <w:rFonts w:ascii="Times New Roman" w:hAnsi="Times New Roman" w:eastAsia="宋体"/>
          <w:color w:val="auto"/>
          <w:highlight w:val="none"/>
          <w:lang w:bidi="ar"/>
        </w:rPr>
        <w:t>Q</w:t>
      </w:r>
      <w:r>
        <w:rPr>
          <w:rFonts w:ascii="Times New Roman" w:hAnsi="Times New Roman" w:eastAsia="宋体"/>
          <w:color w:val="auto"/>
          <w:highlight w:val="none"/>
          <w:vertAlign w:val="subscript"/>
          <w:lang w:bidi="ar"/>
        </w:rPr>
        <w:t>3</w:t>
      </w:r>
      <w:r>
        <w:rPr>
          <w:rFonts w:ascii="Times New Roman" w:hAnsi="Times New Roman" w:eastAsia="宋体"/>
          <w:color w:val="auto"/>
          <w:highlight w:val="none"/>
          <w:lang w:bidi="ar"/>
        </w:rPr>
        <w:t>=K(Q</w:t>
      </w:r>
      <w:r>
        <w:rPr>
          <w:rFonts w:ascii="Times New Roman" w:hAnsi="Times New Roman" w:eastAsia="宋体"/>
          <w:color w:val="auto"/>
          <w:highlight w:val="none"/>
          <w:vertAlign w:val="subscript"/>
          <w:lang w:bidi="ar"/>
        </w:rPr>
        <w:t>l</w:t>
      </w:r>
      <w:r>
        <w:rPr>
          <w:rFonts w:ascii="Times New Roman" w:hAnsi="Times New Roman" w:eastAsia="宋体"/>
          <w:color w:val="auto"/>
          <w:highlight w:val="none"/>
          <w:lang w:bidi="ar"/>
        </w:rPr>
        <w:t>+Q</w:t>
      </w:r>
      <w:r>
        <w:rPr>
          <w:rFonts w:ascii="Times New Roman" w:hAnsi="Times New Roman" w:eastAsia="宋体"/>
          <w:color w:val="auto"/>
          <w:highlight w:val="none"/>
          <w:vertAlign w:val="subscript"/>
          <w:lang w:bidi="ar"/>
        </w:rPr>
        <w:t>2</w:t>
      </w:r>
      <w:r>
        <w:rPr>
          <w:rFonts w:ascii="Times New Roman" w:hAnsi="Times New Roman" w:eastAsia="宋体"/>
          <w:color w:val="auto"/>
          <w:highlight w:val="none"/>
          <w:lang w:bidi="ar"/>
        </w:rPr>
        <w:t>)</w:t>
      </w:r>
    </w:p>
    <w:p>
      <w:pPr>
        <w:snapToGrid w:val="0"/>
        <w:ind w:firstLine="480"/>
        <w:rPr>
          <w:rFonts w:ascii="Times New Roman" w:hAnsi="Times New Roman" w:eastAsia="宋体"/>
          <w:color w:val="auto"/>
          <w:highlight w:val="none"/>
        </w:rPr>
      </w:pPr>
      <w:r>
        <w:rPr>
          <w:rFonts w:ascii="Times New Roman" w:hAnsi="Times New Roman" w:eastAsia="宋体"/>
          <w:color w:val="auto"/>
          <w:highlight w:val="none"/>
          <w:lang w:bidi="ar"/>
        </w:rPr>
        <w:t>式中：</w:t>
      </w:r>
      <w:r>
        <w:rPr>
          <w:rFonts w:ascii="Times New Roman" w:hAnsi="Times New Roman" w:eastAsia="TimesNewRomanPSMT"/>
          <w:color w:val="auto"/>
          <w:highlight w:val="none"/>
          <w:lang w:bidi="ar"/>
        </w:rPr>
        <w:t>Q—</w:t>
      </w:r>
      <w:r>
        <w:rPr>
          <w:rFonts w:ascii="Times New Roman" w:hAnsi="Times New Roman" w:eastAsia="宋体"/>
          <w:color w:val="auto"/>
          <w:highlight w:val="none"/>
          <w:lang w:bidi="ar"/>
        </w:rPr>
        <w:t>臭气处理设施收集的总臭气风量</w:t>
      </w:r>
      <w:r>
        <w:rPr>
          <w:rFonts w:hint="eastAsia"/>
          <w:color w:val="auto"/>
          <w:highlight w:val="none"/>
          <w:lang w:eastAsia="zh-CN" w:bidi="ar"/>
        </w:rPr>
        <w:t>（</w:t>
      </w:r>
      <w:r>
        <w:rPr>
          <w:rFonts w:ascii="Times New Roman" w:hAnsi="Times New Roman" w:eastAsia="TimesNewRomanPSMT"/>
          <w:color w:val="auto"/>
          <w:highlight w:val="none"/>
          <w:lang w:bidi="ar"/>
        </w:rPr>
        <w:t>m</w:t>
      </w:r>
      <w:r>
        <w:rPr>
          <w:rFonts w:ascii="Times New Roman" w:hAnsi="Times New Roman" w:eastAsia="TimesNewRomanPSMT"/>
          <w:color w:val="auto"/>
          <w:highlight w:val="none"/>
          <w:vertAlign w:val="superscript"/>
          <w:lang w:bidi="ar"/>
        </w:rPr>
        <w:t>3</w:t>
      </w:r>
      <w:r>
        <w:rPr>
          <w:rFonts w:ascii="Times New Roman" w:hAnsi="Times New Roman" w:eastAsia="TimesNewRomanPSMT"/>
          <w:color w:val="auto"/>
          <w:highlight w:val="none"/>
          <w:lang w:bidi="ar"/>
        </w:rPr>
        <w:t>/h)</w:t>
      </w:r>
      <w:r>
        <w:rPr>
          <w:rFonts w:hint="eastAsia" w:ascii="宋体" w:hAnsi="宋体" w:eastAsia="宋体" w:cs="宋体"/>
          <w:color w:val="auto"/>
          <w:highlight w:val="none"/>
          <w:lang w:bidi="ar"/>
        </w:rPr>
        <w:t>；</w:t>
      </w:r>
    </w:p>
    <w:p>
      <w:pPr>
        <w:snapToGrid w:val="0"/>
        <w:ind w:firstLine="480"/>
        <w:rPr>
          <w:rFonts w:ascii="Times New Roman" w:hAnsi="Times New Roman" w:eastAsia="宋体"/>
          <w:color w:val="auto"/>
          <w:highlight w:val="none"/>
        </w:rPr>
      </w:pPr>
      <w:r>
        <w:rPr>
          <w:rFonts w:ascii="Times New Roman" w:hAnsi="Times New Roman" w:eastAsia="宋体"/>
          <w:color w:val="auto"/>
          <w:highlight w:val="none"/>
          <w:lang w:bidi="ar"/>
        </w:rPr>
        <w:t>Q</w:t>
      </w:r>
      <w:r>
        <w:rPr>
          <w:rFonts w:ascii="Times New Roman" w:hAnsi="Times New Roman" w:eastAsia="宋体"/>
          <w:color w:val="auto"/>
          <w:highlight w:val="none"/>
          <w:vertAlign w:val="subscript"/>
          <w:lang w:bidi="ar"/>
        </w:rPr>
        <w:t>l</w:t>
      </w:r>
      <w:r>
        <w:rPr>
          <w:rFonts w:ascii="Times New Roman" w:hAnsi="Times New Roman" w:eastAsia="宋体"/>
          <w:color w:val="auto"/>
          <w:highlight w:val="none"/>
          <w:lang w:bidi="ar"/>
        </w:rPr>
        <w:t>—构筑物臭气收集量</w:t>
      </w:r>
      <w:r>
        <w:rPr>
          <w:rFonts w:hint="eastAsia"/>
          <w:color w:val="auto"/>
          <w:highlight w:val="none"/>
          <w:lang w:eastAsia="zh-CN" w:bidi="ar"/>
        </w:rPr>
        <w:t>（</w:t>
      </w:r>
      <w:r>
        <w:rPr>
          <w:rFonts w:ascii="Times New Roman" w:hAnsi="Times New Roman" w:eastAsia="宋体"/>
          <w:color w:val="auto"/>
          <w:highlight w:val="none"/>
          <w:lang w:bidi="ar"/>
        </w:rPr>
        <w:t>m</w:t>
      </w:r>
      <w:r>
        <w:rPr>
          <w:rFonts w:ascii="Times New Roman" w:hAnsi="Times New Roman" w:eastAsia="宋体"/>
          <w:color w:val="auto"/>
          <w:highlight w:val="none"/>
          <w:vertAlign w:val="superscript"/>
          <w:lang w:bidi="ar"/>
        </w:rPr>
        <w:t>3</w:t>
      </w:r>
      <w:r>
        <w:rPr>
          <w:rFonts w:ascii="Times New Roman" w:hAnsi="Times New Roman" w:eastAsia="宋体"/>
          <w:color w:val="auto"/>
          <w:highlight w:val="none"/>
          <w:lang w:bidi="ar"/>
        </w:rPr>
        <w:t>/h)；</w:t>
      </w:r>
    </w:p>
    <w:p>
      <w:pPr>
        <w:snapToGrid w:val="0"/>
        <w:ind w:firstLine="480"/>
        <w:rPr>
          <w:rFonts w:ascii="Times New Roman" w:hAnsi="Times New Roman" w:eastAsia="宋体"/>
          <w:color w:val="auto"/>
          <w:highlight w:val="none"/>
        </w:rPr>
      </w:pPr>
      <w:r>
        <w:rPr>
          <w:rFonts w:ascii="Times New Roman" w:hAnsi="Times New Roman" w:eastAsia="宋体"/>
          <w:color w:val="auto"/>
          <w:highlight w:val="none"/>
          <w:lang w:bidi="ar"/>
        </w:rPr>
        <w:t>Q</w:t>
      </w:r>
      <w:r>
        <w:rPr>
          <w:rFonts w:ascii="Times New Roman" w:hAnsi="Times New Roman" w:eastAsia="宋体"/>
          <w:color w:val="auto"/>
          <w:highlight w:val="none"/>
          <w:vertAlign w:val="subscript"/>
          <w:lang w:bidi="ar"/>
        </w:rPr>
        <w:t>2</w:t>
      </w:r>
      <w:r>
        <w:rPr>
          <w:rFonts w:ascii="Times New Roman" w:hAnsi="Times New Roman" w:eastAsia="宋体"/>
          <w:color w:val="auto"/>
          <w:highlight w:val="none"/>
          <w:lang w:bidi="ar"/>
        </w:rPr>
        <w:t>—设备臭气收集量</w:t>
      </w:r>
      <w:r>
        <w:rPr>
          <w:rFonts w:hint="eastAsia"/>
          <w:color w:val="auto"/>
          <w:highlight w:val="none"/>
          <w:lang w:eastAsia="zh-CN" w:bidi="ar"/>
        </w:rPr>
        <w:t>（</w:t>
      </w:r>
      <w:r>
        <w:rPr>
          <w:rFonts w:ascii="Times New Roman" w:hAnsi="Times New Roman" w:eastAsia="宋体"/>
          <w:color w:val="auto"/>
          <w:highlight w:val="none"/>
          <w:lang w:bidi="ar"/>
        </w:rPr>
        <w:t>m</w:t>
      </w:r>
      <w:r>
        <w:rPr>
          <w:rFonts w:ascii="Times New Roman" w:hAnsi="Times New Roman" w:eastAsia="宋体"/>
          <w:color w:val="auto"/>
          <w:highlight w:val="none"/>
          <w:vertAlign w:val="superscript"/>
          <w:lang w:bidi="ar"/>
        </w:rPr>
        <w:t>3</w:t>
      </w:r>
      <w:r>
        <w:rPr>
          <w:rFonts w:ascii="Times New Roman" w:hAnsi="Times New Roman" w:eastAsia="宋体"/>
          <w:color w:val="auto"/>
          <w:highlight w:val="none"/>
          <w:lang w:bidi="ar"/>
        </w:rPr>
        <w:t>/h)；</w:t>
      </w:r>
    </w:p>
    <w:p>
      <w:pPr>
        <w:snapToGrid w:val="0"/>
        <w:ind w:firstLine="480"/>
        <w:rPr>
          <w:rFonts w:ascii="Times New Roman" w:hAnsi="Times New Roman" w:eastAsia="宋体"/>
          <w:color w:val="auto"/>
          <w:highlight w:val="none"/>
        </w:rPr>
      </w:pPr>
      <w:r>
        <w:rPr>
          <w:rFonts w:ascii="Times New Roman" w:hAnsi="Times New Roman" w:eastAsia="宋体"/>
          <w:color w:val="auto"/>
          <w:highlight w:val="none"/>
          <w:lang w:bidi="ar"/>
        </w:rPr>
        <w:t>Q</w:t>
      </w:r>
      <w:r>
        <w:rPr>
          <w:rFonts w:ascii="Times New Roman" w:hAnsi="Times New Roman" w:eastAsia="宋体"/>
          <w:color w:val="auto"/>
          <w:highlight w:val="none"/>
          <w:vertAlign w:val="subscript"/>
          <w:lang w:bidi="ar"/>
        </w:rPr>
        <w:t>3</w:t>
      </w:r>
      <w:r>
        <w:rPr>
          <w:rFonts w:ascii="Times New Roman" w:hAnsi="Times New Roman" w:eastAsia="宋体"/>
          <w:color w:val="auto"/>
          <w:highlight w:val="none"/>
          <w:lang w:bidi="ar"/>
        </w:rPr>
        <w:t>—收集系统渗入风量</w:t>
      </w:r>
      <w:r>
        <w:rPr>
          <w:rFonts w:hint="eastAsia"/>
          <w:color w:val="auto"/>
          <w:highlight w:val="none"/>
          <w:lang w:eastAsia="zh-CN" w:bidi="ar"/>
        </w:rPr>
        <w:t>（</w:t>
      </w:r>
      <w:r>
        <w:rPr>
          <w:rFonts w:ascii="Times New Roman" w:hAnsi="Times New Roman" w:eastAsia="宋体"/>
          <w:color w:val="auto"/>
          <w:highlight w:val="none"/>
          <w:lang w:bidi="ar"/>
        </w:rPr>
        <w:t>m</w:t>
      </w:r>
      <w:r>
        <w:rPr>
          <w:rFonts w:ascii="Times New Roman" w:hAnsi="Times New Roman" w:eastAsia="宋体"/>
          <w:color w:val="auto"/>
          <w:highlight w:val="none"/>
          <w:vertAlign w:val="superscript"/>
          <w:lang w:bidi="ar"/>
        </w:rPr>
        <w:t>3</w:t>
      </w:r>
      <w:r>
        <w:rPr>
          <w:rFonts w:ascii="Times New Roman" w:hAnsi="Times New Roman" w:eastAsia="宋体"/>
          <w:color w:val="auto"/>
          <w:highlight w:val="none"/>
          <w:lang w:bidi="ar"/>
        </w:rPr>
        <w:t>/h)；</w:t>
      </w:r>
    </w:p>
    <w:p>
      <w:pPr>
        <w:snapToGrid w:val="0"/>
        <w:ind w:firstLine="480"/>
        <w:rPr>
          <w:rFonts w:ascii="Times New Roman" w:hAnsi="Times New Roman" w:eastAsia="宋体"/>
          <w:color w:val="auto"/>
          <w:highlight w:val="none"/>
        </w:rPr>
      </w:pPr>
      <w:r>
        <w:rPr>
          <w:rFonts w:ascii="Times New Roman" w:hAnsi="Times New Roman" w:eastAsia="TimesNewRomanPSMT"/>
          <w:color w:val="auto"/>
          <w:highlight w:val="none"/>
          <w:lang w:bidi="ar"/>
        </w:rPr>
        <w:t>K—</w:t>
      </w:r>
      <w:r>
        <w:rPr>
          <w:rFonts w:ascii="Times New Roman" w:hAnsi="Times New Roman" w:eastAsia="宋体"/>
          <w:color w:val="auto"/>
          <w:highlight w:val="none"/>
          <w:lang w:bidi="ar"/>
        </w:rPr>
        <w:t>渗入风量系数，可按</w:t>
      </w:r>
      <w:r>
        <w:rPr>
          <w:rFonts w:ascii="Times New Roman" w:hAnsi="Times New Roman" w:eastAsia="TimesNewRomanPSMT"/>
          <w:color w:val="auto"/>
          <w:highlight w:val="none"/>
          <w:lang w:bidi="ar"/>
        </w:rPr>
        <w:t>5%~10%</w:t>
      </w:r>
      <w:r>
        <w:rPr>
          <w:rFonts w:ascii="Times New Roman" w:hAnsi="Times New Roman" w:eastAsia="宋体"/>
          <w:color w:val="auto"/>
          <w:highlight w:val="none"/>
          <w:lang w:bidi="ar"/>
        </w:rPr>
        <w:t>取值，本</w:t>
      </w:r>
      <w:r>
        <w:rPr>
          <w:rFonts w:hint="eastAsia" w:ascii="Times New Roman" w:hAnsi="Times New Roman" w:eastAsia="宋体"/>
          <w:color w:val="auto"/>
          <w:highlight w:val="none"/>
          <w:lang w:bidi="ar"/>
        </w:rPr>
        <w:t>项目</w:t>
      </w:r>
      <w:r>
        <w:rPr>
          <w:rFonts w:ascii="Times New Roman" w:hAnsi="Times New Roman" w:eastAsia="宋体"/>
          <w:color w:val="auto"/>
          <w:highlight w:val="none"/>
          <w:lang w:bidi="ar"/>
        </w:rPr>
        <w:t>取</w:t>
      </w:r>
      <w:r>
        <w:rPr>
          <w:rFonts w:ascii="Times New Roman" w:hAnsi="Times New Roman" w:eastAsia="TimesNewRomanPSMT"/>
          <w:color w:val="auto"/>
          <w:highlight w:val="none"/>
          <w:lang w:bidi="ar"/>
        </w:rPr>
        <w:t>5%</w:t>
      </w:r>
      <w:r>
        <w:rPr>
          <w:rFonts w:ascii="Times New Roman" w:hAnsi="Times New Roman" w:eastAsia="宋体"/>
          <w:color w:val="auto"/>
          <w:highlight w:val="none"/>
          <w:lang w:bidi="ar"/>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theme="majorBidi"/>
          <w:b/>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theme="majorBidi"/>
          <w:b/>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黑体" w:hAnsi="黑体" w:eastAsia="黑体" w:cstheme="majorBidi"/>
          <w:b/>
          <w:color w:val="auto"/>
          <w:kern w:val="2"/>
          <w:sz w:val="24"/>
          <w:szCs w:val="24"/>
          <w:highlight w:val="none"/>
          <w:lang w:val="en-US" w:eastAsia="zh-CN" w:bidi="ar-SA"/>
        </w:rPr>
      </w:pPr>
      <w:r>
        <w:rPr>
          <w:rFonts w:hint="eastAsia" w:ascii="黑体" w:hAnsi="黑体" w:eastAsia="黑体" w:cstheme="majorBidi"/>
          <w:b/>
          <w:color w:val="auto"/>
          <w:kern w:val="2"/>
          <w:sz w:val="24"/>
          <w:szCs w:val="24"/>
          <w:highlight w:val="none"/>
          <w:lang w:val="en-US" w:eastAsia="zh-CN" w:bidi="ar-SA"/>
        </w:rPr>
        <w:t>表3.5-9本项目臭气风量</w:t>
      </w:r>
    </w:p>
    <w:tbl>
      <w:tblPr>
        <w:tblStyle w:val="34"/>
        <w:tblW w:w="504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355"/>
        <w:gridCol w:w="1644"/>
        <w:gridCol w:w="1077"/>
        <w:gridCol w:w="1562"/>
        <w:gridCol w:w="504"/>
        <w:gridCol w:w="836"/>
        <w:gridCol w:w="1222"/>
        <w:gridCol w:w="1057"/>
        <w:gridCol w:w="11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序号</w:t>
            </w:r>
          </w:p>
        </w:tc>
        <w:tc>
          <w:tcPr>
            <w:tcW w:w="873"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名称</w:t>
            </w:r>
          </w:p>
        </w:tc>
        <w:tc>
          <w:tcPr>
            <w:tcW w:w="572"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水面面积</w:t>
            </w:r>
          </w:p>
        </w:tc>
        <w:tc>
          <w:tcPr>
            <w:tcW w:w="82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单位水位面面积臭气风量指标m</w:t>
            </w:r>
            <w:r>
              <w:rPr>
                <w:rFonts w:hint="eastAsia" w:ascii="Times New Roman" w:hAnsi="Times New Roman" w:eastAsia="宋体" w:cstheme="minorBidi"/>
                <w:color w:val="auto"/>
                <w:kern w:val="2"/>
                <w:sz w:val="21"/>
                <w:szCs w:val="24"/>
                <w:highlight w:val="none"/>
                <w:vertAlign w:val="superscript"/>
                <w:lang w:val="en-US" w:eastAsia="zh-CN" w:bidi="ar-SA"/>
              </w:rPr>
              <w:t>3</w:t>
            </w:r>
            <w:r>
              <w:rPr>
                <w:rFonts w:hint="eastAsia" w:ascii="Times New Roman" w:hAnsi="Times New Roman" w:eastAsia="宋体" w:cstheme="minorBidi"/>
                <w:color w:val="auto"/>
                <w:kern w:val="2"/>
                <w:sz w:val="21"/>
                <w:szCs w:val="24"/>
                <w:highlight w:val="none"/>
                <w:lang w:val="en-US" w:eastAsia="zh-CN" w:bidi="ar-SA"/>
              </w:rPr>
              <w:t>/(m</w:t>
            </w:r>
            <w:r>
              <w:rPr>
                <w:rFonts w:hint="eastAsia" w:ascii="Times New Roman" w:hAnsi="Times New Roman" w:eastAsia="宋体" w:cstheme="minorBidi"/>
                <w:color w:val="auto"/>
                <w:kern w:val="2"/>
                <w:sz w:val="21"/>
                <w:szCs w:val="24"/>
                <w:highlight w:val="none"/>
                <w:vertAlign w:val="superscript"/>
                <w:lang w:val="en-US" w:eastAsia="zh-CN" w:bidi="ar-SA"/>
              </w:rPr>
              <w:t>2</w:t>
            </w:r>
            <w:r>
              <w:rPr>
                <w:rFonts w:hint="eastAsia" w:ascii="Times New Roman" w:hAnsi="Times New Roman" w:eastAsia="宋体" w:cstheme="minorBidi"/>
                <w:color w:val="auto"/>
                <w:kern w:val="2"/>
                <w:sz w:val="21"/>
                <w:szCs w:val="24"/>
                <w:highlight w:val="none"/>
                <w:lang w:val="en-US" w:eastAsia="zh-CN" w:bidi="ar-SA"/>
              </w:rPr>
              <w:t>·h)</w:t>
            </w:r>
          </w:p>
        </w:tc>
        <w:tc>
          <w:tcPr>
            <w:tcW w:w="0" w:type="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数量</w:t>
            </w:r>
            <w:r>
              <w:rPr>
                <w:rFonts w:ascii="Times New Roman" w:hAnsi="Times New Roman" w:eastAsia="宋体" w:cstheme="minorBidi"/>
                <w:color w:val="auto"/>
                <w:kern w:val="2"/>
                <w:sz w:val="21"/>
                <w:szCs w:val="24"/>
                <w:highlight w:val="none"/>
                <w:lang w:val="en-US" w:eastAsia="zh-CN" w:bidi="ar-SA"/>
              </w:rPr>
              <w:t>/</w:t>
            </w:r>
            <w:r>
              <w:rPr>
                <w:rFonts w:hint="eastAsia" w:ascii="Times New Roman" w:hAnsi="Times New Roman" w:eastAsia="宋体" w:cstheme="minorBidi"/>
                <w:color w:val="auto"/>
                <w:kern w:val="2"/>
                <w:sz w:val="21"/>
                <w:szCs w:val="24"/>
                <w:highlight w:val="none"/>
                <w:lang w:val="en-US" w:eastAsia="zh-CN" w:bidi="ar-SA"/>
              </w:rPr>
              <w:t>个</w:t>
            </w:r>
          </w:p>
        </w:tc>
        <w:tc>
          <w:tcPr>
            <w:tcW w:w="0" w:type="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空间换气次数</w:t>
            </w:r>
          </w:p>
        </w:tc>
        <w:tc>
          <w:tcPr>
            <w:tcW w:w="0" w:type="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臭气收集量m</w:t>
            </w:r>
            <w:r>
              <w:rPr>
                <w:rFonts w:hint="eastAsia" w:ascii="Times New Roman" w:hAnsi="Times New Roman" w:eastAsia="宋体" w:cstheme="minorBidi"/>
                <w:color w:val="auto"/>
                <w:kern w:val="2"/>
                <w:sz w:val="21"/>
                <w:szCs w:val="24"/>
                <w:highlight w:val="none"/>
                <w:vertAlign w:val="superscript"/>
                <w:lang w:val="en-US" w:eastAsia="zh-CN" w:bidi="ar-SA"/>
              </w:rPr>
              <w:t>3</w:t>
            </w:r>
            <w:r>
              <w:rPr>
                <w:rFonts w:hint="eastAsia" w:ascii="Times New Roman" w:hAnsi="Times New Roman" w:eastAsia="宋体" w:cstheme="minorBidi"/>
                <w:color w:val="auto"/>
                <w:kern w:val="2"/>
                <w:sz w:val="21"/>
                <w:szCs w:val="24"/>
                <w:highlight w:val="none"/>
                <w:lang w:val="en-US" w:eastAsia="zh-CN" w:bidi="ar-SA"/>
              </w:rPr>
              <w:t>/h</w:t>
            </w:r>
          </w:p>
        </w:tc>
        <w:tc>
          <w:tcPr>
            <w:tcW w:w="0" w:type="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渗入风量m</w:t>
            </w:r>
            <w:r>
              <w:rPr>
                <w:rFonts w:hint="eastAsia" w:ascii="Times New Roman" w:hAnsi="Times New Roman" w:eastAsia="宋体" w:cstheme="minorBidi"/>
                <w:color w:val="auto"/>
                <w:kern w:val="2"/>
                <w:sz w:val="21"/>
                <w:szCs w:val="24"/>
                <w:highlight w:val="none"/>
                <w:vertAlign w:val="superscript"/>
                <w:lang w:val="en-US" w:eastAsia="zh-CN" w:bidi="ar-SA"/>
              </w:rPr>
              <w:t>3</w:t>
            </w:r>
            <w:r>
              <w:rPr>
                <w:rFonts w:hint="eastAsia" w:ascii="Times New Roman" w:hAnsi="Times New Roman" w:eastAsia="宋体" w:cstheme="minorBidi"/>
                <w:color w:val="auto"/>
                <w:kern w:val="2"/>
                <w:sz w:val="21"/>
                <w:szCs w:val="24"/>
                <w:highlight w:val="none"/>
                <w:lang w:val="en-US" w:eastAsia="zh-CN" w:bidi="ar-SA"/>
              </w:rPr>
              <w:t>/h</w:t>
            </w:r>
          </w:p>
        </w:tc>
        <w:tc>
          <w:tcPr>
            <w:tcW w:w="0" w:type="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臭气风量m</w:t>
            </w:r>
            <w:r>
              <w:rPr>
                <w:rFonts w:hint="eastAsia" w:ascii="Times New Roman" w:hAnsi="Times New Roman" w:eastAsia="宋体" w:cstheme="minorBidi"/>
                <w:color w:val="auto"/>
                <w:kern w:val="2"/>
                <w:sz w:val="21"/>
                <w:szCs w:val="24"/>
                <w:highlight w:val="none"/>
                <w:vertAlign w:val="superscript"/>
                <w:lang w:val="en-US" w:eastAsia="zh-CN" w:bidi="ar-SA"/>
              </w:rPr>
              <w:t>3</w:t>
            </w:r>
            <w:r>
              <w:rPr>
                <w:rFonts w:hint="eastAsia" w:ascii="Times New Roman" w:hAnsi="Times New Roman" w:eastAsia="宋体" w:cstheme="minorBidi"/>
                <w:color w:val="auto"/>
                <w:kern w:val="2"/>
                <w:sz w:val="21"/>
                <w:szCs w:val="24"/>
                <w:highlight w:val="none"/>
                <w:lang w:val="en-US" w:eastAsia="zh-CN" w:bidi="ar-SA"/>
              </w:rPr>
              <w:t>/h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1</w:t>
            </w:r>
          </w:p>
        </w:tc>
        <w:tc>
          <w:tcPr>
            <w:tcW w:w="873"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粗细格栅渠</w:t>
            </w:r>
          </w:p>
        </w:tc>
        <w:tc>
          <w:tcPr>
            <w:tcW w:w="572"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76.5</w:t>
            </w:r>
          </w:p>
        </w:tc>
        <w:tc>
          <w:tcPr>
            <w:tcW w:w="82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3</w:t>
            </w:r>
          </w:p>
        </w:tc>
        <w:tc>
          <w:tcPr>
            <w:tcW w:w="0" w:type="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1</w:t>
            </w:r>
          </w:p>
        </w:tc>
        <w:tc>
          <w:tcPr>
            <w:tcW w:w="0" w:type="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3</w:t>
            </w:r>
          </w:p>
        </w:tc>
        <w:tc>
          <w:tcPr>
            <w:tcW w:w="64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688.5</w:t>
            </w:r>
          </w:p>
        </w:tc>
        <w:tc>
          <w:tcPr>
            <w:tcW w:w="561"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68.85</w:t>
            </w:r>
          </w:p>
        </w:tc>
        <w:tc>
          <w:tcPr>
            <w:tcW w:w="616" w:type="pct"/>
            <w:vAlign w:val="bottom"/>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757.35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2</w:t>
            </w:r>
          </w:p>
        </w:tc>
        <w:tc>
          <w:tcPr>
            <w:tcW w:w="873"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调节池</w:t>
            </w:r>
          </w:p>
        </w:tc>
        <w:tc>
          <w:tcPr>
            <w:tcW w:w="572"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144</w:t>
            </w:r>
          </w:p>
        </w:tc>
        <w:tc>
          <w:tcPr>
            <w:tcW w:w="82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10</w:t>
            </w:r>
          </w:p>
        </w:tc>
        <w:tc>
          <w:tcPr>
            <w:tcW w:w="0" w:type="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1</w:t>
            </w:r>
          </w:p>
        </w:tc>
        <w:tc>
          <w:tcPr>
            <w:tcW w:w="0" w:type="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3</w:t>
            </w:r>
          </w:p>
        </w:tc>
        <w:tc>
          <w:tcPr>
            <w:tcW w:w="64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4320</w:t>
            </w:r>
          </w:p>
        </w:tc>
        <w:tc>
          <w:tcPr>
            <w:tcW w:w="561"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432</w:t>
            </w:r>
          </w:p>
        </w:tc>
        <w:tc>
          <w:tcPr>
            <w:tcW w:w="616" w:type="pct"/>
            <w:vAlign w:val="bottom"/>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4752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3</w:t>
            </w:r>
          </w:p>
        </w:tc>
        <w:tc>
          <w:tcPr>
            <w:tcW w:w="873"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曝气沉砂池</w:t>
            </w:r>
          </w:p>
        </w:tc>
        <w:tc>
          <w:tcPr>
            <w:tcW w:w="572"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46.28</w:t>
            </w:r>
          </w:p>
        </w:tc>
        <w:tc>
          <w:tcPr>
            <w:tcW w:w="82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10</w:t>
            </w:r>
          </w:p>
        </w:tc>
        <w:tc>
          <w:tcPr>
            <w:tcW w:w="0" w:type="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2</w:t>
            </w:r>
          </w:p>
        </w:tc>
        <w:tc>
          <w:tcPr>
            <w:tcW w:w="0" w:type="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3</w:t>
            </w:r>
          </w:p>
        </w:tc>
        <w:tc>
          <w:tcPr>
            <w:tcW w:w="64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2776.8</w:t>
            </w:r>
          </w:p>
        </w:tc>
        <w:tc>
          <w:tcPr>
            <w:tcW w:w="561"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277.68</w:t>
            </w:r>
          </w:p>
        </w:tc>
        <w:tc>
          <w:tcPr>
            <w:tcW w:w="616" w:type="pct"/>
            <w:vAlign w:val="bottom"/>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3054.48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4</w:t>
            </w:r>
          </w:p>
        </w:tc>
        <w:tc>
          <w:tcPr>
            <w:tcW w:w="873"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水解酸化池</w:t>
            </w:r>
          </w:p>
        </w:tc>
        <w:tc>
          <w:tcPr>
            <w:tcW w:w="572"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500.5</w:t>
            </w:r>
          </w:p>
        </w:tc>
        <w:tc>
          <w:tcPr>
            <w:tcW w:w="82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3</w:t>
            </w:r>
          </w:p>
        </w:tc>
        <w:tc>
          <w:tcPr>
            <w:tcW w:w="0" w:type="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1</w:t>
            </w:r>
          </w:p>
        </w:tc>
        <w:tc>
          <w:tcPr>
            <w:tcW w:w="0" w:type="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3</w:t>
            </w:r>
          </w:p>
        </w:tc>
        <w:tc>
          <w:tcPr>
            <w:tcW w:w="64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4504.5</w:t>
            </w:r>
          </w:p>
        </w:tc>
        <w:tc>
          <w:tcPr>
            <w:tcW w:w="561"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450.45</w:t>
            </w:r>
          </w:p>
        </w:tc>
        <w:tc>
          <w:tcPr>
            <w:tcW w:w="616" w:type="pct"/>
            <w:vAlign w:val="bottom"/>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4954.95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5</w:t>
            </w:r>
          </w:p>
        </w:tc>
        <w:tc>
          <w:tcPr>
            <w:tcW w:w="873"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CAST生物池</w:t>
            </w:r>
          </w:p>
        </w:tc>
        <w:tc>
          <w:tcPr>
            <w:tcW w:w="572"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500.5</w:t>
            </w:r>
          </w:p>
        </w:tc>
        <w:tc>
          <w:tcPr>
            <w:tcW w:w="82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3</w:t>
            </w:r>
          </w:p>
        </w:tc>
        <w:tc>
          <w:tcPr>
            <w:tcW w:w="0" w:type="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1</w:t>
            </w:r>
          </w:p>
        </w:tc>
        <w:tc>
          <w:tcPr>
            <w:tcW w:w="0" w:type="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3</w:t>
            </w:r>
          </w:p>
        </w:tc>
        <w:tc>
          <w:tcPr>
            <w:tcW w:w="64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4504.5</w:t>
            </w:r>
          </w:p>
        </w:tc>
        <w:tc>
          <w:tcPr>
            <w:tcW w:w="561"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450.45</w:t>
            </w:r>
          </w:p>
        </w:tc>
        <w:tc>
          <w:tcPr>
            <w:tcW w:w="616" w:type="pct"/>
            <w:vAlign w:val="bottom"/>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4954.95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6</w:t>
            </w:r>
          </w:p>
        </w:tc>
        <w:tc>
          <w:tcPr>
            <w:tcW w:w="873"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一体化生物池</w:t>
            </w:r>
          </w:p>
        </w:tc>
        <w:tc>
          <w:tcPr>
            <w:tcW w:w="572"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1374.03</w:t>
            </w:r>
          </w:p>
        </w:tc>
        <w:tc>
          <w:tcPr>
            <w:tcW w:w="82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3</w:t>
            </w:r>
          </w:p>
        </w:tc>
        <w:tc>
          <w:tcPr>
            <w:tcW w:w="0" w:type="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2</w:t>
            </w:r>
          </w:p>
        </w:tc>
        <w:tc>
          <w:tcPr>
            <w:tcW w:w="0" w:type="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3</w:t>
            </w:r>
          </w:p>
        </w:tc>
        <w:tc>
          <w:tcPr>
            <w:tcW w:w="64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24732.54</w:t>
            </w:r>
          </w:p>
        </w:tc>
        <w:tc>
          <w:tcPr>
            <w:tcW w:w="561"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2473.254</w:t>
            </w:r>
          </w:p>
        </w:tc>
        <w:tc>
          <w:tcPr>
            <w:tcW w:w="616" w:type="pct"/>
            <w:vAlign w:val="bottom"/>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27205.794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7</w:t>
            </w:r>
          </w:p>
        </w:tc>
        <w:tc>
          <w:tcPr>
            <w:tcW w:w="873"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高效沉淀池</w:t>
            </w:r>
          </w:p>
        </w:tc>
        <w:tc>
          <w:tcPr>
            <w:tcW w:w="572"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74..18</w:t>
            </w:r>
          </w:p>
        </w:tc>
        <w:tc>
          <w:tcPr>
            <w:tcW w:w="82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3</w:t>
            </w:r>
          </w:p>
        </w:tc>
        <w:tc>
          <w:tcPr>
            <w:tcW w:w="0" w:type="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1</w:t>
            </w:r>
          </w:p>
        </w:tc>
        <w:tc>
          <w:tcPr>
            <w:tcW w:w="0" w:type="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3</w:t>
            </w:r>
          </w:p>
        </w:tc>
        <w:tc>
          <w:tcPr>
            <w:tcW w:w="64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667.62</w:t>
            </w:r>
          </w:p>
        </w:tc>
        <w:tc>
          <w:tcPr>
            <w:tcW w:w="561"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66.762</w:t>
            </w:r>
          </w:p>
        </w:tc>
        <w:tc>
          <w:tcPr>
            <w:tcW w:w="616" w:type="pct"/>
            <w:vAlign w:val="bottom"/>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734.382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8</w:t>
            </w:r>
          </w:p>
        </w:tc>
        <w:tc>
          <w:tcPr>
            <w:tcW w:w="873"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污泥脱水间</w:t>
            </w:r>
          </w:p>
        </w:tc>
        <w:tc>
          <w:tcPr>
            <w:tcW w:w="572"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363</w:t>
            </w:r>
          </w:p>
        </w:tc>
        <w:tc>
          <w:tcPr>
            <w:tcW w:w="82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3</w:t>
            </w:r>
          </w:p>
        </w:tc>
        <w:tc>
          <w:tcPr>
            <w:tcW w:w="0" w:type="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1</w:t>
            </w:r>
          </w:p>
        </w:tc>
        <w:tc>
          <w:tcPr>
            <w:tcW w:w="0" w:type="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3</w:t>
            </w:r>
          </w:p>
        </w:tc>
        <w:tc>
          <w:tcPr>
            <w:tcW w:w="649"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3267</w:t>
            </w:r>
          </w:p>
        </w:tc>
        <w:tc>
          <w:tcPr>
            <w:tcW w:w="561" w:type="pc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326.7</w:t>
            </w:r>
          </w:p>
        </w:tc>
        <w:tc>
          <w:tcPr>
            <w:tcW w:w="616" w:type="pct"/>
            <w:vAlign w:val="bottom"/>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3593.7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0" w:type="auto"/>
            <w:gridSpan w:val="8"/>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合计</w:t>
            </w:r>
          </w:p>
        </w:tc>
        <w:tc>
          <w:tcPr>
            <w:tcW w:w="0" w:type="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49448.256</w:t>
            </w:r>
          </w:p>
        </w:tc>
      </w:tr>
    </w:tbl>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w:t>
      </w:r>
      <w:r>
        <w:rPr>
          <w:rFonts w:ascii="Times New Roman" w:hAnsi="Times New Roman" w:eastAsia="宋体"/>
          <w:color w:val="auto"/>
          <w:highlight w:val="none"/>
        </w:rPr>
        <w:t>2</w:t>
      </w:r>
      <w:r>
        <w:rPr>
          <w:rFonts w:hint="eastAsia" w:ascii="Times New Roman" w:hAnsi="Times New Roman" w:eastAsia="宋体"/>
          <w:color w:val="auto"/>
          <w:highlight w:val="none"/>
        </w:rPr>
        <w:t>）</w:t>
      </w:r>
      <w:r>
        <w:rPr>
          <w:rFonts w:ascii="Times New Roman" w:hAnsi="Times New Roman" w:eastAsia="宋体"/>
          <w:color w:val="auto"/>
          <w:highlight w:val="none"/>
        </w:rPr>
        <w:t>恶臭气体产生情况</w:t>
      </w:r>
    </w:p>
    <w:p>
      <w:pPr>
        <w:snapToGrid w:val="0"/>
        <w:ind w:firstLine="480"/>
        <w:rPr>
          <w:rFonts w:ascii="Times New Roman" w:hAnsi="Times New Roman" w:eastAsia="宋体"/>
          <w:color w:val="auto"/>
          <w:highlight w:val="none"/>
        </w:rPr>
      </w:pPr>
      <w:r>
        <w:rPr>
          <w:rFonts w:ascii="Times New Roman" w:hAnsi="Times New Roman" w:eastAsia="宋体"/>
          <w:color w:val="auto"/>
          <w:highlight w:val="none"/>
        </w:rPr>
        <w:t>根据《污水泵站的恶臭评价与对策》及《城镇污水处理厂臭气处理技术规程》等相关资料，综合同类污水处理厂类比调查资料，结合本污水处理厂特点，根据设计的构筑物表面积估算污水处理厂的废气源强。类似污水处理厂恶臭污染物NH</w:t>
      </w:r>
      <w:r>
        <w:rPr>
          <w:rFonts w:ascii="Times New Roman" w:hAnsi="Times New Roman" w:eastAsia="宋体"/>
          <w:color w:val="auto"/>
          <w:highlight w:val="none"/>
          <w:vertAlign w:val="subscript"/>
        </w:rPr>
        <w:t>3</w:t>
      </w:r>
      <w:r>
        <w:rPr>
          <w:rFonts w:ascii="Times New Roman" w:hAnsi="Times New Roman" w:eastAsia="宋体"/>
          <w:color w:val="auto"/>
          <w:highlight w:val="none"/>
        </w:rPr>
        <w:t>、H</w:t>
      </w:r>
      <w:r>
        <w:rPr>
          <w:rFonts w:ascii="Times New Roman" w:hAnsi="Times New Roman" w:eastAsia="宋体"/>
          <w:color w:val="auto"/>
          <w:highlight w:val="none"/>
          <w:vertAlign w:val="subscript"/>
        </w:rPr>
        <w:t>2</w:t>
      </w:r>
      <w:r>
        <w:rPr>
          <w:rFonts w:ascii="Times New Roman" w:hAnsi="Times New Roman" w:eastAsia="宋体"/>
          <w:color w:val="auto"/>
          <w:highlight w:val="none"/>
        </w:rPr>
        <w:t>S在各单元的产生系数</w:t>
      </w:r>
      <w:r>
        <w:rPr>
          <w:rFonts w:hint="eastAsia" w:ascii="Times New Roman" w:hAnsi="Times New Roman" w:eastAsia="宋体"/>
          <w:color w:val="auto"/>
          <w:highlight w:val="none"/>
        </w:rPr>
        <w:t>，本项目恶臭气体产生情况</w:t>
      </w:r>
      <w:r>
        <w:rPr>
          <w:rFonts w:hint="eastAsia"/>
          <w:color w:val="auto"/>
          <w:highlight w:val="none"/>
          <w:lang w:eastAsia="zh-CN"/>
        </w:rPr>
        <w:t>，</w:t>
      </w:r>
      <w:r>
        <w:rPr>
          <w:rFonts w:hint="eastAsia"/>
          <w:color w:val="auto"/>
          <w:highlight w:val="none"/>
          <w:lang w:val="en-US" w:eastAsia="zh-CN"/>
        </w:rPr>
        <w:t>详见下表</w:t>
      </w:r>
      <w:r>
        <w:rPr>
          <w:rFonts w:ascii="Times New Roman" w:hAnsi="Times New Roman" w:eastAsia="宋体"/>
          <w:color w:val="auto"/>
          <w:highlight w:val="none"/>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黑体" w:hAnsi="黑体" w:eastAsia="黑体" w:cstheme="majorBidi"/>
          <w:b/>
          <w:color w:val="auto"/>
          <w:kern w:val="2"/>
          <w:sz w:val="24"/>
          <w:szCs w:val="24"/>
          <w:highlight w:val="none"/>
          <w:lang w:val="en-US" w:eastAsia="zh-CN" w:bidi="ar-SA"/>
        </w:rPr>
      </w:pPr>
      <w:bookmarkStart w:id="96" w:name="_Ref149581030"/>
      <w:r>
        <w:rPr>
          <w:rFonts w:hint="eastAsia" w:ascii="黑体" w:hAnsi="黑体" w:eastAsia="黑体" w:cstheme="majorBidi"/>
          <w:b/>
          <w:color w:val="auto"/>
          <w:kern w:val="2"/>
          <w:sz w:val="24"/>
          <w:szCs w:val="24"/>
          <w:highlight w:val="none"/>
          <w:lang w:val="en-US" w:eastAsia="zh-CN" w:bidi="ar-SA"/>
        </w:rPr>
        <w:t>表</w:t>
      </w:r>
      <w:bookmarkEnd w:id="96"/>
      <w:r>
        <w:rPr>
          <w:rFonts w:hint="eastAsia" w:ascii="黑体" w:hAnsi="黑体" w:eastAsia="黑体" w:cstheme="majorBidi"/>
          <w:b/>
          <w:color w:val="auto"/>
          <w:kern w:val="2"/>
          <w:sz w:val="24"/>
          <w:szCs w:val="24"/>
          <w:highlight w:val="none"/>
          <w:lang w:val="en-US" w:eastAsia="zh-CN" w:bidi="ar-SA"/>
        </w:rPr>
        <w:t>3.5-10</w:t>
      </w:r>
      <w:r>
        <w:rPr>
          <w:rFonts w:ascii="黑体" w:hAnsi="黑体" w:eastAsia="黑体" w:cstheme="majorBidi"/>
          <w:b/>
          <w:color w:val="auto"/>
          <w:kern w:val="2"/>
          <w:sz w:val="24"/>
          <w:szCs w:val="24"/>
          <w:highlight w:val="none"/>
          <w:lang w:val="en-US" w:eastAsia="zh-CN" w:bidi="ar-SA"/>
        </w:rPr>
        <w:t>项目各处理单元污染物产生系数</w:t>
      </w:r>
    </w:p>
    <w:tbl>
      <w:tblPr>
        <w:tblStyle w:val="34"/>
        <w:tblW w:w="501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337"/>
        <w:gridCol w:w="3362"/>
        <w:gridCol w:w="2329"/>
        <w:gridCol w:w="23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333" w:type="dxa"/>
            <w:vMerge w:val="restart"/>
            <w:vAlign w:val="center"/>
          </w:tcPr>
          <w:p>
            <w:pPr>
              <w:widowControl w:val="0"/>
              <w:jc w:val="center"/>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序号</w:t>
            </w:r>
          </w:p>
        </w:tc>
        <w:tc>
          <w:tcPr>
            <w:tcW w:w="3351" w:type="dxa"/>
            <w:vMerge w:val="restart"/>
            <w:vAlign w:val="center"/>
          </w:tcPr>
          <w:p>
            <w:pPr>
              <w:widowControl w:val="0"/>
              <w:jc w:val="center"/>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工程内容</w:t>
            </w:r>
          </w:p>
        </w:tc>
        <w:tc>
          <w:tcPr>
            <w:tcW w:w="2322" w:type="dxa"/>
            <w:vAlign w:val="center"/>
          </w:tcPr>
          <w:p>
            <w:pPr>
              <w:widowControl w:val="0"/>
              <w:jc w:val="center"/>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N</w:t>
            </w:r>
            <w:r>
              <w:rPr>
                <w:rFonts w:ascii="Times New Roman" w:hAnsi="Times New Roman" w:eastAsia="宋体" w:cstheme="minorBidi"/>
                <w:color w:val="auto"/>
                <w:kern w:val="2"/>
                <w:sz w:val="21"/>
                <w:szCs w:val="24"/>
                <w:highlight w:val="none"/>
                <w:lang w:val="en-US" w:eastAsia="zh-CN" w:bidi="ar-SA"/>
              </w:rPr>
              <w:t>H</w:t>
            </w:r>
            <w:r>
              <w:rPr>
                <w:rFonts w:ascii="Times New Roman" w:hAnsi="Times New Roman" w:eastAsia="宋体" w:cstheme="minorBidi"/>
                <w:color w:val="auto"/>
                <w:kern w:val="2"/>
                <w:sz w:val="21"/>
                <w:szCs w:val="24"/>
                <w:highlight w:val="none"/>
                <w:vertAlign w:val="subscript"/>
                <w:lang w:val="en-US" w:eastAsia="zh-CN" w:bidi="ar-SA"/>
              </w:rPr>
              <w:t>3</w:t>
            </w:r>
          </w:p>
        </w:tc>
        <w:tc>
          <w:tcPr>
            <w:tcW w:w="2322" w:type="dxa"/>
            <w:vAlign w:val="center"/>
          </w:tcPr>
          <w:p>
            <w:pPr>
              <w:widowControl w:val="0"/>
              <w:jc w:val="center"/>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H</w:t>
            </w:r>
            <w:r>
              <w:rPr>
                <w:rFonts w:ascii="Times New Roman" w:hAnsi="Times New Roman" w:eastAsia="宋体" w:cstheme="minorBidi"/>
                <w:color w:val="auto"/>
                <w:kern w:val="2"/>
                <w:sz w:val="21"/>
                <w:szCs w:val="24"/>
                <w:highlight w:val="none"/>
                <w:vertAlign w:val="subscript"/>
                <w:lang w:val="en-US" w:eastAsia="zh-CN" w:bidi="ar-SA"/>
              </w:rPr>
              <w:t>2</w:t>
            </w:r>
            <w:r>
              <w:rPr>
                <w:rFonts w:ascii="Times New Roman" w:hAnsi="Times New Roman" w:eastAsia="宋体" w:cstheme="minorBidi"/>
                <w:color w:val="auto"/>
                <w:kern w:val="2"/>
                <w:sz w:val="21"/>
                <w:szCs w:val="24"/>
                <w:highlight w:val="none"/>
                <w:lang w:val="en-US" w:eastAsia="zh-CN" w:bidi="ar-SA"/>
              </w:rP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333" w:type="dxa"/>
            <w:vMerge w:val="continue"/>
            <w:vAlign w:val="center"/>
          </w:tcPr>
          <w:p>
            <w:pPr>
              <w:widowControl w:val="0"/>
              <w:jc w:val="center"/>
              <w:rPr>
                <w:rFonts w:ascii="Times New Roman" w:hAnsi="Times New Roman" w:eastAsia="宋体" w:cstheme="minorBidi"/>
                <w:color w:val="auto"/>
                <w:kern w:val="2"/>
                <w:sz w:val="21"/>
                <w:szCs w:val="24"/>
                <w:highlight w:val="none"/>
                <w:lang w:val="en-US" w:eastAsia="zh-CN" w:bidi="ar-SA"/>
              </w:rPr>
            </w:pPr>
          </w:p>
        </w:tc>
        <w:tc>
          <w:tcPr>
            <w:tcW w:w="3351" w:type="dxa"/>
            <w:vMerge w:val="continue"/>
            <w:vAlign w:val="center"/>
          </w:tcPr>
          <w:p>
            <w:pPr>
              <w:widowControl w:val="0"/>
              <w:jc w:val="center"/>
              <w:rPr>
                <w:rFonts w:ascii="Times New Roman" w:hAnsi="Times New Roman" w:eastAsia="宋体" w:cstheme="minorBidi"/>
                <w:color w:val="auto"/>
                <w:kern w:val="2"/>
                <w:sz w:val="21"/>
                <w:szCs w:val="24"/>
                <w:highlight w:val="none"/>
                <w:lang w:val="en-US" w:eastAsia="zh-CN" w:bidi="ar-SA"/>
              </w:rPr>
            </w:pPr>
          </w:p>
        </w:tc>
        <w:tc>
          <w:tcPr>
            <w:tcW w:w="2322" w:type="dxa"/>
            <w:vAlign w:val="center"/>
          </w:tcPr>
          <w:p>
            <w:pPr>
              <w:widowControl w:val="0"/>
              <w:jc w:val="center"/>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产生系数（mg</w:t>
            </w:r>
            <w:r>
              <w:rPr>
                <w:rFonts w:ascii="Times New Roman" w:hAnsi="Times New Roman" w:eastAsia="宋体" w:cstheme="minorBidi"/>
                <w:color w:val="auto"/>
                <w:kern w:val="2"/>
                <w:sz w:val="21"/>
                <w:szCs w:val="24"/>
                <w:highlight w:val="none"/>
                <w:lang w:val="en-US" w:eastAsia="zh-CN" w:bidi="ar-SA"/>
              </w:rPr>
              <w:t>/s·</w:t>
            </w:r>
            <w:r>
              <w:rPr>
                <w:rFonts w:hint="eastAsia" w:ascii="Times New Roman" w:hAnsi="Times New Roman" w:eastAsia="宋体" w:cstheme="minorBidi"/>
                <w:color w:val="auto"/>
                <w:kern w:val="2"/>
                <w:sz w:val="21"/>
                <w:szCs w:val="24"/>
                <w:highlight w:val="none"/>
                <w:lang w:val="en-US" w:eastAsia="zh-CN" w:bidi="ar-SA"/>
              </w:rPr>
              <w:t>m</w:t>
            </w:r>
            <w:r>
              <w:rPr>
                <w:rFonts w:ascii="Times New Roman" w:hAnsi="Times New Roman" w:eastAsia="宋体" w:cstheme="minorBidi"/>
                <w:color w:val="auto"/>
                <w:kern w:val="2"/>
                <w:sz w:val="21"/>
                <w:szCs w:val="24"/>
                <w:highlight w:val="none"/>
                <w:vertAlign w:val="superscript"/>
                <w:lang w:val="en-US" w:eastAsia="zh-CN" w:bidi="ar-SA"/>
              </w:rPr>
              <w:t>2</w:t>
            </w:r>
            <w:r>
              <w:rPr>
                <w:rFonts w:hint="eastAsia" w:ascii="Times New Roman" w:hAnsi="Times New Roman" w:eastAsia="宋体" w:cstheme="minorBidi"/>
                <w:color w:val="auto"/>
                <w:kern w:val="2"/>
                <w:sz w:val="21"/>
                <w:szCs w:val="24"/>
                <w:highlight w:val="none"/>
                <w:lang w:val="en-US" w:eastAsia="zh-CN" w:bidi="ar-SA"/>
              </w:rPr>
              <w:t>）</w:t>
            </w:r>
          </w:p>
        </w:tc>
        <w:tc>
          <w:tcPr>
            <w:tcW w:w="2322" w:type="dxa"/>
            <w:vAlign w:val="center"/>
          </w:tcPr>
          <w:p>
            <w:pPr>
              <w:widowControl w:val="0"/>
              <w:jc w:val="center"/>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产生系数（mg</w:t>
            </w:r>
            <w:r>
              <w:rPr>
                <w:rFonts w:ascii="Times New Roman" w:hAnsi="Times New Roman" w:eastAsia="宋体" w:cstheme="minorBidi"/>
                <w:color w:val="auto"/>
                <w:kern w:val="2"/>
                <w:sz w:val="21"/>
                <w:szCs w:val="24"/>
                <w:highlight w:val="none"/>
                <w:lang w:val="en-US" w:eastAsia="zh-CN" w:bidi="ar-SA"/>
              </w:rPr>
              <w:t>/s·</w:t>
            </w:r>
            <w:r>
              <w:rPr>
                <w:rFonts w:hint="eastAsia" w:ascii="Times New Roman" w:hAnsi="Times New Roman" w:eastAsia="宋体" w:cstheme="minorBidi"/>
                <w:color w:val="auto"/>
                <w:kern w:val="2"/>
                <w:sz w:val="21"/>
                <w:szCs w:val="24"/>
                <w:highlight w:val="none"/>
                <w:lang w:val="en-US" w:eastAsia="zh-CN" w:bidi="ar-SA"/>
              </w:rPr>
              <w:t>m</w:t>
            </w:r>
            <w:r>
              <w:rPr>
                <w:rFonts w:ascii="Times New Roman" w:hAnsi="Times New Roman" w:eastAsia="宋体" w:cstheme="minorBidi"/>
                <w:color w:val="auto"/>
                <w:kern w:val="2"/>
                <w:sz w:val="21"/>
                <w:szCs w:val="24"/>
                <w:highlight w:val="none"/>
                <w:vertAlign w:val="superscript"/>
                <w:lang w:val="en-US" w:eastAsia="zh-CN" w:bidi="ar-SA"/>
              </w:rPr>
              <w:t>2</w:t>
            </w:r>
            <w:r>
              <w:rPr>
                <w:rFonts w:hint="eastAsia" w:ascii="Times New Roman" w:hAnsi="Times New Roman" w:eastAsia="宋体" w:cstheme="minorBidi"/>
                <w:color w:val="auto"/>
                <w:kern w:val="2"/>
                <w:sz w:val="21"/>
                <w:szCs w:val="24"/>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333" w:type="dxa"/>
            <w:vAlign w:val="center"/>
          </w:tcPr>
          <w:p>
            <w:pPr>
              <w:widowControl w:val="0"/>
              <w:jc w:val="center"/>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1</w:t>
            </w:r>
          </w:p>
        </w:tc>
        <w:tc>
          <w:tcPr>
            <w:tcW w:w="335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粗细格栅渠</w:t>
            </w:r>
          </w:p>
        </w:tc>
        <w:tc>
          <w:tcPr>
            <w:tcW w:w="2322" w:type="dxa"/>
            <w:vAlign w:val="center"/>
          </w:tcPr>
          <w:p>
            <w:pPr>
              <w:widowControl w:val="0"/>
              <w:jc w:val="center"/>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0</w:t>
            </w:r>
            <w:r>
              <w:rPr>
                <w:rFonts w:ascii="Times New Roman" w:hAnsi="Times New Roman" w:eastAsia="宋体" w:cstheme="minorBidi"/>
                <w:color w:val="auto"/>
                <w:kern w:val="2"/>
                <w:sz w:val="21"/>
                <w:szCs w:val="24"/>
                <w:highlight w:val="none"/>
                <w:lang w:val="en-US" w:eastAsia="zh-CN" w:bidi="ar-SA"/>
              </w:rPr>
              <w:t>.502</w:t>
            </w:r>
          </w:p>
        </w:tc>
        <w:tc>
          <w:tcPr>
            <w:tcW w:w="2322" w:type="dxa"/>
            <w:vAlign w:val="center"/>
          </w:tcPr>
          <w:p>
            <w:pPr>
              <w:widowControl w:val="0"/>
              <w:jc w:val="center"/>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2.39*10</w:t>
            </w:r>
            <w:r>
              <w:rPr>
                <w:rFonts w:ascii="Times New Roman" w:hAnsi="Times New Roman" w:eastAsia="宋体" w:cstheme="minorBidi"/>
                <w:color w:val="auto"/>
                <w:kern w:val="2"/>
                <w:sz w:val="21"/>
                <w:szCs w:val="24"/>
                <w:highlight w:val="none"/>
                <w:vertAlign w:val="superscript"/>
                <w:lang w:val="en-US" w:eastAsia="zh-CN" w:bidi="ar-SA"/>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333" w:type="dxa"/>
            <w:vAlign w:val="center"/>
          </w:tcPr>
          <w:p>
            <w:pPr>
              <w:widowControl w:val="0"/>
              <w:jc w:val="center"/>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2</w:t>
            </w:r>
          </w:p>
        </w:tc>
        <w:tc>
          <w:tcPr>
            <w:tcW w:w="335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调节池</w:t>
            </w:r>
          </w:p>
        </w:tc>
        <w:tc>
          <w:tcPr>
            <w:tcW w:w="2322" w:type="dxa"/>
            <w:vAlign w:val="center"/>
          </w:tcPr>
          <w:p>
            <w:pPr>
              <w:widowControl w:val="0"/>
              <w:jc w:val="center"/>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0</w:t>
            </w:r>
            <w:r>
              <w:rPr>
                <w:rFonts w:ascii="Times New Roman" w:hAnsi="Times New Roman" w:eastAsia="宋体" w:cstheme="minorBidi"/>
                <w:color w:val="auto"/>
                <w:kern w:val="2"/>
                <w:sz w:val="21"/>
                <w:szCs w:val="24"/>
                <w:highlight w:val="none"/>
                <w:lang w:val="en-US" w:eastAsia="zh-CN" w:bidi="ar-SA"/>
              </w:rPr>
              <w:t>.502</w:t>
            </w:r>
          </w:p>
        </w:tc>
        <w:tc>
          <w:tcPr>
            <w:tcW w:w="2322" w:type="dxa"/>
            <w:vAlign w:val="center"/>
          </w:tcPr>
          <w:p>
            <w:pPr>
              <w:widowControl w:val="0"/>
              <w:jc w:val="center"/>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2.39*10</w:t>
            </w:r>
            <w:r>
              <w:rPr>
                <w:rFonts w:ascii="Times New Roman" w:hAnsi="Times New Roman" w:eastAsia="宋体" w:cstheme="minorBidi"/>
                <w:color w:val="auto"/>
                <w:kern w:val="2"/>
                <w:sz w:val="21"/>
                <w:szCs w:val="24"/>
                <w:highlight w:val="none"/>
                <w:vertAlign w:val="superscript"/>
                <w:lang w:val="en-US" w:eastAsia="zh-CN" w:bidi="ar-SA"/>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333" w:type="dxa"/>
            <w:vAlign w:val="center"/>
          </w:tcPr>
          <w:p>
            <w:pPr>
              <w:widowControl w:val="0"/>
              <w:jc w:val="center"/>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3</w:t>
            </w:r>
          </w:p>
        </w:tc>
        <w:tc>
          <w:tcPr>
            <w:tcW w:w="335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曝气沉砂池</w:t>
            </w:r>
          </w:p>
        </w:tc>
        <w:tc>
          <w:tcPr>
            <w:tcW w:w="2322" w:type="dxa"/>
            <w:vAlign w:val="center"/>
          </w:tcPr>
          <w:p>
            <w:pPr>
              <w:widowControl w:val="0"/>
              <w:jc w:val="center"/>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0</w:t>
            </w:r>
            <w:r>
              <w:rPr>
                <w:rFonts w:ascii="Times New Roman" w:hAnsi="Times New Roman" w:eastAsia="宋体" w:cstheme="minorBidi"/>
                <w:color w:val="auto"/>
                <w:kern w:val="2"/>
                <w:sz w:val="21"/>
                <w:szCs w:val="24"/>
                <w:highlight w:val="none"/>
                <w:lang w:val="en-US" w:eastAsia="zh-CN" w:bidi="ar-SA"/>
              </w:rPr>
              <w:t>.502</w:t>
            </w:r>
          </w:p>
        </w:tc>
        <w:tc>
          <w:tcPr>
            <w:tcW w:w="2322" w:type="dxa"/>
            <w:vAlign w:val="center"/>
          </w:tcPr>
          <w:p>
            <w:pPr>
              <w:widowControl w:val="0"/>
              <w:jc w:val="center"/>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2.21*10</w:t>
            </w:r>
            <w:r>
              <w:rPr>
                <w:rFonts w:ascii="Times New Roman" w:hAnsi="Times New Roman" w:eastAsia="宋体" w:cstheme="minorBidi"/>
                <w:color w:val="auto"/>
                <w:kern w:val="2"/>
                <w:sz w:val="21"/>
                <w:szCs w:val="24"/>
                <w:highlight w:val="none"/>
                <w:vertAlign w:val="superscript"/>
                <w:lang w:val="en-US" w:eastAsia="zh-CN" w:bidi="ar-SA"/>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33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4</w:t>
            </w:r>
          </w:p>
        </w:tc>
        <w:tc>
          <w:tcPr>
            <w:tcW w:w="335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水解酸化池</w:t>
            </w:r>
          </w:p>
        </w:tc>
        <w:tc>
          <w:tcPr>
            <w:tcW w:w="2322" w:type="dxa"/>
            <w:vAlign w:val="center"/>
          </w:tcPr>
          <w:p>
            <w:pPr>
              <w:widowControl w:val="0"/>
              <w:jc w:val="center"/>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0.103</w:t>
            </w:r>
          </w:p>
        </w:tc>
        <w:tc>
          <w:tcPr>
            <w:tcW w:w="2322" w:type="dxa"/>
            <w:vAlign w:val="center"/>
          </w:tcPr>
          <w:p>
            <w:pPr>
              <w:widowControl w:val="0"/>
              <w:jc w:val="center"/>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0.60*10</w:t>
            </w:r>
            <w:r>
              <w:rPr>
                <w:rFonts w:ascii="Times New Roman" w:hAnsi="Times New Roman" w:eastAsia="宋体" w:cstheme="minorBidi"/>
                <w:color w:val="auto"/>
                <w:kern w:val="2"/>
                <w:sz w:val="21"/>
                <w:szCs w:val="24"/>
                <w:highlight w:val="none"/>
                <w:vertAlign w:val="superscript"/>
                <w:lang w:val="en-US" w:eastAsia="zh-CN" w:bidi="ar-SA"/>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33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5</w:t>
            </w:r>
          </w:p>
        </w:tc>
        <w:tc>
          <w:tcPr>
            <w:tcW w:w="335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CAST生物池</w:t>
            </w:r>
          </w:p>
        </w:tc>
        <w:tc>
          <w:tcPr>
            <w:tcW w:w="2322" w:type="dxa"/>
            <w:vAlign w:val="center"/>
          </w:tcPr>
          <w:p>
            <w:pPr>
              <w:widowControl w:val="0"/>
              <w:jc w:val="center"/>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0.103</w:t>
            </w:r>
          </w:p>
        </w:tc>
        <w:tc>
          <w:tcPr>
            <w:tcW w:w="2322" w:type="dxa"/>
            <w:vAlign w:val="center"/>
          </w:tcPr>
          <w:p>
            <w:pPr>
              <w:widowControl w:val="0"/>
              <w:jc w:val="center"/>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0.51*10</w:t>
            </w:r>
            <w:r>
              <w:rPr>
                <w:rFonts w:ascii="Times New Roman" w:hAnsi="Times New Roman" w:eastAsia="宋体" w:cstheme="minorBidi"/>
                <w:color w:val="auto"/>
                <w:kern w:val="2"/>
                <w:sz w:val="21"/>
                <w:szCs w:val="24"/>
                <w:highlight w:val="none"/>
                <w:vertAlign w:val="superscript"/>
                <w:lang w:val="en-US" w:eastAsia="zh-CN" w:bidi="ar-SA"/>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33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6</w:t>
            </w:r>
          </w:p>
        </w:tc>
        <w:tc>
          <w:tcPr>
            <w:tcW w:w="335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一体化生物池</w:t>
            </w:r>
          </w:p>
        </w:tc>
        <w:tc>
          <w:tcPr>
            <w:tcW w:w="2322" w:type="dxa"/>
            <w:vAlign w:val="center"/>
          </w:tcPr>
          <w:p>
            <w:pPr>
              <w:widowControl w:val="0"/>
              <w:jc w:val="center"/>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0.103</w:t>
            </w:r>
          </w:p>
        </w:tc>
        <w:tc>
          <w:tcPr>
            <w:tcW w:w="2322" w:type="dxa"/>
            <w:vAlign w:val="center"/>
          </w:tcPr>
          <w:p>
            <w:pPr>
              <w:widowControl w:val="0"/>
              <w:jc w:val="center"/>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1.52*10</w:t>
            </w:r>
            <w:r>
              <w:rPr>
                <w:rFonts w:ascii="Times New Roman" w:hAnsi="Times New Roman" w:eastAsia="宋体" w:cstheme="minorBidi"/>
                <w:color w:val="auto"/>
                <w:kern w:val="2"/>
                <w:sz w:val="21"/>
                <w:szCs w:val="24"/>
                <w:highlight w:val="none"/>
                <w:vertAlign w:val="superscript"/>
                <w:lang w:val="en-US" w:eastAsia="zh-CN" w:bidi="ar-SA"/>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33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7</w:t>
            </w:r>
          </w:p>
        </w:tc>
        <w:tc>
          <w:tcPr>
            <w:tcW w:w="335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高效沉淀池</w:t>
            </w:r>
          </w:p>
        </w:tc>
        <w:tc>
          <w:tcPr>
            <w:tcW w:w="2322" w:type="dxa"/>
            <w:vAlign w:val="center"/>
          </w:tcPr>
          <w:p>
            <w:pPr>
              <w:widowControl w:val="0"/>
              <w:jc w:val="center"/>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0.103</w:t>
            </w:r>
          </w:p>
        </w:tc>
        <w:tc>
          <w:tcPr>
            <w:tcW w:w="2322" w:type="dxa"/>
            <w:vAlign w:val="center"/>
          </w:tcPr>
          <w:p>
            <w:pPr>
              <w:widowControl w:val="0"/>
              <w:jc w:val="center"/>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1.52*10</w:t>
            </w:r>
            <w:r>
              <w:rPr>
                <w:rFonts w:ascii="Times New Roman" w:hAnsi="Times New Roman" w:eastAsia="宋体" w:cstheme="minorBidi"/>
                <w:color w:val="auto"/>
                <w:kern w:val="2"/>
                <w:sz w:val="21"/>
                <w:szCs w:val="24"/>
                <w:highlight w:val="none"/>
                <w:vertAlign w:val="superscript"/>
                <w:lang w:val="en-US" w:eastAsia="zh-CN" w:bidi="ar-SA"/>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333" w:type="dxa"/>
            <w:vAlign w:val="center"/>
          </w:tcPr>
          <w:p>
            <w:pPr>
              <w:widowControl w:val="0"/>
              <w:jc w:val="center"/>
              <w:rPr>
                <w:rFonts w:hint="default"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8</w:t>
            </w:r>
          </w:p>
        </w:tc>
        <w:tc>
          <w:tcPr>
            <w:tcW w:w="335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污泥脱水间</w:t>
            </w:r>
          </w:p>
        </w:tc>
        <w:tc>
          <w:tcPr>
            <w:tcW w:w="2322" w:type="dxa"/>
            <w:vAlign w:val="center"/>
          </w:tcPr>
          <w:p>
            <w:pPr>
              <w:widowControl w:val="0"/>
              <w:jc w:val="center"/>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0.103</w:t>
            </w:r>
          </w:p>
        </w:tc>
        <w:tc>
          <w:tcPr>
            <w:tcW w:w="2322" w:type="dxa"/>
            <w:vAlign w:val="center"/>
          </w:tcPr>
          <w:p>
            <w:pPr>
              <w:widowControl w:val="0"/>
              <w:jc w:val="center"/>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0.26*10</w:t>
            </w:r>
            <w:r>
              <w:rPr>
                <w:rFonts w:ascii="Times New Roman" w:hAnsi="Times New Roman" w:eastAsia="宋体" w:cstheme="minorBidi"/>
                <w:color w:val="auto"/>
                <w:kern w:val="2"/>
                <w:sz w:val="21"/>
                <w:szCs w:val="24"/>
                <w:highlight w:val="none"/>
                <w:vertAlign w:val="superscript"/>
                <w:lang w:val="en-US" w:eastAsia="zh-CN" w:bidi="ar-SA"/>
              </w:rPr>
              <w:t>-3</w:t>
            </w:r>
          </w:p>
        </w:tc>
      </w:tr>
    </w:tbl>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theme="majorBidi"/>
          <w:b/>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theme="majorBidi"/>
          <w:b/>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ascii="黑体" w:hAnsi="黑体" w:eastAsia="黑体" w:cstheme="majorBidi"/>
          <w:b/>
          <w:color w:val="auto"/>
          <w:kern w:val="2"/>
          <w:sz w:val="24"/>
          <w:szCs w:val="24"/>
          <w:highlight w:val="none"/>
          <w:lang w:val="en-US" w:eastAsia="zh-CN" w:bidi="ar-SA"/>
        </w:rPr>
      </w:pPr>
      <w:r>
        <w:rPr>
          <w:rFonts w:hint="eastAsia" w:ascii="黑体" w:hAnsi="黑体" w:eastAsia="黑体" w:cstheme="majorBidi"/>
          <w:b/>
          <w:color w:val="auto"/>
          <w:kern w:val="2"/>
          <w:sz w:val="24"/>
          <w:szCs w:val="24"/>
          <w:highlight w:val="none"/>
          <w:lang w:val="en-US" w:eastAsia="zh-CN" w:bidi="ar-SA"/>
        </w:rPr>
        <w:t>表3.5-11</w:t>
      </w:r>
      <w:r>
        <w:rPr>
          <w:rFonts w:ascii="黑体" w:hAnsi="黑体" w:eastAsia="黑体" w:cstheme="majorBidi"/>
          <w:b/>
          <w:color w:val="auto"/>
          <w:kern w:val="2"/>
          <w:sz w:val="24"/>
          <w:szCs w:val="24"/>
          <w:highlight w:val="none"/>
          <w:lang w:val="en-US" w:eastAsia="zh-CN" w:bidi="ar-SA"/>
        </w:rPr>
        <w:t>本项目恶臭气体产生情况一览表</w:t>
      </w:r>
    </w:p>
    <w:tbl>
      <w:tblPr>
        <w:tblStyle w:val="34"/>
        <w:tblW w:w="508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612"/>
        <w:gridCol w:w="1207"/>
        <w:gridCol w:w="494"/>
        <w:gridCol w:w="699"/>
        <w:gridCol w:w="1108"/>
        <w:gridCol w:w="1061"/>
        <w:gridCol w:w="1176"/>
        <w:gridCol w:w="924"/>
        <w:gridCol w:w="1061"/>
        <w:gridCol w:w="11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10" w:type="dxa"/>
            <w:vMerge w:val="restar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序号</w:t>
            </w:r>
          </w:p>
        </w:tc>
        <w:tc>
          <w:tcPr>
            <w:tcW w:w="1203" w:type="dxa"/>
            <w:vMerge w:val="restar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构筑物</w:t>
            </w:r>
          </w:p>
        </w:tc>
        <w:tc>
          <w:tcPr>
            <w:tcW w:w="492" w:type="dxa"/>
            <w:vMerge w:val="restar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面积</w:t>
            </w:r>
          </w:p>
        </w:tc>
        <w:tc>
          <w:tcPr>
            <w:tcW w:w="697" w:type="dxa"/>
            <w:vMerge w:val="restar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数量</w:t>
            </w:r>
          </w:p>
        </w:tc>
        <w:tc>
          <w:tcPr>
            <w:tcW w:w="3335" w:type="dxa"/>
            <w:gridSpan w:val="3"/>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N</w:t>
            </w:r>
            <w:r>
              <w:rPr>
                <w:rFonts w:ascii="Times New Roman" w:hAnsi="Times New Roman" w:eastAsia="宋体" w:cstheme="minorBidi"/>
                <w:color w:val="auto"/>
                <w:kern w:val="2"/>
                <w:sz w:val="21"/>
                <w:szCs w:val="24"/>
                <w:highlight w:val="none"/>
                <w:lang w:val="en-US" w:eastAsia="zh-CN" w:bidi="ar-SA"/>
              </w:rPr>
              <w:t>H</w:t>
            </w:r>
            <w:r>
              <w:rPr>
                <w:rFonts w:ascii="Times New Roman" w:hAnsi="Times New Roman" w:eastAsia="宋体" w:cstheme="minorBidi"/>
                <w:color w:val="auto"/>
                <w:kern w:val="2"/>
                <w:sz w:val="21"/>
                <w:szCs w:val="24"/>
                <w:highlight w:val="none"/>
                <w:vertAlign w:val="subscript"/>
                <w:lang w:val="en-US" w:eastAsia="zh-CN" w:bidi="ar-SA"/>
              </w:rPr>
              <w:t>3</w:t>
            </w:r>
          </w:p>
        </w:tc>
        <w:tc>
          <w:tcPr>
            <w:tcW w:w="3113" w:type="dxa"/>
            <w:gridSpan w:val="3"/>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H</w:t>
            </w:r>
            <w:r>
              <w:rPr>
                <w:rFonts w:ascii="Times New Roman" w:hAnsi="Times New Roman" w:eastAsia="宋体" w:cstheme="minorBidi"/>
                <w:color w:val="auto"/>
                <w:kern w:val="2"/>
                <w:sz w:val="21"/>
                <w:szCs w:val="24"/>
                <w:highlight w:val="none"/>
                <w:vertAlign w:val="subscript"/>
                <w:lang w:val="en-US" w:eastAsia="zh-CN" w:bidi="ar-SA"/>
              </w:rPr>
              <w:t>2</w:t>
            </w:r>
            <w:r>
              <w:rPr>
                <w:rFonts w:ascii="Times New Roman" w:hAnsi="Times New Roman" w:eastAsia="宋体" w:cstheme="minorBidi"/>
                <w:color w:val="auto"/>
                <w:kern w:val="2"/>
                <w:sz w:val="21"/>
                <w:szCs w:val="24"/>
                <w:highlight w:val="none"/>
                <w:lang w:val="en-US" w:eastAsia="zh-CN" w:bidi="ar-SA"/>
              </w:rP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10"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p>
        </w:tc>
        <w:tc>
          <w:tcPr>
            <w:tcW w:w="1203"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p>
        </w:tc>
        <w:tc>
          <w:tcPr>
            <w:tcW w:w="492"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p>
        </w:tc>
        <w:tc>
          <w:tcPr>
            <w:tcW w:w="697"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p>
        </w:tc>
        <w:tc>
          <w:tcPr>
            <w:tcW w:w="11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产物系数</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(mg/s·m</w:t>
            </w:r>
            <w:r>
              <w:rPr>
                <w:rFonts w:ascii="Times New Roman" w:hAnsi="Times New Roman" w:eastAsia="宋体" w:cstheme="minorBidi"/>
                <w:color w:val="auto"/>
                <w:kern w:val="2"/>
                <w:sz w:val="21"/>
                <w:szCs w:val="24"/>
                <w:highlight w:val="none"/>
                <w:vertAlign w:val="superscript"/>
                <w:lang w:val="en-US" w:eastAsia="zh-CN" w:bidi="ar-SA"/>
              </w:rPr>
              <w:t>2</w:t>
            </w:r>
            <w:r>
              <w:rPr>
                <w:rFonts w:ascii="Times New Roman" w:hAnsi="Times New Roman" w:eastAsia="宋体" w:cstheme="minorBidi"/>
                <w:color w:val="auto"/>
                <w:kern w:val="2"/>
                <w:sz w:val="21"/>
                <w:szCs w:val="24"/>
                <w:highlight w:val="none"/>
                <w:lang w:val="en-US" w:eastAsia="zh-CN" w:bidi="ar-SA"/>
              </w:rPr>
              <w:t>)</w:t>
            </w:r>
          </w:p>
        </w:tc>
        <w:tc>
          <w:tcPr>
            <w:tcW w:w="10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产生速率</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（kg/h）</w:t>
            </w:r>
          </w:p>
        </w:tc>
        <w:tc>
          <w:tcPr>
            <w:tcW w:w="117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产生量</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（t/a）</w:t>
            </w:r>
          </w:p>
        </w:tc>
        <w:tc>
          <w:tcPr>
            <w:tcW w:w="9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产物系数</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(mg/s·m</w:t>
            </w:r>
            <w:r>
              <w:rPr>
                <w:rFonts w:ascii="Times New Roman" w:hAnsi="Times New Roman" w:eastAsia="宋体" w:cstheme="minorBidi"/>
                <w:color w:val="auto"/>
                <w:kern w:val="2"/>
                <w:sz w:val="21"/>
                <w:szCs w:val="24"/>
                <w:highlight w:val="none"/>
                <w:vertAlign w:val="superscript"/>
                <w:lang w:val="en-US" w:eastAsia="zh-CN" w:bidi="ar-SA"/>
              </w:rPr>
              <w:t>2</w:t>
            </w:r>
            <w:r>
              <w:rPr>
                <w:rFonts w:ascii="Times New Roman" w:hAnsi="Times New Roman" w:eastAsia="宋体" w:cstheme="minorBidi"/>
                <w:color w:val="auto"/>
                <w:kern w:val="2"/>
                <w:sz w:val="21"/>
                <w:szCs w:val="24"/>
                <w:highlight w:val="none"/>
                <w:lang w:val="en-US" w:eastAsia="zh-CN" w:bidi="ar-SA"/>
              </w:rPr>
              <w:t>)</w:t>
            </w:r>
          </w:p>
        </w:tc>
        <w:tc>
          <w:tcPr>
            <w:tcW w:w="10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产生速率</w:t>
            </w:r>
            <w:r>
              <w:rPr>
                <w:rFonts w:ascii="Times New Roman" w:hAnsi="Times New Roman" w:eastAsia="宋体" w:cstheme="minorBidi"/>
                <w:color w:val="auto"/>
                <w:kern w:val="2"/>
                <w:sz w:val="21"/>
                <w:szCs w:val="24"/>
                <w:highlight w:val="none"/>
                <w:lang w:val="en-US" w:eastAsia="zh-CN" w:bidi="ar-SA"/>
              </w:rPr>
              <w:t>（kg/h）</w:t>
            </w:r>
          </w:p>
        </w:tc>
        <w:tc>
          <w:tcPr>
            <w:tcW w:w="113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产生量</w:t>
            </w:r>
            <w:r>
              <w:rPr>
                <w:rFonts w:ascii="Times New Roman" w:hAnsi="Times New Roman" w:eastAsia="宋体" w:cstheme="minorBidi"/>
                <w:color w:val="auto"/>
                <w:kern w:val="2"/>
                <w:sz w:val="21"/>
                <w:szCs w:val="24"/>
                <w:highlight w:val="none"/>
                <w:lang w:val="en-US" w:eastAsia="zh-CN" w:bidi="ar-SA"/>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1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1</w:t>
            </w:r>
          </w:p>
        </w:tc>
        <w:tc>
          <w:tcPr>
            <w:tcW w:w="120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粗细格栅渠</w:t>
            </w:r>
          </w:p>
        </w:tc>
        <w:tc>
          <w:tcPr>
            <w:tcW w:w="49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20</w:t>
            </w:r>
          </w:p>
        </w:tc>
        <w:tc>
          <w:tcPr>
            <w:tcW w:w="6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4</w:t>
            </w:r>
          </w:p>
        </w:tc>
        <w:tc>
          <w:tcPr>
            <w:tcW w:w="11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0.502</w:t>
            </w:r>
          </w:p>
        </w:tc>
        <w:tc>
          <w:tcPr>
            <w:tcW w:w="10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0.145</w:t>
            </w:r>
          </w:p>
        </w:tc>
        <w:tc>
          <w:tcPr>
            <w:tcW w:w="117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1.266</w:t>
            </w:r>
          </w:p>
        </w:tc>
        <w:tc>
          <w:tcPr>
            <w:tcW w:w="9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2.39*10</w:t>
            </w:r>
            <w:r>
              <w:rPr>
                <w:rFonts w:hint="eastAsia" w:ascii="Times New Roman" w:hAnsi="Times New Roman" w:eastAsia="宋体" w:cstheme="minorBidi"/>
                <w:color w:val="auto"/>
                <w:kern w:val="2"/>
                <w:sz w:val="21"/>
                <w:szCs w:val="24"/>
                <w:highlight w:val="none"/>
                <w:vertAlign w:val="superscript"/>
                <w:lang w:val="en-US" w:eastAsia="zh-CN" w:bidi="ar-SA"/>
              </w:rPr>
              <w:t>-3</w:t>
            </w:r>
          </w:p>
        </w:tc>
        <w:tc>
          <w:tcPr>
            <w:tcW w:w="10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0.0007</w:t>
            </w:r>
          </w:p>
        </w:tc>
        <w:tc>
          <w:tcPr>
            <w:tcW w:w="113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0.006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1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2</w:t>
            </w:r>
          </w:p>
        </w:tc>
        <w:tc>
          <w:tcPr>
            <w:tcW w:w="120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调节池</w:t>
            </w:r>
          </w:p>
        </w:tc>
        <w:tc>
          <w:tcPr>
            <w:tcW w:w="49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144</w:t>
            </w:r>
          </w:p>
        </w:tc>
        <w:tc>
          <w:tcPr>
            <w:tcW w:w="6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1</w:t>
            </w:r>
          </w:p>
        </w:tc>
        <w:tc>
          <w:tcPr>
            <w:tcW w:w="11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0.502</w:t>
            </w:r>
          </w:p>
        </w:tc>
        <w:tc>
          <w:tcPr>
            <w:tcW w:w="10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0.260</w:t>
            </w:r>
          </w:p>
        </w:tc>
        <w:tc>
          <w:tcPr>
            <w:tcW w:w="117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2.279</w:t>
            </w:r>
          </w:p>
        </w:tc>
        <w:tc>
          <w:tcPr>
            <w:tcW w:w="9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2.39*10</w:t>
            </w:r>
            <w:r>
              <w:rPr>
                <w:rFonts w:hint="eastAsia" w:ascii="Times New Roman" w:hAnsi="Times New Roman" w:eastAsia="宋体" w:cstheme="minorBidi"/>
                <w:color w:val="auto"/>
                <w:kern w:val="2"/>
                <w:sz w:val="21"/>
                <w:szCs w:val="24"/>
                <w:highlight w:val="none"/>
                <w:vertAlign w:val="superscript"/>
                <w:lang w:val="en-US" w:eastAsia="zh-CN" w:bidi="ar-SA"/>
              </w:rPr>
              <w:t>-3</w:t>
            </w:r>
          </w:p>
        </w:tc>
        <w:tc>
          <w:tcPr>
            <w:tcW w:w="10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0.0012</w:t>
            </w:r>
          </w:p>
        </w:tc>
        <w:tc>
          <w:tcPr>
            <w:tcW w:w="113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0.011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1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3</w:t>
            </w:r>
          </w:p>
        </w:tc>
        <w:tc>
          <w:tcPr>
            <w:tcW w:w="120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曝气沉砂池</w:t>
            </w:r>
          </w:p>
        </w:tc>
        <w:tc>
          <w:tcPr>
            <w:tcW w:w="49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46.28</w:t>
            </w:r>
          </w:p>
        </w:tc>
        <w:tc>
          <w:tcPr>
            <w:tcW w:w="6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2</w:t>
            </w:r>
          </w:p>
        </w:tc>
        <w:tc>
          <w:tcPr>
            <w:tcW w:w="11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0.502</w:t>
            </w:r>
          </w:p>
        </w:tc>
        <w:tc>
          <w:tcPr>
            <w:tcW w:w="10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0.167</w:t>
            </w:r>
          </w:p>
        </w:tc>
        <w:tc>
          <w:tcPr>
            <w:tcW w:w="117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1.465</w:t>
            </w:r>
          </w:p>
        </w:tc>
        <w:tc>
          <w:tcPr>
            <w:tcW w:w="9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2.21*10</w:t>
            </w:r>
            <w:r>
              <w:rPr>
                <w:rFonts w:hint="eastAsia" w:ascii="Times New Roman" w:hAnsi="Times New Roman" w:eastAsia="宋体" w:cstheme="minorBidi"/>
                <w:color w:val="auto"/>
                <w:kern w:val="2"/>
                <w:sz w:val="21"/>
                <w:szCs w:val="24"/>
                <w:highlight w:val="none"/>
                <w:vertAlign w:val="superscript"/>
                <w:lang w:val="en-US" w:eastAsia="zh-CN" w:bidi="ar-SA"/>
              </w:rPr>
              <w:t>-3</w:t>
            </w:r>
          </w:p>
        </w:tc>
        <w:tc>
          <w:tcPr>
            <w:tcW w:w="10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0.0007</w:t>
            </w:r>
          </w:p>
        </w:tc>
        <w:tc>
          <w:tcPr>
            <w:tcW w:w="113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0.006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1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4</w:t>
            </w:r>
          </w:p>
        </w:tc>
        <w:tc>
          <w:tcPr>
            <w:tcW w:w="120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水解酸化池</w:t>
            </w:r>
          </w:p>
        </w:tc>
        <w:tc>
          <w:tcPr>
            <w:tcW w:w="49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500.5</w:t>
            </w:r>
          </w:p>
        </w:tc>
        <w:tc>
          <w:tcPr>
            <w:tcW w:w="6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1</w:t>
            </w:r>
          </w:p>
        </w:tc>
        <w:tc>
          <w:tcPr>
            <w:tcW w:w="11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0.103</w:t>
            </w:r>
          </w:p>
        </w:tc>
        <w:tc>
          <w:tcPr>
            <w:tcW w:w="10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0.186</w:t>
            </w:r>
          </w:p>
        </w:tc>
        <w:tc>
          <w:tcPr>
            <w:tcW w:w="117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1.626</w:t>
            </w:r>
          </w:p>
        </w:tc>
        <w:tc>
          <w:tcPr>
            <w:tcW w:w="9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0.60*10</w:t>
            </w:r>
            <w:r>
              <w:rPr>
                <w:rFonts w:hint="eastAsia" w:ascii="Times New Roman" w:hAnsi="Times New Roman" w:eastAsia="宋体" w:cstheme="minorBidi"/>
                <w:color w:val="auto"/>
                <w:kern w:val="2"/>
                <w:sz w:val="21"/>
                <w:szCs w:val="24"/>
                <w:highlight w:val="none"/>
                <w:vertAlign w:val="superscript"/>
                <w:lang w:val="en-US" w:eastAsia="zh-CN" w:bidi="ar-SA"/>
              </w:rPr>
              <w:t>-3</w:t>
            </w:r>
          </w:p>
        </w:tc>
        <w:tc>
          <w:tcPr>
            <w:tcW w:w="10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0.0108</w:t>
            </w:r>
          </w:p>
        </w:tc>
        <w:tc>
          <w:tcPr>
            <w:tcW w:w="113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0.095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1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5</w:t>
            </w:r>
          </w:p>
        </w:tc>
        <w:tc>
          <w:tcPr>
            <w:tcW w:w="120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CAST生物池</w:t>
            </w:r>
          </w:p>
        </w:tc>
        <w:tc>
          <w:tcPr>
            <w:tcW w:w="49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500.5</w:t>
            </w:r>
          </w:p>
        </w:tc>
        <w:tc>
          <w:tcPr>
            <w:tcW w:w="6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1</w:t>
            </w:r>
          </w:p>
        </w:tc>
        <w:tc>
          <w:tcPr>
            <w:tcW w:w="11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0.103</w:t>
            </w:r>
          </w:p>
        </w:tc>
        <w:tc>
          <w:tcPr>
            <w:tcW w:w="10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0.186</w:t>
            </w:r>
          </w:p>
        </w:tc>
        <w:tc>
          <w:tcPr>
            <w:tcW w:w="117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1.626</w:t>
            </w:r>
          </w:p>
        </w:tc>
        <w:tc>
          <w:tcPr>
            <w:tcW w:w="9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0.51*10</w:t>
            </w:r>
            <w:r>
              <w:rPr>
                <w:rFonts w:hint="eastAsia" w:ascii="Times New Roman" w:hAnsi="Times New Roman" w:eastAsia="宋体" w:cstheme="minorBidi"/>
                <w:color w:val="auto"/>
                <w:kern w:val="2"/>
                <w:sz w:val="21"/>
                <w:szCs w:val="24"/>
                <w:highlight w:val="none"/>
                <w:vertAlign w:val="superscript"/>
                <w:lang w:val="en-US" w:eastAsia="zh-CN" w:bidi="ar-SA"/>
              </w:rPr>
              <w:t>-3</w:t>
            </w:r>
          </w:p>
        </w:tc>
        <w:tc>
          <w:tcPr>
            <w:tcW w:w="10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0.0092</w:t>
            </w:r>
          </w:p>
        </w:tc>
        <w:tc>
          <w:tcPr>
            <w:tcW w:w="113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0.080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1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6</w:t>
            </w:r>
          </w:p>
        </w:tc>
        <w:tc>
          <w:tcPr>
            <w:tcW w:w="120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一体化生物池</w:t>
            </w:r>
          </w:p>
        </w:tc>
        <w:tc>
          <w:tcPr>
            <w:tcW w:w="49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1374.03</w:t>
            </w:r>
          </w:p>
        </w:tc>
        <w:tc>
          <w:tcPr>
            <w:tcW w:w="6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1</w:t>
            </w:r>
          </w:p>
        </w:tc>
        <w:tc>
          <w:tcPr>
            <w:tcW w:w="11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0.103</w:t>
            </w:r>
          </w:p>
        </w:tc>
        <w:tc>
          <w:tcPr>
            <w:tcW w:w="10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0.509</w:t>
            </w:r>
          </w:p>
        </w:tc>
        <w:tc>
          <w:tcPr>
            <w:tcW w:w="117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4.463</w:t>
            </w:r>
          </w:p>
        </w:tc>
        <w:tc>
          <w:tcPr>
            <w:tcW w:w="9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1.52*10</w:t>
            </w:r>
            <w:r>
              <w:rPr>
                <w:rFonts w:hint="eastAsia" w:ascii="Times New Roman" w:hAnsi="Times New Roman" w:eastAsia="宋体" w:cstheme="minorBidi"/>
                <w:color w:val="auto"/>
                <w:kern w:val="2"/>
                <w:sz w:val="21"/>
                <w:szCs w:val="24"/>
                <w:highlight w:val="none"/>
                <w:vertAlign w:val="superscript"/>
                <w:lang w:val="en-US" w:eastAsia="zh-CN" w:bidi="ar-SA"/>
              </w:rPr>
              <w:t>-3</w:t>
            </w:r>
          </w:p>
        </w:tc>
        <w:tc>
          <w:tcPr>
            <w:tcW w:w="10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0.0075</w:t>
            </w:r>
          </w:p>
        </w:tc>
        <w:tc>
          <w:tcPr>
            <w:tcW w:w="113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0.066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1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7</w:t>
            </w:r>
          </w:p>
        </w:tc>
        <w:tc>
          <w:tcPr>
            <w:tcW w:w="120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高效沉淀池</w:t>
            </w:r>
          </w:p>
        </w:tc>
        <w:tc>
          <w:tcPr>
            <w:tcW w:w="49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74.18</w:t>
            </w:r>
          </w:p>
        </w:tc>
        <w:tc>
          <w:tcPr>
            <w:tcW w:w="6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2</w:t>
            </w:r>
          </w:p>
        </w:tc>
        <w:tc>
          <w:tcPr>
            <w:tcW w:w="11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0.103</w:t>
            </w:r>
          </w:p>
        </w:tc>
        <w:tc>
          <w:tcPr>
            <w:tcW w:w="10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0.055</w:t>
            </w:r>
          </w:p>
        </w:tc>
        <w:tc>
          <w:tcPr>
            <w:tcW w:w="117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0.482</w:t>
            </w:r>
          </w:p>
        </w:tc>
        <w:tc>
          <w:tcPr>
            <w:tcW w:w="9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1.52*110</w:t>
            </w:r>
            <w:r>
              <w:rPr>
                <w:rFonts w:hint="eastAsia" w:ascii="Times New Roman" w:hAnsi="Times New Roman" w:eastAsia="宋体" w:cstheme="minorBidi"/>
                <w:color w:val="auto"/>
                <w:kern w:val="2"/>
                <w:sz w:val="21"/>
                <w:szCs w:val="24"/>
                <w:highlight w:val="none"/>
                <w:vertAlign w:val="superscript"/>
                <w:lang w:val="en-US" w:eastAsia="zh-CN" w:bidi="ar-SA"/>
              </w:rPr>
              <w:t>-3</w:t>
            </w:r>
          </w:p>
        </w:tc>
        <w:tc>
          <w:tcPr>
            <w:tcW w:w="10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0.0008</w:t>
            </w:r>
          </w:p>
        </w:tc>
        <w:tc>
          <w:tcPr>
            <w:tcW w:w="113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0.007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1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8</w:t>
            </w:r>
          </w:p>
        </w:tc>
        <w:tc>
          <w:tcPr>
            <w:tcW w:w="120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污泥脱水间</w:t>
            </w:r>
          </w:p>
        </w:tc>
        <w:tc>
          <w:tcPr>
            <w:tcW w:w="49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363</w:t>
            </w:r>
          </w:p>
        </w:tc>
        <w:tc>
          <w:tcPr>
            <w:tcW w:w="6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1</w:t>
            </w:r>
          </w:p>
        </w:tc>
        <w:tc>
          <w:tcPr>
            <w:tcW w:w="110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0.103</w:t>
            </w:r>
          </w:p>
        </w:tc>
        <w:tc>
          <w:tcPr>
            <w:tcW w:w="10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0.135</w:t>
            </w:r>
          </w:p>
        </w:tc>
        <w:tc>
          <w:tcPr>
            <w:tcW w:w="117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1.179</w:t>
            </w:r>
          </w:p>
        </w:tc>
        <w:tc>
          <w:tcPr>
            <w:tcW w:w="9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0.26*10</w:t>
            </w:r>
            <w:r>
              <w:rPr>
                <w:rFonts w:hint="eastAsia" w:ascii="Times New Roman" w:hAnsi="Times New Roman" w:eastAsia="宋体" w:cstheme="minorBidi"/>
                <w:color w:val="auto"/>
                <w:kern w:val="2"/>
                <w:sz w:val="21"/>
                <w:szCs w:val="24"/>
                <w:highlight w:val="none"/>
                <w:vertAlign w:val="superscript"/>
                <w:lang w:val="en-US" w:eastAsia="zh-CN" w:bidi="ar-SA"/>
              </w:rPr>
              <w:t>-3</w:t>
            </w:r>
          </w:p>
        </w:tc>
        <w:tc>
          <w:tcPr>
            <w:tcW w:w="10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0.0034</w:t>
            </w:r>
          </w:p>
        </w:tc>
        <w:tc>
          <w:tcPr>
            <w:tcW w:w="113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default" w:ascii="Times New Roman" w:hAnsi="Times New Roman" w:eastAsia="宋体" w:cstheme="minorBidi"/>
                <w:color w:val="auto"/>
                <w:kern w:val="2"/>
                <w:sz w:val="21"/>
                <w:szCs w:val="24"/>
                <w:highlight w:val="none"/>
                <w:lang w:val="en-US" w:eastAsia="zh-CN" w:bidi="ar-SA"/>
              </w:rPr>
              <w:t>0.030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4107" w:type="dxa"/>
            <w:gridSpan w:val="5"/>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合计</w:t>
            </w:r>
          </w:p>
        </w:tc>
        <w:tc>
          <w:tcPr>
            <w:tcW w:w="10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1.642</w:t>
            </w:r>
          </w:p>
        </w:tc>
        <w:tc>
          <w:tcPr>
            <w:tcW w:w="117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14.386</w:t>
            </w:r>
          </w:p>
        </w:tc>
        <w:tc>
          <w:tcPr>
            <w:tcW w:w="9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heme="minorBidi"/>
                <w:color w:val="auto"/>
                <w:kern w:val="2"/>
                <w:sz w:val="21"/>
                <w:szCs w:val="24"/>
                <w:highlight w:val="none"/>
                <w:lang w:val="en-US" w:eastAsia="zh-CN" w:bidi="ar-SA"/>
              </w:rPr>
            </w:pPr>
          </w:p>
        </w:tc>
        <w:tc>
          <w:tcPr>
            <w:tcW w:w="10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0.034</w:t>
            </w:r>
          </w:p>
        </w:tc>
        <w:tc>
          <w:tcPr>
            <w:tcW w:w="113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0.301</w:t>
            </w:r>
          </w:p>
        </w:tc>
      </w:tr>
    </w:tbl>
    <w:p>
      <w:pPr>
        <w:ind w:firstLine="480"/>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3</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甲烷</w:t>
      </w:r>
    </w:p>
    <w:p>
      <w:pPr>
        <w:snapToGrid w:val="0"/>
        <w:ind w:firstLine="48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甲烷主要为微生物在厌氧或缺氧状态下对有机物分解而产生的，项目的甲烷主要来源于厌氧池及缺氧池。厌氧池中甲烷的产生量取决于经过厌氧反应所降解的COD的量，COD降解量越多，甲烷产生量越多。根据《中国城市污水处理厂甲烷排放因子研究》（蔡博峰、高庆先等，中国人与环境，2015年第25卷第4期），污水处理厂甲烷排放产生量为0.00</w:t>
      </w:r>
      <w:r>
        <w:rPr>
          <w:rFonts w:hint="eastAsia" w:ascii="Times New Roman" w:hAnsi="Times New Roman" w:eastAsia="宋体" w:cs="Times New Roman"/>
          <w:sz w:val="24"/>
          <w:szCs w:val="24"/>
          <w:highlight w:val="none"/>
          <w:lang w:val="en-US" w:eastAsia="zh-CN"/>
        </w:rPr>
        <w:t>13</w:t>
      </w:r>
      <w:r>
        <w:rPr>
          <w:rFonts w:hint="default" w:ascii="Times New Roman" w:hAnsi="Times New Roman" w:eastAsia="宋体" w:cs="Times New Roman"/>
          <w:sz w:val="24"/>
          <w:szCs w:val="24"/>
          <w:highlight w:val="none"/>
        </w:rPr>
        <w:t>kgCH</w:t>
      </w:r>
      <w:r>
        <w:rPr>
          <w:rFonts w:hint="default" w:ascii="Times New Roman" w:hAnsi="Times New Roman" w:eastAsia="宋体" w:cs="Times New Roman"/>
          <w:sz w:val="24"/>
          <w:szCs w:val="24"/>
          <w:highlight w:val="none"/>
          <w:vertAlign w:val="subscript"/>
        </w:rPr>
        <w:t>4</w:t>
      </w:r>
      <w:r>
        <w:rPr>
          <w:rFonts w:hint="default" w:ascii="Times New Roman" w:hAnsi="Times New Roman" w:eastAsia="宋体" w:cs="Times New Roman"/>
          <w:sz w:val="24"/>
          <w:szCs w:val="24"/>
          <w:highlight w:val="none"/>
        </w:rPr>
        <w:t>/kgCOD。根据前文分析，项目工程厌氧COD去除量为</w:t>
      </w:r>
      <w:r>
        <w:rPr>
          <w:rFonts w:hint="default" w:ascii="Times New Roman" w:hAnsi="Times New Roman" w:eastAsia="宋体" w:cs="Times New Roman"/>
          <w:sz w:val="24"/>
          <w:szCs w:val="24"/>
          <w:highlight w:val="none"/>
          <w:lang w:val="en-US" w:eastAsia="zh-CN"/>
        </w:rPr>
        <w:t>3718.036</w:t>
      </w:r>
      <w:r>
        <w:rPr>
          <w:rFonts w:hint="default" w:ascii="Times New Roman" w:hAnsi="Times New Roman" w:eastAsia="宋体" w:cs="Times New Roman"/>
          <w:sz w:val="24"/>
          <w:szCs w:val="24"/>
          <w:highlight w:val="none"/>
        </w:rPr>
        <w:t>t/a，则甲烷产生量为</w:t>
      </w:r>
      <w:r>
        <w:rPr>
          <w:rFonts w:hint="eastAsia" w:ascii="Times New Roman" w:hAnsi="Times New Roman" w:eastAsia="宋体" w:cs="Times New Roman"/>
          <w:sz w:val="24"/>
          <w:szCs w:val="24"/>
          <w:highlight w:val="none"/>
          <w:lang w:val="en-US" w:eastAsia="zh-CN"/>
        </w:rPr>
        <w:t>4.833</w:t>
      </w:r>
      <w:r>
        <w:rPr>
          <w:rFonts w:hint="default" w:ascii="Times New Roman" w:hAnsi="Times New Roman" w:eastAsia="宋体" w:cs="Times New Roman"/>
          <w:sz w:val="24"/>
          <w:szCs w:val="24"/>
          <w:highlight w:val="none"/>
        </w:rPr>
        <w:t>t/a、</w:t>
      </w:r>
      <w:r>
        <w:rPr>
          <w:rFonts w:hint="eastAsia" w:ascii="Times New Roman" w:hAnsi="Times New Roman" w:eastAsia="宋体" w:cs="Times New Roman"/>
          <w:sz w:val="24"/>
          <w:szCs w:val="24"/>
          <w:highlight w:val="none"/>
          <w:lang w:val="en-US" w:eastAsia="zh-CN"/>
        </w:rPr>
        <w:t>0.552</w:t>
      </w:r>
      <w:r>
        <w:rPr>
          <w:rFonts w:hint="default" w:ascii="Times New Roman" w:hAnsi="Times New Roman" w:eastAsia="宋体" w:cs="Times New Roman"/>
          <w:sz w:val="24"/>
          <w:szCs w:val="24"/>
          <w:highlight w:val="none"/>
        </w:rPr>
        <w:t>kg/h，未超过《城镇污水处理厂污染物排放标准》（GB18918-2002）表4中的二级标准甲烷厂区最高体积浓度%（标准限值：1%）</w:t>
      </w:r>
      <w:r>
        <w:rPr>
          <w:rFonts w:hint="default" w:ascii="Times New Roman" w:hAnsi="Times New Roman" w:eastAsia="宋体" w:cs="Times New Roman"/>
          <w:sz w:val="24"/>
          <w:szCs w:val="24"/>
          <w:highlight w:val="none"/>
          <w:lang w:eastAsia="zh-CN"/>
        </w:rPr>
        <w:t>。</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w:t>
      </w:r>
      <w:r>
        <w:rPr>
          <w:rFonts w:hint="eastAsia"/>
          <w:color w:val="auto"/>
          <w:highlight w:val="none"/>
          <w:lang w:val="en-US" w:eastAsia="zh-CN"/>
        </w:rPr>
        <w:t>4</w:t>
      </w:r>
      <w:r>
        <w:rPr>
          <w:rFonts w:hint="eastAsia" w:ascii="Times New Roman" w:hAnsi="Times New Roman" w:eastAsia="宋体"/>
          <w:color w:val="auto"/>
          <w:highlight w:val="none"/>
        </w:rPr>
        <w:t>）</w:t>
      </w:r>
      <w:r>
        <w:rPr>
          <w:rFonts w:ascii="Times New Roman" w:hAnsi="Times New Roman" w:eastAsia="宋体"/>
          <w:color w:val="auto"/>
          <w:highlight w:val="none"/>
        </w:rPr>
        <w:t>恶臭气体收集及处置</w:t>
      </w:r>
      <w:r>
        <w:rPr>
          <w:rFonts w:hint="eastAsia" w:ascii="Times New Roman" w:hAnsi="Times New Roman" w:eastAsia="宋体"/>
          <w:color w:val="auto"/>
          <w:highlight w:val="none"/>
        </w:rPr>
        <w:t>措施</w:t>
      </w:r>
    </w:p>
    <w:p>
      <w:pPr>
        <w:snapToGrid w:val="0"/>
        <w:ind w:firstLine="480"/>
        <w:rPr>
          <w:rFonts w:ascii="Times New Roman" w:hAnsi="Times New Roman" w:eastAsia="宋体"/>
          <w:color w:val="auto"/>
          <w:highlight w:val="none"/>
        </w:rPr>
      </w:pPr>
      <w:r>
        <w:rPr>
          <w:rFonts w:hint="eastAsia" w:ascii="宋体" w:hAnsi="宋体" w:eastAsia="宋体" w:cs="宋体"/>
          <w:color w:val="auto"/>
          <w:highlight w:val="none"/>
        </w:rPr>
        <w:t>①</w:t>
      </w:r>
      <w:r>
        <w:rPr>
          <w:rFonts w:ascii="Times New Roman" w:hAnsi="Times New Roman" w:eastAsia="宋体"/>
          <w:color w:val="auto"/>
          <w:highlight w:val="none"/>
        </w:rPr>
        <w:t>收集</w:t>
      </w:r>
    </w:p>
    <w:p>
      <w:pPr>
        <w:snapToGrid w:val="0"/>
        <w:ind w:firstLine="480"/>
        <w:rPr>
          <w:rFonts w:ascii="Times New Roman" w:hAnsi="Times New Roman" w:eastAsia="宋体"/>
          <w:color w:val="auto"/>
          <w:highlight w:val="none"/>
        </w:rPr>
      </w:pPr>
      <w:r>
        <w:rPr>
          <w:rFonts w:ascii="Times New Roman" w:hAnsi="Times New Roman" w:eastAsia="宋体"/>
          <w:color w:val="auto"/>
          <w:highlight w:val="none"/>
        </w:rPr>
        <w:t>预处理区（粗格栅及提升泵房、细格栅沉砂池）机械设备尽可能采用全封闭的形式，以节省加盖的投资，并预留臭气收集口，连接臭气收集管路；生化处理区（水解酸化池、</w:t>
      </w:r>
      <w:r>
        <w:rPr>
          <w:rFonts w:hint="eastAsia" w:ascii="Times New Roman" w:hAnsi="Times New Roman" w:eastAsia="宋体"/>
          <w:color w:val="auto"/>
          <w:highlight w:val="none"/>
        </w:rPr>
        <w:t>一体化生物池</w:t>
      </w:r>
      <w:r>
        <w:rPr>
          <w:rFonts w:ascii="Times New Roman" w:hAnsi="Times New Roman" w:eastAsia="宋体"/>
          <w:color w:val="auto"/>
          <w:highlight w:val="none"/>
        </w:rPr>
        <w:t>）及污泥暂存池采用密封加盖并设置气体捕集口，连接臭气收集管路；污泥脱水间设置风阀将臭气抽吸至臭气收集管路。各臭气排放设施密闭或加盖后的收集效率为95%，以上收集的臭气全部进入生物滤池除臭系统。</w:t>
      </w:r>
    </w:p>
    <w:p>
      <w:pPr>
        <w:snapToGrid w:val="0"/>
        <w:ind w:firstLine="480"/>
        <w:rPr>
          <w:rFonts w:ascii="Times New Roman" w:hAnsi="Times New Roman" w:eastAsia="宋体"/>
          <w:color w:val="auto"/>
          <w:highlight w:val="none"/>
        </w:rPr>
      </w:pPr>
      <w:r>
        <w:rPr>
          <w:rFonts w:hint="eastAsia" w:ascii="宋体" w:hAnsi="宋体" w:eastAsia="宋体" w:cs="宋体"/>
          <w:color w:val="auto"/>
          <w:highlight w:val="none"/>
        </w:rPr>
        <w:t>②</w:t>
      </w:r>
      <w:r>
        <w:rPr>
          <w:rFonts w:ascii="Times New Roman" w:hAnsi="Times New Roman" w:eastAsia="宋体"/>
          <w:color w:val="auto"/>
          <w:highlight w:val="none"/>
        </w:rPr>
        <w:t>处理</w:t>
      </w:r>
    </w:p>
    <w:p>
      <w:pPr>
        <w:snapToGrid w:val="0"/>
        <w:ind w:firstLine="480"/>
        <w:rPr>
          <w:rFonts w:ascii="Times New Roman" w:hAnsi="Times New Roman" w:eastAsia="宋体"/>
          <w:color w:val="auto"/>
          <w:highlight w:val="none"/>
        </w:rPr>
      </w:pPr>
      <w:r>
        <w:rPr>
          <w:rFonts w:ascii="Times New Roman" w:hAnsi="Times New Roman" w:eastAsia="宋体"/>
          <w:color w:val="auto"/>
          <w:highlight w:val="none"/>
        </w:rPr>
        <w:t>根据可研，本项目采用生物滤池除臭，原理是指加湿后的废气被通入填充有填料（如堆肥、土壤、树皮、珍珠岩、沸石、有机塑料等等）的生物过滤器中，与填料上所附着生长的生物膜（微生物）接触，被微生物所吸附降解，最终转化为简单的无机物（如CO</w:t>
      </w:r>
      <w:r>
        <w:rPr>
          <w:rFonts w:ascii="Times New Roman" w:hAnsi="Times New Roman" w:eastAsia="宋体"/>
          <w:color w:val="auto"/>
          <w:highlight w:val="none"/>
          <w:vertAlign w:val="subscript"/>
        </w:rPr>
        <w:t>2</w:t>
      </w:r>
      <w:r>
        <w:rPr>
          <w:rFonts w:ascii="Times New Roman" w:hAnsi="Times New Roman" w:eastAsia="宋体"/>
          <w:color w:val="auto"/>
          <w:highlight w:val="none"/>
        </w:rPr>
        <w:t>、H</w:t>
      </w:r>
      <w:r>
        <w:rPr>
          <w:rFonts w:ascii="Times New Roman" w:hAnsi="Times New Roman" w:eastAsia="宋体"/>
          <w:color w:val="auto"/>
          <w:highlight w:val="none"/>
          <w:vertAlign w:val="subscript"/>
        </w:rPr>
        <w:t>2</w:t>
      </w:r>
      <w:r>
        <w:rPr>
          <w:rFonts w:ascii="Times New Roman" w:hAnsi="Times New Roman" w:eastAsia="宋体"/>
          <w:color w:val="auto"/>
          <w:highlight w:val="none"/>
        </w:rPr>
        <w:t>O、SO</w:t>
      </w:r>
      <w:r>
        <w:rPr>
          <w:rFonts w:ascii="Times New Roman" w:hAnsi="Times New Roman" w:eastAsia="宋体"/>
          <w:color w:val="auto"/>
          <w:highlight w:val="none"/>
          <w:vertAlign w:val="subscript"/>
        </w:rPr>
        <w:t>4</w:t>
      </w:r>
      <w:r>
        <w:rPr>
          <w:rFonts w:ascii="Times New Roman" w:hAnsi="Times New Roman" w:eastAsia="宋体"/>
          <w:color w:val="auto"/>
          <w:highlight w:val="none"/>
          <w:vertAlign w:val="superscript"/>
        </w:rPr>
        <w:t>2-</w:t>
      </w:r>
      <w:r>
        <w:rPr>
          <w:rFonts w:ascii="Times New Roman" w:hAnsi="Times New Roman" w:eastAsia="宋体"/>
          <w:color w:val="auto"/>
          <w:highlight w:val="none"/>
        </w:rPr>
        <w:t>、NO</w:t>
      </w:r>
      <w:r>
        <w:rPr>
          <w:rFonts w:ascii="Times New Roman" w:hAnsi="Times New Roman" w:eastAsia="宋体"/>
          <w:color w:val="auto"/>
          <w:highlight w:val="none"/>
          <w:vertAlign w:val="superscript"/>
        </w:rPr>
        <w:t>3-</w:t>
      </w:r>
      <w:r>
        <w:rPr>
          <w:rFonts w:ascii="Times New Roman" w:hAnsi="Times New Roman" w:eastAsia="宋体"/>
          <w:color w:val="auto"/>
          <w:highlight w:val="none"/>
        </w:rPr>
        <w:t>和Cl</w:t>
      </w:r>
      <w:r>
        <w:rPr>
          <w:rFonts w:ascii="Times New Roman" w:hAnsi="Times New Roman" w:eastAsia="宋体"/>
          <w:color w:val="auto"/>
          <w:highlight w:val="none"/>
          <w:vertAlign w:val="superscript"/>
        </w:rPr>
        <w:t>-</w:t>
      </w:r>
      <w:r>
        <w:rPr>
          <w:rFonts w:ascii="Times New Roman" w:hAnsi="Times New Roman" w:eastAsia="宋体"/>
          <w:color w:val="auto"/>
          <w:highlight w:val="none"/>
        </w:rPr>
        <w:t>等）或合成新细胞物质，处理后的气体在从生物过滤器的另一端排出。生物过滤器所填充的填料需维持一定的pH范围、湿度和营养，以维持微生物的正常代谢活动，这些营养和湿度可以通过填料自身提供或外加。生物过滤法对废气去除是不同的生化作用与物理化学作用的复杂结合的结果。其降解机理如下：</w:t>
      </w:r>
    </w:p>
    <w:p>
      <w:pPr>
        <w:snapToGrid w:val="0"/>
        <w:ind w:firstLine="480"/>
        <w:rPr>
          <w:rFonts w:ascii="Times New Roman" w:hAnsi="Times New Roman" w:eastAsia="宋体"/>
          <w:color w:val="auto"/>
          <w:highlight w:val="none"/>
        </w:rPr>
      </w:pPr>
      <w:r>
        <w:rPr>
          <w:rFonts w:ascii="Times New Roman" w:hAnsi="Times New Roman" w:eastAsia="宋体"/>
          <w:color w:val="auto"/>
          <w:highlight w:val="none"/>
        </w:rPr>
        <w:t>H</w:t>
      </w:r>
      <w:r>
        <w:rPr>
          <w:rFonts w:ascii="Times New Roman" w:hAnsi="Times New Roman" w:eastAsia="宋体"/>
          <w:color w:val="auto"/>
          <w:highlight w:val="none"/>
          <w:vertAlign w:val="subscript"/>
        </w:rPr>
        <w:t>2</w:t>
      </w:r>
      <w:r>
        <w:rPr>
          <w:rFonts w:ascii="Times New Roman" w:hAnsi="Times New Roman" w:eastAsia="宋体"/>
          <w:color w:val="auto"/>
          <w:highlight w:val="none"/>
        </w:rPr>
        <w:t>S</w:t>
      </w:r>
      <w:r>
        <w:rPr>
          <w:rFonts w:hint="eastAsia" w:ascii="Times New Roman" w:hAnsi="Times New Roman" w:eastAsia="宋体"/>
          <w:color w:val="auto"/>
          <w:highlight w:val="none"/>
        </w:rPr>
        <w:t>（</w:t>
      </w:r>
      <w:r>
        <w:rPr>
          <w:rFonts w:ascii="Times New Roman" w:hAnsi="Times New Roman" w:eastAsia="宋体"/>
          <w:color w:val="auto"/>
          <w:highlight w:val="none"/>
        </w:rPr>
        <w:t>或其它含硫物质</w:t>
      </w:r>
      <w:r>
        <w:rPr>
          <w:rFonts w:hint="eastAsia" w:ascii="Times New Roman" w:hAnsi="Times New Roman" w:eastAsia="宋体"/>
          <w:color w:val="auto"/>
          <w:highlight w:val="none"/>
        </w:rPr>
        <w:t>）</w:t>
      </w:r>
      <w:r>
        <w:rPr>
          <w:rFonts w:ascii="Times New Roman" w:hAnsi="Times New Roman" w:eastAsia="宋体"/>
          <w:color w:val="auto"/>
          <w:highlight w:val="none"/>
        </w:rPr>
        <w:t>+O</w:t>
      </w:r>
      <w:r>
        <w:rPr>
          <w:rFonts w:ascii="Times New Roman" w:hAnsi="Times New Roman" w:eastAsia="宋体"/>
          <w:color w:val="auto"/>
          <w:highlight w:val="none"/>
          <w:vertAlign w:val="subscript"/>
        </w:rPr>
        <w:t>2</w:t>
      </w:r>
      <w:r>
        <w:rPr>
          <w:rFonts w:ascii="Times New Roman" w:hAnsi="Times New Roman" w:eastAsia="宋体"/>
          <w:color w:val="auto"/>
          <w:highlight w:val="none"/>
        </w:rPr>
        <w:t>→SO</w:t>
      </w:r>
      <w:r>
        <w:rPr>
          <w:rFonts w:ascii="Times New Roman" w:hAnsi="Times New Roman" w:eastAsia="宋体"/>
          <w:color w:val="auto"/>
          <w:highlight w:val="none"/>
          <w:vertAlign w:val="subscript"/>
        </w:rPr>
        <w:t>4</w:t>
      </w:r>
      <w:r>
        <w:rPr>
          <w:rFonts w:ascii="Times New Roman" w:hAnsi="Times New Roman" w:eastAsia="宋体"/>
          <w:color w:val="auto"/>
          <w:highlight w:val="none"/>
          <w:vertAlign w:val="superscript"/>
        </w:rPr>
        <w:t>2-</w:t>
      </w:r>
      <w:r>
        <w:rPr>
          <w:rFonts w:ascii="Times New Roman" w:hAnsi="Times New Roman" w:eastAsia="宋体"/>
          <w:color w:val="auto"/>
          <w:highlight w:val="none"/>
        </w:rPr>
        <w:t>+CO</w:t>
      </w:r>
      <w:r>
        <w:rPr>
          <w:rFonts w:ascii="Times New Roman" w:hAnsi="Times New Roman" w:eastAsia="宋体"/>
          <w:color w:val="auto"/>
          <w:highlight w:val="none"/>
          <w:vertAlign w:val="subscript"/>
        </w:rPr>
        <w:t>2</w:t>
      </w:r>
      <w:r>
        <w:rPr>
          <w:rFonts w:ascii="Times New Roman" w:hAnsi="Times New Roman" w:eastAsia="宋体"/>
          <w:color w:val="auto"/>
          <w:highlight w:val="none"/>
        </w:rPr>
        <w:t>+H</w:t>
      </w:r>
      <w:r>
        <w:rPr>
          <w:rFonts w:ascii="Times New Roman" w:hAnsi="Times New Roman" w:eastAsia="宋体"/>
          <w:color w:val="auto"/>
          <w:highlight w:val="none"/>
          <w:vertAlign w:val="subscript"/>
        </w:rPr>
        <w:t>2</w:t>
      </w:r>
      <w:r>
        <w:rPr>
          <w:rFonts w:ascii="Times New Roman" w:hAnsi="Times New Roman" w:eastAsia="宋体"/>
          <w:color w:val="auto"/>
          <w:highlight w:val="none"/>
        </w:rPr>
        <w:t>O+细胞物质</w:t>
      </w:r>
    </w:p>
    <w:p>
      <w:pPr>
        <w:snapToGrid w:val="0"/>
        <w:ind w:firstLine="480"/>
        <w:rPr>
          <w:rFonts w:ascii="Times New Roman" w:hAnsi="Times New Roman" w:eastAsia="宋体"/>
          <w:color w:val="auto"/>
          <w:highlight w:val="none"/>
        </w:rPr>
      </w:pPr>
      <w:r>
        <w:rPr>
          <w:rFonts w:ascii="Times New Roman" w:hAnsi="Times New Roman" w:eastAsia="宋体"/>
          <w:color w:val="auto"/>
          <w:highlight w:val="none"/>
        </w:rPr>
        <w:t>NH</w:t>
      </w:r>
      <w:r>
        <w:rPr>
          <w:rFonts w:ascii="Times New Roman" w:hAnsi="Times New Roman" w:eastAsia="宋体"/>
          <w:color w:val="auto"/>
          <w:highlight w:val="none"/>
          <w:vertAlign w:val="subscript"/>
        </w:rPr>
        <w:t>3</w:t>
      </w:r>
      <w:r>
        <w:rPr>
          <w:rFonts w:hint="eastAsia" w:ascii="Times New Roman" w:hAnsi="Times New Roman" w:eastAsia="宋体"/>
          <w:color w:val="auto"/>
          <w:highlight w:val="none"/>
        </w:rPr>
        <w:t>（</w:t>
      </w:r>
      <w:r>
        <w:rPr>
          <w:rFonts w:ascii="Times New Roman" w:hAnsi="Times New Roman" w:eastAsia="宋体"/>
          <w:color w:val="auto"/>
          <w:highlight w:val="none"/>
        </w:rPr>
        <w:t>或含N无机化合物</w:t>
      </w:r>
      <w:r>
        <w:rPr>
          <w:rFonts w:hint="eastAsia" w:ascii="Times New Roman" w:hAnsi="Times New Roman" w:eastAsia="宋体"/>
          <w:color w:val="auto"/>
          <w:highlight w:val="none"/>
        </w:rPr>
        <w:t>）</w:t>
      </w:r>
      <w:r>
        <w:rPr>
          <w:rFonts w:ascii="Times New Roman" w:hAnsi="Times New Roman" w:eastAsia="宋体"/>
          <w:color w:val="auto"/>
          <w:highlight w:val="none"/>
        </w:rPr>
        <w:t>+O</w:t>
      </w:r>
      <w:r>
        <w:rPr>
          <w:rFonts w:ascii="Times New Roman" w:hAnsi="Times New Roman" w:eastAsia="宋体"/>
          <w:color w:val="auto"/>
          <w:highlight w:val="none"/>
          <w:vertAlign w:val="subscript"/>
        </w:rPr>
        <w:t>2</w:t>
      </w:r>
      <w:r>
        <w:rPr>
          <w:rFonts w:ascii="Times New Roman" w:hAnsi="Times New Roman" w:eastAsia="宋体"/>
          <w:color w:val="auto"/>
          <w:highlight w:val="none"/>
        </w:rPr>
        <w:t>→CO</w:t>
      </w:r>
      <w:r>
        <w:rPr>
          <w:rFonts w:ascii="Times New Roman" w:hAnsi="Times New Roman" w:eastAsia="宋体"/>
          <w:color w:val="auto"/>
          <w:highlight w:val="none"/>
          <w:vertAlign w:val="subscript"/>
        </w:rPr>
        <w:t>2</w:t>
      </w:r>
      <w:r>
        <w:rPr>
          <w:rFonts w:ascii="Times New Roman" w:hAnsi="Times New Roman" w:eastAsia="宋体"/>
          <w:color w:val="auto"/>
          <w:highlight w:val="none"/>
        </w:rPr>
        <w:t>+NO</w:t>
      </w:r>
      <w:r>
        <w:rPr>
          <w:rFonts w:ascii="Times New Roman" w:hAnsi="Times New Roman" w:eastAsia="宋体"/>
          <w:color w:val="auto"/>
          <w:highlight w:val="none"/>
          <w:vertAlign w:val="subscript"/>
        </w:rPr>
        <w:t>3</w:t>
      </w:r>
      <w:r>
        <w:rPr>
          <w:rFonts w:ascii="Times New Roman" w:hAnsi="Times New Roman" w:eastAsia="宋体"/>
          <w:color w:val="auto"/>
          <w:highlight w:val="none"/>
          <w:vertAlign w:val="superscript"/>
        </w:rPr>
        <w:t>-</w:t>
      </w:r>
      <w:r>
        <w:rPr>
          <w:rFonts w:ascii="Times New Roman" w:hAnsi="Times New Roman" w:eastAsia="宋体"/>
          <w:color w:val="auto"/>
          <w:highlight w:val="none"/>
        </w:rPr>
        <w:t>+H</w:t>
      </w:r>
      <w:r>
        <w:rPr>
          <w:rFonts w:ascii="Times New Roman" w:hAnsi="Times New Roman" w:eastAsia="宋体"/>
          <w:color w:val="auto"/>
          <w:highlight w:val="none"/>
          <w:vertAlign w:val="subscript"/>
        </w:rPr>
        <w:t>2</w:t>
      </w:r>
      <w:r>
        <w:rPr>
          <w:rFonts w:ascii="Times New Roman" w:hAnsi="Times New Roman" w:eastAsia="宋体"/>
          <w:color w:val="auto"/>
          <w:highlight w:val="none"/>
        </w:rPr>
        <w:t>O+细胞物质</w:t>
      </w:r>
    </w:p>
    <w:p>
      <w:pPr>
        <w:ind w:firstLine="480"/>
        <w:rPr>
          <w:color w:val="auto"/>
          <w:highlight w:val="none"/>
        </w:rPr>
      </w:pPr>
      <w:r>
        <w:rPr>
          <w:rFonts w:ascii="Times New Roman" w:hAnsi="Times New Roman" w:eastAsia="宋体"/>
          <w:color w:val="auto"/>
          <w:highlight w:val="none"/>
        </w:rPr>
        <w:t>本项目按1套生物滤池除臭装置进行设计，风量按</w:t>
      </w:r>
      <w:r>
        <w:rPr>
          <w:rFonts w:hint="eastAsia" w:ascii="Times New Roman" w:hAnsi="Times New Roman" w:eastAsia="宋体"/>
          <w:color w:val="auto"/>
          <w:highlight w:val="none"/>
          <w:lang w:val="en-US" w:eastAsia="zh-CN"/>
        </w:rPr>
        <w:t>50</w:t>
      </w:r>
      <w:r>
        <w:rPr>
          <w:rFonts w:ascii="Times New Roman" w:hAnsi="Times New Roman" w:eastAsia="宋体"/>
          <w:color w:val="auto"/>
          <w:highlight w:val="none"/>
        </w:rPr>
        <w:t>000m</w:t>
      </w:r>
      <w:r>
        <w:rPr>
          <w:rFonts w:ascii="Times New Roman" w:hAnsi="Times New Roman" w:eastAsia="宋体"/>
          <w:color w:val="auto"/>
          <w:highlight w:val="none"/>
          <w:vertAlign w:val="superscript"/>
        </w:rPr>
        <w:t>3</w:t>
      </w:r>
      <w:r>
        <w:rPr>
          <w:rFonts w:ascii="Times New Roman" w:hAnsi="Times New Roman" w:eastAsia="宋体"/>
          <w:color w:val="auto"/>
          <w:highlight w:val="none"/>
        </w:rPr>
        <w:t>/h计</w:t>
      </w:r>
      <w:r>
        <w:rPr>
          <w:rFonts w:hint="eastAsia" w:ascii="Times New Roman" w:hAnsi="Times New Roman" w:eastAsia="宋体"/>
          <w:color w:val="auto"/>
          <w:highlight w:val="none"/>
        </w:rPr>
        <w:t>，</w:t>
      </w:r>
      <w:r>
        <w:rPr>
          <w:rFonts w:ascii="Times New Roman" w:hAnsi="Times New Roman" w:eastAsia="宋体"/>
          <w:color w:val="auto"/>
          <w:highlight w:val="none"/>
        </w:rPr>
        <w:t>生物过滤除臭系统对NH</w:t>
      </w:r>
      <w:r>
        <w:rPr>
          <w:rFonts w:ascii="Times New Roman" w:hAnsi="Times New Roman" w:eastAsia="宋体"/>
          <w:color w:val="auto"/>
          <w:highlight w:val="none"/>
          <w:vertAlign w:val="subscript"/>
        </w:rPr>
        <w:t>3</w:t>
      </w:r>
      <w:r>
        <w:rPr>
          <w:rFonts w:ascii="Times New Roman" w:hAnsi="Times New Roman" w:eastAsia="宋体"/>
          <w:color w:val="auto"/>
          <w:highlight w:val="none"/>
        </w:rPr>
        <w:t>、H</w:t>
      </w:r>
      <w:r>
        <w:rPr>
          <w:rFonts w:ascii="Times New Roman" w:hAnsi="Times New Roman" w:eastAsia="宋体"/>
          <w:color w:val="auto"/>
          <w:highlight w:val="none"/>
          <w:vertAlign w:val="subscript"/>
        </w:rPr>
        <w:t>2</w:t>
      </w:r>
      <w:r>
        <w:rPr>
          <w:rFonts w:ascii="Times New Roman" w:hAnsi="Times New Roman" w:eastAsia="宋体"/>
          <w:color w:val="auto"/>
          <w:highlight w:val="none"/>
        </w:rPr>
        <w:t>S的去除效率按90%计，</w:t>
      </w:r>
      <w:r>
        <w:rPr>
          <w:rFonts w:hint="eastAsia"/>
          <w:color w:val="auto"/>
          <w:highlight w:val="none"/>
        </w:rPr>
        <w:t>拟采用的生物滤池除臭工艺已经在哈密市伊吾工业园污水处理厂得到应用，该污水处理厂处理规模3万吨/天，采用改良A/O工艺。分析检测中心2011年3月出具了分析检测报告：处理前H</w:t>
      </w:r>
      <w:r>
        <w:rPr>
          <w:rFonts w:hint="eastAsia"/>
          <w:color w:val="auto"/>
          <w:highlight w:val="none"/>
          <w:vertAlign w:val="subscript"/>
        </w:rPr>
        <w:t>2</w:t>
      </w:r>
      <w:r>
        <w:rPr>
          <w:rFonts w:hint="eastAsia"/>
          <w:color w:val="auto"/>
          <w:highlight w:val="none"/>
        </w:rPr>
        <w:t>S、NH</w:t>
      </w:r>
      <w:r>
        <w:rPr>
          <w:rFonts w:hint="eastAsia"/>
          <w:color w:val="auto"/>
          <w:highlight w:val="none"/>
          <w:vertAlign w:val="subscript"/>
        </w:rPr>
        <w:t>3</w:t>
      </w:r>
      <w:r>
        <w:rPr>
          <w:rFonts w:hint="eastAsia"/>
          <w:color w:val="auto"/>
          <w:highlight w:val="none"/>
        </w:rPr>
        <w:t>的浓度分别为0.279mg/m</w:t>
      </w:r>
      <w:r>
        <w:rPr>
          <w:rFonts w:hint="eastAsia"/>
          <w:color w:val="auto"/>
          <w:highlight w:val="none"/>
          <w:vertAlign w:val="superscript"/>
        </w:rPr>
        <w:t>3</w:t>
      </w:r>
      <w:r>
        <w:rPr>
          <w:rFonts w:hint="eastAsia"/>
          <w:color w:val="auto"/>
          <w:highlight w:val="none"/>
        </w:rPr>
        <w:t>、0.485mg/m</w:t>
      </w:r>
      <w:r>
        <w:rPr>
          <w:rFonts w:hint="eastAsia"/>
          <w:color w:val="auto"/>
          <w:highlight w:val="none"/>
          <w:vertAlign w:val="superscript"/>
        </w:rPr>
        <w:t>3</w:t>
      </w:r>
      <w:r>
        <w:rPr>
          <w:rFonts w:hint="eastAsia"/>
          <w:color w:val="auto"/>
          <w:highlight w:val="none"/>
        </w:rPr>
        <w:t>，处理后H</w:t>
      </w:r>
      <w:r>
        <w:rPr>
          <w:rFonts w:hint="eastAsia"/>
          <w:color w:val="auto"/>
          <w:highlight w:val="none"/>
          <w:vertAlign w:val="subscript"/>
        </w:rPr>
        <w:t>2</w:t>
      </w:r>
      <w:r>
        <w:rPr>
          <w:rFonts w:hint="eastAsia"/>
          <w:color w:val="auto"/>
          <w:highlight w:val="none"/>
        </w:rPr>
        <w:t>S、NH</w:t>
      </w:r>
      <w:r>
        <w:rPr>
          <w:rFonts w:hint="eastAsia"/>
          <w:color w:val="auto"/>
          <w:highlight w:val="none"/>
          <w:vertAlign w:val="subscript"/>
        </w:rPr>
        <w:t>3</w:t>
      </w:r>
      <w:r>
        <w:rPr>
          <w:rFonts w:hint="eastAsia"/>
          <w:color w:val="auto"/>
          <w:highlight w:val="none"/>
        </w:rPr>
        <w:t>的浓度分别为0.006mg/m</w:t>
      </w:r>
      <w:r>
        <w:rPr>
          <w:rFonts w:hint="eastAsia"/>
          <w:color w:val="auto"/>
          <w:highlight w:val="none"/>
          <w:vertAlign w:val="superscript"/>
        </w:rPr>
        <w:t>3</w:t>
      </w:r>
      <w:r>
        <w:rPr>
          <w:rFonts w:hint="eastAsia"/>
          <w:color w:val="auto"/>
          <w:highlight w:val="none"/>
        </w:rPr>
        <w:t>、0.018mg/m</w:t>
      </w:r>
      <w:r>
        <w:rPr>
          <w:rFonts w:hint="eastAsia"/>
          <w:color w:val="auto"/>
          <w:highlight w:val="none"/>
          <w:vertAlign w:val="superscript"/>
        </w:rPr>
        <w:t>3</w:t>
      </w:r>
      <w:r>
        <w:rPr>
          <w:rFonts w:hint="eastAsia"/>
          <w:color w:val="auto"/>
          <w:highlight w:val="none"/>
        </w:rPr>
        <w:t>，除臭效率分别为97.8%、96.3%，达到《城镇污水处理厂污染物排放标准》（GB18918－2002）表4中厂界（防护带边缘）废气排放最高允许浓度二级标准。</w:t>
      </w:r>
    </w:p>
    <w:p>
      <w:pPr>
        <w:ind w:firstLine="480"/>
        <w:rPr>
          <w:rFonts w:ascii="宋体" w:hAnsi="宋体" w:eastAsia="宋体" w:cs="宋体"/>
          <w:sz w:val="24"/>
          <w:szCs w:val="24"/>
          <w:highlight w:val="none"/>
        </w:rPr>
      </w:pPr>
    </w:p>
    <w:p>
      <w:pPr>
        <w:ind w:firstLine="480"/>
        <w:rPr>
          <w:rFonts w:hint="eastAsia" w:ascii="Times New Roman" w:hAnsi="Times New Roman" w:eastAsia="宋体" w:cs="Times New Roman"/>
          <w:color w:val="auto"/>
          <w:highlight w:val="none"/>
          <w:lang w:val="en-US" w:eastAsia="zh-CN"/>
        </w:rPr>
      </w:pPr>
    </w:p>
    <w:bookmarkEnd w:id="93"/>
    <w:bookmarkEnd w:id="94"/>
    <w:bookmarkEnd w:id="95"/>
    <w:p>
      <w:pPr>
        <w:autoSpaceDE w:val="0"/>
        <w:autoSpaceDN w:val="0"/>
        <w:adjustRightInd w:val="0"/>
        <w:ind w:firstLine="480"/>
        <w:outlineLvl w:val="0"/>
        <w:rPr>
          <w:rFonts w:hint="default" w:ascii="Times New Roman" w:hAnsi="Times New Roman" w:cs="Times New Roman"/>
          <w:color w:val="auto"/>
          <w:highlight w:val="none"/>
        </w:rPr>
        <w:sectPr>
          <w:pgSz w:w="11906" w:h="16838"/>
          <w:pgMar w:top="1440" w:right="1304" w:bottom="1440" w:left="1304" w:header="851" w:footer="992" w:gutter="0"/>
          <w:pgBorders>
            <w:top w:val="none" w:sz="0" w:space="0"/>
            <w:left w:val="none" w:sz="0" w:space="0"/>
            <w:bottom w:val="none" w:sz="0" w:space="0"/>
            <w:right w:val="none" w:sz="0" w:space="0"/>
          </w:pgBorders>
          <w:pgNumType w:fmt="numberInDash"/>
          <w:cols w:space="0" w:num="1"/>
          <w:docGrid w:type="lines" w:linePitch="312" w:charSpace="0"/>
        </w:sectPr>
      </w:pPr>
      <w:bookmarkStart w:id="97" w:name="_Toc24718"/>
      <w:bookmarkStart w:id="98" w:name="_Toc21271"/>
    </w:p>
    <w:p>
      <w:pPr>
        <w:pStyle w:val="16"/>
        <w:rPr>
          <w:rFonts w:hint="default"/>
          <w:color w:val="auto"/>
          <w:highlight w:val="none"/>
        </w:rPr>
      </w:pPr>
    </w:p>
    <w:p>
      <w:pPr>
        <w:pStyle w:val="13"/>
        <w:rPr>
          <w:color w:val="auto"/>
          <w:highlight w:val="none"/>
        </w:rPr>
      </w:pPr>
      <w:bookmarkStart w:id="99" w:name="_Ref149584881"/>
      <w:r>
        <w:rPr>
          <w:rFonts w:hint="eastAsia"/>
          <w:color w:val="auto"/>
          <w:highlight w:val="none"/>
        </w:rPr>
        <w:t>表</w:t>
      </w:r>
      <w:bookmarkEnd w:id="99"/>
      <w:r>
        <w:rPr>
          <w:rFonts w:hint="eastAsia"/>
          <w:color w:val="auto"/>
          <w:highlight w:val="none"/>
          <w:lang w:val="en-US" w:eastAsia="zh-CN"/>
        </w:rPr>
        <w:t>3.5-12</w:t>
      </w:r>
      <w:r>
        <w:rPr>
          <w:color w:val="auto"/>
          <w:highlight w:val="none"/>
        </w:rPr>
        <w:t>本项目恶臭污染物产排情况一览表</w:t>
      </w:r>
    </w:p>
    <w:tbl>
      <w:tblPr>
        <w:tblStyle w:val="34"/>
        <w:tblW w:w="504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664"/>
        <w:gridCol w:w="648"/>
        <w:gridCol w:w="1049"/>
        <w:gridCol w:w="1049"/>
        <w:gridCol w:w="1049"/>
        <w:gridCol w:w="1049"/>
        <w:gridCol w:w="1049"/>
        <w:gridCol w:w="1049"/>
        <w:gridCol w:w="1259"/>
        <w:gridCol w:w="1050"/>
        <w:gridCol w:w="1050"/>
        <w:gridCol w:w="1050"/>
        <w:gridCol w:w="1050"/>
        <w:gridCol w:w="10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235" w:type="pct"/>
            <w:vMerge w:val="restart"/>
            <w:vAlign w:val="center"/>
          </w:tcPr>
          <w:p>
            <w:pPr>
              <w:pStyle w:val="104"/>
              <w:rPr>
                <w:color w:val="auto"/>
                <w:highlight w:val="none"/>
              </w:rPr>
            </w:pPr>
            <w:r>
              <w:rPr>
                <w:rFonts w:hint="eastAsia"/>
                <w:color w:val="auto"/>
                <w:highlight w:val="none"/>
              </w:rPr>
              <w:t>排放形式</w:t>
            </w:r>
          </w:p>
        </w:tc>
        <w:tc>
          <w:tcPr>
            <w:tcW w:w="229" w:type="pct"/>
            <w:vMerge w:val="restart"/>
            <w:vAlign w:val="center"/>
          </w:tcPr>
          <w:p>
            <w:pPr>
              <w:pStyle w:val="104"/>
              <w:rPr>
                <w:color w:val="auto"/>
                <w:highlight w:val="none"/>
              </w:rPr>
            </w:pPr>
            <w:r>
              <w:rPr>
                <w:rFonts w:hint="eastAsia"/>
                <w:color w:val="auto"/>
                <w:highlight w:val="none"/>
              </w:rPr>
              <w:t>排气筒编号</w:t>
            </w:r>
          </w:p>
        </w:tc>
        <w:tc>
          <w:tcPr>
            <w:tcW w:w="371" w:type="pct"/>
            <w:vMerge w:val="restart"/>
            <w:vAlign w:val="center"/>
          </w:tcPr>
          <w:p>
            <w:pPr>
              <w:pStyle w:val="104"/>
              <w:rPr>
                <w:color w:val="auto"/>
                <w:highlight w:val="none"/>
              </w:rPr>
            </w:pPr>
            <w:r>
              <w:rPr>
                <w:rFonts w:hint="eastAsia"/>
                <w:color w:val="auto"/>
                <w:highlight w:val="none"/>
              </w:rPr>
              <w:t>废气来源</w:t>
            </w:r>
          </w:p>
        </w:tc>
        <w:tc>
          <w:tcPr>
            <w:tcW w:w="371" w:type="pct"/>
            <w:vMerge w:val="restart"/>
            <w:vAlign w:val="center"/>
          </w:tcPr>
          <w:p>
            <w:pPr>
              <w:pStyle w:val="104"/>
              <w:rPr>
                <w:color w:val="auto"/>
                <w:highlight w:val="none"/>
              </w:rPr>
            </w:pPr>
            <w:r>
              <w:rPr>
                <w:rFonts w:hint="eastAsia"/>
                <w:color w:val="auto"/>
                <w:highlight w:val="none"/>
              </w:rPr>
              <w:t>污染物</w:t>
            </w:r>
          </w:p>
        </w:tc>
        <w:tc>
          <w:tcPr>
            <w:tcW w:w="371" w:type="pct"/>
            <w:vMerge w:val="restart"/>
            <w:vAlign w:val="center"/>
          </w:tcPr>
          <w:p>
            <w:pPr>
              <w:pStyle w:val="104"/>
              <w:rPr>
                <w:color w:val="auto"/>
                <w:highlight w:val="none"/>
              </w:rPr>
            </w:pPr>
            <w:r>
              <w:rPr>
                <w:rFonts w:hint="eastAsia"/>
                <w:color w:val="auto"/>
                <w:highlight w:val="none"/>
              </w:rPr>
              <w:t>废气量</w:t>
            </w:r>
          </w:p>
        </w:tc>
        <w:tc>
          <w:tcPr>
            <w:tcW w:w="1114" w:type="pct"/>
            <w:gridSpan w:val="3"/>
            <w:vAlign w:val="center"/>
          </w:tcPr>
          <w:p>
            <w:pPr>
              <w:pStyle w:val="104"/>
              <w:rPr>
                <w:color w:val="auto"/>
                <w:highlight w:val="none"/>
              </w:rPr>
            </w:pPr>
            <w:r>
              <w:rPr>
                <w:rFonts w:hint="eastAsia"/>
                <w:color w:val="auto"/>
                <w:highlight w:val="none"/>
              </w:rPr>
              <w:t>产生情况</w:t>
            </w:r>
          </w:p>
        </w:tc>
        <w:tc>
          <w:tcPr>
            <w:tcW w:w="446" w:type="pct"/>
            <w:vMerge w:val="restart"/>
            <w:vAlign w:val="center"/>
          </w:tcPr>
          <w:p>
            <w:pPr>
              <w:pStyle w:val="104"/>
              <w:rPr>
                <w:color w:val="auto"/>
                <w:highlight w:val="none"/>
              </w:rPr>
            </w:pPr>
            <w:r>
              <w:rPr>
                <w:color w:val="auto"/>
                <w:highlight w:val="none"/>
              </w:rPr>
              <w:t>治理措施及效率</w:t>
            </w:r>
          </w:p>
        </w:tc>
        <w:tc>
          <w:tcPr>
            <w:tcW w:w="1115" w:type="pct"/>
            <w:gridSpan w:val="3"/>
            <w:vAlign w:val="center"/>
          </w:tcPr>
          <w:p>
            <w:pPr>
              <w:pStyle w:val="104"/>
              <w:rPr>
                <w:color w:val="auto"/>
                <w:highlight w:val="none"/>
              </w:rPr>
            </w:pPr>
            <w:r>
              <w:rPr>
                <w:color w:val="auto"/>
                <w:highlight w:val="none"/>
              </w:rPr>
              <w:t>排放情况</w:t>
            </w:r>
          </w:p>
        </w:tc>
        <w:tc>
          <w:tcPr>
            <w:tcW w:w="371" w:type="pct"/>
            <w:vMerge w:val="restart"/>
            <w:vAlign w:val="center"/>
          </w:tcPr>
          <w:p>
            <w:pPr>
              <w:pStyle w:val="104"/>
              <w:rPr>
                <w:color w:val="auto"/>
                <w:highlight w:val="none"/>
              </w:rPr>
            </w:pPr>
            <w:r>
              <w:rPr>
                <w:color w:val="auto"/>
                <w:highlight w:val="none"/>
              </w:rPr>
              <w:t>排放时间</w:t>
            </w:r>
            <w:r>
              <w:rPr>
                <w:rFonts w:hint="eastAsia"/>
                <w:color w:val="auto"/>
                <w:highlight w:val="none"/>
                <w:lang w:eastAsia="zh-CN"/>
              </w:rPr>
              <w:t>（</w:t>
            </w:r>
            <w:r>
              <w:rPr>
                <w:color w:val="auto"/>
                <w:highlight w:val="none"/>
              </w:rPr>
              <w:t>h/a)</w:t>
            </w:r>
          </w:p>
        </w:tc>
        <w:tc>
          <w:tcPr>
            <w:tcW w:w="371" w:type="pct"/>
            <w:vAlign w:val="center"/>
          </w:tcPr>
          <w:p>
            <w:pPr>
              <w:pStyle w:val="104"/>
              <w:rPr>
                <w:color w:val="auto"/>
                <w:highlight w:val="none"/>
              </w:rPr>
            </w:pPr>
            <w:r>
              <w:rPr>
                <w:color w:val="auto"/>
                <w:highlight w:val="none"/>
              </w:rPr>
              <w:t>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235" w:type="pct"/>
            <w:vMerge w:val="continue"/>
            <w:vAlign w:val="center"/>
          </w:tcPr>
          <w:p>
            <w:pPr>
              <w:pStyle w:val="104"/>
              <w:rPr>
                <w:color w:val="auto"/>
                <w:highlight w:val="none"/>
              </w:rPr>
            </w:pPr>
          </w:p>
        </w:tc>
        <w:tc>
          <w:tcPr>
            <w:tcW w:w="229" w:type="pct"/>
            <w:vMerge w:val="continue"/>
            <w:vAlign w:val="center"/>
          </w:tcPr>
          <w:p>
            <w:pPr>
              <w:pStyle w:val="104"/>
              <w:rPr>
                <w:color w:val="auto"/>
                <w:highlight w:val="none"/>
              </w:rPr>
            </w:pPr>
          </w:p>
        </w:tc>
        <w:tc>
          <w:tcPr>
            <w:tcW w:w="371" w:type="pct"/>
            <w:vMerge w:val="continue"/>
            <w:vAlign w:val="center"/>
          </w:tcPr>
          <w:p>
            <w:pPr>
              <w:pStyle w:val="104"/>
              <w:rPr>
                <w:color w:val="auto"/>
                <w:highlight w:val="none"/>
              </w:rPr>
            </w:pPr>
          </w:p>
        </w:tc>
        <w:tc>
          <w:tcPr>
            <w:tcW w:w="371" w:type="pct"/>
            <w:vMerge w:val="continue"/>
            <w:vAlign w:val="center"/>
          </w:tcPr>
          <w:p>
            <w:pPr>
              <w:pStyle w:val="104"/>
              <w:rPr>
                <w:color w:val="auto"/>
                <w:highlight w:val="none"/>
              </w:rPr>
            </w:pPr>
          </w:p>
        </w:tc>
        <w:tc>
          <w:tcPr>
            <w:tcW w:w="371" w:type="pct"/>
            <w:vMerge w:val="continue"/>
            <w:vAlign w:val="center"/>
          </w:tcPr>
          <w:p>
            <w:pPr>
              <w:pStyle w:val="104"/>
              <w:rPr>
                <w:color w:val="auto"/>
                <w:highlight w:val="none"/>
              </w:rPr>
            </w:pPr>
          </w:p>
        </w:tc>
        <w:tc>
          <w:tcPr>
            <w:tcW w:w="371" w:type="pct"/>
            <w:vAlign w:val="center"/>
          </w:tcPr>
          <w:p>
            <w:pPr>
              <w:pStyle w:val="104"/>
              <w:rPr>
                <w:color w:val="auto"/>
                <w:highlight w:val="none"/>
              </w:rPr>
            </w:pPr>
            <w:r>
              <w:rPr>
                <w:color w:val="auto"/>
                <w:highlight w:val="none"/>
              </w:rPr>
              <w:t>浓度</w:t>
            </w:r>
            <w:r>
              <w:rPr>
                <w:rFonts w:hint="eastAsia"/>
                <w:color w:val="auto"/>
                <w:highlight w:val="none"/>
                <w:lang w:eastAsia="zh-CN"/>
              </w:rPr>
              <w:t>（</w:t>
            </w:r>
            <w:r>
              <w:rPr>
                <w:color w:val="auto"/>
                <w:highlight w:val="none"/>
              </w:rPr>
              <w:t>mg/m</w:t>
            </w:r>
            <w:r>
              <w:rPr>
                <w:color w:val="auto"/>
                <w:highlight w:val="none"/>
                <w:vertAlign w:val="superscript"/>
              </w:rPr>
              <w:t>3</w:t>
            </w:r>
            <w:r>
              <w:rPr>
                <w:color w:val="auto"/>
                <w:highlight w:val="none"/>
              </w:rPr>
              <w:t>)</w:t>
            </w:r>
          </w:p>
        </w:tc>
        <w:tc>
          <w:tcPr>
            <w:tcW w:w="371" w:type="pct"/>
            <w:vAlign w:val="center"/>
          </w:tcPr>
          <w:p>
            <w:pPr>
              <w:pStyle w:val="104"/>
              <w:rPr>
                <w:color w:val="auto"/>
                <w:highlight w:val="none"/>
              </w:rPr>
            </w:pPr>
            <w:r>
              <w:rPr>
                <w:color w:val="auto"/>
                <w:highlight w:val="none"/>
              </w:rPr>
              <w:t>速率</w:t>
            </w:r>
            <w:r>
              <w:rPr>
                <w:rFonts w:hint="eastAsia"/>
                <w:color w:val="auto"/>
                <w:highlight w:val="none"/>
                <w:lang w:eastAsia="zh-CN"/>
              </w:rPr>
              <w:t>（</w:t>
            </w:r>
            <w:r>
              <w:rPr>
                <w:color w:val="auto"/>
                <w:highlight w:val="none"/>
              </w:rPr>
              <w:t>kg/h)</w:t>
            </w:r>
          </w:p>
        </w:tc>
        <w:tc>
          <w:tcPr>
            <w:tcW w:w="371" w:type="pct"/>
            <w:vAlign w:val="center"/>
          </w:tcPr>
          <w:p>
            <w:pPr>
              <w:pStyle w:val="104"/>
              <w:rPr>
                <w:color w:val="auto"/>
                <w:highlight w:val="none"/>
              </w:rPr>
            </w:pPr>
            <w:r>
              <w:rPr>
                <w:color w:val="auto"/>
                <w:highlight w:val="none"/>
              </w:rPr>
              <w:t>产生量</w:t>
            </w:r>
            <w:r>
              <w:rPr>
                <w:rFonts w:hint="eastAsia"/>
                <w:color w:val="auto"/>
                <w:highlight w:val="none"/>
                <w:lang w:eastAsia="zh-CN"/>
              </w:rPr>
              <w:t>（</w:t>
            </w:r>
            <w:r>
              <w:rPr>
                <w:color w:val="auto"/>
                <w:highlight w:val="none"/>
              </w:rPr>
              <w:t>t/a)</w:t>
            </w:r>
          </w:p>
        </w:tc>
        <w:tc>
          <w:tcPr>
            <w:tcW w:w="446" w:type="pct"/>
            <w:vMerge w:val="continue"/>
            <w:vAlign w:val="center"/>
          </w:tcPr>
          <w:p>
            <w:pPr>
              <w:pStyle w:val="104"/>
              <w:rPr>
                <w:color w:val="auto"/>
                <w:highlight w:val="none"/>
              </w:rPr>
            </w:pPr>
          </w:p>
        </w:tc>
        <w:tc>
          <w:tcPr>
            <w:tcW w:w="371" w:type="pct"/>
            <w:vAlign w:val="center"/>
          </w:tcPr>
          <w:p>
            <w:pPr>
              <w:pStyle w:val="104"/>
              <w:rPr>
                <w:color w:val="auto"/>
                <w:highlight w:val="none"/>
              </w:rPr>
            </w:pPr>
            <w:r>
              <w:rPr>
                <w:color w:val="auto"/>
                <w:highlight w:val="none"/>
              </w:rPr>
              <w:t>浓度</w:t>
            </w:r>
            <w:r>
              <w:rPr>
                <w:rFonts w:hint="eastAsia"/>
                <w:color w:val="auto"/>
                <w:highlight w:val="none"/>
                <w:lang w:eastAsia="zh-CN"/>
              </w:rPr>
              <w:t>（</w:t>
            </w:r>
            <w:r>
              <w:rPr>
                <w:color w:val="auto"/>
                <w:highlight w:val="none"/>
              </w:rPr>
              <w:t>mg/m</w:t>
            </w:r>
            <w:r>
              <w:rPr>
                <w:color w:val="auto"/>
                <w:highlight w:val="none"/>
                <w:vertAlign w:val="superscript"/>
              </w:rPr>
              <w:t>3</w:t>
            </w:r>
            <w:r>
              <w:rPr>
                <w:color w:val="auto"/>
                <w:highlight w:val="none"/>
              </w:rPr>
              <w:t>)</w:t>
            </w:r>
          </w:p>
        </w:tc>
        <w:tc>
          <w:tcPr>
            <w:tcW w:w="371" w:type="pct"/>
            <w:vAlign w:val="center"/>
          </w:tcPr>
          <w:p>
            <w:pPr>
              <w:pStyle w:val="104"/>
              <w:rPr>
                <w:color w:val="auto"/>
                <w:highlight w:val="none"/>
              </w:rPr>
            </w:pPr>
            <w:r>
              <w:rPr>
                <w:color w:val="auto"/>
                <w:highlight w:val="none"/>
              </w:rPr>
              <w:t>速率</w:t>
            </w:r>
            <w:r>
              <w:rPr>
                <w:rFonts w:hint="eastAsia"/>
                <w:color w:val="auto"/>
                <w:highlight w:val="none"/>
                <w:lang w:eastAsia="zh-CN"/>
              </w:rPr>
              <w:t>（</w:t>
            </w:r>
            <w:r>
              <w:rPr>
                <w:color w:val="auto"/>
                <w:highlight w:val="none"/>
              </w:rPr>
              <w:t>kg/h)</w:t>
            </w:r>
          </w:p>
        </w:tc>
        <w:tc>
          <w:tcPr>
            <w:tcW w:w="371" w:type="pct"/>
            <w:vAlign w:val="center"/>
          </w:tcPr>
          <w:p>
            <w:pPr>
              <w:pStyle w:val="104"/>
              <w:rPr>
                <w:color w:val="auto"/>
                <w:highlight w:val="none"/>
              </w:rPr>
            </w:pPr>
            <w:r>
              <w:rPr>
                <w:rFonts w:hint="eastAsia"/>
                <w:color w:val="auto"/>
                <w:highlight w:val="none"/>
                <w:lang w:val="en-US" w:eastAsia="zh-CN"/>
              </w:rPr>
              <w:t>排放</w:t>
            </w:r>
            <w:r>
              <w:rPr>
                <w:color w:val="auto"/>
                <w:highlight w:val="none"/>
              </w:rPr>
              <w:t>量</w:t>
            </w:r>
            <w:r>
              <w:rPr>
                <w:rFonts w:hint="eastAsia"/>
                <w:color w:val="auto"/>
                <w:highlight w:val="none"/>
                <w:lang w:eastAsia="zh-CN"/>
              </w:rPr>
              <w:t>（</w:t>
            </w:r>
            <w:r>
              <w:rPr>
                <w:color w:val="auto"/>
                <w:highlight w:val="none"/>
              </w:rPr>
              <w:t>t/a)</w:t>
            </w:r>
          </w:p>
        </w:tc>
        <w:tc>
          <w:tcPr>
            <w:tcW w:w="371" w:type="pct"/>
            <w:vMerge w:val="continue"/>
            <w:vAlign w:val="center"/>
          </w:tcPr>
          <w:p>
            <w:pPr>
              <w:pStyle w:val="104"/>
              <w:rPr>
                <w:color w:val="auto"/>
                <w:highlight w:val="none"/>
              </w:rPr>
            </w:pPr>
          </w:p>
        </w:tc>
        <w:tc>
          <w:tcPr>
            <w:tcW w:w="371" w:type="pct"/>
            <w:vAlign w:val="center"/>
          </w:tcPr>
          <w:p>
            <w:pPr>
              <w:pStyle w:val="104"/>
              <w:rPr>
                <w:color w:val="auto"/>
                <w:highlight w:val="none"/>
              </w:rPr>
            </w:pPr>
            <w:r>
              <w:rPr>
                <w:color w:val="auto"/>
                <w:highlight w:val="none"/>
              </w:rPr>
              <w:t>速率</w:t>
            </w:r>
            <w:r>
              <w:rPr>
                <w:rFonts w:hint="eastAsia"/>
                <w:color w:val="auto"/>
                <w:highlight w:val="none"/>
                <w:lang w:eastAsia="zh-CN"/>
              </w:rPr>
              <w:t>（</w:t>
            </w:r>
            <w:r>
              <w:rPr>
                <w:color w:val="auto"/>
                <w:highlight w:val="none"/>
              </w:rPr>
              <w:t>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152" w:hRule="atLeast"/>
          <w:jc w:val="center"/>
        </w:trPr>
        <w:tc>
          <w:tcPr>
            <w:tcW w:w="235" w:type="pct"/>
            <w:vMerge w:val="restart"/>
            <w:vAlign w:val="center"/>
          </w:tcPr>
          <w:p>
            <w:pPr>
              <w:pStyle w:val="104"/>
              <w:rPr>
                <w:color w:val="auto"/>
                <w:highlight w:val="none"/>
              </w:rPr>
            </w:pPr>
            <w:r>
              <w:rPr>
                <w:rFonts w:hint="eastAsia"/>
                <w:color w:val="auto"/>
                <w:highlight w:val="none"/>
              </w:rPr>
              <w:t>有组织排放G</w:t>
            </w:r>
            <w:r>
              <w:rPr>
                <w:color w:val="auto"/>
                <w:highlight w:val="none"/>
              </w:rPr>
              <w:t>1</w:t>
            </w:r>
          </w:p>
        </w:tc>
        <w:tc>
          <w:tcPr>
            <w:tcW w:w="229" w:type="pct"/>
            <w:vMerge w:val="restart"/>
            <w:vAlign w:val="center"/>
          </w:tcPr>
          <w:p>
            <w:pPr>
              <w:pStyle w:val="104"/>
              <w:rPr>
                <w:color w:val="auto"/>
                <w:highlight w:val="none"/>
              </w:rPr>
            </w:pPr>
            <w:r>
              <w:rPr>
                <w:rFonts w:hint="eastAsia"/>
                <w:color w:val="auto"/>
                <w:highlight w:val="none"/>
              </w:rPr>
              <w:t>D</w:t>
            </w:r>
            <w:r>
              <w:rPr>
                <w:color w:val="auto"/>
                <w:highlight w:val="none"/>
              </w:rPr>
              <w:t>A001</w:t>
            </w:r>
          </w:p>
        </w:tc>
        <w:tc>
          <w:tcPr>
            <w:tcW w:w="371" w:type="pct"/>
            <w:vMerge w:val="restart"/>
            <w:vAlign w:val="center"/>
          </w:tcPr>
          <w:p>
            <w:pPr>
              <w:pStyle w:val="104"/>
              <w:rPr>
                <w:rFonts w:hint="default" w:eastAsia="宋体"/>
                <w:color w:val="auto"/>
                <w:highlight w:val="none"/>
                <w:lang w:val="en-US" w:eastAsia="zh-CN"/>
              </w:rPr>
            </w:pPr>
            <w:r>
              <w:rPr>
                <w:rFonts w:hint="eastAsia"/>
                <w:color w:val="auto"/>
                <w:highlight w:val="none"/>
              </w:rPr>
              <w:t>粗格栅提升泵房+细格栅沉砂池+水解酸化池+</w:t>
            </w:r>
            <w:r>
              <w:rPr>
                <w:rFonts w:hint="eastAsia"/>
                <w:color w:val="auto"/>
                <w:highlight w:val="none"/>
                <w:lang w:val="en-US" w:eastAsia="zh-CN"/>
              </w:rPr>
              <w:t>一体化生化池</w:t>
            </w:r>
          </w:p>
          <w:p>
            <w:pPr>
              <w:pStyle w:val="104"/>
              <w:rPr>
                <w:color w:val="auto"/>
                <w:highlight w:val="none"/>
              </w:rPr>
            </w:pPr>
            <w:r>
              <w:rPr>
                <w:rFonts w:hint="eastAsia"/>
                <w:color w:val="auto"/>
                <w:highlight w:val="none"/>
              </w:rPr>
              <w:t>混凝沉淀池+污泥脱水</w:t>
            </w:r>
          </w:p>
        </w:tc>
        <w:tc>
          <w:tcPr>
            <w:tcW w:w="371" w:type="pct"/>
            <w:vAlign w:val="center"/>
          </w:tcPr>
          <w:p>
            <w:pPr>
              <w:pStyle w:val="104"/>
              <w:rPr>
                <w:color w:val="auto"/>
                <w:highlight w:val="none"/>
              </w:rPr>
            </w:pPr>
            <w:r>
              <w:rPr>
                <w:color w:val="auto"/>
                <w:highlight w:val="none"/>
              </w:rPr>
              <w:t>NH</w:t>
            </w:r>
            <w:r>
              <w:rPr>
                <w:color w:val="auto"/>
                <w:highlight w:val="none"/>
                <w:vertAlign w:val="subscript"/>
              </w:rPr>
              <w:t>3</w:t>
            </w:r>
          </w:p>
        </w:tc>
        <w:tc>
          <w:tcPr>
            <w:tcW w:w="371" w:type="pct"/>
            <w:vMerge w:val="restart"/>
            <w:vAlign w:val="center"/>
          </w:tcPr>
          <w:p>
            <w:pPr>
              <w:pStyle w:val="104"/>
              <w:rPr>
                <w:color w:val="auto"/>
                <w:highlight w:val="none"/>
              </w:rPr>
            </w:pPr>
            <w:r>
              <w:rPr>
                <w:rFonts w:hint="eastAsia"/>
                <w:color w:val="auto"/>
                <w:highlight w:val="none"/>
                <w:lang w:val="en-US" w:eastAsia="zh-CN"/>
              </w:rPr>
              <w:t>50</w:t>
            </w:r>
            <w:r>
              <w:rPr>
                <w:color w:val="auto"/>
                <w:highlight w:val="none"/>
              </w:rPr>
              <w:t>000</w:t>
            </w:r>
          </w:p>
        </w:tc>
        <w:tc>
          <w:tcPr>
            <w:tcW w:w="371" w:type="pct"/>
            <w:vAlign w:val="center"/>
          </w:tcPr>
          <w:p>
            <w:pPr>
              <w:pStyle w:val="104"/>
              <w:rPr>
                <w:color w:val="auto"/>
                <w:highlight w:val="none"/>
              </w:rPr>
            </w:pPr>
            <w:r>
              <w:rPr>
                <w:color w:val="auto"/>
                <w:highlight w:val="none"/>
              </w:rPr>
              <w:t>19.227</w:t>
            </w:r>
          </w:p>
        </w:tc>
        <w:tc>
          <w:tcPr>
            <w:tcW w:w="371" w:type="pct"/>
            <w:vAlign w:val="center"/>
          </w:tcPr>
          <w:p>
            <w:pPr>
              <w:pStyle w:val="104"/>
              <w:rPr>
                <w:color w:val="auto"/>
                <w:highlight w:val="none"/>
              </w:rPr>
            </w:pPr>
            <w:r>
              <w:rPr>
                <w:rFonts w:hint="eastAsia" w:ascii="Times New Roman" w:hAnsi="Times New Roman" w:eastAsia="宋体" w:cstheme="minorBidi"/>
                <w:color w:val="auto"/>
                <w:kern w:val="2"/>
                <w:sz w:val="21"/>
                <w:szCs w:val="24"/>
                <w:highlight w:val="none"/>
                <w:lang w:val="en-US" w:eastAsia="zh-CN" w:bidi="ar-SA"/>
              </w:rPr>
              <w:t>1.642</w:t>
            </w:r>
          </w:p>
        </w:tc>
        <w:tc>
          <w:tcPr>
            <w:tcW w:w="371" w:type="pct"/>
            <w:vAlign w:val="center"/>
          </w:tcPr>
          <w:p>
            <w:pPr>
              <w:pStyle w:val="104"/>
              <w:rPr>
                <w:color w:val="auto"/>
                <w:highlight w:val="none"/>
              </w:rPr>
            </w:pPr>
            <w:r>
              <w:rPr>
                <w:rFonts w:hint="eastAsia" w:ascii="Times New Roman" w:hAnsi="Times New Roman" w:eastAsia="宋体" w:cstheme="minorBidi"/>
                <w:color w:val="auto"/>
                <w:kern w:val="2"/>
                <w:sz w:val="21"/>
                <w:szCs w:val="24"/>
                <w:highlight w:val="none"/>
                <w:lang w:val="en-US" w:eastAsia="zh-CN" w:bidi="ar-SA"/>
              </w:rPr>
              <w:t>14.386</w:t>
            </w:r>
          </w:p>
        </w:tc>
        <w:tc>
          <w:tcPr>
            <w:tcW w:w="446" w:type="pct"/>
            <w:vMerge w:val="restart"/>
            <w:vAlign w:val="center"/>
          </w:tcPr>
          <w:p>
            <w:pPr>
              <w:pStyle w:val="104"/>
              <w:rPr>
                <w:color w:val="auto"/>
                <w:highlight w:val="none"/>
              </w:rPr>
            </w:pPr>
            <w:r>
              <w:rPr>
                <w:color w:val="auto"/>
                <w:highlight w:val="none"/>
              </w:rPr>
              <w:t>各处理单元封闭后经负压抽吸收集+生物过滤除臭装置+15m高排气筒</w:t>
            </w:r>
          </w:p>
        </w:tc>
        <w:tc>
          <w:tcPr>
            <w:tcW w:w="371" w:type="pct"/>
            <w:vAlign w:val="center"/>
          </w:tcPr>
          <w:p>
            <w:pPr>
              <w:pStyle w:val="104"/>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3.120</w:t>
            </w:r>
          </w:p>
        </w:tc>
        <w:tc>
          <w:tcPr>
            <w:tcW w:w="371" w:type="pct"/>
            <w:vAlign w:val="center"/>
          </w:tcPr>
          <w:p>
            <w:pPr>
              <w:pStyle w:val="104"/>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0.156</w:t>
            </w:r>
          </w:p>
        </w:tc>
        <w:tc>
          <w:tcPr>
            <w:tcW w:w="371" w:type="pct"/>
            <w:vAlign w:val="center"/>
          </w:tcPr>
          <w:p>
            <w:pPr>
              <w:pStyle w:val="104"/>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1.367</w:t>
            </w:r>
          </w:p>
        </w:tc>
        <w:tc>
          <w:tcPr>
            <w:tcW w:w="371" w:type="pct"/>
            <w:vMerge w:val="restart"/>
            <w:vAlign w:val="center"/>
          </w:tcPr>
          <w:p>
            <w:pPr>
              <w:pStyle w:val="104"/>
              <w:rPr>
                <w:rFonts w:hint="default" w:eastAsia="宋体"/>
                <w:color w:val="auto"/>
                <w:highlight w:val="none"/>
                <w:lang w:val="en-US" w:eastAsia="zh-CN"/>
              </w:rPr>
            </w:pPr>
            <w:r>
              <w:rPr>
                <w:rFonts w:hint="eastAsia"/>
                <w:color w:val="auto"/>
                <w:highlight w:val="none"/>
              </w:rPr>
              <w:t>8</w:t>
            </w:r>
            <w:r>
              <w:rPr>
                <w:rFonts w:hint="eastAsia"/>
                <w:color w:val="auto"/>
                <w:highlight w:val="none"/>
                <w:lang w:val="en-US" w:eastAsia="zh-CN"/>
              </w:rPr>
              <w:t>760</w:t>
            </w:r>
          </w:p>
        </w:tc>
        <w:tc>
          <w:tcPr>
            <w:tcW w:w="371" w:type="pct"/>
            <w:vAlign w:val="center"/>
          </w:tcPr>
          <w:p>
            <w:pPr>
              <w:pStyle w:val="104"/>
              <w:rPr>
                <w:color w:val="auto"/>
                <w:highlight w:val="none"/>
              </w:rPr>
            </w:pPr>
            <w:r>
              <w:rPr>
                <w:rFonts w:hint="eastAsia"/>
                <w:color w:val="auto"/>
                <w:highlight w:val="none"/>
              </w:rPr>
              <w:t>4</w:t>
            </w:r>
            <w:r>
              <w:rPr>
                <w:color w:val="auto"/>
                <w:highlight w:val="none"/>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235" w:type="pct"/>
            <w:vMerge w:val="continue"/>
            <w:vAlign w:val="center"/>
          </w:tcPr>
          <w:p>
            <w:pPr>
              <w:pStyle w:val="104"/>
              <w:rPr>
                <w:color w:val="auto"/>
                <w:highlight w:val="none"/>
              </w:rPr>
            </w:pPr>
          </w:p>
        </w:tc>
        <w:tc>
          <w:tcPr>
            <w:tcW w:w="229" w:type="pct"/>
            <w:vMerge w:val="continue"/>
            <w:vAlign w:val="center"/>
          </w:tcPr>
          <w:p>
            <w:pPr>
              <w:pStyle w:val="104"/>
              <w:rPr>
                <w:color w:val="auto"/>
                <w:highlight w:val="none"/>
              </w:rPr>
            </w:pPr>
          </w:p>
        </w:tc>
        <w:tc>
          <w:tcPr>
            <w:tcW w:w="371" w:type="pct"/>
            <w:vMerge w:val="continue"/>
            <w:vAlign w:val="center"/>
          </w:tcPr>
          <w:p>
            <w:pPr>
              <w:pStyle w:val="104"/>
              <w:rPr>
                <w:color w:val="auto"/>
                <w:highlight w:val="none"/>
              </w:rPr>
            </w:pPr>
          </w:p>
        </w:tc>
        <w:tc>
          <w:tcPr>
            <w:tcW w:w="371" w:type="pct"/>
            <w:vAlign w:val="center"/>
          </w:tcPr>
          <w:p>
            <w:pPr>
              <w:pStyle w:val="104"/>
              <w:rPr>
                <w:color w:val="auto"/>
                <w:highlight w:val="none"/>
              </w:rPr>
            </w:pPr>
            <w:r>
              <w:rPr>
                <w:color w:val="auto"/>
                <w:highlight w:val="none"/>
              </w:rPr>
              <w:t>H</w:t>
            </w:r>
            <w:r>
              <w:rPr>
                <w:color w:val="auto"/>
                <w:highlight w:val="none"/>
                <w:vertAlign w:val="subscript"/>
              </w:rPr>
              <w:t>2</w:t>
            </w:r>
            <w:r>
              <w:rPr>
                <w:color w:val="auto"/>
                <w:highlight w:val="none"/>
              </w:rPr>
              <w:t>S</w:t>
            </w:r>
          </w:p>
        </w:tc>
        <w:tc>
          <w:tcPr>
            <w:tcW w:w="371" w:type="pct"/>
            <w:vMerge w:val="continue"/>
            <w:vAlign w:val="center"/>
          </w:tcPr>
          <w:p>
            <w:pPr>
              <w:pStyle w:val="104"/>
              <w:rPr>
                <w:color w:val="auto"/>
                <w:highlight w:val="none"/>
              </w:rPr>
            </w:pPr>
          </w:p>
        </w:tc>
        <w:tc>
          <w:tcPr>
            <w:tcW w:w="371" w:type="pct"/>
            <w:vAlign w:val="center"/>
          </w:tcPr>
          <w:p>
            <w:pPr>
              <w:pStyle w:val="104"/>
              <w:rPr>
                <w:color w:val="auto"/>
                <w:highlight w:val="none"/>
              </w:rPr>
            </w:pPr>
            <w:r>
              <w:rPr>
                <w:rFonts w:hint="eastAsia"/>
                <w:color w:val="auto"/>
                <w:highlight w:val="none"/>
              </w:rPr>
              <w:t>0</w:t>
            </w:r>
            <w:r>
              <w:rPr>
                <w:color w:val="auto"/>
                <w:highlight w:val="none"/>
              </w:rPr>
              <w:t>.319</w:t>
            </w:r>
          </w:p>
        </w:tc>
        <w:tc>
          <w:tcPr>
            <w:tcW w:w="371" w:type="pct"/>
            <w:vAlign w:val="center"/>
          </w:tcPr>
          <w:p>
            <w:pPr>
              <w:pStyle w:val="104"/>
              <w:rPr>
                <w:color w:val="auto"/>
                <w:highlight w:val="none"/>
              </w:rPr>
            </w:pPr>
            <w:r>
              <w:rPr>
                <w:rFonts w:hint="eastAsia" w:ascii="Times New Roman" w:hAnsi="Times New Roman" w:eastAsia="宋体" w:cstheme="minorBidi"/>
                <w:color w:val="auto"/>
                <w:kern w:val="2"/>
                <w:sz w:val="21"/>
                <w:szCs w:val="24"/>
                <w:highlight w:val="none"/>
                <w:lang w:val="en-US" w:eastAsia="zh-CN" w:bidi="ar-SA"/>
              </w:rPr>
              <w:t>0.034</w:t>
            </w:r>
          </w:p>
        </w:tc>
        <w:tc>
          <w:tcPr>
            <w:tcW w:w="371" w:type="pct"/>
            <w:vAlign w:val="center"/>
          </w:tcPr>
          <w:p>
            <w:pPr>
              <w:pStyle w:val="104"/>
              <w:rPr>
                <w:color w:val="auto"/>
                <w:highlight w:val="none"/>
              </w:rPr>
            </w:pPr>
            <w:r>
              <w:rPr>
                <w:rFonts w:hint="eastAsia" w:ascii="Times New Roman" w:hAnsi="Times New Roman" w:eastAsia="宋体" w:cstheme="minorBidi"/>
                <w:color w:val="auto"/>
                <w:kern w:val="2"/>
                <w:sz w:val="21"/>
                <w:szCs w:val="24"/>
                <w:highlight w:val="none"/>
                <w:lang w:val="en-US" w:eastAsia="zh-CN" w:bidi="ar-SA"/>
              </w:rPr>
              <w:t>0.301</w:t>
            </w:r>
          </w:p>
        </w:tc>
        <w:tc>
          <w:tcPr>
            <w:tcW w:w="446" w:type="pct"/>
            <w:vMerge w:val="continue"/>
            <w:vAlign w:val="center"/>
          </w:tcPr>
          <w:p>
            <w:pPr>
              <w:pStyle w:val="104"/>
              <w:rPr>
                <w:color w:val="auto"/>
                <w:highlight w:val="none"/>
              </w:rPr>
            </w:pPr>
          </w:p>
        </w:tc>
        <w:tc>
          <w:tcPr>
            <w:tcW w:w="371" w:type="pct"/>
            <w:vAlign w:val="center"/>
          </w:tcPr>
          <w:p>
            <w:pPr>
              <w:pStyle w:val="104"/>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0.065</w:t>
            </w:r>
          </w:p>
        </w:tc>
        <w:tc>
          <w:tcPr>
            <w:tcW w:w="371" w:type="pct"/>
            <w:vAlign w:val="center"/>
          </w:tcPr>
          <w:p>
            <w:pPr>
              <w:pStyle w:val="104"/>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0.003</w:t>
            </w:r>
          </w:p>
        </w:tc>
        <w:tc>
          <w:tcPr>
            <w:tcW w:w="371" w:type="pct"/>
            <w:vAlign w:val="center"/>
          </w:tcPr>
          <w:p>
            <w:pPr>
              <w:pStyle w:val="104"/>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0.029</w:t>
            </w:r>
          </w:p>
        </w:tc>
        <w:tc>
          <w:tcPr>
            <w:tcW w:w="371" w:type="pct"/>
            <w:vMerge w:val="continue"/>
            <w:vAlign w:val="center"/>
          </w:tcPr>
          <w:p>
            <w:pPr>
              <w:pStyle w:val="104"/>
              <w:rPr>
                <w:color w:val="auto"/>
                <w:highlight w:val="none"/>
              </w:rPr>
            </w:pPr>
          </w:p>
        </w:tc>
        <w:tc>
          <w:tcPr>
            <w:tcW w:w="371" w:type="pct"/>
            <w:vAlign w:val="center"/>
          </w:tcPr>
          <w:p>
            <w:pPr>
              <w:pStyle w:val="104"/>
              <w:rPr>
                <w:color w:val="auto"/>
                <w:highlight w:val="none"/>
              </w:rPr>
            </w:pPr>
            <w:r>
              <w:rPr>
                <w:rFonts w:hint="eastAsia"/>
                <w:color w:val="auto"/>
                <w:highlight w:val="none"/>
              </w:rPr>
              <w:t>0</w:t>
            </w:r>
            <w:r>
              <w:rPr>
                <w:color w:val="auto"/>
                <w:highlight w:val="none"/>
              </w:rPr>
              <w:t>.33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235" w:type="pct"/>
            <w:vMerge w:val="continue"/>
            <w:vAlign w:val="center"/>
          </w:tcPr>
          <w:p>
            <w:pPr>
              <w:pStyle w:val="104"/>
              <w:rPr>
                <w:color w:val="auto"/>
                <w:highlight w:val="none"/>
              </w:rPr>
            </w:pPr>
          </w:p>
        </w:tc>
        <w:tc>
          <w:tcPr>
            <w:tcW w:w="229" w:type="pct"/>
            <w:vMerge w:val="continue"/>
            <w:vAlign w:val="center"/>
          </w:tcPr>
          <w:p>
            <w:pPr>
              <w:pStyle w:val="104"/>
              <w:rPr>
                <w:color w:val="auto"/>
                <w:highlight w:val="none"/>
              </w:rPr>
            </w:pPr>
          </w:p>
        </w:tc>
        <w:tc>
          <w:tcPr>
            <w:tcW w:w="371" w:type="pct"/>
            <w:vMerge w:val="continue"/>
            <w:vAlign w:val="center"/>
          </w:tcPr>
          <w:p>
            <w:pPr>
              <w:pStyle w:val="104"/>
              <w:rPr>
                <w:color w:val="auto"/>
                <w:highlight w:val="none"/>
              </w:rPr>
            </w:pPr>
          </w:p>
        </w:tc>
        <w:tc>
          <w:tcPr>
            <w:tcW w:w="371" w:type="pct"/>
            <w:vAlign w:val="center"/>
          </w:tcPr>
          <w:p>
            <w:pPr>
              <w:pStyle w:val="104"/>
              <w:rPr>
                <w:rFonts w:hint="eastAsia" w:eastAsia="宋体"/>
                <w:color w:val="auto"/>
                <w:highlight w:val="none"/>
                <w:lang w:val="en-US" w:eastAsia="zh-CN"/>
              </w:rPr>
            </w:pPr>
            <w:r>
              <w:rPr>
                <w:rFonts w:hint="eastAsia"/>
                <w:color w:val="auto"/>
                <w:highlight w:val="none"/>
                <w:lang w:val="en-US" w:eastAsia="zh-CN"/>
              </w:rPr>
              <w:t>甲烷</w:t>
            </w:r>
          </w:p>
        </w:tc>
        <w:tc>
          <w:tcPr>
            <w:tcW w:w="371" w:type="pct"/>
            <w:vMerge w:val="continue"/>
            <w:vAlign w:val="center"/>
          </w:tcPr>
          <w:p>
            <w:pPr>
              <w:pStyle w:val="104"/>
              <w:rPr>
                <w:color w:val="auto"/>
                <w:highlight w:val="none"/>
              </w:rPr>
            </w:pPr>
          </w:p>
        </w:tc>
        <w:tc>
          <w:tcPr>
            <w:tcW w:w="371" w:type="pct"/>
            <w:vAlign w:val="center"/>
          </w:tcPr>
          <w:p>
            <w:pPr>
              <w:pStyle w:val="104"/>
              <w:rPr>
                <w:rFonts w:hint="eastAsia" w:eastAsia="宋体"/>
                <w:color w:val="auto"/>
                <w:highlight w:val="none"/>
                <w:lang w:val="en-US" w:eastAsia="zh-CN"/>
              </w:rPr>
            </w:pPr>
            <w:r>
              <w:rPr>
                <w:rFonts w:hint="eastAsia"/>
                <w:color w:val="auto"/>
                <w:highlight w:val="none"/>
                <w:lang w:val="en-US" w:eastAsia="zh-CN"/>
              </w:rPr>
              <w:t>-</w:t>
            </w:r>
          </w:p>
        </w:tc>
        <w:tc>
          <w:tcPr>
            <w:tcW w:w="371" w:type="pct"/>
            <w:vAlign w:val="center"/>
          </w:tcPr>
          <w:p>
            <w:pPr>
              <w:pStyle w:val="104"/>
              <w:rPr>
                <w:rFonts w:hint="default" w:ascii="Times New Roman" w:hAnsi="Times New Roman" w:eastAsia="宋体" w:cstheme="minorBidi"/>
                <w:color w:val="auto"/>
                <w:kern w:val="2"/>
                <w:sz w:val="21"/>
                <w:szCs w:val="24"/>
                <w:highlight w:val="none"/>
                <w:lang w:val="en-US" w:eastAsia="zh-CN" w:bidi="ar-SA"/>
              </w:rPr>
            </w:pPr>
            <w:r>
              <w:rPr>
                <w:rFonts w:hint="eastAsia" w:cstheme="minorBidi"/>
                <w:color w:val="auto"/>
                <w:kern w:val="2"/>
                <w:sz w:val="21"/>
                <w:szCs w:val="24"/>
                <w:highlight w:val="none"/>
                <w:lang w:val="en-US" w:eastAsia="zh-CN" w:bidi="ar-SA"/>
              </w:rPr>
              <w:t>0.552</w:t>
            </w:r>
          </w:p>
        </w:tc>
        <w:tc>
          <w:tcPr>
            <w:tcW w:w="371" w:type="pct"/>
            <w:vAlign w:val="center"/>
          </w:tcPr>
          <w:p>
            <w:pPr>
              <w:pStyle w:val="104"/>
              <w:rPr>
                <w:rFonts w:hint="default" w:ascii="Times New Roman" w:hAnsi="Times New Roman" w:eastAsia="宋体" w:cstheme="minorBidi"/>
                <w:color w:val="auto"/>
                <w:kern w:val="2"/>
                <w:sz w:val="21"/>
                <w:szCs w:val="24"/>
                <w:highlight w:val="none"/>
                <w:lang w:val="en-US" w:eastAsia="zh-CN" w:bidi="ar-SA"/>
              </w:rPr>
            </w:pPr>
            <w:r>
              <w:rPr>
                <w:rFonts w:hint="eastAsia" w:cstheme="minorBidi"/>
                <w:color w:val="auto"/>
                <w:kern w:val="2"/>
                <w:sz w:val="21"/>
                <w:szCs w:val="24"/>
                <w:highlight w:val="none"/>
                <w:lang w:val="en-US" w:eastAsia="zh-CN" w:bidi="ar-SA"/>
              </w:rPr>
              <w:t>4.833</w:t>
            </w:r>
          </w:p>
        </w:tc>
        <w:tc>
          <w:tcPr>
            <w:tcW w:w="446" w:type="pct"/>
            <w:vAlign w:val="center"/>
          </w:tcPr>
          <w:p>
            <w:pPr>
              <w:pStyle w:val="104"/>
              <w:rPr>
                <w:rFonts w:hint="eastAsia" w:eastAsia="宋体"/>
                <w:color w:val="auto"/>
                <w:highlight w:val="none"/>
                <w:lang w:val="en-US" w:eastAsia="zh-CN"/>
              </w:rPr>
            </w:pPr>
            <w:r>
              <w:rPr>
                <w:rFonts w:hint="eastAsia"/>
                <w:color w:val="auto"/>
                <w:highlight w:val="none"/>
                <w:lang w:val="en-US" w:eastAsia="zh-CN"/>
              </w:rPr>
              <w:t>-</w:t>
            </w:r>
          </w:p>
        </w:tc>
        <w:tc>
          <w:tcPr>
            <w:tcW w:w="371" w:type="pct"/>
            <w:vAlign w:val="center"/>
          </w:tcPr>
          <w:p>
            <w:pPr>
              <w:pStyle w:val="104"/>
              <w:rPr>
                <w:rFonts w:hint="default" w:ascii="Times New Roman" w:hAnsi="Times New Roman" w:eastAsia="宋体" w:cstheme="minorBidi"/>
                <w:color w:val="auto"/>
                <w:kern w:val="2"/>
                <w:sz w:val="21"/>
                <w:szCs w:val="24"/>
                <w:highlight w:val="none"/>
                <w:lang w:val="en-US" w:eastAsia="zh-CN" w:bidi="ar-SA"/>
              </w:rPr>
            </w:pPr>
            <w:r>
              <w:rPr>
                <w:rFonts w:hint="eastAsia" w:cstheme="minorBidi"/>
                <w:color w:val="auto"/>
                <w:kern w:val="2"/>
                <w:sz w:val="21"/>
                <w:szCs w:val="24"/>
                <w:highlight w:val="none"/>
                <w:lang w:val="en-US" w:eastAsia="zh-CN" w:bidi="ar-SA"/>
              </w:rPr>
              <w:t>-</w:t>
            </w:r>
          </w:p>
        </w:tc>
        <w:tc>
          <w:tcPr>
            <w:tcW w:w="371" w:type="pct"/>
            <w:vAlign w:val="center"/>
          </w:tcPr>
          <w:p>
            <w:pPr>
              <w:pStyle w:val="104"/>
              <w:rPr>
                <w:rFonts w:hint="default" w:ascii="Times New Roman" w:hAnsi="Times New Roman" w:eastAsia="宋体" w:cstheme="minorBidi"/>
                <w:color w:val="auto"/>
                <w:kern w:val="2"/>
                <w:sz w:val="21"/>
                <w:szCs w:val="24"/>
                <w:highlight w:val="none"/>
                <w:lang w:val="en-US" w:eastAsia="zh-CN" w:bidi="ar-SA"/>
              </w:rPr>
            </w:pPr>
            <w:r>
              <w:rPr>
                <w:rFonts w:hint="eastAsia" w:cstheme="minorBidi"/>
                <w:color w:val="auto"/>
                <w:kern w:val="2"/>
                <w:sz w:val="21"/>
                <w:szCs w:val="24"/>
                <w:highlight w:val="none"/>
                <w:lang w:val="en-US" w:eastAsia="zh-CN" w:bidi="ar-SA"/>
              </w:rPr>
              <w:t>0.552</w:t>
            </w:r>
          </w:p>
        </w:tc>
        <w:tc>
          <w:tcPr>
            <w:tcW w:w="371" w:type="pct"/>
            <w:vAlign w:val="center"/>
          </w:tcPr>
          <w:p>
            <w:pPr>
              <w:pStyle w:val="104"/>
              <w:rPr>
                <w:rFonts w:hint="default" w:ascii="Times New Roman" w:hAnsi="Times New Roman" w:eastAsia="宋体" w:cstheme="minorBidi"/>
                <w:color w:val="auto"/>
                <w:kern w:val="2"/>
                <w:sz w:val="21"/>
                <w:szCs w:val="24"/>
                <w:highlight w:val="none"/>
                <w:lang w:val="en-US" w:eastAsia="zh-CN" w:bidi="ar-SA"/>
              </w:rPr>
            </w:pPr>
            <w:r>
              <w:rPr>
                <w:rFonts w:hint="eastAsia" w:cstheme="minorBidi"/>
                <w:color w:val="auto"/>
                <w:kern w:val="2"/>
                <w:sz w:val="21"/>
                <w:szCs w:val="24"/>
                <w:highlight w:val="none"/>
                <w:lang w:val="en-US" w:eastAsia="zh-CN" w:bidi="ar-SA"/>
              </w:rPr>
              <w:t>4.833</w:t>
            </w:r>
          </w:p>
        </w:tc>
        <w:tc>
          <w:tcPr>
            <w:tcW w:w="371" w:type="pct"/>
            <w:vMerge w:val="continue"/>
            <w:vAlign w:val="center"/>
          </w:tcPr>
          <w:p>
            <w:pPr>
              <w:pStyle w:val="104"/>
              <w:rPr>
                <w:color w:val="auto"/>
                <w:highlight w:val="none"/>
              </w:rPr>
            </w:pPr>
          </w:p>
        </w:tc>
        <w:tc>
          <w:tcPr>
            <w:tcW w:w="371" w:type="pct"/>
            <w:vAlign w:val="center"/>
          </w:tcPr>
          <w:p>
            <w:pPr>
              <w:pStyle w:val="104"/>
              <w:rPr>
                <w:rFonts w:hint="eastAsia" w:eastAsia="宋体"/>
                <w:color w:val="auto"/>
                <w:highlight w:val="none"/>
                <w:lang w:val="en-US" w:eastAsia="zh-CN"/>
              </w:rPr>
            </w:pPr>
            <w:r>
              <w:rPr>
                <w:rFonts w:hint="eastAsia"/>
                <w:color w:val="auto"/>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084" w:hRule="atLeast"/>
          <w:jc w:val="center"/>
        </w:trPr>
        <w:tc>
          <w:tcPr>
            <w:tcW w:w="235" w:type="pct"/>
            <w:vMerge w:val="restart"/>
            <w:vAlign w:val="center"/>
          </w:tcPr>
          <w:p>
            <w:pPr>
              <w:pStyle w:val="104"/>
              <w:rPr>
                <w:color w:val="auto"/>
                <w:highlight w:val="none"/>
              </w:rPr>
            </w:pPr>
            <w:r>
              <w:rPr>
                <w:color w:val="auto"/>
                <w:highlight w:val="none"/>
              </w:rPr>
              <w:t>无组织排放</w:t>
            </w:r>
          </w:p>
        </w:tc>
        <w:tc>
          <w:tcPr>
            <w:tcW w:w="229" w:type="pct"/>
            <w:vMerge w:val="restart"/>
            <w:vAlign w:val="center"/>
          </w:tcPr>
          <w:p>
            <w:pPr>
              <w:pStyle w:val="104"/>
              <w:rPr>
                <w:color w:val="auto"/>
                <w:highlight w:val="none"/>
              </w:rPr>
            </w:pPr>
            <w:r>
              <w:rPr>
                <w:rFonts w:hint="eastAsia"/>
                <w:color w:val="auto"/>
                <w:highlight w:val="none"/>
              </w:rPr>
              <w:t>-</w:t>
            </w:r>
          </w:p>
        </w:tc>
        <w:tc>
          <w:tcPr>
            <w:tcW w:w="371" w:type="pct"/>
            <w:vMerge w:val="restart"/>
            <w:vAlign w:val="center"/>
          </w:tcPr>
          <w:p>
            <w:pPr>
              <w:pStyle w:val="104"/>
              <w:rPr>
                <w:color w:val="auto"/>
                <w:highlight w:val="none"/>
              </w:rPr>
            </w:pPr>
            <w:r>
              <w:rPr>
                <w:color w:val="auto"/>
                <w:highlight w:val="none"/>
              </w:rPr>
              <w:t>全厂</w:t>
            </w:r>
          </w:p>
        </w:tc>
        <w:tc>
          <w:tcPr>
            <w:tcW w:w="371" w:type="pct"/>
            <w:vAlign w:val="center"/>
          </w:tcPr>
          <w:p>
            <w:pPr>
              <w:pStyle w:val="104"/>
              <w:rPr>
                <w:color w:val="auto"/>
                <w:highlight w:val="none"/>
              </w:rPr>
            </w:pPr>
            <w:r>
              <w:rPr>
                <w:color w:val="auto"/>
                <w:highlight w:val="none"/>
              </w:rPr>
              <w:t>NH</w:t>
            </w:r>
            <w:r>
              <w:rPr>
                <w:color w:val="auto"/>
                <w:highlight w:val="none"/>
                <w:vertAlign w:val="subscript"/>
              </w:rPr>
              <w:t>3</w:t>
            </w:r>
          </w:p>
        </w:tc>
        <w:tc>
          <w:tcPr>
            <w:tcW w:w="371" w:type="pct"/>
            <w:vAlign w:val="center"/>
          </w:tcPr>
          <w:p>
            <w:pPr>
              <w:pStyle w:val="104"/>
              <w:rPr>
                <w:color w:val="auto"/>
                <w:highlight w:val="none"/>
              </w:rPr>
            </w:pPr>
            <w:r>
              <w:rPr>
                <w:rFonts w:hint="eastAsia"/>
                <w:color w:val="auto"/>
                <w:highlight w:val="none"/>
              </w:rPr>
              <w:t>-</w:t>
            </w:r>
          </w:p>
        </w:tc>
        <w:tc>
          <w:tcPr>
            <w:tcW w:w="371" w:type="pct"/>
            <w:vAlign w:val="center"/>
          </w:tcPr>
          <w:p>
            <w:pPr>
              <w:pStyle w:val="104"/>
              <w:rPr>
                <w:color w:val="auto"/>
                <w:highlight w:val="none"/>
              </w:rPr>
            </w:pPr>
            <w:r>
              <w:rPr>
                <w:rFonts w:hint="eastAsia"/>
                <w:color w:val="auto"/>
                <w:highlight w:val="none"/>
              </w:rPr>
              <w:t>-</w:t>
            </w:r>
          </w:p>
        </w:tc>
        <w:tc>
          <w:tcPr>
            <w:tcW w:w="371" w:type="pct"/>
            <w:vAlign w:val="center"/>
          </w:tcPr>
          <w:p>
            <w:pPr>
              <w:pStyle w:val="104"/>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0.082</w:t>
            </w:r>
          </w:p>
        </w:tc>
        <w:tc>
          <w:tcPr>
            <w:tcW w:w="371" w:type="pct"/>
            <w:vAlign w:val="center"/>
          </w:tcPr>
          <w:p>
            <w:pPr>
              <w:pStyle w:val="104"/>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0.719</w:t>
            </w:r>
          </w:p>
        </w:tc>
        <w:tc>
          <w:tcPr>
            <w:tcW w:w="446" w:type="pct"/>
            <w:vMerge w:val="restart"/>
            <w:vAlign w:val="center"/>
          </w:tcPr>
          <w:p>
            <w:pPr>
              <w:pStyle w:val="104"/>
              <w:rPr>
                <w:color w:val="auto"/>
                <w:highlight w:val="none"/>
              </w:rPr>
            </w:pPr>
            <w:r>
              <w:rPr>
                <w:color w:val="auto"/>
                <w:highlight w:val="none"/>
              </w:rPr>
              <w:t>栅渣、沉砂、污泥及时清运，运输车辆密闭，加强绿化，喷洒除臭剂等</w:t>
            </w:r>
          </w:p>
        </w:tc>
        <w:tc>
          <w:tcPr>
            <w:tcW w:w="371" w:type="pct"/>
            <w:vAlign w:val="center"/>
          </w:tcPr>
          <w:p>
            <w:pPr>
              <w:pStyle w:val="104"/>
              <w:rPr>
                <w:rFonts w:hint="eastAsia" w:eastAsia="宋体"/>
                <w:color w:val="auto"/>
                <w:highlight w:val="none"/>
                <w:lang w:val="en-US" w:eastAsia="zh-CN"/>
              </w:rPr>
            </w:pPr>
            <w:r>
              <w:rPr>
                <w:rFonts w:hint="eastAsia"/>
                <w:color w:val="auto"/>
                <w:highlight w:val="none"/>
                <w:lang w:val="en-US" w:eastAsia="zh-CN"/>
              </w:rPr>
              <w:t>-</w:t>
            </w:r>
          </w:p>
        </w:tc>
        <w:tc>
          <w:tcPr>
            <w:tcW w:w="371" w:type="pct"/>
            <w:vAlign w:val="center"/>
          </w:tcPr>
          <w:p>
            <w:pPr>
              <w:pStyle w:val="104"/>
              <w:rPr>
                <w:color w:val="auto"/>
                <w:highlight w:val="none"/>
              </w:rPr>
            </w:pPr>
            <w:r>
              <w:rPr>
                <w:rFonts w:hint="eastAsia" w:ascii="Times New Roman" w:hAnsi="Times New Roman" w:eastAsia="宋体" w:cstheme="minorBidi"/>
                <w:color w:val="auto"/>
                <w:kern w:val="2"/>
                <w:sz w:val="21"/>
                <w:szCs w:val="24"/>
                <w:highlight w:val="none"/>
                <w:lang w:val="en-US" w:eastAsia="zh-CN" w:bidi="ar-SA"/>
              </w:rPr>
              <w:t>0.082</w:t>
            </w:r>
          </w:p>
        </w:tc>
        <w:tc>
          <w:tcPr>
            <w:tcW w:w="371" w:type="pct"/>
            <w:vAlign w:val="center"/>
          </w:tcPr>
          <w:p>
            <w:pPr>
              <w:pStyle w:val="104"/>
              <w:rPr>
                <w:color w:val="auto"/>
                <w:highlight w:val="none"/>
              </w:rPr>
            </w:pPr>
            <w:r>
              <w:rPr>
                <w:rFonts w:hint="eastAsia" w:ascii="Times New Roman" w:hAnsi="Times New Roman" w:eastAsia="宋体" w:cstheme="minorBidi"/>
                <w:color w:val="auto"/>
                <w:kern w:val="2"/>
                <w:sz w:val="21"/>
                <w:szCs w:val="24"/>
                <w:highlight w:val="none"/>
                <w:lang w:val="en-US" w:eastAsia="zh-CN" w:bidi="ar-SA"/>
              </w:rPr>
              <w:t>0.719</w:t>
            </w:r>
          </w:p>
        </w:tc>
        <w:tc>
          <w:tcPr>
            <w:tcW w:w="743" w:type="pct"/>
            <w:gridSpan w:val="2"/>
            <w:vMerge w:val="restart"/>
            <w:vAlign w:val="center"/>
          </w:tcPr>
          <w:p>
            <w:pPr>
              <w:pStyle w:val="104"/>
              <w:rPr>
                <w:color w:val="auto"/>
                <w:highlight w:val="none"/>
              </w:rPr>
            </w:pPr>
            <w:r>
              <w:rPr>
                <w:color w:val="auto"/>
                <w:highlight w:val="none"/>
              </w:rPr>
              <w:t>《城镇污水处理厂污染物排放标准》（GB18918-2002）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235" w:type="pct"/>
            <w:vMerge w:val="continue"/>
            <w:vAlign w:val="center"/>
          </w:tcPr>
          <w:p>
            <w:pPr>
              <w:pStyle w:val="104"/>
              <w:rPr>
                <w:color w:val="auto"/>
                <w:highlight w:val="none"/>
              </w:rPr>
            </w:pPr>
          </w:p>
        </w:tc>
        <w:tc>
          <w:tcPr>
            <w:tcW w:w="229" w:type="pct"/>
            <w:vMerge w:val="continue"/>
            <w:vAlign w:val="center"/>
          </w:tcPr>
          <w:p>
            <w:pPr>
              <w:pStyle w:val="104"/>
              <w:rPr>
                <w:color w:val="auto"/>
                <w:highlight w:val="none"/>
              </w:rPr>
            </w:pPr>
          </w:p>
        </w:tc>
        <w:tc>
          <w:tcPr>
            <w:tcW w:w="371" w:type="pct"/>
            <w:vMerge w:val="continue"/>
            <w:vAlign w:val="center"/>
          </w:tcPr>
          <w:p>
            <w:pPr>
              <w:pStyle w:val="104"/>
              <w:rPr>
                <w:color w:val="auto"/>
                <w:highlight w:val="none"/>
              </w:rPr>
            </w:pPr>
          </w:p>
        </w:tc>
        <w:tc>
          <w:tcPr>
            <w:tcW w:w="371" w:type="pct"/>
            <w:vAlign w:val="center"/>
          </w:tcPr>
          <w:p>
            <w:pPr>
              <w:pStyle w:val="104"/>
              <w:rPr>
                <w:color w:val="auto"/>
                <w:highlight w:val="none"/>
              </w:rPr>
            </w:pPr>
            <w:r>
              <w:rPr>
                <w:color w:val="auto"/>
                <w:highlight w:val="none"/>
              </w:rPr>
              <w:t>H</w:t>
            </w:r>
            <w:r>
              <w:rPr>
                <w:color w:val="auto"/>
                <w:highlight w:val="none"/>
                <w:vertAlign w:val="subscript"/>
              </w:rPr>
              <w:t>2</w:t>
            </w:r>
            <w:r>
              <w:rPr>
                <w:color w:val="auto"/>
                <w:highlight w:val="none"/>
              </w:rPr>
              <w:t>S</w:t>
            </w:r>
          </w:p>
        </w:tc>
        <w:tc>
          <w:tcPr>
            <w:tcW w:w="371" w:type="pct"/>
            <w:vAlign w:val="center"/>
          </w:tcPr>
          <w:p>
            <w:pPr>
              <w:pStyle w:val="104"/>
              <w:rPr>
                <w:color w:val="auto"/>
                <w:highlight w:val="none"/>
              </w:rPr>
            </w:pPr>
            <w:r>
              <w:rPr>
                <w:rFonts w:hint="eastAsia"/>
                <w:color w:val="auto"/>
                <w:highlight w:val="none"/>
              </w:rPr>
              <w:t>-</w:t>
            </w:r>
          </w:p>
        </w:tc>
        <w:tc>
          <w:tcPr>
            <w:tcW w:w="371" w:type="pct"/>
            <w:vAlign w:val="center"/>
          </w:tcPr>
          <w:p>
            <w:pPr>
              <w:pStyle w:val="104"/>
              <w:rPr>
                <w:color w:val="auto"/>
                <w:highlight w:val="none"/>
              </w:rPr>
            </w:pPr>
            <w:r>
              <w:rPr>
                <w:rFonts w:hint="eastAsia"/>
                <w:color w:val="auto"/>
                <w:highlight w:val="none"/>
              </w:rPr>
              <w:t>-</w:t>
            </w:r>
          </w:p>
        </w:tc>
        <w:tc>
          <w:tcPr>
            <w:tcW w:w="371" w:type="pct"/>
            <w:vAlign w:val="center"/>
          </w:tcPr>
          <w:p>
            <w:pPr>
              <w:pStyle w:val="104"/>
              <w:rPr>
                <w:rFonts w:hint="default"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0.002</w:t>
            </w:r>
          </w:p>
        </w:tc>
        <w:tc>
          <w:tcPr>
            <w:tcW w:w="371" w:type="pct"/>
            <w:vAlign w:val="center"/>
          </w:tcPr>
          <w:p>
            <w:pPr>
              <w:pStyle w:val="104"/>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0.015</w:t>
            </w:r>
          </w:p>
        </w:tc>
        <w:tc>
          <w:tcPr>
            <w:tcW w:w="446" w:type="pct"/>
            <w:vMerge w:val="continue"/>
            <w:vAlign w:val="center"/>
          </w:tcPr>
          <w:p>
            <w:pPr>
              <w:pStyle w:val="104"/>
              <w:rPr>
                <w:color w:val="auto"/>
                <w:highlight w:val="none"/>
              </w:rPr>
            </w:pPr>
          </w:p>
        </w:tc>
        <w:tc>
          <w:tcPr>
            <w:tcW w:w="371" w:type="pct"/>
            <w:vAlign w:val="center"/>
          </w:tcPr>
          <w:p>
            <w:pPr>
              <w:pStyle w:val="104"/>
              <w:rPr>
                <w:rFonts w:hint="eastAsia" w:eastAsia="宋体"/>
                <w:color w:val="auto"/>
                <w:highlight w:val="none"/>
                <w:lang w:val="en-US" w:eastAsia="zh-CN"/>
              </w:rPr>
            </w:pPr>
            <w:r>
              <w:rPr>
                <w:rFonts w:hint="eastAsia"/>
                <w:color w:val="auto"/>
                <w:highlight w:val="none"/>
                <w:lang w:val="en-US" w:eastAsia="zh-CN"/>
              </w:rPr>
              <w:t>-</w:t>
            </w:r>
          </w:p>
        </w:tc>
        <w:tc>
          <w:tcPr>
            <w:tcW w:w="371" w:type="pct"/>
            <w:vAlign w:val="center"/>
          </w:tcPr>
          <w:p>
            <w:pPr>
              <w:pStyle w:val="104"/>
              <w:rPr>
                <w:color w:val="auto"/>
                <w:highlight w:val="none"/>
              </w:rPr>
            </w:pPr>
            <w:r>
              <w:rPr>
                <w:rFonts w:hint="eastAsia" w:ascii="Times New Roman" w:hAnsi="Times New Roman" w:eastAsia="宋体" w:cstheme="minorBidi"/>
                <w:color w:val="auto"/>
                <w:kern w:val="2"/>
                <w:sz w:val="21"/>
                <w:szCs w:val="24"/>
                <w:highlight w:val="none"/>
                <w:lang w:val="en-US" w:eastAsia="zh-CN" w:bidi="ar-SA"/>
              </w:rPr>
              <w:t>0.002</w:t>
            </w:r>
          </w:p>
        </w:tc>
        <w:tc>
          <w:tcPr>
            <w:tcW w:w="371" w:type="pct"/>
            <w:vAlign w:val="center"/>
          </w:tcPr>
          <w:p>
            <w:pPr>
              <w:pStyle w:val="104"/>
              <w:rPr>
                <w:color w:val="auto"/>
                <w:highlight w:val="none"/>
              </w:rPr>
            </w:pPr>
            <w:r>
              <w:rPr>
                <w:rFonts w:hint="eastAsia" w:ascii="Times New Roman" w:hAnsi="Times New Roman" w:eastAsia="宋体" w:cstheme="minorBidi"/>
                <w:color w:val="auto"/>
                <w:kern w:val="2"/>
                <w:sz w:val="21"/>
                <w:szCs w:val="24"/>
                <w:highlight w:val="none"/>
                <w:lang w:val="en-US" w:eastAsia="zh-CN" w:bidi="ar-SA"/>
              </w:rPr>
              <w:t>0.015</w:t>
            </w:r>
          </w:p>
        </w:tc>
        <w:tc>
          <w:tcPr>
            <w:tcW w:w="743" w:type="pct"/>
            <w:gridSpan w:val="2"/>
            <w:vMerge w:val="continue"/>
            <w:vAlign w:val="center"/>
          </w:tcPr>
          <w:p>
            <w:pPr>
              <w:pStyle w:val="104"/>
              <w:rPr>
                <w:color w:val="auto"/>
                <w:highlight w:val="none"/>
              </w:rPr>
            </w:pPr>
          </w:p>
        </w:tc>
      </w:tr>
    </w:tbl>
    <w:p>
      <w:pPr>
        <w:pStyle w:val="16"/>
        <w:rPr>
          <w:rFonts w:hint="default"/>
          <w:color w:val="auto"/>
          <w:highlight w:val="none"/>
        </w:rPr>
      </w:pPr>
    </w:p>
    <w:p>
      <w:pPr>
        <w:pStyle w:val="16"/>
        <w:rPr>
          <w:rFonts w:hint="default"/>
          <w:color w:val="auto"/>
          <w:highlight w:val="none"/>
        </w:rPr>
        <w:sectPr>
          <w:pgSz w:w="16838" w:h="11906" w:orient="landscape"/>
          <w:pgMar w:top="1304" w:right="1440" w:bottom="1304" w:left="1440" w:header="851" w:footer="992" w:gutter="0"/>
          <w:pgBorders>
            <w:top w:val="none" w:sz="0" w:space="0"/>
            <w:left w:val="none" w:sz="0" w:space="0"/>
            <w:bottom w:val="none" w:sz="0" w:space="0"/>
            <w:right w:val="none" w:sz="0" w:space="0"/>
          </w:pgBorders>
          <w:pgNumType w:fmt="numberInDash"/>
          <w:cols w:space="0" w:num="1"/>
          <w:docGrid w:type="lines" w:linePitch="312" w:charSpace="0"/>
        </w:sectPr>
      </w:pPr>
    </w:p>
    <w:p>
      <w:pPr>
        <w:pStyle w:val="16"/>
        <w:rPr>
          <w:rFonts w:hint="default"/>
          <w:color w:val="auto"/>
          <w:highlight w:val="none"/>
        </w:rPr>
      </w:pPr>
    </w:p>
    <w:p>
      <w:pPr>
        <w:bidi w:val="0"/>
        <w:rPr>
          <w:rFonts w:hint="default"/>
        </w:rPr>
      </w:pPr>
      <w:r>
        <w:rPr>
          <w:rFonts w:hint="default"/>
        </w:rPr>
        <w:t>3、柴油发电机废气</w:t>
      </w:r>
      <w:bookmarkEnd w:id="97"/>
      <w:bookmarkEnd w:id="98"/>
    </w:p>
    <w:p>
      <w:pPr>
        <w:autoSpaceDE w:val="0"/>
        <w:autoSpaceDN w:val="0"/>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的柴油发电机设置于生产辅助用房内，仅在停电时临时使用，采用柴油作为燃料，在发电机运行过程中由于柴油的燃烧会产生一定量的废气，该类废气中的主要污染物为CO、HC、NOx等。由于备用柴油发电机的使用频率较低，年使用时间在30h左右，因此废气产生量很少，本评价不对其进行定量分析。只要严格按照要求操作，控制好燃烧状况，柴油发电机燃烧废气柴油发电机尾气通过内置专用烟道引至所在建筑物屋顶排放，厂区周围设置有绿化带，对周边环境影响较小。</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运营期噪声污染源分析</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本项目的噪声主要来源于脱水机、污泥泵等各类泵、空压机等机械，经类比调查，其噪声源的源强为80～105dB(A)，各主要设备噪声源见下表。</w:t>
      </w:r>
    </w:p>
    <w:p>
      <w:pPr>
        <w:spacing w:line="240" w:lineRule="auto"/>
        <w:ind w:firstLine="0" w:firstLineChars="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表</w:t>
      </w:r>
      <w:r>
        <w:rPr>
          <w:rFonts w:hint="default" w:ascii="Times New Roman" w:hAnsi="Times New Roman" w:cs="Times New Roman"/>
          <w:color w:val="auto"/>
          <w:highlight w:val="none"/>
        </w:rPr>
        <w:t>3.5-</w:t>
      </w:r>
      <w:r>
        <w:rPr>
          <w:rFonts w:hint="eastAsia" w:cs="Times New Roman"/>
          <w:color w:val="auto"/>
          <w:highlight w:val="none"/>
          <w:lang w:val="en-US" w:eastAsia="zh-CN"/>
        </w:rPr>
        <w:t>13</w:t>
      </w:r>
      <w:r>
        <w:rPr>
          <w:rFonts w:hint="default" w:ascii="Times New Roman" w:hAnsi="Times New Roman" w:eastAsia="黑体" w:cs="Times New Roman"/>
          <w:color w:val="auto"/>
          <w:highlight w:val="none"/>
        </w:rPr>
        <w:t>各设备噪声声级</w:t>
      </w:r>
    </w:p>
    <w:tbl>
      <w:tblPr>
        <w:tblStyle w:val="33"/>
        <w:tblW w:w="97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2112"/>
        <w:gridCol w:w="1095"/>
        <w:gridCol w:w="1527"/>
        <w:gridCol w:w="1687"/>
        <w:gridCol w:w="1099"/>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噪声源</w:t>
            </w:r>
          </w:p>
        </w:tc>
        <w:tc>
          <w:tcPr>
            <w:tcW w:w="211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设备</w:t>
            </w:r>
          </w:p>
        </w:tc>
        <w:tc>
          <w:tcPr>
            <w:tcW w:w="109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噪声级dB（A）</w:t>
            </w:r>
          </w:p>
        </w:tc>
        <w:tc>
          <w:tcPr>
            <w:tcW w:w="152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设备位置</w:t>
            </w:r>
          </w:p>
        </w:tc>
        <w:tc>
          <w:tcPr>
            <w:tcW w:w="168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距最近厂界距离</w:t>
            </w:r>
          </w:p>
        </w:tc>
        <w:tc>
          <w:tcPr>
            <w:tcW w:w="109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防治措施</w:t>
            </w:r>
          </w:p>
        </w:tc>
        <w:tc>
          <w:tcPr>
            <w:tcW w:w="109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削减源强dB（A）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提升泵房</w:t>
            </w:r>
          </w:p>
        </w:tc>
        <w:tc>
          <w:tcPr>
            <w:tcW w:w="211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提升泵</w:t>
            </w:r>
          </w:p>
        </w:tc>
        <w:tc>
          <w:tcPr>
            <w:tcW w:w="109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90～100</w:t>
            </w:r>
          </w:p>
        </w:tc>
        <w:tc>
          <w:tcPr>
            <w:tcW w:w="152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生产辅助用房</w:t>
            </w:r>
          </w:p>
        </w:tc>
        <w:tc>
          <w:tcPr>
            <w:tcW w:w="168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28m</w:t>
            </w:r>
          </w:p>
        </w:tc>
        <w:tc>
          <w:tcPr>
            <w:tcW w:w="109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减震垫、隔声</w:t>
            </w:r>
          </w:p>
        </w:tc>
        <w:tc>
          <w:tcPr>
            <w:tcW w:w="109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鼓风机房</w:t>
            </w:r>
          </w:p>
        </w:tc>
        <w:tc>
          <w:tcPr>
            <w:tcW w:w="211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鼓风机、脱水机房</w:t>
            </w:r>
          </w:p>
        </w:tc>
        <w:tc>
          <w:tcPr>
            <w:tcW w:w="109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95～105</w:t>
            </w:r>
          </w:p>
        </w:tc>
        <w:tc>
          <w:tcPr>
            <w:tcW w:w="152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生产辅助用房</w:t>
            </w:r>
          </w:p>
        </w:tc>
        <w:tc>
          <w:tcPr>
            <w:tcW w:w="168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30m</w:t>
            </w:r>
          </w:p>
        </w:tc>
        <w:tc>
          <w:tcPr>
            <w:tcW w:w="109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减震垫、隔声</w:t>
            </w:r>
          </w:p>
        </w:tc>
        <w:tc>
          <w:tcPr>
            <w:tcW w:w="109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脱水机房</w:t>
            </w:r>
          </w:p>
        </w:tc>
        <w:tc>
          <w:tcPr>
            <w:tcW w:w="211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污泥脱水机、污泥泵</w:t>
            </w:r>
          </w:p>
        </w:tc>
        <w:tc>
          <w:tcPr>
            <w:tcW w:w="109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85～90</w:t>
            </w:r>
          </w:p>
        </w:tc>
        <w:tc>
          <w:tcPr>
            <w:tcW w:w="152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生产辅助用房</w:t>
            </w:r>
          </w:p>
        </w:tc>
        <w:tc>
          <w:tcPr>
            <w:tcW w:w="168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26m</w:t>
            </w:r>
          </w:p>
        </w:tc>
        <w:tc>
          <w:tcPr>
            <w:tcW w:w="109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减震垫、隔声</w:t>
            </w:r>
          </w:p>
        </w:tc>
        <w:tc>
          <w:tcPr>
            <w:tcW w:w="109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生物除臭</w:t>
            </w:r>
          </w:p>
        </w:tc>
        <w:tc>
          <w:tcPr>
            <w:tcW w:w="211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风机</w:t>
            </w:r>
          </w:p>
        </w:tc>
        <w:tc>
          <w:tcPr>
            <w:tcW w:w="109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95～105</w:t>
            </w:r>
          </w:p>
        </w:tc>
        <w:tc>
          <w:tcPr>
            <w:tcW w:w="152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除臭系统</w:t>
            </w:r>
          </w:p>
        </w:tc>
        <w:tc>
          <w:tcPr>
            <w:tcW w:w="168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29m</w:t>
            </w:r>
          </w:p>
        </w:tc>
        <w:tc>
          <w:tcPr>
            <w:tcW w:w="109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减震垫、隔声</w:t>
            </w:r>
          </w:p>
        </w:tc>
        <w:tc>
          <w:tcPr>
            <w:tcW w:w="109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20</w:t>
            </w:r>
          </w:p>
        </w:tc>
      </w:tr>
    </w:tbl>
    <w:p>
      <w:pPr>
        <w:pStyle w:val="2"/>
        <w:rPr>
          <w:rFonts w:hint="default" w:ascii="Times New Roman" w:hAnsi="Times New Roman" w:cs="Times New Roman"/>
          <w:color w:val="auto"/>
          <w:highlight w:val="none"/>
        </w:rPr>
      </w:pPr>
      <w:bookmarkStart w:id="100" w:name="_Toc8425"/>
      <w:r>
        <w:rPr>
          <w:rFonts w:hint="default" w:ascii="Times New Roman" w:hAnsi="Times New Roman" w:cs="Times New Roman"/>
          <w:color w:val="auto"/>
          <w:highlight w:val="none"/>
        </w:rPr>
        <w:t>运营期固体废物</w:t>
      </w:r>
      <w:bookmarkEnd w:id="100"/>
      <w:r>
        <w:rPr>
          <w:rFonts w:hint="default" w:ascii="Times New Roman" w:hAnsi="Times New Roman" w:cs="Times New Roman"/>
          <w:color w:val="auto"/>
          <w:highlight w:val="none"/>
        </w:rPr>
        <w:t>污染源分析</w:t>
      </w:r>
    </w:p>
    <w:p>
      <w:pPr>
        <w:autoSpaceDE w:val="0"/>
        <w:autoSpaceDN w:val="0"/>
        <w:adjustRightInd w:val="0"/>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运营期项目固体废物主要来自污水处理设施产生的污泥、栅渣及沉砂，职工产生的生活垃圾、设备使用过程中</w:t>
      </w:r>
      <w:r>
        <w:rPr>
          <w:rFonts w:hint="default" w:ascii="Times New Roman" w:hAnsi="Times New Roman" w:cs="Times New Roman"/>
          <w:color w:val="auto"/>
          <w:highlight w:val="none"/>
        </w:rPr>
        <w:t>产生的</w:t>
      </w:r>
      <w:r>
        <w:rPr>
          <w:rFonts w:hint="default" w:ascii="Times New Roman" w:hAnsi="Times New Roman" w:cs="Times New Roman"/>
          <w:color w:val="auto"/>
          <w:highlight w:val="none"/>
          <w:lang w:val="zh-CN"/>
        </w:rPr>
        <w:t>废</w:t>
      </w:r>
      <w:r>
        <w:rPr>
          <w:rFonts w:hint="default" w:ascii="Times New Roman" w:hAnsi="Times New Roman" w:cs="Times New Roman"/>
          <w:color w:val="auto"/>
          <w:highlight w:val="none"/>
        </w:rPr>
        <w:t>润滑</w:t>
      </w:r>
      <w:r>
        <w:rPr>
          <w:rFonts w:hint="default" w:ascii="Times New Roman" w:hAnsi="Times New Roman" w:cs="Times New Roman"/>
          <w:color w:val="auto"/>
          <w:highlight w:val="none"/>
          <w:lang w:val="zh-CN"/>
        </w:rPr>
        <w:t>油。</w:t>
      </w:r>
    </w:p>
    <w:p>
      <w:pPr>
        <w:autoSpaceDE w:val="0"/>
        <w:autoSpaceDN w:val="0"/>
        <w:adjustRightInd w:val="0"/>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zh-CN"/>
        </w:rPr>
        <w:t>）</w:t>
      </w:r>
      <w:r>
        <w:rPr>
          <w:rFonts w:hint="eastAsia" w:cs="Times New Roman"/>
          <w:color w:val="auto"/>
          <w:highlight w:val="none"/>
          <w:lang w:val="en-US" w:eastAsia="zh-CN"/>
        </w:rPr>
        <w:t>灌溉季</w:t>
      </w:r>
      <w:r>
        <w:rPr>
          <w:rFonts w:hint="default" w:ascii="Times New Roman" w:hAnsi="Times New Roman" w:cs="Times New Roman"/>
          <w:color w:val="auto"/>
          <w:highlight w:val="none"/>
          <w:lang w:val="zh-CN"/>
        </w:rPr>
        <w:t>剩余污泥</w:t>
      </w:r>
    </w:p>
    <w:p>
      <w:pPr>
        <w:ind w:firstLine="480"/>
        <w:rPr>
          <w:rFonts w:hint="default" w:ascii="Times New Roman" w:hAnsi="Times New Roman" w:cs="Times New Roman"/>
          <w:color w:val="auto"/>
          <w:highlight w:val="none"/>
        </w:rPr>
      </w:pPr>
      <w:r>
        <w:rPr>
          <w:rFonts w:hint="default" w:ascii="Times New Roman" w:hAnsi="Times New Roman" w:eastAsia="宋体" w:cs="Times New Roman"/>
          <w:b w:val="0"/>
          <w:bCs/>
          <w:color w:val="auto"/>
          <w:kern w:val="2"/>
          <w:sz w:val="24"/>
          <w:szCs w:val="24"/>
          <w:highlight w:val="none"/>
          <w:lang w:val="en-US" w:eastAsia="zh-CN" w:bidi="ar-SA"/>
        </w:rPr>
        <w:t>本项目</w:t>
      </w:r>
      <w:r>
        <w:rPr>
          <w:rFonts w:hint="default"/>
          <w:b w:val="0"/>
          <w:bCs/>
          <w:color w:val="auto"/>
          <w:highlight w:val="none"/>
        </w:rPr>
        <w:t>灌溉季按210天计，污水厂尾水量为</w:t>
      </w:r>
      <w:r>
        <w:rPr>
          <w:rFonts w:hint="eastAsia"/>
          <w:b w:val="0"/>
          <w:bCs/>
          <w:color w:val="auto"/>
          <w:highlight w:val="none"/>
          <w:lang w:val="en-US" w:eastAsia="zh-CN"/>
        </w:rPr>
        <w:t>3</w:t>
      </w:r>
      <w:r>
        <w:rPr>
          <w:rFonts w:hint="default"/>
          <w:b w:val="0"/>
          <w:bCs/>
          <w:color w:val="auto"/>
          <w:highlight w:val="none"/>
        </w:rPr>
        <w:t>0000m</w:t>
      </w:r>
      <w:r>
        <w:rPr>
          <w:rFonts w:hint="default"/>
          <w:b w:val="0"/>
          <w:bCs/>
          <w:color w:val="auto"/>
          <w:highlight w:val="none"/>
          <w:vertAlign w:val="superscript"/>
        </w:rPr>
        <w:t>3</w:t>
      </w:r>
      <w:r>
        <w:rPr>
          <w:rFonts w:hint="default"/>
          <w:b w:val="0"/>
          <w:bCs/>
          <w:color w:val="auto"/>
          <w:highlight w:val="none"/>
        </w:rPr>
        <w:t>/d</w:t>
      </w:r>
      <w:r>
        <w:rPr>
          <w:rFonts w:hint="default" w:ascii="Times New Roman" w:hAnsi="Times New Roman" w:cs="Times New Roman"/>
          <w:color w:val="auto"/>
          <w:highlight w:val="none"/>
        </w:rPr>
        <w:t>。根据《排污许可证申请与核发技术规范水处理（试行）HJ9782018》计算，公式如下：</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pict>
          <v:shape id="_x0000_s1267" o:spid="_x0000_s1267" o:spt="75" type="#_x0000_t75" style="position:absolute;left:0pt;margin-left:82.55pt;margin-top:1.85pt;height:24.05pt;width:156.3pt;z-index:251665408;mso-width-relative:page;mso-height-relative:page;" o:ole="t" filled="f" o:preferrelative="t" stroked="f" coordsize="21600,21600">
            <v:path/>
            <v:fill on="f" focussize="0,0"/>
            <v:stroke on="f" joinstyle="miter"/>
            <v:imagedata r:id="rId32" o:title=""/>
            <o:lock v:ext="edit" aspectratio="t"/>
          </v:shape>
          <o:OLEObject Type="Embed" ProgID="Equation.KSEE3" ShapeID="_x0000_s1267" DrawAspect="Content" ObjectID="_1468075725" r:id="rId31">
            <o:LockedField>false</o:LockedField>
          </o:OLEObject>
        </w:pict>
      </w:r>
      <w:r>
        <w:rPr>
          <w:rFonts w:hint="default" w:ascii="Times New Roman" w:hAnsi="Times New Roman" w:cs="Times New Roman"/>
          <w:color w:val="auto"/>
          <w:highlight w:val="none"/>
        </w:rPr>
        <w:t>公式：</w:t>
      </w:r>
    </w:p>
    <w:p>
      <w:pPr>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式中：E产生量—污水处理过程中产生的污泥量，以干泥计，t；</w:t>
      </w:r>
    </w:p>
    <w:p>
      <w:pPr>
        <w:ind w:firstLine="1200" w:firstLineChars="50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Q—核算时段内排污单位废水排放量，m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，具有有效出水口实测值按实测值计，无有效出水口实测值按进水口实测值计，无有效进水口实测值按协议进水水量计</w:t>
      </w:r>
      <w:r>
        <w:rPr>
          <w:rFonts w:hint="eastAsia"/>
          <w:color w:val="auto"/>
          <w:highlight w:val="none"/>
          <w:lang w:eastAsia="zh-CN"/>
        </w:rPr>
        <w:t>（</w:t>
      </w:r>
      <w:r>
        <w:rPr>
          <w:rFonts w:hint="eastAsia" w:cs="Times New Roman"/>
          <w:color w:val="auto"/>
          <w:highlight w:val="none"/>
          <w:lang w:val="en-US" w:eastAsia="zh-CN"/>
        </w:rPr>
        <w:t>3</w:t>
      </w:r>
      <w:r>
        <w:rPr>
          <w:rFonts w:hint="default" w:ascii="Times New Roman" w:hAnsi="Times New Roman" w:cs="Times New Roman"/>
          <w:color w:val="auto"/>
          <w:highlight w:val="none"/>
        </w:rPr>
        <w:t>万m³/d</w:t>
      </w:r>
      <w:r>
        <w:rPr>
          <w:rFonts w:hint="eastAsia"/>
          <w:color w:val="auto"/>
          <w:highlight w:val="none"/>
          <w:lang w:eastAsia="zh-CN"/>
        </w:rPr>
        <w:t>）</w:t>
      </w:r>
      <w:r>
        <w:rPr>
          <w:rFonts w:hint="default" w:ascii="Times New Roman" w:hAnsi="Times New Roman" w:cs="Times New Roman"/>
          <w:color w:val="auto"/>
          <w:highlight w:val="none"/>
        </w:rPr>
        <w:t>；</w:t>
      </w:r>
    </w:p>
    <w:p>
      <w:pPr>
        <w:ind w:firstLine="1200" w:firstLineChars="50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W深—有深度处理工艺（添加化学药剂）时按2计，无深度处理工艺时按1计，量纲一。</w:t>
      </w:r>
    </w:p>
    <w:p>
      <w:pPr>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经计算得，</w:t>
      </w:r>
      <w:r>
        <w:rPr>
          <w:rFonts w:hint="eastAsia" w:cs="Times New Roman"/>
          <w:color w:val="auto"/>
          <w:highlight w:val="none"/>
          <w:lang w:eastAsia="zh-CN"/>
        </w:rPr>
        <w:t>本项目</w:t>
      </w:r>
      <w:r>
        <w:rPr>
          <w:rFonts w:hint="default" w:ascii="Times New Roman" w:hAnsi="Times New Roman" w:cs="Times New Roman"/>
          <w:color w:val="auto"/>
          <w:highlight w:val="none"/>
        </w:rPr>
        <w:t>干污泥量为</w:t>
      </w:r>
      <w:r>
        <w:rPr>
          <w:rFonts w:hint="eastAsia" w:cs="Times New Roman"/>
          <w:color w:val="auto"/>
          <w:highlight w:val="none"/>
          <w:lang w:val="en-US" w:eastAsia="zh-CN"/>
        </w:rPr>
        <w:t>2142</w:t>
      </w:r>
      <w:r>
        <w:rPr>
          <w:rFonts w:hint="default" w:ascii="Times New Roman" w:hAnsi="Times New Roman" w:cs="Times New Roman"/>
          <w:color w:val="auto"/>
          <w:highlight w:val="none"/>
        </w:rPr>
        <w:t>t/a。</w:t>
      </w:r>
      <w:r>
        <w:rPr>
          <w:rFonts w:hint="eastAsia"/>
          <w:color w:val="auto"/>
          <w:highlight w:val="none"/>
          <w:lang w:val="zh-CN"/>
        </w:rPr>
        <w:t>浓缩脱水</w:t>
      </w:r>
      <w:r>
        <w:rPr>
          <w:rFonts w:hint="eastAsia"/>
          <w:color w:val="auto"/>
          <w:highlight w:val="none"/>
          <w:lang w:val="en-US" w:eastAsia="zh-CN"/>
        </w:rPr>
        <w:t>前</w:t>
      </w:r>
      <w:r>
        <w:rPr>
          <w:rFonts w:hint="eastAsia"/>
          <w:color w:val="auto"/>
          <w:highlight w:val="none"/>
          <w:lang w:val="zh-CN"/>
        </w:rPr>
        <w:t>的污泥量</w:t>
      </w:r>
      <w:r>
        <w:rPr>
          <w:rFonts w:hint="eastAsia"/>
          <w:color w:val="auto"/>
          <w:highlight w:val="none"/>
          <w:lang w:bidi="en-US"/>
        </w:rPr>
        <w:t>以含水率80%考虑，污泥产生量约为</w:t>
      </w:r>
      <w:r>
        <w:rPr>
          <w:rFonts w:hint="eastAsia"/>
          <w:color w:val="auto"/>
          <w:highlight w:val="none"/>
          <w:lang w:val="en-US" w:eastAsia="zh-CN" w:bidi="en-US"/>
        </w:rPr>
        <w:t>10710</w:t>
      </w:r>
      <w:r>
        <w:rPr>
          <w:rFonts w:hint="eastAsia"/>
          <w:color w:val="auto"/>
          <w:highlight w:val="none"/>
          <w:lang w:bidi="en-US"/>
        </w:rPr>
        <w:t>t</w:t>
      </w:r>
      <w:r>
        <w:rPr>
          <w:color w:val="auto"/>
          <w:highlight w:val="none"/>
          <w:lang w:bidi="en-US"/>
        </w:rPr>
        <w:t>/</w:t>
      </w:r>
      <w:r>
        <w:rPr>
          <w:rFonts w:hint="eastAsia"/>
          <w:color w:val="auto"/>
          <w:highlight w:val="none"/>
          <w:lang w:bidi="en-US"/>
        </w:rPr>
        <w:t>a（含水8</w:t>
      </w:r>
      <w:r>
        <w:rPr>
          <w:color w:val="auto"/>
          <w:highlight w:val="none"/>
          <w:lang w:bidi="en-US"/>
        </w:rPr>
        <w:t>0</w:t>
      </w:r>
      <w:r>
        <w:rPr>
          <w:rFonts w:hint="eastAsia"/>
          <w:color w:val="auto"/>
          <w:highlight w:val="none"/>
          <w:lang w:bidi="en-US"/>
        </w:rPr>
        <w:t>%）</w:t>
      </w:r>
      <w:r>
        <w:rPr>
          <w:rFonts w:hint="default" w:ascii="Times New Roman" w:hAnsi="Times New Roman" w:cs="Times New Roman"/>
          <w:color w:val="auto"/>
          <w:highlight w:val="none"/>
          <w:lang w:val="zh-CN"/>
        </w:rPr>
        <w:t>，经脱水至</w:t>
      </w:r>
      <w:r>
        <w:rPr>
          <w:rFonts w:hint="default" w:ascii="Times New Roman" w:hAnsi="Times New Roman" w:cs="Times New Roman"/>
          <w:color w:val="auto"/>
          <w:highlight w:val="none"/>
        </w:rPr>
        <w:t>60</w:t>
      </w:r>
      <w:r>
        <w:rPr>
          <w:rFonts w:hint="default" w:ascii="Times New Roman" w:hAnsi="Times New Roman" w:cs="Times New Roman"/>
          <w:color w:val="auto"/>
          <w:highlight w:val="none"/>
          <w:lang w:val="zh-CN"/>
        </w:rPr>
        <w:t>%后为</w:t>
      </w:r>
      <w:r>
        <w:rPr>
          <w:rFonts w:hint="eastAsia" w:cs="Times New Roman"/>
          <w:color w:val="auto"/>
          <w:highlight w:val="none"/>
          <w:lang w:val="en-US" w:eastAsia="zh-CN"/>
        </w:rPr>
        <w:t>8996.4</w:t>
      </w:r>
      <w:r>
        <w:rPr>
          <w:rFonts w:hint="default" w:ascii="Times New Roman" w:hAnsi="Times New Roman" w:cs="Times New Roman"/>
          <w:color w:val="auto"/>
          <w:highlight w:val="none"/>
          <w:lang w:val="zh-CN"/>
        </w:rPr>
        <w:t>t/a。</w:t>
      </w:r>
      <w:r>
        <w:rPr>
          <w:rFonts w:hint="eastAsia" w:cs="Times New Roman"/>
          <w:color w:val="auto"/>
          <w:highlight w:val="none"/>
          <w:lang w:val="en-US" w:eastAsia="zh-CN"/>
        </w:rPr>
        <w:t>根据现有污水处理厂针对</w:t>
      </w:r>
      <w:r>
        <w:rPr>
          <w:rFonts w:hint="default" w:ascii="Times New Roman" w:hAnsi="Times New Roman" w:cs="Times New Roman"/>
          <w:color w:val="auto"/>
          <w:highlight w:val="none"/>
          <w:lang w:val="zh-CN"/>
        </w:rPr>
        <w:t>污泥危险废物鉴别实验，</w:t>
      </w:r>
      <w:r>
        <w:rPr>
          <w:rFonts w:hint="eastAsia" w:cs="Times New Roman"/>
          <w:color w:val="auto"/>
          <w:highlight w:val="none"/>
          <w:lang w:val="en-US" w:eastAsia="zh-CN"/>
        </w:rPr>
        <w:t>可知本项目污泥为一般固体废物（见附件污泥鉴别报告），</w:t>
      </w:r>
      <w:r>
        <w:rPr>
          <w:rFonts w:hint="eastAsia" w:cs="Times New Roman"/>
          <w:color w:val="auto"/>
          <w:highlight w:val="none"/>
          <w:lang w:val="zh-CN"/>
        </w:rPr>
        <w:t>污泥经脱水至含水率小于60%后，与栅渣、沉砂一起运至生活垃圾填埋场进行卫生填埋</w:t>
      </w:r>
      <w:r>
        <w:rPr>
          <w:rFonts w:hint="default" w:ascii="Times New Roman" w:hAnsi="Times New Roman" w:cs="Times New Roman"/>
          <w:color w:val="auto"/>
          <w:highlight w:val="none"/>
          <w:lang w:val="zh-CN"/>
        </w:rPr>
        <w:t>。</w:t>
      </w:r>
    </w:p>
    <w:p>
      <w:pPr>
        <w:autoSpaceDE w:val="0"/>
        <w:autoSpaceDN w:val="0"/>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zh-CN"/>
        </w:rPr>
        <w:t>根据设计方案，粗格栅的格栅间距为</w:t>
      </w:r>
      <w:r>
        <w:rPr>
          <w:rFonts w:hint="default" w:ascii="Times New Roman" w:hAnsi="Times New Roman" w:cs="Times New Roman"/>
          <w:color w:val="auto"/>
          <w:highlight w:val="none"/>
        </w:rPr>
        <w:t>25</w:t>
      </w:r>
      <w:r>
        <w:rPr>
          <w:rFonts w:hint="default" w:ascii="Times New Roman" w:hAnsi="Times New Roman" w:cs="Times New Roman"/>
          <w:color w:val="auto"/>
          <w:highlight w:val="none"/>
          <w:lang w:val="zh-CN"/>
        </w:rPr>
        <w:t>mm，细格栅的格栅间距为</w:t>
      </w:r>
      <w:r>
        <w:rPr>
          <w:rFonts w:hint="default" w:ascii="Times New Roman" w:hAnsi="Times New Roman" w:cs="Times New Roman"/>
          <w:color w:val="auto"/>
          <w:highlight w:val="none"/>
        </w:rPr>
        <w:t>5</w:t>
      </w:r>
      <w:r>
        <w:rPr>
          <w:rFonts w:hint="default" w:ascii="Times New Roman" w:hAnsi="Times New Roman" w:cs="Times New Roman"/>
          <w:color w:val="auto"/>
          <w:highlight w:val="none"/>
          <w:lang w:val="zh-CN"/>
        </w:rPr>
        <w:t>mm。据资料介绍，废水经15-25mm格栅拦截的栅渣量一般约为2.5-3.5t/10</w:t>
      </w:r>
      <w:r>
        <w:rPr>
          <w:rFonts w:hint="default" w:ascii="Times New Roman" w:hAnsi="Times New Roman" w:cs="Times New Roman"/>
          <w:color w:val="auto"/>
          <w:highlight w:val="none"/>
          <w:vertAlign w:val="superscript"/>
          <w:lang w:val="zh-CN"/>
        </w:rPr>
        <w:t>6</w:t>
      </w:r>
      <w:r>
        <w:rPr>
          <w:rFonts w:hint="default" w:ascii="Times New Roman" w:hAnsi="Times New Roman" w:cs="Times New Roman"/>
          <w:color w:val="auto"/>
          <w:highlight w:val="none"/>
          <w:lang w:val="zh-CN"/>
        </w:rPr>
        <w:t>m</w:t>
      </w:r>
      <w:r>
        <w:rPr>
          <w:rFonts w:hint="default" w:ascii="Times New Roman" w:hAnsi="Times New Roman" w:cs="Times New Roman"/>
          <w:color w:val="auto"/>
          <w:highlight w:val="none"/>
          <w:vertAlign w:val="superscript"/>
          <w:lang w:val="zh-CN"/>
        </w:rPr>
        <w:t>3</w:t>
      </w:r>
      <w:r>
        <w:rPr>
          <w:rFonts w:hint="default" w:ascii="Times New Roman" w:hAnsi="Times New Roman" w:cs="Times New Roman"/>
          <w:color w:val="auto"/>
          <w:highlight w:val="none"/>
          <w:lang w:val="zh-CN"/>
        </w:rPr>
        <w:t>污水。根据项目污水处理规模推算，由格栅拦截的固体废物量约为</w:t>
      </w:r>
      <w:r>
        <w:rPr>
          <w:rFonts w:hint="eastAsia" w:cs="Times New Roman"/>
          <w:color w:val="auto"/>
          <w:highlight w:val="none"/>
          <w:lang w:val="en-US" w:eastAsia="zh-CN"/>
        </w:rPr>
        <w:t>22.05</w:t>
      </w:r>
      <w:r>
        <w:rPr>
          <w:rFonts w:hint="default" w:ascii="Times New Roman" w:hAnsi="Times New Roman" w:cs="Times New Roman"/>
          <w:color w:val="auto"/>
          <w:highlight w:val="none"/>
          <w:lang w:val="zh-CN"/>
        </w:rPr>
        <w:t>t/a。</w:t>
      </w:r>
      <w:r>
        <w:rPr>
          <w:rFonts w:hint="default" w:ascii="Times New Roman" w:hAnsi="Times New Roman" w:eastAsia="宋体" w:cs="Times New Roman"/>
          <w:color w:val="auto"/>
          <w:sz w:val="24"/>
          <w:szCs w:val="24"/>
          <w:highlight w:val="none"/>
        </w:rPr>
        <w:t>栅渣、沉砂一起运至生活垃圾填埋场进行卫生填埋</w:t>
      </w:r>
      <w:r>
        <w:rPr>
          <w:rFonts w:hint="default" w:ascii="Times New Roman" w:hAnsi="Times New Roman" w:cs="Times New Roman"/>
          <w:color w:val="auto"/>
          <w:highlight w:val="none"/>
        </w:rPr>
        <w:t>。</w:t>
      </w:r>
    </w:p>
    <w:p>
      <w:pPr>
        <w:autoSpaceDE w:val="0"/>
        <w:autoSpaceDN w:val="0"/>
        <w:adjustRightInd w:val="0"/>
        <w:ind w:firstLine="480"/>
        <w:rPr>
          <w:rFonts w:hint="eastAsia" w:ascii="Times New Roman" w:hAnsi="Times New Roman" w:eastAsia="宋体" w:cs="Times New Roman"/>
          <w:color w:val="FF0000"/>
          <w:highlight w:val="none"/>
          <w:lang w:val="en-US" w:eastAsia="zh-CN"/>
        </w:rPr>
      </w:pPr>
      <w:r>
        <w:rPr>
          <w:rFonts w:ascii="Times New Roman" w:hAnsi="Times New Roman" w:eastAsia="Times New Roman" w:cs="Times New Roman"/>
          <w:color w:val="FF0000"/>
          <w:spacing w:val="-1"/>
          <w:sz w:val="24"/>
          <w:szCs w:val="24"/>
          <w:highlight w:val="none"/>
        </w:rPr>
        <w:t>2019</w:t>
      </w:r>
      <w:r>
        <w:rPr>
          <w:color w:val="FF0000"/>
          <w:spacing w:val="-1"/>
          <w:sz w:val="24"/>
          <w:szCs w:val="24"/>
          <w:highlight w:val="none"/>
        </w:rPr>
        <w:t>年</w:t>
      </w:r>
      <w:r>
        <w:rPr>
          <w:rFonts w:hint="eastAsia" w:ascii="Times New Roman" w:hAnsi="Times New Roman" w:eastAsia="宋体" w:cs="Times New Roman"/>
          <w:color w:val="FF0000"/>
          <w:spacing w:val="-1"/>
          <w:sz w:val="24"/>
          <w:szCs w:val="24"/>
          <w:highlight w:val="none"/>
          <w:lang w:val="en-US" w:eastAsia="zh-CN"/>
        </w:rPr>
        <w:t>12</w:t>
      </w:r>
      <w:r>
        <w:rPr>
          <w:color w:val="FF0000"/>
          <w:spacing w:val="-1"/>
          <w:sz w:val="24"/>
          <w:szCs w:val="24"/>
          <w:highlight w:val="none"/>
        </w:rPr>
        <w:t>月，</w:t>
      </w:r>
      <w:r>
        <w:rPr>
          <w:rFonts w:hint="eastAsia"/>
          <w:color w:val="FF0000"/>
          <w:spacing w:val="-1"/>
          <w:sz w:val="24"/>
          <w:szCs w:val="24"/>
          <w:highlight w:val="none"/>
          <w:lang w:val="en-US" w:eastAsia="zh-CN"/>
        </w:rPr>
        <w:t>南京环境科学研究所出具的</w:t>
      </w:r>
      <w:r>
        <w:rPr>
          <w:rFonts w:hint="eastAsia"/>
          <w:color w:val="FF0000"/>
          <w:spacing w:val="-1"/>
          <w:sz w:val="24"/>
          <w:szCs w:val="24"/>
          <w:highlight w:val="none"/>
          <w:lang w:eastAsia="zh-CN"/>
        </w:rPr>
        <w:t>《</w:t>
      </w:r>
      <w:r>
        <w:rPr>
          <w:color w:val="FF0000"/>
          <w:spacing w:val="-3"/>
          <w:sz w:val="24"/>
          <w:szCs w:val="24"/>
          <w:highlight w:val="none"/>
        </w:rPr>
        <w:t>昌吉国家农业科技园区现代农业精深加工示范区污水处理厂</w:t>
      </w:r>
      <w:r>
        <w:rPr>
          <w:rFonts w:hint="eastAsia"/>
          <w:color w:val="FF0000"/>
          <w:spacing w:val="-3"/>
          <w:sz w:val="24"/>
          <w:szCs w:val="24"/>
          <w:highlight w:val="none"/>
          <w:lang w:val="en-US" w:eastAsia="zh-CN"/>
        </w:rPr>
        <w:t>的污泥鉴定报告</w:t>
      </w:r>
      <w:r>
        <w:rPr>
          <w:rFonts w:hint="eastAsia"/>
          <w:color w:val="FF0000"/>
          <w:spacing w:val="-1"/>
          <w:sz w:val="24"/>
          <w:szCs w:val="24"/>
          <w:highlight w:val="none"/>
          <w:lang w:eastAsia="zh-CN"/>
        </w:rPr>
        <w:t>》</w:t>
      </w:r>
      <w:r>
        <w:rPr>
          <w:rFonts w:hint="eastAsia"/>
          <w:color w:val="FF0000"/>
          <w:spacing w:val="-3"/>
          <w:sz w:val="24"/>
          <w:szCs w:val="24"/>
          <w:highlight w:val="none"/>
          <w:lang w:eastAsia="zh-CN"/>
        </w:rPr>
        <w:t>，</w:t>
      </w:r>
      <w:r>
        <w:rPr>
          <w:rFonts w:hint="default" w:ascii="Times New Roman" w:hAnsi="Times New Roman" w:cs="Times New Roman"/>
          <w:color w:val="FF0000"/>
          <w:highlight w:val="none"/>
          <w:lang w:val="en-US" w:eastAsia="en-US"/>
        </w:rPr>
        <w:t>根据《危险废物鉴别标准浸出毒性鉴别》（GB5085.3-2007），对污泥进行了初筛检测</w:t>
      </w:r>
      <w:r>
        <w:rPr>
          <w:rFonts w:hint="eastAsia" w:cs="Times New Roman"/>
          <w:color w:val="FF0000"/>
          <w:highlight w:val="none"/>
          <w:lang w:val="en-US" w:eastAsia="zh-CN"/>
        </w:rPr>
        <w:t>。</w:t>
      </w:r>
    </w:p>
    <w:p>
      <w:pPr>
        <w:spacing w:line="240" w:lineRule="auto"/>
        <w:ind w:firstLine="0" w:firstLineChars="0"/>
        <w:jc w:val="center"/>
        <w:rPr>
          <w:rFonts w:hint="default" w:ascii="Times New Roman" w:hAnsi="Times New Roman" w:eastAsia="黑体" w:cs="Times New Roman"/>
          <w:color w:val="FF0000"/>
          <w:highlight w:val="none"/>
          <w:lang w:eastAsia="en-US"/>
        </w:rPr>
      </w:pPr>
      <w:r>
        <w:rPr>
          <w:rFonts w:hint="eastAsia" w:ascii="Times New Roman" w:hAnsi="Times New Roman" w:eastAsia="黑体" w:cs="Times New Roman"/>
          <w:color w:val="FF0000"/>
          <w:highlight w:val="none"/>
          <w:lang w:val="en-US" w:eastAsia="zh-CN"/>
        </w:rPr>
        <w:t>表3.5-</w:t>
      </w:r>
      <w:r>
        <w:rPr>
          <w:rFonts w:hint="eastAsia" w:eastAsia="黑体" w:cs="Times New Roman"/>
          <w:color w:val="FF0000"/>
          <w:highlight w:val="none"/>
          <w:lang w:val="en-US" w:eastAsia="zh-CN"/>
        </w:rPr>
        <w:t>14</w:t>
      </w:r>
      <w:r>
        <w:rPr>
          <w:rFonts w:hint="default" w:ascii="Times New Roman" w:hAnsi="Times New Roman" w:eastAsia="黑体" w:cs="Times New Roman"/>
          <w:color w:val="FF0000"/>
          <w:highlight w:val="none"/>
          <w:lang w:eastAsia="en-US"/>
        </w:rPr>
        <w:t>污泥样品中的</w:t>
      </w:r>
      <w:r>
        <w:rPr>
          <w:rFonts w:hint="eastAsia" w:ascii="Times New Roman" w:hAnsi="Times New Roman" w:eastAsia="黑体" w:cs="Times New Roman"/>
          <w:color w:val="FF0000"/>
          <w:highlight w:val="none"/>
          <w:lang w:val="en-US" w:eastAsia="zh-CN"/>
        </w:rPr>
        <w:t>浸出毒</w:t>
      </w:r>
      <w:r>
        <w:rPr>
          <w:rFonts w:hint="default" w:ascii="Times New Roman" w:hAnsi="Times New Roman" w:eastAsia="黑体" w:cs="Times New Roman"/>
          <w:color w:val="FF0000"/>
          <w:highlight w:val="none"/>
          <w:lang w:eastAsia="en-US"/>
        </w:rPr>
        <w:t>性定量检测结果表(mg/L)</w:t>
      </w:r>
    </w:p>
    <w:tbl>
      <w:tblPr>
        <w:tblStyle w:val="57"/>
        <w:tblW w:w="500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324"/>
        <w:gridCol w:w="1824"/>
        <w:gridCol w:w="1401"/>
        <w:gridCol w:w="27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5000" w:type="pct"/>
            <w:gridSpan w:val="4"/>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无机元素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784"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检测因子</w:t>
            </w:r>
          </w:p>
        </w:tc>
        <w:tc>
          <w:tcPr>
            <w:tcW w:w="979"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检出限污泥-1</w:t>
            </w:r>
          </w:p>
        </w:tc>
        <w:tc>
          <w:tcPr>
            <w:tcW w:w="752"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污泥-2</w:t>
            </w:r>
          </w:p>
        </w:tc>
        <w:tc>
          <w:tcPr>
            <w:tcW w:w="1483"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val="en-US" w:eastAsia="zh-CN"/>
              </w:rPr>
            </w:pPr>
            <w:r>
              <w:rPr>
                <w:rFonts w:hint="eastAsia" w:ascii="Times New Roman" w:hAnsi="Times New Roman" w:cs="Times New Roman"/>
                <w:color w:val="FF0000"/>
                <w:sz w:val="21"/>
                <w:szCs w:val="20"/>
                <w:highlight w:val="none"/>
                <w:lang w:val="en-US" w:eastAsia="zh-CN"/>
              </w:rPr>
              <w:t>浸出液浓度限值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1784"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氟化物</w:t>
            </w:r>
          </w:p>
        </w:tc>
        <w:tc>
          <w:tcPr>
            <w:tcW w:w="979"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0.05</w:t>
            </w:r>
          </w:p>
        </w:tc>
        <w:tc>
          <w:tcPr>
            <w:tcW w:w="752"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0.253</w:t>
            </w:r>
          </w:p>
        </w:tc>
        <w:tc>
          <w:tcPr>
            <w:tcW w:w="1483"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0.155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1784"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氰化物</w:t>
            </w:r>
          </w:p>
        </w:tc>
        <w:tc>
          <w:tcPr>
            <w:tcW w:w="979"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0.0005</w:t>
            </w:r>
          </w:p>
        </w:tc>
        <w:tc>
          <w:tcPr>
            <w:tcW w:w="752"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ND</w:t>
            </w:r>
          </w:p>
        </w:tc>
        <w:tc>
          <w:tcPr>
            <w:tcW w:w="1483"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 w:hRule="atLeast"/>
        </w:trPr>
        <w:tc>
          <w:tcPr>
            <w:tcW w:w="1784"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铜(Cu)</w:t>
            </w:r>
          </w:p>
        </w:tc>
        <w:tc>
          <w:tcPr>
            <w:tcW w:w="979"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0.0025</w:t>
            </w:r>
          </w:p>
        </w:tc>
        <w:tc>
          <w:tcPr>
            <w:tcW w:w="752"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0.19</w:t>
            </w:r>
          </w:p>
        </w:tc>
        <w:tc>
          <w:tcPr>
            <w:tcW w:w="1483"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1784"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铬(Cr)</w:t>
            </w:r>
          </w:p>
        </w:tc>
        <w:tc>
          <w:tcPr>
            <w:tcW w:w="979"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0.002</w:t>
            </w:r>
          </w:p>
        </w:tc>
        <w:tc>
          <w:tcPr>
            <w:tcW w:w="752"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0.014</w:t>
            </w:r>
          </w:p>
        </w:tc>
        <w:tc>
          <w:tcPr>
            <w:tcW w:w="1483"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784"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镍(Ni)</w:t>
            </w:r>
          </w:p>
        </w:tc>
        <w:tc>
          <w:tcPr>
            <w:tcW w:w="979"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0.0038</w:t>
            </w:r>
          </w:p>
        </w:tc>
        <w:tc>
          <w:tcPr>
            <w:tcW w:w="752"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0.069</w:t>
            </w:r>
          </w:p>
        </w:tc>
        <w:tc>
          <w:tcPr>
            <w:tcW w:w="1483"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1784"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锌(Zn)</w:t>
            </w:r>
          </w:p>
        </w:tc>
        <w:tc>
          <w:tcPr>
            <w:tcW w:w="979"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0.0064</w:t>
            </w:r>
          </w:p>
        </w:tc>
        <w:tc>
          <w:tcPr>
            <w:tcW w:w="752"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0.391</w:t>
            </w:r>
          </w:p>
        </w:tc>
        <w:tc>
          <w:tcPr>
            <w:tcW w:w="1483"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0.254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1784"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银(Ag</w:t>
            </w:r>
          </w:p>
        </w:tc>
        <w:tc>
          <w:tcPr>
            <w:tcW w:w="979"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0.0029</w:t>
            </w:r>
          </w:p>
        </w:tc>
        <w:tc>
          <w:tcPr>
            <w:tcW w:w="752"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0.0008</w:t>
            </w:r>
          </w:p>
        </w:tc>
        <w:tc>
          <w:tcPr>
            <w:tcW w:w="1483"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0.0006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1784"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铅(Pb)</w:t>
            </w:r>
          </w:p>
        </w:tc>
        <w:tc>
          <w:tcPr>
            <w:tcW w:w="979"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0.0042</w:t>
            </w:r>
          </w:p>
        </w:tc>
        <w:tc>
          <w:tcPr>
            <w:tcW w:w="752"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ND</w:t>
            </w:r>
          </w:p>
        </w:tc>
        <w:tc>
          <w:tcPr>
            <w:tcW w:w="1483"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 w:hRule="atLeast"/>
        </w:trPr>
        <w:tc>
          <w:tcPr>
            <w:tcW w:w="1784"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镉(Cd)</w:t>
            </w:r>
          </w:p>
        </w:tc>
        <w:tc>
          <w:tcPr>
            <w:tcW w:w="979"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0.0012</w:t>
            </w:r>
          </w:p>
        </w:tc>
        <w:tc>
          <w:tcPr>
            <w:tcW w:w="752"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ND</w:t>
            </w:r>
          </w:p>
        </w:tc>
        <w:tc>
          <w:tcPr>
            <w:tcW w:w="1483"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 w:hRule="atLeast"/>
        </w:trPr>
        <w:tc>
          <w:tcPr>
            <w:tcW w:w="1784"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铍(Be)</w:t>
            </w:r>
          </w:p>
        </w:tc>
        <w:tc>
          <w:tcPr>
            <w:tcW w:w="979"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0.0007</w:t>
            </w:r>
          </w:p>
        </w:tc>
        <w:tc>
          <w:tcPr>
            <w:tcW w:w="752"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0.0004</w:t>
            </w:r>
          </w:p>
        </w:tc>
        <w:tc>
          <w:tcPr>
            <w:tcW w:w="1483"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0.0013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 w:hRule="atLeast"/>
        </w:trPr>
        <w:tc>
          <w:tcPr>
            <w:tcW w:w="1784"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砷(As)</w:t>
            </w:r>
          </w:p>
        </w:tc>
        <w:tc>
          <w:tcPr>
            <w:tcW w:w="979"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0.001</w:t>
            </w:r>
          </w:p>
        </w:tc>
        <w:tc>
          <w:tcPr>
            <w:tcW w:w="752"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0.0225</w:t>
            </w:r>
          </w:p>
        </w:tc>
        <w:tc>
          <w:tcPr>
            <w:tcW w:w="1483"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0.0206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1784"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硒(Sc)</w:t>
            </w:r>
          </w:p>
        </w:tc>
        <w:tc>
          <w:tcPr>
            <w:tcW w:w="979"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0.0013</w:t>
            </w:r>
          </w:p>
        </w:tc>
        <w:tc>
          <w:tcPr>
            <w:tcW w:w="752"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0.0007</w:t>
            </w:r>
          </w:p>
        </w:tc>
        <w:tc>
          <w:tcPr>
            <w:tcW w:w="1483"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0.0003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 w:hRule="atLeast"/>
        </w:trPr>
        <w:tc>
          <w:tcPr>
            <w:tcW w:w="1784"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钡(Ba)</w:t>
            </w:r>
          </w:p>
        </w:tc>
        <w:tc>
          <w:tcPr>
            <w:tcW w:w="979"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0.0018</w:t>
            </w:r>
          </w:p>
        </w:tc>
        <w:tc>
          <w:tcPr>
            <w:tcW w:w="752"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0.094</w:t>
            </w:r>
          </w:p>
        </w:tc>
        <w:tc>
          <w:tcPr>
            <w:tcW w:w="1483"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0.248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 w:hRule="atLeast"/>
        </w:trPr>
        <w:tc>
          <w:tcPr>
            <w:tcW w:w="1784"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汞(Hg</w:t>
            </w:r>
          </w:p>
        </w:tc>
        <w:tc>
          <w:tcPr>
            <w:tcW w:w="979"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0.00002</w:t>
            </w:r>
          </w:p>
        </w:tc>
        <w:tc>
          <w:tcPr>
            <w:tcW w:w="752"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ND</w:t>
            </w:r>
          </w:p>
        </w:tc>
        <w:tc>
          <w:tcPr>
            <w:tcW w:w="1483"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ND</w:t>
            </w:r>
          </w:p>
        </w:tc>
      </w:tr>
    </w:tbl>
    <w:p>
      <w:pPr>
        <w:autoSpaceDE w:val="0"/>
        <w:autoSpaceDN w:val="0"/>
        <w:adjustRightInd w:val="0"/>
        <w:ind w:firstLine="480"/>
        <w:rPr>
          <w:rFonts w:hint="default" w:ascii="Times New Roman" w:hAnsi="Times New Roman" w:cs="Times New Roman"/>
          <w:color w:val="FF0000"/>
          <w:highlight w:val="none"/>
          <w:lang w:val="en-US" w:eastAsia="en-US"/>
        </w:rPr>
      </w:pPr>
      <w:r>
        <w:rPr>
          <w:rFonts w:hint="default" w:ascii="Times New Roman" w:hAnsi="Times New Roman" w:cs="Times New Roman"/>
          <w:color w:val="FF0000"/>
          <w:highlight w:val="none"/>
          <w:lang w:val="en-US" w:eastAsia="en-US"/>
        </w:rPr>
        <w:t>初步样品分析表明，固体样品浸出液中氰化物、钡、银、硒、铍、砷、铜、锌、铬、镍和氟化物均有检出。</w:t>
      </w:r>
      <w:r>
        <w:rPr>
          <w:rFonts w:hint="eastAsia" w:cs="Times New Roman"/>
          <w:color w:val="FF0000"/>
          <w:highlight w:val="none"/>
          <w:lang w:val="en-US" w:eastAsia="zh-CN"/>
        </w:rPr>
        <w:t>但均未超过</w:t>
      </w:r>
      <w:r>
        <w:rPr>
          <w:rFonts w:hint="default" w:ascii="Times New Roman" w:hAnsi="Times New Roman" w:cs="Times New Roman"/>
          <w:color w:val="FF0000"/>
          <w:highlight w:val="none"/>
          <w:lang w:val="en-US" w:eastAsia="en-US"/>
        </w:rPr>
        <w:t>HJ/T299-2007的固体废物浸出液中任何一种危害成分含量的浓度限值，则判定该固体废物是</w:t>
      </w:r>
      <w:r>
        <w:rPr>
          <w:rFonts w:hint="eastAsia" w:cs="Times New Roman"/>
          <w:color w:val="FF0000"/>
          <w:highlight w:val="none"/>
          <w:lang w:val="en-US" w:eastAsia="zh-CN"/>
        </w:rPr>
        <w:t>不</w:t>
      </w:r>
      <w:r>
        <w:rPr>
          <w:rFonts w:hint="default" w:ascii="Times New Roman" w:hAnsi="Times New Roman" w:cs="Times New Roman"/>
          <w:color w:val="FF0000"/>
          <w:highlight w:val="none"/>
          <w:lang w:val="en-US" w:eastAsia="en-US"/>
        </w:rPr>
        <w:t>具有浸出毒性特征的危险废物。</w:t>
      </w:r>
    </w:p>
    <w:p>
      <w:pPr>
        <w:autoSpaceDE w:val="0"/>
        <w:autoSpaceDN w:val="0"/>
        <w:adjustRightInd w:val="0"/>
        <w:ind w:firstLine="480"/>
        <w:rPr>
          <w:color w:val="FF0000"/>
          <w:sz w:val="24"/>
          <w:szCs w:val="24"/>
          <w:highlight w:val="none"/>
        </w:rPr>
      </w:pPr>
      <w:r>
        <w:rPr>
          <w:color w:val="FF0000"/>
          <w:spacing w:val="-3"/>
          <w:sz w:val="24"/>
          <w:szCs w:val="24"/>
          <w:highlight w:val="none"/>
        </w:rPr>
        <w:t>依据申请资料和现场核查资料以及初筛样品检</w:t>
      </w:r>
      <w:r>
        <w:rPr>
          <w:color w:val="FF0000"/>
          <w:spacing w:val="-4"/>
          <w:sz w:val="24"/>
          <w:szCs w:val="24"/>
          <w:highlight w:val="none"/>
        </w:rPr>
        <w:t>测结果等方面确定，该污泥无</w:t>
      </w:r>
      <w:r>
        <w:rPr>
          <w:color w:val="FF0000"/>
          <w:spacing w:val="-8"/>
          <w:sz w:val="24"/>
          <w:szCs w:val="24"/>
          <w:highlight w:val="none"/>
        </w:rPr>
        <w:t>需进行腐蚀性、易燃性、毒性物质含量、急性毒性鉴别，为进一步识别固废属性，</w:t>
      </w:r>
      <w:r>
        <w:rPr>
          <w:color w:val="FF0000"/>
          <w:spacing w:val="-3"/>
          <w:sz w:val="24"/>
          <w:szCs w:val="24"/>
          <w:highlight w:val="none"/>
        </w:rPr>
        <w:t>明确可能存在的危险特性，需要对鉴别对象进行反应性（硫化物</w:t>
      </w:r>
      <w:r>
        <w:rPr>
          <w:color w:val="FF0000"/>
          <w:spacing w:val="-4"/>
          <w:sz w:val="24"/>
          <w:szCs w:val="24"/>
          <w:highlight w:val="none"/>
        </w:rPr>
        <w:t>）、浸出液中氰</w:t>
      </w:r>
      <w:r>
        <w:rPr>
          <w:color w:val="FF0000"/>
          <w:spacing w:val="-1"/>
          <w:sz w:val="24"/>
          <w:szCs w:val="24"/>
          <w:highlight w:val="none"/>
        </w:rPr>
        <w:t>化物、钡、银、硒、铍、砷、铜、锌、铬、镍和氟化物进行鉴别。</w:t>
      </w:r>
    </w:p>
    <w:p>
      <w:pPr>
        <w:spacing w:line="240" w:lineRule="auto"/>
        <w:ind w:firstLine="0" w:firstLineChars="0"/>
        <w:jc w:val="center"/>
        <w:rPr>
          <w:rFonts w:hint="default" w:ascii="Times New Roman" w:hAnsi="Times New Roman" w:eastAsia="黑体" w:cs="Times New Roman"/>
          <w:color w:val="FF0000"/>
          <w:highlight w:val="none"/>
          <w:lang w:val="en-US" w:eastAsia="en-US"/>
        </w:rPr>
      </w:pPr>
      <w:r>
        <w:rPr>
          <w:rFonts w:hint="default" w:ascii="Times New Roman" w:hAnsi="Times New Roman" w:eastAsia="黑体" w:cs="Times New Roman"/>
          <w:color w:val="FF0000"/>
          <w:highlight w:val="none"/>
          <w:lang w:val="en-US" w:eastAsia="en-US"/>
        </w:rPr>
        <w:t>表</w:t>
      </w:r>
      <w:r>
        <w:rPr>
          <w:rFonts w:hint="eastAsia" w:ascii="Times New Roman" w:hAnsi="Times New Roman" w:eastAsia="黑体" w:cs="Times New Roman"/>
          <w:color w:val="FF0000"/>
          <w:highlight w:val="none"/>
          <w:lang w:val="en-US" w:eastAsia="zh-CN"/>
        </w:rPr>
        <w:t>3.5-15</w:t>
      </w:r>
      <w:r>
        <w:rPr>
          <w:rFonts w:hint="default" w:ascii="Times New Roman" w:hAnsi="Times New Roman" w:eastAsia="黑体" w:cs="Times New Roman"/>
          <w:color w:val="FF0000"/>
          <w:highlight w:val="none"/>
          <w:lang w:val="en-US" w:eastAsia="en-US"/>
        </w:rPr>
        <w:t>固体废物浸出毒性分析项目</w:t>
      </w:r>
    </w:p>
    <w:tbl>
      <w:tblPr>
        <w:tblStyle w:val="57"/>
        <w:tblW w:w="4999" w:type="pct"/>
        <w:tblInd w:w="0" w:type="dxa"/>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autofit"/>
        <w:tblCellMar>
          <w:top w:w="0" w:type="dxa"/>
          <w:left w:w="0" w:type="dxa"/>
          <w:bottom w:w="0" w:type="dxa"/>
          <w:right w:w="0" w:type="dxa"/>
        </w:tblCellMar>
      </w:tblPr>
      <w:tblGrid>
        <w:gridCol w:w="1306"/>
        <w:gridCol w:w="3031"/>
        <w:gridCol w:w="4965"/>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702"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val="en-US" w:eastAsia="en-US"/>
              </w:rPr>
            </w:pPr>
            <w:r>
              <w:rPr>
                <w:rFonts w:hint="default" w:ascii="Times New Roman" w:hAnsi="Times New Roman" w:cs="Times New Roman"/>
                <w:color w:val="FF0000"/>
                <w:sz w:val="21"/>
                <w:szCs w:val="20"/>
                <w:highlight w:val="none"/>
                <w:lang w:val="en-US" w:eastAsia="en-US"/>
              </w:rPr>
              <w:t>序号</w:t>
            </w:r>
          </w:p>
        </w:tc>
        <w:tc>
          <w:tcPr>
            <w:tcW w:w="1629"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val="en-US" w:eastAsia="en-US"/>
              </w:rPr>
            </w:pPr>
            <w:r>
              <w:rPr>
                <w:rFonts w:hint="default" w:ascii="Times New Roman" w:hAnsi="Times New Roman" w:cs="Times New Roman"/>
                <w:color w:val="FF0000"/>
                <w:sz w:val="21"/>
                <w:szCs w:val="20"/>
                <w:highlight w:val="none"/>
                <w:lang w:val="en-US" w:eastAsia="en-US"/>
              </w:rPr>
              <w:t>危害成分项目</w:t>
            </w:r>
          </w:p>
        </w:tc>
        <w:tc>
          <w:tcPr>
            <w:tcW w:w="2668"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val="en-US" w:eastAsia="en-US"/>
              </w:rPr>
            </w:pPr>
            <w:r>
              <w:rPr>
                <w:rFonts w:hint="default" w:ascii="Times New Roman" w:hAnsi="Times New Roman" w:cs="Times New Roman"/>
                <w:color w:val="FF0000"/>
                <w:sz w:val="21"/>
                <w:szCs w:val="20"/>
                <w:highlight w:val="none"/>
                <w:lang w:val="en-US" w:eastAsia="en-US"/>
              </w:rPr>
              <w:t>分析方法</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702"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1</w:t>
            </w:r>
          </w:p>
        </w:tc>
        <w:tc>
          <w:tcPr>
            <w:tcW w:w="1629"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val="en-US" w:eastAsia="en-US"/>
              </w:rPr>
            </w:pPr>
            <w:r>
              <w:rPr>
                <w:rFonts w:hint="default" w:ascii="Times New Roman" w:hAnsi="Times New Roman" w:cs="Times New Roman"/>
                <w:color w:val="FF0000"/>
                <w:sz w:val="21"/>
                <w:szCs w:val="20"/>
                <w:highlight w:val="none"/>
                <w:lang w:val="en-US" w:eastAsia="en-US"/>
              </w:rPr>
              <w:t>氟化物</w:t>
            </w:r>
          </w:p>
        </w:tc>
        <w:tc>
          <w:tcPr>
            <w:tcW w:w="2668"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val="en-US" w:eastAsia="en-US"/>
              </w:rPr>
            </w:pPr>
            <w:r>
              <w:rPr>
                <w:rFonts w:hint="default" w:ascii="Times New Roman" w:hAnsi="Times New Roman" w:cs="Times New Roman"/>
                <w:color w:val="FF0000"/>
                <w:sz w:val="21"/>
                <w:szCs w:val="20"/>
                <w:highlight w:val="none"/>
                <w:lang w:val="en-US" w:eastAsia="en-US"/>
              </w:rPr>
              <w:t>GB5085.3-2007附录F</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702"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2</w:t>
            </w:r>
          </w:p>
        </w:tc>
        <w:tc>
          <w:tcPr>
            <w:tcW w:w="1629"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val="en-US" w:eastAsia="en-US"/>
              </w:rPr>
            </w:pPr>
            <w:r>
              <w:rPr>
                <w:rFonts w:hint="default" w:ascii="Times New Roman" w:hAnsi="Times New Roman" w:cs="Times New Roman"/>
                <w:color w:val="FF0000"/>
                <w:sz w:val="21"/>
                <w:szCs w:val="20"/>
                <w:highlight w:val="none"/>
                <w:lang w:val="en-US" w:eastAsia="en-US"/>
              </w:rPr>
              <w:t>钡</w:t>
            </w:r>
          </w:p>
        </w:tc>
        <w:tc>
          <w:tcPr>
            <w:tcW w:w="2668"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val="en-US" w:eastAsia="en-US"/>
              </w:rPr>
            </w:pPr>
            <w:r>
              <w:rPr>
                <w:rFonts w:hint="default" w:ascii="Times New Roman" w:hAnsi="Times New Roman" w:cs="Times New Roman"/>
                <w:color w:val="FF0000"/>
                <w:sz w:val="21"/>
                <w:szCs w:val="20"/>
                <w:highlight w:val="none"/>
                <w:lang w:val="en-US" w:eastAsia="en-US"/>
              </w:rPr>
              <w:t>GB5085.3-2007附录C</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702"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3</w:t>
            </w:r>
          </w:p>
        </w:tc>
        <w:tc>
          <w:tcPr>
            <w:tcW w:w="1629"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val="en-US" w:eastAsia="en-US"/>
              </w:rPr>
            </w:pPr>
            <w:r>
              <w:rPr>
                <w:rFonts w:hint="default" w:ascii="Times New Roman" w:hAnsi="Times New Roman" w:cs="Times New Roman"/>
                <w:color w:val="FF0000"/>
                <w:sz w:val="21"/>
                <w:szCs w:val="20"/>
                <w:highlight w:val="none"/>
                <w:lang w:val="en-US" w:eastAsia="en-US"/>
              </w:rPr>
              <w:t>银</w:t>
            </w:r>
          </w:p>
        </w:tc>
        <w:tc>
          <w:tcPr>
            <w:tcW w:w="2668"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val="en-US" w:eastAsia="en-US"/>
              </w:rPr>
            </w:pPr>
            <w:r>
              <w:rPr>
                <w:rFonts w:hint="default" w:ascii="Times New Roman" w:hAnsi="Times New Roman" w:cs="Times New Roman"/>
                <w:color w:val="FF0000"/>
                <w:sz w:val="21"/>
                <w:szCs w:val="20"/>
                <w:highlight w:val="none"/>
                <w:lang w:val="en-US" w:eastAsia="en-US"/>
              </w:rPr>
              <w:t>GB5085.3-2007附录C</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02"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4</w:t>
            </w:r>
          </w:p>
        </w:tc>
        <w:tc>
          <w:tcPr>
            <w:tcW w:w="1629"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val="en-US" w:eastAsia="en-US"/>
              </w:rPr>
            </w:pPr>
            <w:r>
              <w:rPr>
                <w:rFonts w:hint="default" w:ascii="Times New Roman" w:hAnsi="Times New Roman" w:cs="Times New Roman"/>
                <w:color w:val="FF0000"/>
                <w:sz w:val="21"/>
                <w:szCs w:val="20"/>
                <w:highlight w:val="none"/>
                <w:lang w:val="en-US" w:eastAsia="en-US"/>
              </w:rPr>
              <w:t>硒</w:t>
            </w:r>
          </w:p>
        </w:tc>
        <w:tc>
          <w:tcPr>
            <w:tcW w:w="2668"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val="en-US" w:eastAsia="en-US"/>
              </w:rPr>
            </w:pPr>
            <w:r>
              <w:rPr>
                <w:rFonts w:hint="default" w:ascii="Times New Roman" w:hAnsi="Times New Roman" w:cs="Times New Roman"/>
                <w:color w:val="FF0000"/>
                <w:sz w:val="21"/>
                <w:szCs w:val="20"/>
                <w:highlight w:val="none"/>
                <w:lang w:val="en-US" w:eastAsia="en-US"/>
              </w:rPr>
              <w:t>GB5085.3-2007附录E</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702"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5</w:t>
            </w:r>
          </w:p>
        </w:tc>
        <w:tc>
          <w:tcPr>
            <w:tcW w:w="1629"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val="en-US" w:eastAsia="en-US"/>
              </w:rPr>
            </w:pPr>
            <w:r>
              <w:rPr>
                <w:rFonts w:hint="default" w:ascii="Times New Roman" w:hAnsi="Times New Roman" w:cs="Times New Roman"/>
                <w:color w:val="FF0000"/>
                <w:sz w:val="21"/>
                <w:szCs w:val="20"/>
                <w:highlight w:val="none"/>
                <w:lang w:val="en-US" w:eastAsia="en-US"/>
              </w:rPr>
              <w:t>铍</w:t>
            </w:r>
          </w:p>
        </w:tc>
        <w:tc>
          <w:tcPr>
            <w:tcW w:w="2668"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val="en-US" w:eastAsia="en-US"/>
              </w:rPr>
            </w:pPr>
            <w:r>
              <w:rPr>
                <w:rFonts w:hint="default" w:ascii="Times New Roman" w:hAnsi="Times New Roman" w:cs="Times New Roman"/>
                <w:color w:val="FF0000"/>
                <w:sz w:val="21"/>
                <w:szCs w:val="20"/>
                <w:highlight w:val="none"/>
                <w:lang w:val="en-US" w:eastAsia="en-US"/>
              </w:rPr>
              <w:t>GB5085.3-2007附录C</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02"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6</w:t>
            </w:r>
          </w:p>
        </w:tc>
        <w:tc>
          <w:tcPr>
            <w:tcW w:w="1629"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val="en-US" w:eastAsia="en-US"/>
              </w:rPr>
            </w:pPr>
            <w:r>
              <w:rPr>
                <w:rFonts w:hint="default" w:ascii="Times New Roman" w:hAnsi="Times New Roman" w:cs="Times New Roman"/>
                <w:color w:val="FF0000"/>
                <w:sz w:val="21"/>
                <w:szCs w:val="20"/>
                <w:highlight w:val="none"/>
                <w:lang w:val="en-US" w:eastAsia="en-US"/>
              </w:rPr>
              <w:t>砷</w:t>
            </w:r>
          </w:p>
        </w:tc>
        <w:tc>
          <w:tcPr>
            <w:tcW w:w="2668"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val="en-US" w:eastAsia="en-US"/>
              </w:rPr>
            </w:pPr>
            <w:r>
              <w:rPr>
                <w:rFonts w:hint="default" w:ascii="Times New Roman" w:hAnsi="Times New Roman" w:cs="Times New Roman"/>
                <w:color w:val="FF0000"/>
                <w:sz w:val="21"/>
                <w:szCs w:val="20"/>
                <w:highlight w:val="none"/>
                <w:lang w:val="en-US" w:eastAsia="en-US"/>
              </w:rPr>
              <w:t>GB5085.3-2007附录E</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702"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7</w:t>
            </w:r>
          </w:p>
        </w:tc>
        <w:tc>
          <w:tcPr>
            <w:tcW w:w="1629"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val="en-US" w:eastAsia="en-US"/>
              </w:rPr>
            </w:pPr>
            <w:r>
              <w:rPr>
                <w:rFonts w:hint="default" w:ascii="Times New Roman" w:hAnsi="Times New Roman" w:cs="Times New Roman"/>
                <w:color w:val="FF0000"/>
                <w:sz w:val="21"/>
                <w:szCs w:val="20"/>
                <w:highlight w:val="none"/>
                <w:lang w:val="en-US" w:eastAsia="en-US"/>
              </w:rPr>
              <w:t>铜</w:t>
            </w:r>
          </w:p>
        </w:tc>
        <w:tc>
          <w:tcPr>
            <w:tcW w:w="2668"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val="en-US" w:eastAsia="en-US"/>
              </w:rPr>
            </w:pPr>
            <w:r>
              <w:rPr>
                <w:rFonts w:hint="default" w:ascii="Times New Roman" w:hAnsi="Times New Roman" w:cs="Times New Roman"/>
                <w:color w:val="FF0000"/>
                <w:sz w:val="21"/>
                <w:szCs w:val="20"/>
                <w:highlight w:val="none"/>
                <w:lang w:val="en-US" w:eastAsia="en-US"/>
              </w:rPr>
              <w:t>GB5085.3-2007附录D</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02"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8</w:t>
            </w:r>
          </w:p>
        </w:tc>
        <w:tc>
          <w:tcPr>
            <w:tcW w:w="1629"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val="en-US" w:eastAsia="en-US"/>
              </w:rPr>
            </w:pPr>
            <w:r>
              <w:rPr>
                <w:rFonts w:hint="default" w:ascii="Times New Roman" w:hAnsi="Times New Roman" w:cs="Times New Roman"/>
                <w:color w:val="FF0000"/>
                <w:sz w:val="21"/>
                <w:szCs w:val="20"/>
                <w:highlight w:val="none"/>
                <w:lang w:val="en-US" w:eastAsia="en-US"/>
              </w:rPr>
              <w:t>锌</w:t>
            </w:r>
          </w:p>
        </w:tc>
        <w:tc>
          <w:tcPr>
            <w:tcW w:w="2668"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val="en-US" w:eastAsia="en-US"/>
              </w:rPr>
            </w:pPr>
            <w:r>
              <w:rPr>
                <w:rFonts w:hint="default" w:ascii="Times New Roman" w:hAnsi="Times New Roman" w:cs="Times New Roman"/>
                <w:color w:val="FF0000"/>
                <w:sz w:val="21"/>
                <w:szCs w:val="20"/>
                <w:highlight w:val="none"/>
                <w:lang w:val="en-US" w:eastAsia="en-US"/>
              </w:rPr>
              <w:t>GB5085.3-2007附录D</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702"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9</w:t>
            </w:r>
          </w:p>
        </w:tc>
        <w:tc>
          <w:tcPr>
            <w:tcW w:w="1629"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val="en-US" w:eastAsia="en-US"/>
              </w:rPr>
            </w:pPr>
            <w:r>
              <w:rPr>
                <w:rFonts w:hint="default" w:ascii="Times New Roman" w:hAnsi="Times New Roman" w:cs="Times New Roman"/>
                <w:color w:val="FF0000"/>
                <w:sz w:val="21"/>
                <w:szCs w:val="20"/>
                <w:highlight w:val="none"/>
                <w:lang w:val="en-US" w:eastAsia="en-US"/>
              </w:rPr>
              <w:t>铅</w:t>
            </w:r>
          </w:p>
        </w:tc>
        <w:tc>
          <w:tcPr>
            <w:tcW w:w="2668"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val="en-US" w:eastAsia="en-US"/>
              </w:rPr>
            </w:pPr>
            <w:r>
              <w:rPr>
                <w:rFonts w:hint="default" w:ascii="Times New Roman" w:hAnsi="Times New Roman" w:cs="Times New Roman"/>
                <w:color w:val="FF0000"/>
                <w:sz w:val="21"/>
                <w:szCs w:val="20"/>
                <w:highlight w:val="none"/>
                <w:lang w:val="en-US" w:eastAsia="en-US"/>
              </w:rPr>
              <w:t>GB5085.3-2007附录C</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702"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10</w:t>
            </w:r>
          </w:p>
        </w:tc>
        <w:tc>
          <w:tcPr>
            <w:tcW w:w="1629"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val="en-US" w:eastAsia="en-US"/>
              </w:rPr>
            </w:pPr>
            <w:r>
              <w:rPr>
                <w:rFonts w:hint="default" w:ascii="Times New Roman" w:hAnsi="Times New Roman" w:cs="Times New Roman"/>
                <w:color w:val="FF0000"/>
                <w:sz w:val="21"/>
                <w:szCs w:val="20"/>
                <w:highlight w:val="none"/>
                <w:lang w:val="en-US" w:eastAsia="en-US"/>
              </w:rPr>
              <w:t>镍</w:t>
            </w:r>
          </w:p>
        </w:tc>
        <w:tc>
          <w:tcPr>
            <w:tcW w:w="2668"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val="en-US" w:eastAsia="en-US"/>
              </w:rPr>
            </w:pPr>
            <w:r>
              <w:rPr>
                <w:rFonts w:hint="default" w:ascii="Times New Roman" w:hAnsi="Times New Roman" w:cs="Times New Roman"/>
                <w:color w:val="FF0000"/>
                <w:sz w:val="21"/>
                <w:szCs w:val="20"/>
                <w:highlight w:val="none"/>
                <w:lang w:val="en-US" w:eastAsia="en-US"/>
              </w:rPr>
              <w:t>GB5085.3-2007附录C</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702"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11</w:t>
            </w:r>
          </w:p>
        </w:tc>
        <w:tc>
          <w:tcPr>
            <w:tcW w:w="1629"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val="en-US" w:eastAsia="en-US"/>
              </w:rPr>
            </w:pPr>
            <w:r>
              <w:rPr>
                <w:rFonts w:hint="default" w:ascii="Times New Roman" w:hAnsi="Times New Roman" w:cs="Times New Roman"/>
                <w:color w:val="FF0000"/>
                <w:sz w:val="21"/>
                <w:szCs w:val="20"/>
                <w:highlight w:val="none"/>
                <w:lang w:val="en-US" w:eastAsia="en-US"/>
              </w:rPr>
              <w:t>氰化物</w:t>
            </w:r>
          </w:p>
        </w:tc>
        <w:tc>
          <w:tcPr>
            <w:tcW w:w="2668" w:type="pct"/>
            <w:tcBorders>
              <w:tl2br w:val="nil"/>
              <w:tr2bl w:val="nil"/>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eastAsia="en-US"/>
              </w:rPr>
            </w:pPr>
            <w:r>
              <w:rPr>
                <w:rFonts w:hint="default" w:ascii="Times New Roman" w:hAnsi="Times New Roman" w:cs="Times New Roman"/>
                <w:color w:val="FF0000"/>
                <w:sz w:val="21"/>
                <w:szCs w:val="20"/>
                <w:highlight w:val="none"/>
                <w:lang w:eastAsia="en-US"/>
              </w:rPr>
              <w:t>CJ/T221-2005</w:t>
            </w:r>
          </w:p>
        </w:tc>
      </w:tr>
    </w:tbl>
    <w:p>
      <w:pPr>
        <w:spacing w:line="240" w:lineRule="auto"/>
        <w:ind w:firstLine="0" w:firstLineChars="0"/>
        <w:jc w:val="center"/>
        <w:rPr>
          <w:rFonts w:hint="default" w:ascii="Times New Roman" w:hAnsi="Times New Roman" w:eastAsia="黑体" w:cs="Times New Roman"/>
          <w:color w:val="FF0000"/>
          <w:highlight w:val="none"/>
          <w:lang w:val="en-US" w:eastAsia="en-US"/>
        </w:rPr>
      </w:pPr>
      <w:r>
        <w:rPr>
          <w:rFonts w:hint="default" w:ascii="Times New Roman" w:hAnsi="Times New Roman" w:eastAsia="黑体" w:cs="Times New Roman"/>
          <w:color w:val="FF0000"/>
          <w:highlight w:val="none"/>
          <w:lang w:val="en-US" w:eastAsia="en-US"/>
        </w:rPr>
        <w:t>表</w:t>
      </w:r>
      <w:r>
        <w:rPr>
          <w:rFonts w:hint="eastAsia" w:ascii="Times New Roman" w:hAnsi="Times New Roman" w:eastAsia="黑体" w:cs="Times New Roman"/>
          <w:color w:val="FF0000"/>
          <w:highlight w:val="none"/>
          <w:lang w:val="en-US" w:eastAsia="zh-CN"/>
        </w:rPr>
        <w:t>3.5-16</w:t>
      </w:r>
      <w:r>
        <w:rPr>
          <w:rFonts w:hint="default" w:ascii="Times New Roman" w:hAnsi="Times New Roman" w:eastAsia="黑体" w:cs="Times New Roman"/>
          <w:color w:val="FF0000"/>
          <w:highlight w:val="none"/>
          <w:lang w:val="en-US" w:eastAsia="en-US"/>
        </w:rPr>
        <w:t>固体废物反应性检测结果（mg/kg）</w:t>
      </w:r>
    </w:p>
    <w:tbl>
      <w:tblPr>
        <w:tblStyle w:val="57"/>
        <w:tblW w:w="4998" w:type="pct"/>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autofit"/>
        <w:tblCellMar>
          <w:top w:w="0" w:type="dxa"/>
          <w:left w:w="0" w:type="dxa"/>
          <w:bottom w:w="0" w:type="dxa"/>
          <w:right w:w="0" w:type="dxa"/>
        </w:tblCellMar>
      </w:tblPr>
      <w:tblGrid>
        <w:gridCol w:w="930"/>
        <w:gridCol w:w="2559"/>
        <w:gridCol w:w="2605"/>
        <w:gridCol w:w="2177"/>
        <w:gridCol w:w="102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8" w:hRule="atLeast"/>
        </w:trPr>
        <w:tc>
          <w:tcPr>
            <w:tcW w:w="500" w:type="pct"/>
            <w:tcBorders>
              <w:top w:val="single" w:color="000000" w:sz="2" w:space="0"/>
              <w:left w:val="single" w:color="000000" w:sz="2" w:space="0"/>
              <w:bottom w:val="single" w:color="000000" w:sz="4" w:space="0"/>
              <w:right w:val="single" w:color="000000" w:sz="4" w:space="0"/>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val="en-US" w:eastAsia="en-US"/>
              </w:rPr>
            </w:pPr>
            <w:r>
              <w:rPr>
                <w:rFonts w:hint="default" w:ascii="Times New Roman" w:hAnsi="Times New Roman" w:cs="Times New Roman"/>
                <w:color w:val="FF0000"/>
                <w:sz w:val="21"/>
                <w:szCs w:val="20"/>
                <w:highlight w:val="none"/>
                <w:lang w:val="en-US" w:eastAsia="en-US"/>
              </w:rPr>
              <w:t>序号</w:t>
            </w:r>
          </w:p>
        </w:tc>
        <w:tc>
          <w:tcPr>
            <w:tcW w:w="1375" w:type="pct"/>
            <w:tcBorders>
              <w:top w:val="single" w:color="000000" w:sz="2" w:space="0"/>
              <w:left w:val="single" w:color="000000" w:sz="4" w:space="0"/>
              <w:bottom w:val="single" w:color="000000" w:sz="4" w:space="0"/>
              <w:right w:val="single" w:color="000000" w:sz="4" w:space="0"/>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val="en-US" w:eastAsia="en-US"/>
              </w:rPr>
            </w:pPr>
            <w:r>
              <w:rPr>
                <w:rFonts w:hint="default" w:ascii="Times New Roman" w:hAnsi="Times New Roman" w:cs="Times New Roman"/>
                <w:color w:val="FF0000"/>
                <w:sz w:val="21"/>
                <w:szCs w:val="20"/>
                <w:highlight w:val="none"/>
                <w:lang w:val="en-US" w:eastAsia="en-US"/>
              </w:rPr>
              <w:t>样品编号</w:t>
            </w:r>
          </w:p>
        </w:tc>
        <w:tc>
          <w:tcPr>
            <w:tcW w:w="1400" w:type="pct"/>
            <w:tcBorders>
              <w:top w:val="single" w:color="000000" w:sz="2" w:space="0"/>
              <w:left w:val="single" w:color="000000" w:sz="4" w:space="0"/>
              <w:bottom w:val="single" w:color="000000" w:sz="4" w:space="0"/>
              <w:right w:val="single" w:color="000000" w:sz="4" w:space="0"/>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val="en-US" w:eastAsia="en-US"/>
              </w:rPr>
            </w:pPr>
            <w:r>
              <w:rPr>
                <w:rFonts w:hint="default" w:ascii="Times New Roman" w:hAnsi="Times New Roman" w:cs="Times New Roman"/>
                <w:color w:val="FF0000"/>
                <w:sz w:val="21"/>
                <w:szCs w:val="20"/>
                <w:highlight w:val="none"/>
                <w:lang w:val="en-US" w:eastAsia="en-US"/>
              </w:rPr>
              <w:t>总有效硫化氢</w:t>
            </w:r>
          </w:p>
        </w:tc>
        <w:tc>
          <w:tcPr>
            <w:tcW w:w="1170" w:type="pct"/>
            <w:tcBorders>
              <w:top w:val="single" w:color="000000" w:sz="2" w:space="0"/>
              <w:left w:val="single" w:color="000000" w:sz="4" w:space="0"/>
              <w:bottom w:val="single" w:color="000000" w:sz="4" w:space="0"/>
              <w:right w:val="single" w:color="000000" w:sz="4" w:space="0"/>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val="en-US" w:eastAsia="en-US"/>
              </w:rPr>
            </w:pPr>
            <w:r>
              <w:rPr>
                <w:rFonts w:hint="default" w:ascii="Times New Roman" w:hAnsi="Times New Roman" w:cs="Times New Roman"/>
                <w:color w:val="FF0000"/>
                <w:sz w:val="21"/>
                <w:szCs w:val="20"/>
                <w:highlight w:val="none"/>
                <w:lang w:val="en-US" w:eastAsia="en-US"/>
              </w:rPr>
              <w:t>方法检出限</w:t>
            </w:r>
          </w:p>
        </w:tc>
        <w:tc>
          <w:tcPr>
            <w:tcW w:w="553" w:type="pct"/>
            <w:tcBorders>
              <w:top w:val="single" w:color="000000" w:sz="2" w:space="0"/>
              <w:left w:val="single" w:color="000000" w:sz="4" w:space="0"/>
              <w:bottom w:val="single" w:color="000000" w:sz="4" w:space="0"/>
              <w:right w:val="single" w:color="000000" w:sz="2" w:space="0"/>
            </w:tcBorders>
            <w:vAlign w:val="top"/>
          </w:tcPr>
          <w:p>
            <w:pPr>
              <w:spacing w:line="240" w:lineRule="auto"/>
              <w:ind w:firstLine="0" w:firstLineChars="0"/>
              <w:jc w:val="center"/>
              <w:rPr>
                <w:rFonts w:hint="default" w:ascii="Times New Roman" w:hAnsi="Times New Roman" w:cs="Times New Roman"/>
                <w:color w:val="FF0000"/>
                <w:sz w:val="21"/>
                <w:szCs w:val="20"/>
                <w:highlight w:val="none"/>
                <w:lang w:val="en-US" w:eastAsia="en-US"/>
              </w:rPr>
            </w:pPr>
            <w:r>
              <w:rPr>
                <w:rFonts w:hint="default" w:ascii="Times New Roman" w:hAnsi="Times New Roman" w:cs="Times New Roman"/>
                <w:color w:val="FF0000"/>
                <w:sz w:val="21"/>
                <w:szCs w:val="20"/>
                <w:highlight w:val="none"/>
                <w:lang w:val="en-US" w:eastAsia="en-US"/>
              </w:rPr>
              <w:t>限值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3" w:hRule="atLeast"/>
        </w:trPr>
        <w:tc>
          <w:tcPr>
            <w:tcW w:w="500" w:type="pct"/>
            <w:tcBorders>
              <w:top w:val="single" w:color="000000" w:sz="4" w:space="0"/>
              <w:left w:val="single" w:color="000000" w:sz="2" w:space="0"/>
              <w:bottom w:val="single" w:color="000000" w:sz="4" w:space="0"/>
              <w:right w:val="single" w:color="000000" w:sz="4" w:space="0"/>
            </w:tcBorders>
            <w:vAlign w:val="top"/>
          </w:tcPr>
          <w:p>
            <w:pPr>
              <w:widowControl/>
              <w:kinsoku w:val="0"/>
              <w:autoSpaceDE w:val="0"/>
              <w:autoSpaceDN w:val="0"/>
              <w:adjustRightInd w:val="0"/>
              <w:snapToGrid w:val="0"/>
              <w:spacing w:before="46" w:line="184" w:lineRule="auto"/>
              <w:ind w:left="293"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kern w:val="0"/>
                <w:sz w:val="20"/>
                <w:szCs w:val="20"/>
                <w:highlight w:val="none"/>
                <w:lang w:eastAsia="en-US"/>
              </w:rPr>
              <w:t>1</w:t>
            </w:r>
          </w:p>
        </w:tc>
        <w:tc>
          <w:tcPr>
            <w:tcW w:w="1375"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46" w:line="184" w:lineRule="auto"/>
              <w:ind w:left="132"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3"/>
                <w:kern w:val="0"/>
                <w:sz w:val="20"/>
                <w:szCs w:val="20"/>
                <w:highlight w:val="none"/>
                <w:lang w:eastAsia="en-US"/>
              </w:rPr>
              <w:t>190813H11F001</w:t>
            </w:r>
          </w:p>
        </w:tc>
        <w:tc>
          <w:tcPr>
            <w:tcW w:w="1400"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46" w:line="184" w:lineRule="auto"/>
              <w:ind w:left="703"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3"/>
                <w:kern w:val="0"/>
                <w:sz w:val="20"/>
                <w:szCs w:val="20"/>
                <w:highlight w:val="none"/>
                <w:lang w:eastAsia="en-US"/>
              </w:rPr>
              <w:t>2.62</w:t>
            </w:r>
          </w:p>
        </w:tc>
        <w:tc>
          <w:tcPr>
            <w:tcW w:w="1170"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46" w:line="184" w:lineRule="auto"/>
              <w:ind w:left="708"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4"/>
                <w:kern w:val="0"/>
                <w:sz w:val="20"/>
                <w:szCs w:val="20"/>
                <w:highlight w:val="none"/>
                <w:lang w:eastAsia="en-US"/>
              </w:rPr>
              <w:t>1.8</w:t>
            </w:r>
          </w:p>
        </w:tc>
        <w:tc>
          <w:tcPr>
            <w:tcW w:w="553" w:type="pct"/>
            <w:tcBorders>
              <w:top w:val="single" w:color="000000" w:sz="4" w:space="0"/>
              <w:left w:val="single" w:color="000000" w:sz="4" w:space="0"/>
              <w:bottom w:val="single" w:color="000000" w:sz="4" w:space="0"/>
              <w:right w:val="single" w:color="000000" w:sz="2" w:space="0"/>
            </w:tcBorders>
            <w:vAlign w:val="top"/>
          </w:tcPr>
          <w:p>
            <w:pPr>
              <w:widowControl/>
              <w:kinsoku w:val="0"/>
              <w:autoSpaceDE w:val="0"/>
              <w:autoSpaceDN w:val="0"/>
              <w:adjustRightInd w:val="0"/>
              <w:snapToGrid w:val="0"/>
              <w:spacing w:before="46" w:line="184" w:lineRule="auto"/>
              <w:ind w:left="221"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1"/>
                <w:kern w:val="0"/>
                <w:sz w:val="20"/>
                <w:szCs w:val="20"/>
                <w:highlight w:val="none"/>
                <w:lang w:eastAsia="en-US"/>
              </w:rPr>
              <w:t>500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8" w:hRule="atLeast"/>
        </w:trPr>
        <w:tc>
          <w:tcPr>
            <w:tcW w:w="500" w:type="pct"/>
            <w:tcBorders>
              <w:top w:val="single" w:color="000000" w:sz="4" w:space="0"/>
              <w:left w:val="single" w:color="000000" w:sz="2" w:space="0"/>
              <w:bottom w:val="single" w:color="000000" w:sz="4" w:space="0"/>
              <w:right w:val="single" w:color="000000" w:sz="4" w:space="0"/>
            </w:tcBorders>
            <w:vAlign w:val="top"/>
          </w:tcPr>
          <w:p>
            <w:pPr>
              <w:widowControl/>
              <w:kinsoku w:val="0"/>
              <w:autoSpaceDE w:val="0"/>
              <w:autoSpaceDN w:val="0"/>
              <w:adjustRightInd w:val="0"/>
              <w:snapToGrid w:val="0"/>
              <w:spacing w:before="53" w:line="182" w:lineRule="auto"/>
              <w:ind w:left="273"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kern w:val="0"/>
                <w:sz w:val="20"/>
                <w:szCs w:val="20"/>
                <w:highlight w:val="none"/>
                <w:lang w:eastAsia="en-US"/>
              </w:rPr>
              <w:t>2</w:t>
            </w:r>
          </w:p>
        </w:tc>
        <w:tc>
          <w:tcPr>
            <w:tcW w:w="1375"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53" w:line="182" w:lineRule="auto"/>
              <w:ind w:left="132"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3"/>
                <w:kern w:val="0"/>
                <w:sz w:val="20"/>
                <w:szCs w:val="20"/>
                <w:highlight w:val="none"/>
                <w:lang w:eastAsia="en-US"/>
              </w:rPr>
              <w:t>190819H10F001</w:t>
            </w:r>
          </w:p>
        </w:tc>
        <w:tc>
          <w:tcPr>
            <w:tcW w:w="1400"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53" w:line="182" w:lineRule="auto"/>
              <w:ind w:left="702"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3"/>
                <w:kern w:val="0"/>
                <w:sz w:val="20"/>
                <w:szCs w:val="20"/>
                <w:highlight w:val="none"/>
                <w:lang w:eastAsia="en-US"/>
              </w:rPr>
              <w:t>4.34</w:t>
            </w:r>
          </w:p>
        </w:tc>
        <w:tc>
          <w:tcPr>
            <w:tcW w:w="1170"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53" w:line="182" w:lineRule="auto"/>
              <w:ind w:left="708"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4"/>
                <w:kern w:val="0"/>
                <w:sz w:val="20"/>
                <w:szCs w:val="20"/>
                <w:highlight w:val="none"/>
                <w:lang w:eastAsia="en-US"/>
              </w:rPr>
              <w:t>1.8</w:t>
            </w:r>
          </w:p>
        </w:tc>
        <w:tc>
          <w:tcPr>
            <w:tcW w:w="553" w:type="pct"/>
            <w:tcBorders>
              <w:top w:val="single" w:color="000000" w:sz="4" w:space="0"/>
              <w:left w:val="single" w:color="000000" w:sz="4" w:space="0"/>
              <w:bottom w:val="single" w:color="000000" w:sz="4" w:space="0"/>
              <w:right w:val="single" w:color="000000" w:sz="2" w:space="0"/>
            </w:tcBorders>
            <w:vAlign w:val="top"/>
          </w:tcPr>
          <w:p>
            <w:pPr>
              <w:widowControl/>
              <w:kinsoku w:val="0"/>
              <w:autoSpaceDE w:val="0"/>
              <w:autoSpaceDN w:val="0"/>
              <w:adjustRightInd w:val="0"/>
              <w:snapToGrid w:val="0"/>
              <w:spacing w:before="53" w:line="182" w:lineRule="auto"/>
              <w:ind w:left="221"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1"/>
                <w:kern w:val="0"/>
                <w:sz w:val="20"/>
                <w:szCs w:val="20"/>
                <w:highlight w:val="none"/>
                <w:lang w:eastAsia="en-US"/>
              </w:rPr>
              <w:t>500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0" w:hRule="atLeast"/>
        </w:trPr>
        <w:tc>
          <w:tcPr>
            <w:tcW w:w="500" w:type="pct"/>
            <w:tcBorders>
              <w:top w:val="single" w:color="000000" w:sz="4" w:space="0"/>
              <w:left w:val="single" w:color="000000" w:sz="2" w:space="0"/>
              <w:bottom w:val="single" w:color="000000" w:sz="4" w:space="0"/>
              <w:right w:val="single" w:color="000000" w:sz="4" w:space="0"/>
            </w:tcBorders>
            <w:vAlign w:val="top"/>
          </w:tcPr>
          <w:p>
            <w:pPr>
              <w:widowControl/>
              <w:kinsoku w:val="0"/>
              <w:autoSpaceDE w:val="0"/>
              <w:autoSpaceDN w:val="0"/>
              <w:adjustRightInd w:val="0"/>
              <w:snapToGrid w:val="0"/>
              <w:spacing w:before="58" w:line="179" w:lineRule="auto"/>
              <w:ind w:left="277"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kern w:val="0"/>
                <w:sz w:val="20"/>
                <w:szCs w:val="20"/>
                <w:highlight w:val="none"/>
                <w:lang w:eastAsia="en-US"/>
              </w:rPr>
              <w:t>3</w:t>
            </w:r>
          </w:p>
        </w:tc>
        <w:tc>
          <w:tcPr>
            <w:tcW w:w="1375"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58" w:line="179" w:lineRule="auto"/>
              <w:ind w:left="132"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3"/>
                <w:kern w:val="0"/>
                <w:sz w:val="20"/>
                <w:szCs w:val="20"/>
                <w:highlight w:val="none"/>
                <w:lang w:eastAsia="en-US"/>
              </w:rPr>
              <w:t>190821H02F001</w:t>
            </w:r>
          </w:p>
        </w:tc>
        <w:tc>
          <w:tcPr>
            <w:tcW w:w="1400"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58" w:line="179" w:lineRule="auto"/>
              <w:ind w:left="671"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1"/>
                <w:kern w:val="0"/>
                <w:sz w:val="20"/>
                <w:szCs w:val="20"/>
                <w:highlight w:val="none"/>
                <w:lang w:eastAsia="en-US"/>
              </w:rPr>
              <w:t>18.39</w:t>
            </w:r>
          </w:p>
        </w:tc>
        <w:tc>
          <w:tcPr>
            <w:tcW w:w="1170"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58" w:line="179" w:lineRule="auto"/>
              <w:ind w:left="708"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4"/>
                <w:kern w:val="0"/>
                <w:sz w:val="20"/>
                <w:szCs w:val="20"/>
                <w:highlight w:val="none"/>
                <w:lang w:eastAsia="en-US"/>
              </w:rPr>
              <w:t>1.8</w:t>
            </w:r>
          </w:p>
        </w:tc>
        <w:tc>
          <w:tcPr>
            <w:tcW w:w="553" w:type="pct"/>
            <w:tcBorders>
              <w:top w:val="single" w:color="000000" w:sz="4" w:space="0"/>
              <w:left w:val="single" w:color="000000" w:sz="4" w:space="0"/>
              <w:bottom w:val="single" w:color="000000" w:sz="4" w:space="0"/>
              <w:right w:val="single" w:color="000000" w:sz="2" w:space="0"/>
            </w:tcBorders>
            <w:vAlign w:val="top"/>
          </w:tcPr>
          <w:p>
            <w:pPr>
              <w:widowControl/>
              <w:kinsoku w:val="0"/>
              <w:autoSpaceDE w:val="0"/>
              <w:autoSpaceDN w:val="0"/>
              <w:adjustRightInd w:val="0"/>
              <w:snapToGrid w:val="0"/>
              <w:spacing w:before="58" w:line="179" w:lineRule="auto"/>
              <w:ind w:left="221"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1"/>
                <w:kern w:val="0"/>
                <w:sz w:val="20"/>
                <w:szCs w:val="20"/>
                <w:highlight w:val="none"/>
                <w:lang w:eastAsia="en-US"/>
              </w:rPr>
              <w:t>500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9" w:hRule="atLeast"/>
        </w:trPr>
        <w:tc>
          <w:tcPr>
            <w:tcW w:w="500" w:type="pct"/>
            <w:tcBorders>
              <w:top w:val="single" w:color="000000" w:sz="4" w:space="0"/>
              <w:left w:val="single" w:color="000000" w:sz="2" w:space="0"/>
              <w:bottom w:val="single" w:color="000000" w:sz="4" w:space="0"/>
              <w:right w:val="single" w:color="000000" w:sz="4" w:space="0"/>
            </w:tcBorders>
            <w:vAlign w:val="top"/>
          </w:tcPr>
          <w:p>
            <w:pPr>
              <w:widowControl/>
              <w:kinsoku w:val="0"/>
              <w:autoSpaceDE w:val="0"/>
              <w:autoSpaceDN w:val="0"/>
              <w:adjustRightInd w:val="0"/>
              <w:snapToGrid w:val="0"/>
              <w:spacing w:before="60" w:line="176" w:lineRule="auto"/>
              <w:ind w:left="272"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1"/>
                <w:kern w:val="0"/>
                <w:sz w:val="20"/>
                <w:szCs w:val="20"/>
                <w:highlight w:val="none"/>
                <w:lang w:eastAsia="en-US"/>
              </w:rPr>
              <w:t>4</w:t>
            </w:r>
          </w:p>
        </w:tc>
        <w:tc>
          <w:tcPr>
            <w:tcW w:w="1375"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60" w:line="176" w:lineRule="auto"/>
              <w:ind w:left="132"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3"/>
                <w:kern w:val="0"/>
                <w:sz w:val="20"/>
                <w:szCs w:val="20"/>
                <w:highlight w:val="none"/>
                <w:lang w:eastAsia="en-US"/>
              </w:rPr>
              <w:t>190826H02F001</w:t>
            </w:r>
          </w:p>
        </w:tc>
        <w:tc>
          <w:tcPr>
            <w:tcW w:w="1400"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60" w:line="176" w:lineRule="auto"/>
              <w:ind w:left="655"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3"/>
                <w:kern w:val="0"/>
                <w:sz w:val="20"/>
                <w:szCs w:val="20"/>
                <w:highlight w:val="none"/>
                <w:lang w:eastAsia="en-US"/>
              </w:rPr>
              <w:t>32.32</w:t>
            </w:r>
          </w:p>
        </w:tc>
        <w:tc>
          <w:tcPr>
            <w:tcW w:w="1170"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60" w:line="176" w:lineRule="auto"/>
              <w:ind w:left="708"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4"/>
                <w:kern w:val="0"/>
                <w:sz w:val="20"/>
                <w:szCs w:val="20"/>
                <w:highlight w:val="none"/>
                <w:lang w:eastAsia="en-US"/>
              </w:rPr>
              <w:t>1.8</w:t>
            </w:r>
          </w:p>
        </w:tc>
        <w:tc>
          <w:tcPr>
            <w:tcW w:w="553" w:type="pct"/>
            <w:tcBorders>
              <w:top w:val="single" w:color="000000" w:sz="4" w:space="0"/>
              <w:left w:val="single" w:color="000000" w:sz="4" w:space="0"/>
              <w:bottom w:val="single" w:color="000000" w:sz="4" w:space="0"/>
              <w:right w:val="single" w:color="000000" w:sz="2" w:space="0"/>
            </w:tcBorders>
            <w:vAlign w:val="top"/>
          </w:tcPr>
          <w:p>
            <w:pPr>
              <w:widowControl/>
              <w:kinsoku w:val="0"/>
              <w:autoSpaceDE w:val="0"/>
              <w:autoSpaceDN w:val="0"/>
              <w:adjustRightInd w:val="0"/>
              <w:snapToGrid w:val="0"/>
              <w:spacing w:before="60" w:line="176" w:lineRule="auto"/>
              <w:ind w:left="221"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1"/>
                <w:kern w:val="0"/>
                <w:sz w:val="20"/>
                <w:szCs w:val="20"/>
                <w:highlight w:val="none"/>
                <w:lang w:eastAsia="en-US"/>
              </w:rPr>
              <w:t>500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8" w:hRule="atLeast"/>
        </w:trPr>
        <w:tc>
          <w:tcPr>
            <w:tcW w:w="500" w:type="pct"/>
            <w:tcBorders>
              <w:top w:val="single" w:color="000000" w:sz="4" w:space="0"/>
              <w:left w:val="single" w:color="000000" w:sz="2" w:space="0"/>
              <w:bottom w:val="single" w:color="000000" w:sz="4" w:space="0"/>
              <w:right w:val="single" w:color="000000" w:sz="4" w:space="0"/>
            </w:tcBorders>
            <w:vAlign w:val="top"/>
          </w:tcPr>
          <w:p>
            <w:pPr>
              <w:widowControl/>
              <w:kinsoku w:val="0"/>
              <w:autoSpaceDE w:val="0"/>
              <w:autoSpaceDN w:val="0"/>
              <w:adjustRightInd w:val="0"/>
              <w:snapToGrid w:val="0"/>
              <w:spacing w:before="64" w:line="171" w:lineRule="auto"/>
              <w:ind w:left="278"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kern w:val="0"/>
                <w:sz w:val="20"/>
                <w:szCs w:val="20"/>
                <w:highlight w:val="none"/>
                <w:lang w:eastAsia="en-US"/>
              </w:rPr>
              <w:t>5</w:t>
            </w:r>
          </w:p>
        </w:tc>
        <w:tc>
          <w:tcPr>
            <w:tcW w:w="1375"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61" w:line="174" w:lineRule="auto"/>
              <w:ind w:left="132"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3"/>
                <w:kern w:val="0"/>
                <w:sz w:val="20"/>
                <w:szCs w:val="20"/>
                <w:highlight w:val="none"/>
                <w:lang w:eastAsia="en-US"/>
              </w:rPr>
              <w:t>190902H02F001</w:t>
            </w:r>
          </w:p>
        </w:tc>
        <w:tc>
          <w:tcPr>
            <w:tcW w:w="1400"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61" w:line="174" w:lineRule="auto"/>
              <w:ind w:left="643"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3"/>
                <w:kern w:val="0"/>
                <w:sz w:val="20"/>
                <w:szCs w:val="20"/>
                <w:highlight w:val="none"/>
                <w:lang w:eastAsia="en-US"/>
              </w:rPr>
              <w:t>&lt;1.80</w:t>
            </w:r>
          </w:p>
        </w:tc>
        <w:tc>
          <w:tcPr>
            <w:tcW w:w="1170"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61" w:line="174" w:lineRule="auto"/>
              <w:ind w:left="708"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4"/>
                <w:kern w:val="0"/>
                <w:sz w:val="20"/>
                <w:szCs w:val="20"/>
                <w:highlight w:val="none"/>
                <w:lang w:eastAsia="en-US"/>
              </w:rPr>
              <w:t>1.8</w:t>
            </w:r>
          </w:p>
        </w:tc>
        <w:tc>
          <w:tcPr>
            <w:tcW w:w="553" w:type="pct"/>
            <w:tcBorders>
              <w:top w:val="single" w:color="000000" w:sz="4" w:space="0"/>
              <w:left w:val="single" w:color="000000" w:sz="4" w:space="0"/>
              <w:bottom w:val="single" w:color="000000" w:sz="4" w:space="0"/>
              <w:right w:val="single" w:color="000000" w:sz="2" w:space="0"/>
            </w:tcBorders>
            <w:vAlign w:val="top"/>
          </w:tcPr>
          <w:p>
            <w:pPr>
              <w:widowControl/>
              <w:kinsoku w:val="0"/>
              <w:autoSpaceDE w:val="0"/>
              <w:autoSpaceDN w:val="0"/>
              <w:adjustRightInd w:val="0"/>
              <w:snapToGrid w:val="0"/>
              <w:spacing w:before="61" w:line="174" w:lineRule="auto"/>
              <w:ind w:left="221"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1"/>
                <w:kern w:val="0"/>
                <w:sz w:val="20"/>
                <w:szCs w:val="20"/>
                <w:highlight w:val="none"/>
                <w:lang w:eastAsia="en-US"/>
              </w:rPr>
              <w:t>500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8" w:hRule="atLeast"/>
        </w:trPr>
        <w:tc>
          <w:tcPr>
            <w:tcW w:w="500" w:type="pct"/>
            <w:tcBorders>
              <w:top w:val="single" w:color="000000" w:sz="4" w:space="0"/>
              <w:left w:val="single" w:color="000000" w:sz="2" w:space="0"/>
              <w:bottom w:val="single" w:color="000000" w:sz="4" w:space="0"/>
              <w:right w:val="single" w:color="000000" w:sz="4" w:space="0"/>
            </w:tcBorders>
            <w:vAlign w:val="top"/>
          </w:tcPr>
          <w:p>
            <w:pPr>
              <w:widowControl/>
              <w:kinsoku w:val="0"/>
              <w:autoSpaceDE w:val="0"/>
              <w:autoSpaceDN w:val="0"/>
              <w:adjustRightInd w:val="0"/>
              <w:snapToGrid w:val="0"/>
              <w:spacing w:before="66" w:line="169" w:lineRule="auto"/>
              <w:ind w:left="277"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kern w:val="0"/>
                <w:sz w:val="20"/>
                <w:szCs w:val="20"/>
                <w:highlight w:val="none"/>
                <w:lang w:eastAsia="en-US"/>
              </w:rPr>
              <w:t>6</w:t>
            </w:r>
          </w:p>
        </w:tc>
        <w:tc>
          <w:tcPr>
            <w:tcW w:w="1375"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66" w:line="169" w:lineRule="auto"/>
              <w:ind w:left="132"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3"/>
                <w:kern w:val="0"/>
                <w:sz w:val="20"/>
                <w:szCs w:val="20"/>
                <w:highlight w:val="none"/>
                <w:lang w:eastAsia="en-US"/>
              </w:rPr>
              <w:t>190904H18F001</w:t>
            </w:r>
          </w:p>
        </w:tc>
        <w:tc>
          <w:tcPr>
            <w:tcW w:w="1400"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66" w:line="169" w:lineRule="auto"/>
              <w:ind w:left="643"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3"/>
                <w:kern w:val="0"/>
                <w:sz w:val="20"/>
                <w:szCs w:val="20"/>
                <w:highlight w:val="none"/>
                <w:lang w:eastAsia="en-US"/>
              </w:rPr>
              <w:t>&lt;1.80</w:t>
            </w:r>
          </w:p>
        </w:tc>
        <w:tc>
          <w:tcPr>
            <w:tcW w:w="1170"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66" w:line="169" w:lineRule="auto"/>
              <w:ind w:left="708"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4"/>
                <w:kern w:val="0"/>
                <w:sz w:val="20"/>
                <w:szCs w:val="20"/>
                <w:highlight w:val="none"/>
                <w:lang w:eastAsia="en-US"/>
              </w:rPr>
              <w:t>1.8</w:t>
            </w:r>
          </w:p>
        </w:tc>
        <w:tc>
          <w:tcPr>
            <w:tcW w:w="553" w:type="pct"/>
            <w:tcBorders>
              <w:top w:val="single" w:color="000000" w:sz="4" w:space="0"/>
              <w:left w:val="single" w:color="000000" w:sz="4" w:space="0"/>
              <w:bottom w:val="single" w:color="000000" w:sz="4" w:space="0"/>
              <w:right w:val="single" w:color="000000" w:sz="2" w:space="0"/>
            </w:tcBorders>
            <w:vAlign w:val="top"/>
          </w:tcPr>
          <w:p>
            <w:pPr>
              <w:widowControl/>
              <w:kinsoku w:val="0"/>
              <w:autoSpaceDE w:val="0"/>
              <w:autoSpaceDN w:val="0"/>
              <w:adjustRightInd w:val="0"/>
              <w:snapToGrid w:val="0"/>
              <w:spacing w:before="66" w:line="169" w:lineRule="auto"/>
              <w:ind w:left="221"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1"/>
                <w:kern w:val="0"/>
                <w:sz w:val="20"/>
                <w:szCs w:val="20"/>
                <w:highlight w:val="none"/>
                <w:lang w:eastAsia="en-US"/>
              </w:rPr>
              <w:t>500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9" w:hRule="atLeast"/>
        </w:trPr>
        <w:tc>
          <w:tcPr>
            <w:tcW w:w="500" w:type="pct"/>
            <w:tcBorders>
              <w:top w:val="single" w:color="000000" w:sz="4" w:space="0"/>
              <w:left w:val="single" w:color="000000" w:sz="2" w:space="0"/>
              <w:bottom w:val="single" w:color="000000" w:sz="4" w:space="0"/>
              <w:right w:val="single" w:color="000000" w:sz="4" w:space="0"/>
            </w:tcBorders>
            <w:vAlign w:val="top"/>
          </w:tcPr>
          <w:p>
            <w:pPr>
              <w:widowControl/>
              <w:kinsoku w:val="0"/>
              <w:autoSpaceDE w:val="0"/>
              <w:autoSpaceDN w:val="0"/>
              <w:adjustRightInd w:val="0"/>
              <w:snapToGrid w:val="0"/>
              <w:spacing w:before="70" w:line="165" w:lineRule="auto"/>
              <w:ind w:left="276"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kern w:val="0"/>
                <w:sz w:val="20"/>
                <w:szCs w:val="20"/>
                <w:highlight w:val="none"/>
                <w:lang w:eastAsia="en-US"/>
              </w:rPr>
              <w:t>7</w:t>
            </w:r>
          </w:p>
        </w:tc>
        <w:tc>
          <w:tcPr>
            <w:tcW w:w="1375"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68" w:line="168" w:lineRule="auto"/>
              <w:ind w:left="132"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3"/>
                <w:kern w:val="0"/>
                <w:sz w:val="20"/>
                <w:szCs w:val="20"/>
                <w:highlight w:val="none"/>
                <w:lang w:eastAsia="en-US"/>
              </w:rPr>
              <w:t>190909H04F001</w:t>
            </w:r>
          </w:p>
        </w:tc>
        <w:tc>
          <w:tcPr>
            <w:tcW w:w="1400"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68" w:line="168" w:lineRule="auto"/>
              <w:ind w:left="643"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3"/>
                <w:kern w:val="0"/>
                <w:sz w:val="20"/>
                <w:szCs w:val="20"/>
                <w:highlight w:val="none"/>
                <w:lang w:eastAsia="en-US"/>
              </w:rPr>
              <w:t>&lt;1.80</w:t>
            </w:r>
          </w:p>
        </w:tc>
        <w:tc>
          <w:tcPr>
            <w:tcW w:w="1170" w:type="pct"/>
            <w:tcBorders>
              <w:top w:val="single" w:color="000000" w:sz="4" w:space="0"/>
              <w:left w:val="single" w:color="000000" w:sz="4" w:space="0"/>
              <w:bottom w:val="single" w:color="000000" w:sz="4" w:space="0"/>
              <w:right w:val="single" w:color="000000" w:sz="4" w:space="0"/>
            </w:tcBorders>
            <w:vAlign w:val="top"/>
          </w:tcPr>
          <w:p>
            <w:pPr>
              <w:widowControl/>
              <w:kinsoku w:val="0"/>
              <w:autoSpaceDE w:val="0"/>
              <w:autoSpaceDN w:val="0"/>
              <w:adjustRightInd w:val="0"/>
              <w:snapToGrid w:val="0"/>
              <w:spacing w:before="68" w:line="168" w:lineRule="auto"/>
              <w:ind w:left="708"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4"/>
                <w:kern w:val="0"/>
                <w:sz w:val="20"/>
                <w:szCs w:val="20"/>
                <w:highlight w:val="none"/>
                <w:lang w:eastAsia="en-US"/>
              </w:rPr>
              <w:t>1.8</w:t>
            </w:r>
          </w:p>
        </w:tc>
        <w:tc>
          <w:tcPr>
            <w:tcW w:w="553" w:type="pct"/>
            <w:tcBorders>
              <w:top w:val="single" w:color="000000" w:sz="4" w:space="0"/>
              <w:left w:val="single" w:color="000000" w:sz="4" w:space="0"/>
              <w:bottom w:val="single" w:color="000000" w:sz="4" w:space="0"/>
              <w:right w:val="single" w:color="000000" w:sz="2" w:space="0"/>
            </w:tcBorders>
            <w:vAlign w:val="top"/>
          </w:tcPr>
          <w:p>
            <w:pPr>
              <w:widowControl/>
              <w:kinsoku w:val="0"/>
              <w:autoSpaceDE w:val="0"/>
              <w:autoSpaceDN w:val="0"/>
              <w:adjustRightInd w:val="0"/>
              <w:snapToGrid w:val="0"/>
              <w:spacing w:before="68" w:line="168" w:lineRule="auto"/>
              <w:ind w:left="221"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1"/>
                <w:kern w:val="0"/>
                <w:sz w:val="20"/>
                <w:szCs w:val="20"/>
                <w:highlight w:val="none"/>
                <w:lang w:eastAsia="en-US"/>
              </w:rPr>
              <w:t>500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4" w:hRule="atLeast"/>
        </w:trPr>
        <w:tc>
          <w:tcPr>
            <w:tcW w:w="500" w:type="pct"/>
            <w:tcBorders>
              <w:top w:val="single" w:color="000000" w:sz="4" w:space="0"/>
              <w:left w:val="single" w:color="000000" w:sz="2" w:space="0"/>
              <w:bottom w:val="single" w:color="000000" w:sz="2" w:space="0"/>
              <w:right w:val="single" w:color="000000" w:sz="4" w:space="0"/>
            </w:tcBorders>
            <w:vAlign w:val="top"/>
          </w:tcPr>
          <w:p>
            <w:pPr>
              <w:widowControl/>
              <w:kinsoku w:val="0"/>
              <w:autoSpaceDE w:val="0"/>
              <w:autoSpaceDN w:val="0"/>
              <w:adjustRightInd w:val="0"/>
              <w:snapToGrid w:val="0"/>
              <w:spacing w:before="70" w:line="191" w:lineRule="auto"/>
              <w:ind w:left="281"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kern w:val="0"/>
                <w:sz w:val="20"/>
                <w:szCs w:val="20"/>
                <w:highlight w:val="none"/>
                <w:lang w:eastAsia="en-US"/>
              </w:rPr>
              <w:t>8</w:t>
            </w:r>
          </w:p>
        </w:tc>
        <w:tc>
          <w:tcPr>
            <w:tcW w:w="1375" w:type="pct"/>
            <w:tcBorders>
              <w:top w:val="single" w:color="000000" w:sz="4" w:space="0"/>
              <w:left w:val="single" w:color="000000" w:sz="4" w:space="0"/>
              <w:bottom w:val="single" w:color="000000" w:sz="2" w:space="0"/>
              <w:right w:val="single" w:color="000000" w:sz="4" w:space="0"/>
            </w:tcBorders>
            <w:vAlign w:val="top"/>
          </w:tcPr>
          <w:p>
            <w:pPr>
              <w:widowControl/>
              <w:kinsoku w:val="0"/>
              <w:autoSpaceDE w:val="0"/>
              <w:autoSpaceDN w:val="0"/>
              <w:adjustRightInd w:val="0"/>
              <w:snapToGrid w:val="0"/>
              <w:spacing w:before="70" w:line="191" w:lineRule="auto"/>
              <w:ind w:left="132"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3"/>
                <w:kern w:val="0"/>
                <w:sz w:val="20"/>
                <w:szCs w:val="20"/>
                <w:highlight w:val="none"/>
                <w:lang w:eastAsia="en-US"/>
              </w:rPr>
              <w:t>190912H01F001</w:t>
            </w:r>
          </w:p>
        </w:tc>
        <w:tc>
          <w:tcPr>
            <w:tcW w:w="1400" w:type="pct"/>
            <w:tcBorders>
              <w:top w:val="single" w:color="000000" w:sz="4" w:space="0"/>
              <w:left w:val="single" w:color="000000" w:sz="4" w:space="0"/>
              <w:bottom w:val="single" w:color="000000" w:sz="2" w:space="0"/>
              <w:right w:val="single" w:color="000000" w:sz="4" w:space="0"/>
            </w:tcBorders>
            <w:vAlign w:val="top"/>
          </w:tcPr>
          <w:p>
            <w:pPr>
              <w:widowControl/>
              <w:kinsoku w:val="0"/>
              <w:autoSpaceDE w:val="0"/>
              <w:autoSpaceDN w:val="0"/>
              <w:adjustRightInd w:val="0"/>
              <w:snapToGrid w:val="0"/>
              <w:spacing w:before="73" w:line="188" w:lineRule="auto"/>
              <w:ind w:left="786"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1"/>
                <w:kern w:val="0"/>
                <w:sz w:val="20"/>
                <w:szCs w:val="20"/>
                <w:highlight w:val="none"/>
                <w:lang w:eastAsia="en-US"/>
              </w:rPr>
              <w:t>75</w:t>
            </w:r>
          </w:p>
        </w:tc>
        <w:tc>
          <w:tcPr>
            <w:tcW w:w="1170" w:type="pct"/>
            <w:tcBorders>
              <w:top w:val="single" w:color="000000" w:sz="4" w:space="0"/>
              <w:left w:val="single" w:color="000000" w:sz="4" w:space="0"/>
              <w:bottom w:val="single" w:color="000000" w:sz="2" w:space="0"/>
              <w:right w:val="single" w:color="000000" w:sz="4" w:space="0"/>
            </w:tcBorders>
            <w:vAlign w:val="top"/>
          </w:tcPr>
          <w:p>
            <w:pPr>
              <w:widowControl/>
              <w:kinsoku w:val="0"/>
              <w:autoSpaceDE w:val="0"/>
              <w:autoSpaceDN w:val="0"/>
              <w:adjustRightInd w:val="0"/>
              <w:snapToGrid w:val="0"/>
              <w:spacing w:before="70" w:line="191" w:lineRule="auto"/>
              <w:ind w:left="708"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4"/>
                <w:kern w:val="0"/>
                <w:sz w:val="20"/>
                <w:szCs w:val="20"/>
                <w:highlight w:val="none"/>
                <w:lang w:eastAsia="en-US"/>
              </w:rPr>
              <w:t>1.8</w:t>
            </w:r>
          </w:p>
        </w:tc>
        <w:tc>
          <w:tcPr>
            <w:tcW w:w="553" w:type="pct"/>
            <w:tcBorders>
              <w:top w:val="single" w:color="000000" w:sz="4" w:space="0"/>
              <w:left w:val="single" w:color="000000" w:sz="4" w:space="0"/>
              <w:bottom w:val="single" w:color="000000" w:sz="2" w:space="0"/>
              <w:right w:val="single" w:color="000000" w:sz="2" w:space="0"/>
            </w:tcBorders>
            <w:vAlign w:val="top"/>
          </w:tcPr>
          <w:p>
            <w:pPr>
              <w:widowControl/>
              <w:kinsoku w:val="0"/>
              <w:autoSpaceDE w:val="0"/>
              <w:autoSpaceDN w:val="0"/>
              <w:adjustRightInd w:val="0"/>
              <w:snapToGrid w:val="0"/>
              <w:spacing w:before="70" w:line="191" w:lineRule="auto"/>
              <w:ind w:left="221" w:firstLine="0" w:firstLineChars="0"/>
              <w:jc w:val="left"/>
              <w:textAlignment w:val="baseline"/>
              <w:rPr>
                <w:rFonts w:ascii="Times New Roman" w:hAnsi="Times New Roman" w:eastAsia="Times New Roman" w:cs="Times New Roman"/>
                <w:snapToGrid w:val="0"/>
                <w:color w:val="FF0000"/>
                <w:kern w:val="0"/>
                <w:sz w:val="20"/>
                <w:szCs w:val="20"/>
                <w:highlight w:val="none"/>
                <w:lang w:eastAsia="en-US"/>
              </w:rPr>
            </w:pPr>
            <w:r>
              <w:rPr>
                <w:rFonts w:ascii="Times New Roman" w:hAnsi="Times New Roman" w:eastAsia="Times New Roman" w:cs="Times New Roman"/>
                <w:snapToGrid w:val="0"/>
                <w:color w:val="FF0000"/>
                <w:spacing w:val="1"/>
                <w:kern w:val="0"/>
                <w:sz w:val="20"/>
                <w:szCs w:val="20"/>
                <w:highlight w:val="none"/>
                <w:lang w:eastAsia="en-US"/>
              </w:rPr>
              <w:t>500</w:t>
            </w:r>
          </w:p>
        </w:tc>
      </w:tr>
    </w:tbl>
    <w:p>
      <w:pPr>
        <w:pStyle w:val="16"/>
        <w:spacing w:before="210" w:line="354" w:lineRule="auto"/>
        <w:ind w:left="25" w:right="13" w:firstLine="485"/>
        <w:jc w:val="both"/>
        <w:rPr>
          <w:rFonts w:hint="default" w:ascii="Times New Roman" w:hAnsi="Times New Roman" w:cs="Times New Roman"/>
          <w:color w:val="FF0000"/>
          <w:highlight w:val="none"/>
          <w:lang w:val="zh-CN"/>
        </w:rPr>
      </w:pPr>
      <w:r>
        <w:rPr>
          <w:color w:val="FF0000"/>
          <w:spacing w:val="-3"/>
          <w:sz w:val="24"/>
          <w:szCs w:val="24"/>
          <w:highlight w:val="none"/>
        </w:rPr>
        <w:t>根据以上分析可知，昌吉国家农业科技园区现</w:t>
      </w:r>
      <w:r>
        <w:rPr>
          <w:color w:val="FF0000"/>
          <w:spacing w:val="-4"/>
          <w:sz w:val="24"/>
          <w:szCs w:val="24"/>
          <w:highlight w:val="none"/>
        </w:rPr>
        <w:t>代农业精深加工示范区污水处</w:t>
      </w:r>
      <w:r>
        <w:rPr>
          <w:color w:val="FF0000"/>
          <w:spacing w:val="-5"/>
          <w:sz w:val="24"/>
          <w:szCs w:val="24"/>
          <w:highlight w:val="none"/>
        </w:rPr>
        <w:t>理厂的污泥此次采样量为</w:t>
      </w:r>
      <w:r>
        <w:rPr>
          <w:rFonts w:ascii="Times New Roman" w:hAnsi="Times New Roman" w:eastAsia="Times New Roman" w:cs="Times New Roman"/>
          <w:color w:val="FF0000"/>
          <w:spacing w:val="-5"/>
          <w:sz w:val="24"/>
          <w:szCs w:val="24"/>
          <w:highlight w:val="none"/>
        </w:rPr>
        <w:t>8</w:t>
      </w:r>
      <w:r>
        <w:rPr>
          <w:color w:val="FF0000"/>
          <w:spacing w:val="-5"/>
          <w:sz w:val="24"/>
          <w:szCs w:val="24"/>
          <w:highlight w:val="none"/>
        </w:rPr>
        <w:t>份，对该</w:t>
      </w:r>
      <w:r>
        <w:rPr>
          <w:rFonts w:ascii="Times New Roman" w:hAnsi="Times New Roman" w:eastAsia="Times New Roman" w:cs="Times New Roman"/>
          <w:color w:val="FF0000"/>
          <w:spacing w:val="-5"/>
          <w:sz w:val="24"/>
          <w:szCs w:val="24"/>
          <w:highlight w:val="none"/>
        </w:rPr>
        <w:t>8</w:t>
      </w:r>
      <w:r>
        <w:rPr>
          <w:color w:val="FF0000"/>
          <w:spacing w:val="-5"/>
          <w:sz w:val="24"/>
          <w:szCs w:val="24"/>
          <w:highlight w:val="none"/>
        </w:rPr>
        <w:t>份污泥进行检测分析，据《危险废物鉴别</w:t>
      </w:r>
      <w:r>
        <w:rPr>
          <w:color w:val="FF0000"/>
          <w:spacing w:val="-14"/>
          <w:sz w:val="24"/>
          <w:szCs w:val="24"/>
          <w:highlight w:val="none"/>
        </w:rPr>
        <w:t>标准浸出毒性鉴别》（</w:t>
      </w:r>
      <w:r>
        <w:rPr>
          <w:rFonts w:ascii="Times New Roman" w:hAnsi="Times New Roman" w:eastAsia="Times New Roman" w:cs="Times New Roman"/>
          <w:color w:val="FF0000"/>
          <w:spacing w:val="-14"/>
          <w:sz w:val="24"/>
          <w:szCs w:val="24"/>
          <w:highlight w:val="none"/>
        </w:rPr>
        <w:t>GB5085.3-2007</w:t>
      </w:r>
      <w:r>
        <w:rPr>
          <w:color w:val="FF0000"/>
          <w:spacing w:val="-14"/>
          <w:sz w:val="24"/>
          <w:szCs w:val="24"/>
          <w:highlight w:val="none"/>
        </w:rPr>
        <w:t>）及《危险废物鉴别标准反应性鉴别》（</w:t>
      </w:r>
      <w:r>
        <w:rPr>
          <w:rFonts w:ascii="Times New Roman" w:hAnsi="Times New Roman" w:eastAsia="Times New Roman" w:cs="Times New Roman"/>
          <w:color w:val="FF0000"/>
          <w:spacing w:val="-14"/>
          <w:sz w:val="24"/>
          <w:szCs w:val="24"/>
          <w:highlight w:val="none"/>
        </w:rPr>
        <w:t>GB</w:t>
      </w:r>
      <w:r>
        <w:rPr>
          <w:rFonts w:ascii="Times New Roman" w:hAnsi="Times New Roman" w:eastAsia="Times New Roman" w:cs="Times New Roman"/>
          <w:color w:val="FF0000"/>
          <w:spacing w:val="-3"/>
          <w:sz w:val="24"/>
          <w:szCs w:val="24"/>
          <w:highlight w:val="none"/>
        </w:rPr>
        <w:t>5085.5-2007</w:t>
      </w:r>
      <w:r>
        <w:rPr>
          <w:color w:val="FF0000"/>
          <w:spacing w:val="-3"/>
          <w:sz w:val="24"/>
          <w:szCs w:val="24"/>
          <w:highlight w:val="none"/>
        </w:rPr>
        <w:t>）未发现其中有样品超过标准限值，在排除浸出毒性和反应</w:t>
      </w:r>
      <w:r>
        <w:rPr>
          <w:color w:val="FF0000"/>
          <w:spacing w:val="-4"/>
          <w:sz w:val="24"/>
          <w:szCs w:val="24"/>
          <w:highlight w:val="none"/>
        </w:rPr>
        <w:t>性这两个</w:t>
      </w:r>
      <w:r>
        <w:rPr>
          <w:color w:val="FF0000"/>
          <w:spacing w:val="-3"/>
          <w:sz w:val="24"/>
          <w:szCs w:val="24"/>
          <w:highlight w:val="none"/>
        </w:rPr>
        <w:t>危险特性的情况下，可判定昌吉国家农业科技园区现代农业精深加工示范区</w:t>
      </w:r>
      <w:r>
        <w:rPr>
          <w:color w:val="FF0000"/>
          <w:spacing w:val="-4"/>
          <w:sz w:val="24"/>
          <w:szCs w:val="24"/>
          <w:highlight w:val="none"/>
        </w:rPr>
        <w:t>污水</w:t>
      </w:r>
      <w:r>
        <w:rPr>
          <w:color w:val="FF0000"/>
          <w:spacing w:val="-1"/>
          <w:sz w:val="24"/>
          <w:szCs w:val="24"/>
          <w:highlight w:val="none"/>
        </w:rPr>
        <w:t>处理厂产生的生化污泥不具有危险特性，不属于危险废物。</w:t>
      </w:r>
    </w:p>
    <w:p>
      <w:pPr>
        <w:autoSpaceDE w:val="0"/>
        <w:autoSpaceDN w:val="0"/>
        <w:adjustRightInd w:val="0"/>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zh-CN"/>
        </w:rPr>
        <w:t>（</w:t>
      </w:r>
      <w:r>
        <w:rPr>
          <w:rFonts w:hint="eastAsia" w:cs="Times New Roman"/>
          <w:color w:val="auto"/>
          <w:highlight w:val="none"/>
          <w:lang w:val="en-US" w:eastAsia="zh-CN"/>
        </w:rPr>
        <w:t>2</w:t>
      </w:r>
      <w:r>
        <w:rPr>
          <w:rFonts w:hint="default" w:ascii="Times New Roman" w:hAnsi="Times New Roman" w:cs="Times New Roman"/>
          <w:color w:val="auto"/>
          <w:highlight w:val="none"/>
          <w:lang w:val="zh-CN"/>
        </w:rPr>
        <w:t>）</w:t>
      </w:r>
      <w:r>
        <w:rPr>
          <w:rFonts w:hint="eastAsia" w:cs="Times New Roman"/>
          <w:color w:val="auto"/>
          <w:highlight w:val="none"/>
          <w:lang w:val="en-US" w:eastAsia="zh-CN"/>
        </w:rPr>
        <w:t>非灌溉季</w:t>
      </w:r>
      <w:r>
        <w:rPr>
          <w:rFonts w:hint="default" w:ascii="Times New Roman" w:hAnsi="Times New Roman" w:cs="Times New Roman"/>
          <w:color w:val="auto"/>
          <w:highlight w:val="none"/>
          <w:lang w:val="zh-CN"/>
        </w:rPr>
        <w:t>剩余污泥</w:t>
      </w:r>
    </w:p>
    <w:p>
      <w:pPr>
        <w:ind w:firstLine="480"/>
        <w:rPr>
          <w:rFonts w:hint="default" w:ascii="Times New Roman" w:hAnsi="Times New Roman" w:cs="Times New Roman"/>
          <w:color w:val="auto"/>
          <w:highlight w:val="none"/>
        </w:rPr>
      </w:pPr>
      <w:r>
        <w:rPr>
          <w:rFonts w:hint="default" w:ascii="Times New Roman" w:hAnsi="Times New Roman" w:eastAsia="宋体" w:cs="Times New Roman"/>
          <w:b w:val="0"/>
          <w:bCs/>
          <w:color w:val="auto"/>
          <w:kern w:val="2"/>
          <w:sz w:val="24"/>
          <w:szCs w:val="24"/>
          <w:highlight w:val="none"/>
          <w:lang w:val="en-US" w:eastAsia="zh-CN" w:bidi="ar-SA"/>
        </w:rPr>
        <w:t>本项目</w:t>
      </w:r>
      <w:r>
        <w:rPr>
          <w:rFonts w:hint="default"/>
          <w:b w:val="0"/>
          <w:bCs/>
          <w:color w:val="auto"/>
          <w:highlight w:val="none"/>
        </w:rPr>
        <w:t>灌溉季按</w:t>
      </w:r>
      <w:r>
        <w:rPr>
          <w:rFonts w:hint="eastAsia"/>
          <w:b w:val="0"/>
          <w:bCs/>
          <w:color w:val="auto"/>
          <w:highlight w:val="none"/>
          <w:lang w:val="en-US" w:eastAsia="zh-CN"/>
        </w:rPr>
        <w:t>155</w:t>
      </w:r>
      <w:r>
        <w:rPr>
          <w:rFonts w:hint="default"/>
          <w:b w:val="0"/>
          <w:bCs/>
          <w:color w:val="auto"/>
          <w:highlight w:val="none"/>
        </w:rPr>
        <w:t>天计，污水厂尾水量为</w:t>
      </w:r>
      <w:r>
        <w:rPr>
          <w:rFonts w:hint="eastAsia"/>
          <w:b w:val="0"/>
          <w:bCs/>
          <w:color w:val="auto"/>
          <w:highlight w:val="none"/>
          <w:lang w:eastAsia="zh-CN"/>
        </w:rPr>
        <w:t>2447</w:t>
      </w:r>
      <w:r>
        <w:rPr>
          <w:rFonts w:hint="default"/>
          <w:b w:val="0"/>
          <w:bCs/>
          <w:color w:val="auto"/>
          <w:highlight w:val="none"/>
        </w:rPr>
        <w:t>m</w:t>
      </w:r>
      <w:r>
        <w:rPr>
          <w:rFonts w:hint="default"/>
          <w:b w:val="0"/>
          <w:bCs/>
          <w:color w:val="auto"/>
          <w:highlight w:val="none"/>
          <w:vertAlign w:val="superscript"/>
        </w:rPr>
        <w:t>3</w:t>
      </w:r>
      <w:r>
        <w:rPr>
          <w:rFonts w:hint="default"/>
          <w:b w:val="0"/>
          <w:bCs/>
          <w:color w:val="auto"/>
          <w:highlight w:val="none"/>
        </w:rPr>
        <w:t>/d</w:t>
      </w:r>
      <w:r>
        <w:rPr>
          <w:rFonts w:hint="default" w:ascii="Times New Roman" w:hAnsi="Times New Roman" w:cs="Times New Roman"/>
          <w:color w:val="auto"/>
          <w:highlight w:val="none"/>
        </w:rPr>
        <w:t>。根据《排污许可证申请与核发技术规范水处理（试行）HJ9782018》计算，公式如下：</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pict>
          <v:shape id="_x0000_s1268" o:spid="_x0000_s1268" o:spt="75" type="#_x0000_t75" style="position:absolute;left:0pt;margin-left:82.55pt;margin-top:1.85pt;height:24.05pt;width:156.3pt;z-index:251670528;mso-width-relative:page;mso-height-relative:page;" o:ole="t" filled="f" o:preferrelative="t" stroked="f" coordsize="21600,21600">
            <v:path/>
            <v:fill on="f" focussize="0,0"/>
            <v:stroke on="f"/>
            <v:imagedata r:id="rId32" o:title=""/>
            <o:lock v:ext="edit" aspectratio="t"/>
          </v:shape>
          <o:OLEObject Type="Embed" ProgID="Equation.KSEE3" ShapeID="_x0000_s1268" DrawAspect="Content" ObjectID="_1468075726" r:id="rId33">
            <o:LockedField>false</o:LockedField>
          </o:OLEObject>
        </w:pict>
      </w:r>
      <w:r>
        <w:rPr>
          <w:rFonts w:hint="default" w:ascii="Times New Roman" w:hAnsi="Times New Roman" w:cs="Times New Roman"/>
          <w:color w:val="auto"/>
          <w:highlight w:val="none"/>
        </w:rPr>
        <w:t>公式：</w:t>
      </w:r>
    </w:p>
    <w:p>
      <w:pPr>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式中：E产生量—污水处理过程中产生的污泥量，以干泥计，t；</w:t>
      </w:r>
    </w:p>
    <w:p>
      <w:pPr>
        <w:ind w:firstLine="1200" w:firstLineChars="50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Q—核算时段内排污单位废水排放量，m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，具有有效出水口实测值按实测值计，无有效出水口实测值按进水口实测值计，无有效进水口实测值按协议进水水量计</w:t>
      </w:r>
      <w:r>
        <w:rPr>
          <w:rFonts w:hint="eastAsia"/>
          <w:color w:val="auto"/>
          <w:highlight w:val="none"/>
          <w:lang w:eastAsia="zh-CN"/>
        </w:rPr>
        <w:t>（</w:t>
      </w:r>
      <w:r>
        <w:rPr>
          <w:rFonts w:hint="eastAsia"/>
          <w:b w:val="0"/>
          <w:bCs/>
          <w:color w:val="auto"/>
          <w:highlight w:val="none"/>
          <w:lang w:eastAsia="zh-CN"/>
        </w:rPr>
        <w:t>2447</w:t>
      </w:r>
      <w:r>
        <w:rPr>
          <w:rFonts w:hint="default" w:ascii="Times New Roman" w:hAnsi="Times New Roman" w:cs="Times New Roman"/>
          <w:color w:val="auto"/>
          <w:highlight w:val="none"/>
        </w:rPr>
        <w:t>m³/d</w:t>
      </w:r>
      <w:r>
        <w:rPr>
          <w:rFonts w:hint="eastAsia"/>
          <w:color w:val="auto"/>
          <w:highlight w:val="none"/>
          <w:lang w:eastAsia="zh-CN"/>
        </w:rPr>
        <w:t>）</w:t>
      </w:r>
      <w:r>
        <w:rPr>
          <w:rFonts w:hint="default" w:ascii="Times New Roman" w:hAnsi="Times New Roman" w:cs="Times New Roman"/>
          <w:color w:val="auto"/>
          <w:highlight w:val="none"/>
        </w:rPr>
        <w:t>；</w:t>
      </w:r>
    </w:p>
    <w:p>
      <w:pPr>
        <w:ind w:firstLine="1200" w:firstLineChars="50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W深—有深度处理工艺（添加化学药剂）时按2计，无深度处理工艺时按1计，量纲一。</w:t>
      </w:r>
    </w:p>
    <w:p>
      <w:pPr>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经计算得，</w:t>
      </w:r>
      <w:r>
        <w:rPr>
          <w:rFonts w:hint="eastAsia" w:cs="Times New Roman"/>
          <w:color w:val="auto"/>
          <w:highlight w:val="none"/>
          <w:lang w:eastAsia="zh-CN"/>
        </w:rPr>
        <w:t>本项目</w:t>
      </w:r>
      <w:r>
        <w:rPr>
          <w:rFonts w:hint="default" w:ascii="Times New Roman" w:hAnsi="Times New Roman" w:cs="Times New Roman"/>
          <w:color w:val="auto"/>
          <w:highlight w:val="none"/>
        </w:rPr>
        <w:t>干污泥量为</w:t>
      </w:r>
      <w:r>
        <w:rPr>
          <w:rFonts w:hint="eastAsia" w:cs="Times New Roman"/>
          <w:color w:val="auto"/>
          <w:highlight w:val="none"/>
          <w:lang w:val="en-US" w:eastAsia="zh-CN"/>
        </w:rPr>
        <w:t>128.96</w:t>
      </w:r>
      <w:r>
        <w:rPr>
          <w:rFonts w:hint="default" w:ascii="Times New Roman" w:hAnsi="Times New Roman" w:cs="Times New Roman"/>
          <w:color w:val="auto"/>
          <w:highlight w:val="none"/>
        </w:rPr>
        <w:t>t/a。</w:t>
      </w:r>
      <w:r>
        <w:rPr>
          <w:rFonts w:hint="eastAsia"/>
          <w:color w:val="auto"/>
          <w:highlight w:val="none"/>
          <w:lang w:val="zh-CN"/>
        </w:rPr>
        <w:t>浓缩脱水</w:t>
      </w:r>
      <w:r>
        <w:rPr>
          <w:rFonts w:hint="eastAsia"/>
          <w:color w:val="auto"/>
          <w:highlight w:val="none"/>
          <w:lang w:val="en-US" w:eastAsia="zh-CN"/>
        </w:rPr>
        <w:t>前</w:t>
      </w:r>
      <w:r>
        <w:rPr>
          <w:rFonts w:hint="eastAsia"/>
          <w:color w:val="auto"/>
          <w:highlight w:val="none"/>
          <w:lang w:val="zh-CN"/>
        </w:rPr>
        <w:t>的污泥量</w:t>
      </w:r>
      <w:r>
        <w:rPr>
          <w:rFonts w:hint="eastAsia"/>
          <w:color w:val="auto"/>
          <w:highlight w:val="none"/>
          <w:lang w:bidi="en-US"/>
        </w:rPr>
        <w:t>以含水率80%考虑，污泥产生量约为</w:t>
      </w:r>
      <w:r>
        <w:rPr>
          <w:rFonts w:hint="eastAsia"/>
          <w:color w:val="auto"/>
          <w:highlight w:val="none"/>
          <w:lang w:val="en-US" w:eastAsia="zh-CN" w:bidi="en-US"/>
        </w:rPr>
        <w:t>644</w:t>
      </w:r>
      <w:r>
        <w:rPr>
          <w:rFonts w:hint="eastAsia"/>
          <w:color w:val="auto"/>
          <w:highlight w:val="none"/>
          <w:lang w:bidi="en-US"/>
        </w:rPr>
        <w:t>t</w:t>
      </w:r>
      <w:r>
        <w:rPr>
          <w:color w:val="auto"/>
          <w:highlight w:val="none"/>
          <w:lang w:bidi="en-US"/>
        </w:rPr>
        <w:t>/</w:t>
      </w:r>
      <w:r>
        <w:rPr>
          <w:rFonts w:hint="eastAsia"/>
          <w:color w:val="auto"/>
          <w:highlight w:val="none"/>
          <w:lang w:bidi="en-US"/>
        </w:rPr>
        <w:t>a（含水8</w:t>
      </w:r>
      <w:r>
        <w:rPr>
          <w:color w:val="auto"/>
          <w:highlight w:val="none"/>
          <w:lang w:bidi="en-US"/>
        </w:rPr>
        <w:t>0</w:t>
      </w:r>
      <w:r>
        <w:rPr>
          <w:rFonts w:hint="eastAsia"/>
          <w:color w:val="auto"/>
          <w:highlight w:val="none"/>
          <w:lang w:bidi="en-US"/>
        </w:rPr>
        <w:t>%）</w:t>
      </w:r>
      <w:r>
        <w:rPr>
          <w:rFonts w:hint="default" w:ascii="Times New Roman" w:hAnsi="Times New Roman" w:cs="Times New Roman"/>
          <w:color w:val="auto"/>
          <w:highlight w:val="none"/>
          <w:lang w:val="zh-CN"/>
        </w:rPr>
        <w:t>，经脱水至</w:t>
      </w:r>
      <w:r>
        <w:rPr>
          <w:rFonts w:hint="default" w:ascii="Times New Roman" w:hAnsi="Times New Roman" w:cs="Times New Roman"/>
          <w:color w:val="auto"/>
          <w:highlight w:val="none"/>
        </w:rPr>
        <w:t>60</w:t>
      </w:r>
      <w:r>
        <w:rPr>
          <w:rFonts w:hint="default" w:ascii="Times New Roman" w:hAnsi="Times New Roman" w:cs="Times New Roman"/>
          <w:color w:val="auto"/>
          <w:highlight w:val="none"/>
          <w:lang w:val="zh-CN"/>
        </w:rPr>
        <w:t>%后为</w:t>
      </w:r>
      <w:r>
        <w:rPr>
          <w:rFonts w:hint="eastAsia" w:cs="Times New Roman"/>
          <w:color w:val="auto"/>
          <w:highlight w:val="none"/>
          <w:lang w:val="en-US" w:eastAsia="zh-CN"/>
        </w:rPr>
        <w:t>541.12</w:t>
      </w:r>
      <w:r>
        <w:rPr>
          <w:rFonts w:hint="default" w:ascii="Times New Roman" w:hAnsi="Times New Roman" w:cs="Times New Roman"/>
          <w:color w:val="auto"/>
          <w:highlight w:val="none"/>
          <w:lang w:val="zh-CN"/>
        </w:rPr>
        <w:t>t/a。</w:t>
      </w:r>
      <w:r>
        <w:rPr>
          <w:rFonts w:hint="eastAsia" w:cs="Times New Roman"/>
          <w:color w:val="auto"/>
          <w:highlight w:val="none"/>
          <w:lang w:val="en-US" w:eastAsia="zh-CN"/>
        </w:rPr>
        <w:t>根据现有污水处理厂针对</w:t>
      </w:r>
      <w:r>
        <w:rPr>
          <w:rFonts w:hint="default" w:ascii="Times New Roman" w:hAnsi="Times New Roman" w:cs="Times New Roman"/>
          <w:color w:val="auto"/>
          <w:highlight w:val="none"/>
          <w:lang w:val="zh-CN"/>
        </w:rPr>
        <w:t>污泥危险废物鉴别实验，</w:t>
      </w:r>
      <w:r>
        <w:rPr>
          <w:rFonts w:hint="eastAsia" w:cs="Times New Roman"/>
          <w:color w:val="auto"/>
          <w:highlight w:val="none"/>
          <w:lang w:val="en-US" w:eastAsia="zh-CN"/>
        </w:rPr>
        <w:t>可知本项目污泥为一般固体废物（见附件污泥鉴别报告），</w:t>
      </w:r>
      <w:r>
        <w:rPr>
          <w:rFonts w:hint="eastAsia" w:cs="Times New Roman"/>
          <w:color w:val="auto"/>
          <w:highlight w:val="none"/>
          <w:lang w:val="zh-CN"/>
        </w:rPr>
        <w:t>污泥经脱水至含水率小于60%后，与栅渣、沉砂一起运至生活垃圾填埋场进行卫生填埋</w:t>
      </w:r>
      <w:r>
        <w:rPr>
          <w:rFonts w:hint="default" w:ascii="Times New Roman" w:hAnsi="Times New Roman" w:cs="Times New Roman"/>
          <w:color w:val="auto"/>
          <w:highlight w:val="none"/>
          <w:lang w:val="zh-CN"/>
        </w:rPr>
        <w:t>。</w:t>
      </w:r>
    </w:p>
    <w:p>
      <w:pPr>
        <w:autoSpaceDE w:val="0"/>
        <w:autoSpaceDN w:val="0"/>
        <w:adjustRightInd w:val="0"/>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根据设计方案，粗格栅的格栅间距为</w:t>
      </w:r>
      <w:r>
        <w:rPr>
          <w:rFonts w:hint="default" w:ascii="Times New Roman" w:hAnsi="Times New Roman" w:cs="Times New Roman"/>
          <w:color w:val="auto"/>
          <w:highlight w:val="none"/>
        </w:rPr>
        <w:t>25</w:t>
      </w:r>
      <w:r>
        <w:rPr>
          <w:rFonts w:hint="default" w:ascii="Times New Roman" w:hAnsi="Times New Roman" w:cs="Times New Roman"/>
          <w:color w:val="auto"/>
          <w:highlight w:val="none"/>
          <w:lang w:val="zh-CN"/>
        </w:rPr>
        <w:t>mm，细格栅的格栅间距为</w:t>
      </w:r>
      <w:r>
        <w:rPr>
          <w:rFonts w:hint="default" w:ascii="Times New Roman" w:hAnsi="Times New Roman" w:cs="Times New Roman"/>
          <w:color w:val="auto"/>
          <w:highlight w:val="none"/>
        </w:rPr>
        <w:t>5</w:t>
      </w:r>
      <w:r>
        <w:rPr>
          <w:rFonts w:hint="default" w:ascii="Times New Roman" w:hAnsi="Times New Roman" w:cs="Times New Roman"/>
          <w:color w:val="auto"/>
          <w:highlight w:val="none"/>
          <w:lang w:val="zh-CN"/>
        </w:rPr>
        <w:t>mm。据资料介绍，废水经15-25mm格栅拦截的栅渣量一般约为2.5-3.5t/10</w:t>
      </w:r>
      <w:r>
        <w:rPr>
          <w:rFonts w:hint="default" w:ascii="Times New Roman" w:hAnsi="Times New Roman" w:cs="Times New Roman"/>
          <w:color w:val="auto"/>
          <w:highlight w:val="none"/>
          <w:vertAlign w:val="superscript"/>
          <w:lang w:val="zh-CN"/>
        </w:rPr>
        <w:t>6</w:t>
      </w:r>
      <w:r>
        <w:rPr>
          <w:rFonts w:hint="default" w:ascii="Times New Roman" w:hAnsi="Times New Roman" w:cs="Times New Roman"/>
          <w:color w:val="auto"/>
          <w:highlight w:val="none"/>
          <w:lang w:val="zh-CN"/>
        </w:rPr>
        <w:t>m</w:t>
      </w:r>
      <w:r>
        <w:rPr>
          <w:rFonts w:hint="default" w:ascii="Times New Roman" w:hAnsi="Times New Roman" w:cs="Times New Roman"/>
          <w:color w:val="auto"/>
          <w:highlight w:val="none"/>
          <w:vertAlign w:val="superscript"/>
          <w:lang w:val="zh-CN"/>
        </w:rPr>
        <w:t>3</w:t>
      </w:r>
      <w:r>
        <w:rPr>
          <w:rFonts w:hint="default" w:ascii="Times New Roman" w:hAnsi="Times New Roman" w:cs="Times New Roman"/>
          <w:color w:val="auto"/>
          <w:highlight w:val="none"/>
          <w:lang w:val="zh-CN"/>
        </w:rPr>
        <w:t>污水。根据项目污水处理规模推算，由格栅拦截的固体废物量约为</w:t>
      </w:r>
      <w:r>
        <w:rPr>
          <w:rFonts w:hint="eastAsia" w:cs="Times New Roman"/>
          <w:color w:val="auto"/>
          <w:highlight w:val="none"/>
          <w:lang w:val="en-US" w:eastAsia="zh-CN"/>
        </w:rPr>
        <w:t>2.22</w:t>
      </w:r>
      <w:r>
        <w:rPr>
          <w:rFonts w:hint="default" w:ascii="Times New Roman" w:hAnsi="Times New Roman" w:cs="Times New Roman"/>
          <w:color w:val="auto"/>
          <w:highlight w:val="none"/>
          <w:lang w:val="zh-CN"/>
        </w:rPr>
        <w:t>t/a。</w:t>
      </w:r>
      <w:r>
        <w:rPr>
          <w:rFonts w:hint="default" w:ascii="Times New Roman" w:hAnsi="Times New Roman" w:eastAsia="宋体" w:cs="Times New Roman"/>
          <w:color w:val="auto"/>
          <w:sz w:val="24"/>
          <w:szCs w:val="24"/>
          <w:highlight w:val="none"/>
        </w:rPr>
        <w:t>栅渣、沉砂一起运至生活垃圾填埋场进行卫生填埋</w:t>
      </w:r>
      <w:r>
        <w:rPr>
          <w:rFonts w:hint="default" w:ascii="Times New Roman" w:hAnsi="Times New Roman" w:cs="Times New Roman"/>
          <w:color w:val="auto"/>
          <w:highlight w:val="none"/>
        </w:rPr>
        <w:t>。</w:t>
      </w:r>
    </w:p>
    <w:p>
      <w:pPr>
        <w:autoSpaceDE w:val="0"/>
        <w:autoSpaceDN w:val="0"/>
        <w:adjustRightInd w:val="0"/>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zh-CN"/>
        </w:rPr>
        <w:t>）生活垃圾</w:t>
      </w:r>
    </w:p>
    <w:p>
      <w:pPr>
        <w:autoSpaceDE w:val="0"/>
        <w:autoSpaceDN w:val="0"/>
        <w:adjustRightInd w:val="0"/>
        <w:ind w:firstLine="480"/>
        <w:rPr>
          <w:rFonts w:hint="default" w:ascii="Times New Roman" w:hAnsi="Times New Roman" w:cs="Times New Roman" w:eastAsiaTheme="minorEastAsia"/>
          <w:color w:val="auto"/>
          <w:highlight w:val="none"/>
          <w:lang w:val="zh-CN"/>
        </w:rPr>
      </w:pPr>
      <w:r>
        <w:rPr>
          <w:rFonts w:hint="default" w:ascii="Times New Roman" w:hAnsi="Times New Roman" w:cs="Times New Roman" w:eastAsiaTheme="minorEastAsia"/>
          <w:color w:val="auto"/>
          <w:highlight w:val="none"/>
          <w:lang w:val="zh-CN"/>
        </w:rPr>
        <w:t>按照每日人均1kg估算，</w:t>
      </w:r>
      <w:r>
        <w:rPr>
          <w:rFonts w:hint="default" w:ascii="Times New Roman" w:hAnsi="Times New Roman" w:cs="Times New Roman" w:eastAsiaTheme="minorEastAsia"/>
          <w:color w:val="auto"/>
          <w:highlight w:val="none"/>
        </w:rPr>
        <w:t>项目</w:t>
      </w:r>
      <w:r>
        <w:rPr>
          <w:rFonts w:hint="eastAsia" w:cs="Times New Roman" w:eastAsiaTheme="minorEastAsia"/>
          <w:color w:val="auto"/>
          <w:highlight w:val="none"/>
          <w:lang w:val="en-US" w:eastAsia="zh-CN"/>
        </w:rPr>
        <w:t>新增</w:t>
      </w:r>
      <w:r>
        <w:rPr>
          <w:rFonts w:hint="default" w:ascii="Times New Roman" w:hAnsi="Times New Roman" w:cs="Times New Roman" w:eastAsiaTheme="minorEastAsia"/>
          <w:color w:val="auto"/>
          <w:highlight w:val="none"/>
        </w:rPr>
        <w:t>12名员工，</w:t>
      </w:r>
      <w:r>
        <w:rPr>
          <w:rFonts w:hint="default" w:ascii="Times New Roman" w:hAnsi="Times New Roman" w:cs="Times New Roman" w:eastAsiaTheme="minorEastAsia"/>
          <w:color w:val="auto"/>
          <w:highlight w:val="none"/>
          <w:lang w:val="zh-CN"/>
        </w:rPr>
        <w:t>每天产生</w:t>
      </w:r>
      <w:r>
        <w:rPr>
          <w:rFonts w:hint="default" w:ascii="Times New Roman" w:hAnsi="Times New Roman" w:cs="Times New Roman"/>
          <w:color w:val="auto"/>
          <w:highlight w:val="none"/>
        </w:rPr>
        <w:t>12</w:t>
      </w:r>
      <w:r>
        <w:rPr>
          <w:rFonts w:hint="default" w:ascii="Times New Roman" w:hAnsi="Times New Roman" w:cs="Times New Roman" w:eastAsiaTheme="minorEastAsia"/>
          <w:color w:val="auto"/>
          <w:highlight w:val="none"/>
          <w:lang w:val="zh-CN"/>
        </w:rPr>
        <w:t>kg，年产生量约为</w:t>
      </w:r>
      <w:r>
        <w:rPr>
          <w:rFonts w:hint="default" w:ascii="Times New Roman" w:hAnsi="Times New Roman" w:cs="Times New Roman" w:eastAsiaTheme="minorEastAsia"/>
          <w:color w:val="auto"/>
          <w:highlight w:val="none"/>
        </w:rPr>
        <w:t>4.38</w:t>
      </w:r>
      <w:r>
        <w:rPr>
          <w:rFonts w:hint="default" w:ascii="Times New Roman" w:hAnsi="Times New Roman" w:cs="Times New Roman" w:eastAsiaTheme="minorEastAsia"/>
          <w:color w:val="auto"/>
          <w:highlight w:val="none"/>
          <w:lang w:val="zh-CN"/>
        </w:rPr>
        <w:t>t。生活垃圾经垃圾桶收集后，交由环卫部门统一处理。</w:t>
      </w:r>
    </w:p>
    <w:p>
      <w:pPr>
        <w:autoSpaceDE w:val="0"/>
        <w:autoSpaceDN w:val="0"/>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（4）危险废物</w:t>
      </w:r>
    </w:p>
    <w:p>
      <w:pPr>
        <w:autoSpaceDE w:val="0"/>
        <w:autoSpaceDN w:val="0"/>
        <w:adjustRightInd w:val="0"/>
        <w:ind w:firstLine="480"/>
        <w:rPr>
          <w:rFonts w:hint="default" w:ascii="Times New Roman" w:hAnsi="Times New Roman" w:cs="Times New Roman" w:eastAsiaTheme="minorEastAsia"/>
          <w:color w:val="auto"/>
          <w:highlight w:val="none"/>
        </w:rPr>
      </w:pPr>
      <w:r>
        <w:rPr>
          <w:rFonts w:hint="default" w:ascii="Times New Roman" w:hAnsi="Times New Roman" w:cs="Times New Roman"/>
          <w:color w:val="auto"/>
          <w:highlight w:val="none"/>
          <w:lang w:val="zh-CN"/>
        </w:rPr>
        <w:t>本项目设备使用、维修过程中需要使用润滑油，则废油产生量约为0.1t/a，属于《国家危险废物名录（20</w:t>
      </w:r>
      <w:r>
        <w:rPr>
          <w:rFonts w:hint="default" w:ascii="Times New Roman" w:hAnsi="Times New Roman" w:cs="Times New Roman"/>
          <w:color w:val="auto"/>
          <w:highlight w:val="none"/>
        </w:rPr>
        <w:t>21</w:t>
      </w:r>
      <w:r>
        <w:rPr>
          <w:rFonts w:hint="eastAsia"/>
          <w:color w:val="auto"/>
          <w:highlight w:val="none"/>
          <w:lang w:val="en-US" w:eastAsia="zh-CN"/>
        </w:rPr>
        <w:t>年版</w:t>
      </w:r>
      <w:r>
        <w:rPr>
          <w:rFonts w:hint="default" w:ascii="Times New Roman" w:hAnsi="Times New Roman" w:cs="Times New Roman"/>
          <w:color w:val="auto"/>
          <w:highlight w:val="none"/>
          <w:lang w:val="zh-CN"/>
        </w:rPr>
        <w:t>）》中HW08类危险废物，危废代码为“900-2</w:t>
      </w:r>
      <w:r>
        <w:rPr>
          <w:rFonts w:hint="default" w:ascii="Times New Roman" w:hAnsi="Times New Roman" w:cs="Times New Roman"/>
          <w:color w:val="auto"/>
          <w:highlight w:val="none"/>
        </w:rPr>
        <w:t>14</w:t>
      </w:r>
      <w:r>
        <w:rPr>
          <w:rFonts w:hint="default" w:ascii="Times New Roman" w:hAnsi="Times New Roman" w:cs="Times New Roman"/>
          <w:color w:val="auto"/>
          <w:highlight w:val="none"/>
          <w:lang w:val="zh-CN"/>
        </w:rPr>
        <w:t>-08”，应妥善收集后交由具有相应危废资质的危废单位处理。项目生产产生的废抹布、手套约0.01t/a，属于《国家危险废物名录（20</w:t>
      </w:r>
      <w:r>
        <w:rPr>
          <w:rFonts w:hint="default" w:ascii="Times New Roman" w:hAnsi="Times New Roman" w:cs="Times New Roman"/>
          <w:color w:val="auto"/>
          <w:highlight w:val="none"/>
        </w:rPr>
        <w:t>21</w:t>
      </w:r>
      <w:r>
        <w:rPr>
          <w:rFonts w:hint="eastAsia"/>
          <w:color w:val="auto"/>
          <w:highlight w:val="none"/>
          <w:lang w:val="en-US" w:eastAsia="zh-CN"/>
        </w:rPr>
        <w:t>年版</w:t>
      </w:r>
      <w:r>
        <w:rPr>
          <w:rFonts w:hint="default" w:ascii="Times New Roman" w:hAnsi="Times New Roman" w:cs="Times New Roman"/>
          <w:color w:val="auto"/>
          <w:highlight w:val="none"/>
          <w:lang w:val="zh-CN"/>
        </w:rPr>
        <w:t>）》中</w:t>
      </w:r>
      <w:r>
        <w:rPr>
          <w:rFonts w:hint="default" w:ascii="Times New Roman" w:hAnsi="Times New Roman" w:cs="Times New Roman"/>
          <w:color w:val="auto"/>
          <w:szCs w:val="21"/>
          <w:highlight w:val="none"/>
        </w:rPr>
        <w:t>HW49类危险废物，危废代码为“</w:t>
      </w:r>
      <w:r>
        <w:rPr>
          <w:rFonts w:hint="default" w:ascii="Times New Roman" w:hAnsi="Times New Roman" w:cs="Times New Roman"/>
          <w:color w:val="auto"/>
          <w:highlight w:val="none"/>
        </w:rPr>
        <w:t>900-041-49</w:t>
      </w:r>
      <w:r>
        <w:rPr>
          <w:rFonts w:hint="default" w:ascii="Times New Roman" w:hAnsi="Times New Roman" w:cs="Times New Roman"/>
          <w:color w:val="auto"/>
          <w:szCs w:val="21"/>
          <w:highlight w:val="none"/>
        </w:rPr>
        <w:t>”，应妥善收集后交由具有相应危废资质的危废单位处理。</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项目各污染物排放汇总</w:t>
      </w:r>
    </w:p>
    <w:p>
      <w:pPr>
        <w:spacing w:line="240" w:lineRule="auto"/>
        <w:ind w:firstLine="0" w:firstLineChars="0"/>
        <w:jc w:val="center"/>
        <w:rPr>
          <w:rFonts w:hint="default" w:ascii="Times New Roman" w:hAnsi="Times New Roman" w:eastAsia="黑体" w:cs="Times New Roman"/>
          <w:color w:val="auto"/>
          <w:highlight w:val="none"/>
          <w:lang w:val="zh-CN"/>
        </w:rPr>
      </w:pPr>
      <w:r>
        <w:rPr>
          <w:rFonts w:hint="default" w:ascii="Times New Roman" w:hAnsi="Times New Roman" w:eastAsia="黑体" w:cs="Times New Roman"/>
          <w:color w:val="auto"/>
          <w:highlight w:val="none"/>
          <w:lang w:val="zh-CN"/>
        </w:rPr>
        <w:t>表</w:t>
      </w:r>
      <w:r>
        <w:rPr>
          <w:rFonts w:hint="default" w:ascii="Times New Roman" w:hAnsi="Times New Roman" w:cs="Times New Roman"/>
          <w:color w:val="auto"/>
          <w:highlight w:val="none"/>
        </w:rPr>
        <w:t>3.5-</w:t>
      </w:r>
      <w:r>
        <w:rPr>
          <w:rFonts w:hint="eastAsia" w:cs="Times New Roman"/>
          <w:color w:val="auto"/>
          <w:highlight w:val="none"/>
          <w:lang w:val="en-US" w:eastAsia="zh-CN"/>
        </w:rPr>
        <w:t>15</w:t>
      </w:r>
      <w:r>
        <w:rPr>
          <w:rFonts w:hint="eastAsia" w:eastAsia="黑体" w:cs="Times New Roman"/>
          <w:color w:val="auto"/>
          <w:highlight w:val="none"/>
          <w:lang w:val="zh-CN"/>
        </w:rPr>
        <w:t>本项目</w:t>
      </w:r>
      <w:r>
        <w:rPr>
          <w:rFonts w:hint="eastAsia" w:eastAsia="黑体" w:cs="Times New Roman"/>
          <w:color w:val="auto"/>
          <w:highlight w:val="none"/>
          <w:lang w:val="en-US" w:eastAsia="zh-CN"/>
        </w:rPr>
        <w:t>改扩建后新增</w:t>
      </w:r>
      <w:r>
        <w:rPr>
          <w:rFonts w:hint="default" w:ascii="Times New Roman" w:hAnsi="Times New Roman" w:eastAsia="黑体" w:cs="Times New Roman"/>
          <w:color w:val="auto"/>
          <w:highlight w:val="none"/>
          <w:lang w:val="zh-CN"/>
        </w:rPr>
        <w:t>污染物产生、排放量汇总表</w:t>
      </w:r>
      <w:r>
        <w:rPr>
          <w:rFonts w:hint="default" w:ascii="Times New Roman" w:hAnsi="Times New Roman" w:eastAsia="黑体" w:cs="Times New Roman"/>
          <w:color w:val="auto"/>
          <w:highlight w:val="none"/>
        </w:rPr>
        <w:t>单位：t/a</w:t>
      </w:r>
    </w:p>
    <w:tbl>
      <w:tblPr>
        <w:tblStyle w:val="3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689"/>
        <w:gridCol w:w="934"/>
        <w:gridCol w:w="1507"/>
        <w:gridCol w:w="1014"/>
        <w:gridCol w:w="4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bookmarkStart w:id="101" w:name="_Hlt149981351"/>
            <w:r>
              <w:rPr>
                <w:rFonts w:hint="default" w:ascii="Times New Roman" w:hAnsi="Times New Roman" w:cs="Times New Roman"/>
                <w:color w:val="auto"/>
                <w:sz w:val="21"/>
                <w:szCs w:val="20"/>
                <w:highlight w:val="none"/>
                <w:lang w:val="zh-CN"/>
              </w:rPr>
              <w:t>类别</w:t>
            </w:r>
          </w:p>
        </w:tc>
        <w:tc>
          <w:tcPr>
            <w:tcW w:w="853" w:type="pct"/>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lang w:val="zh-CN"/>
              </w:rPr>
              <w:t>项目</w:t>
            </w:r>
          </w:p>
        </w:tc>
        <w:tc>
          <w:tcPr>
            <w:tcW w:w="792"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产生量</w:t>
            </w:r>
          </w:p>
        </w:tc>
        <w:tc>
          <w:tcPr>
            <w:tcW w:w="53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lang w:val="zh-CN"/>
              </w:rPr>
              <w:t>排放量</w:t>
            </w:r>
          </w:p>
        </w:tc>
        <w:tc>
          <w:tcPr>
            <w:tcW w:w="2417"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lang w:val="zh-CN"/>
              </w:rPr>
            </w:pPr>
            <w:r>
              <w:rPr>
                <w:rFonts w:hint="default" w:ascii="Times New Roman" w:hAnsi="Times New Roman" w:cs="Times New Roman"/>
                <w:color w:val="auto"/>
                <w:sz w:val="21"/>
                <w:szCs w:val="20"/>
                <w:highlight w:val="none"/>
                <w:lang w:val="zh-CN"/>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 w:type="pct"/>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lang w:val="zh-CN"/>
              </w:rPr>
            </w:pPr>
            <w:r>
              <w:rPr>
                <w:rFonts w:hint="default" w:ascii="Times New Roman" w:hAnsi="Times New Roman" w:cs="Times New Roman"/>
                <w:color w:val="auto"/>
                <w:sz w:val="21"/>
                <w:szCs w:val="20"/>
                <w:highlight w:val="none"/>
                <w:lang w:val="zh-CN"/>
              </w:rPr>
              <w:t>废水</w:t>
            </w:r>
          </w:p>
        </w:tc>
        <w:tc>
          <w:tcPr>
            <w:tcW w:w="853" w:type="pct"/>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lang w:val="zh-CN"/>
              </w:rPr>
            </w:pPr>
            <w:r>
              <w:rPr>
                <w:rFonts w:hint="default" w:ascii="Times New Roman" w:hAnsi="Times New Roman" w:cs="Times New Roman"/>
                <w:color w:val="auto"/>
                <w:sz w:val="21"/>
                <w:szCs w:val="20"/>
                <w:highlight w:val="none"/>
                <w:lang w:val="zh-CN"/>
              </w:rPr>
              <w:t>废水量</w:t>
            </w:r>
          </w:p>
        </w:tc>
        <w:tc>
          <w:tcPr>
            <w:tcW w:w="792"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eastAsia" w:cs="Times New Roman"/>
                <w:color w:val="auto"/>
                <w:sz w:val="21"/>
                <w:szCs w:val="20"/>
                <w:highlight w:val="none"/>
                <w:lang w:val="en-US" w:eastAsia="zh-CN"/>
              </w:rPr>
              <w:t>912.5</w:t>
            </w:r>
            <w:r>
              <w:rPr>
                <w:rFonts w:hint="default" w:ascii="Times New Roman" w:hAnsi="Times New Roman" w:cs="Times New Roman"/>
                <w:color w:val="auto"/>
                <w:sz w:val="21"/>
                <w:szCs w:val="20"/>
                <w:highlight w:val="none"/>
              </w:rPr>
              <w:t>万</w:t>
            </w:r>
          </w:p>
        </w:tc>
        <w:tc>
          <w:tcPr>
            <w:tcW w:w="53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lang w:val="zh-CN"/>
              </w:rPr>
            </w:pPr>
            <w:r>
              <w:rPr>
                <w:rFonts w:hint="eastAsia" w:cs="Times New Roman"/>
                <w:color w:val="auto"/>
                <w:sz w:val="21"/>
                <w:szCs w:val="20"/>
                <w:highlight w:val="none"/>
                <w:lang w:val="en-US" w:eastAsia="zh-CN"/>
              </w:rPr>
              <w:t>912.5</w:t>
            </w:r>
            <w:r>
              <w:rPr>
                <w:rFonts w:hint="default" w:ascii="Times New Roman" w:hAnsi="Times New Roman" w:cs="Times New Roman"/>
                <w:color w:val="auto"/>
                <w:sz w:val="21"/>
                <w:szCs w:val="20"/>
                <w:highlight w:val="none"/>
              </w:rPr>
              <w:t>万</w:t>
            </w:r>
          </w:p>
        </w:tc>
        <w:tc>
          <w:tcPr>
            <w:tcW w:w="2417" w:type="pct"/>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采用</w:t>
            </w:r>
            <w:r>
              <w:rPr>
                <w:rFonts w:hint="eastAsia" w:cs="Times New Roman"/>
                <w:color w:val="auto"/>
                <w:sz w:val="21"/>
                <w:szCs w:val="20"/>
                <w:highlight w:val="none"/>
                <w:lang w:eastAsia="zh-CN"/>
              </w:rPr>
              <w:t>“预处理+调节池+AAO生物池＋高效沉淀池+反硝化深床滤池+接触消毒池”</w:t>
            </w:r>
            <w:r>
              <w:rPr>
                <w:rFonts w:hint="default" w:ascii="Times New Roman" w:hAnsi="Times New Roman" w:cs="Times New Roman"/>
                <w:color w:val="auto"/>
                <w:sz w:val="21"/>
                <w:szCs w:val="20"/>
                <w:highlight w:val="none"/>
              </w:rPr>
              <w:t>处理工艺。废水处理达到（GB18918-2002）一级A标准，同时满足《</w:t>
            </w:r>
            <w:r>
              <w:rPr>
                <w:rFonts w:hint="eastAsia" w:cs="Times New Roman"/>
                <w:color w:val="auto"/>
                <w:sz w:val="21"/>
                <w:szCs w:val="20"/>
                <w:highlight w:val="none"/>
                <w:lang w:eastAsia="zh-CN"/>
              </w:rPr>
              <w:t>城市污水再生利用城市杂用水水质》（GB/T18920-2020）</w:t>
            </w:r>
            <w:r>
              <w:rPr>
                <w:rFonts w:hint="default" w:ascii="Times New Roman" w:hAnsi="Times New Roman" w:cs="Times New Roman"/>
                <w:color w:val="auto"/>
                <w:sz w:val="21"/>
                <w:szCs w:val="20"/>
                <w:highlight w:val="none"/>
              </w:rPr>
              <w:t>和《城市污水再生利用绿地灌溉水质》（GB/T25499-2010）</w:t>
            </w:r>
            <w:r>
              <w:rPr>
                <w:rFonts w:hint="default" w:ascii="Times New Roman" w:hAnsi="Times New Roman" w:cs="Times New Roman"/>
                <w:color w:val="auto"/>
                <w:sz w:val="21"/>
                <w:szCs w:val="20"/>
                <w:highlight w:val="none"/>
                <w:lang w:val="en-US" w:eastAsia="zh-CN"/>
              </w:rPr>
              <w:t>的绿化用水要求</w:t>
            </w:r>
            <w:r>
              <w:rPr>
                <w:rFonts w:hint="default" w:ascii="Times New Roman" w:hAnsi="Times New Roman" w:cs="Times New Roman"/>
                <w:color w:val="auto"/>
                <w:sz w:val="21"/>
                <w:szCs w:val="20"/>
                <w:highlight w:val="none"/>
              </w:rPr>
              <w:t>。</w:t>
            </w:r>
          </w:p>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尾水经专用管道夏季用于灌溉示范区的林地，冬季储存于</w:t>
            </w:r>
            <w:r>
              <w:rPr>
                <w:rFonts w:hint="eastAsia" w:cs="Times New Roman"/>
                <w:color w:val="auto"/>
                <w:sz w:val="21"/>
                <w:szCs w:val="20"/>
                <w:highlight w:val="none"/>
                <w:lang w:eastAsia="zh-CN"/>
              </w:rPr>
              <w:t>中水池</w:t>
            </w:r>
            <w:r>
              <w:rPr>
                <w:rFonts w:hint="default" w:ascii="Times New Roman" w:hAnsi="Times New Roman" w:cs="Times New Roman"/>
                <w:color w:val="auto"/>
                <w:sz w:val="21"/>
                <w:szCs w:val="20"/>
                <w:highlight w:val="none"/>
              </w:rPr>
              <w:t>中，实现污水有效利用。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853" w:type="pct"/>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COD</w:t>
            </w:r>
          </w:p>
        </w:tc>
        <w:tc>
          <w:tcPr>
            <w:tcW w:w="150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4007.571</w:t>
            </w:r>
          </w:p>
        </w:tc>
        <w:tc>
          <w:tcPr>
            <w:tcW w:w="1014"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289.535</w:t>
            </w:r>
          </w:p>
        </w:tc>
        <w:tc>
          <w:tcPr>
            <w:tcW w:w="2417"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853" w:type="pct"/>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BOD</w:t>
            </w:r>
            <w:r>
              <w:rPr>
                <w:rFonts w:hint="default" w:ascii="Times New Roman" w:hAnsi="Times New Roman" w:cs="Times New Roman"/>
                <w:color w:val="auto"/>
                <w:sz w:val="21"/>
                <w:szCs w:val="20"/>
                <w:highlight w:val="none"/>
                <w:vertAlign w:val="subscript"/>
              </w:rPr>
              <w:t>5</w:t>
            </w:r>
          </w:p>
        </w:tc>
        <w:tc>
          <w:tcPr>
            <w:tcW w:w="150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2337.750</w:t>
            </w:r>
          </w:p>
        </w:tc>
        <w:tc>
          <w:tcPr>
            <w:tcW w:w="1014"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47.356</w:t>
            </w:r>
          </w:p>
        </w:tc>
        <w:tc>
          <w:tcPr>
            <w:tcW w:w="2417"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853" w:type="pct"/>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SS</w:t>
            </w:r>
          </w:p>
        </w:tc>
        <w:tc>
          <w:tcPr>
            <w:tcW w:w="150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2337.750</w:t>
            </w:r>
          </w:p>
        </w:tc>
        <w:tc>
          <w:tcPr>
            <w:tcW w:w="1014"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33.396</w:t>
            </w:r>
          </w:p>
        </w:tc>
        <w:tc>
          <w:tcPr>
            <w:tcW w:w="2417"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853" w:type="pct"/>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lang w:val="zh-CN"/>
              </w:rPr>
              <w:t>氨氮</w:t>
            </w:r>
          </w:p>
        </w:tc>
        <w:tc>
          <w:tcPr>
            <w:tcW w:w="150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233.775</w:t>
            </w:r>
          </w:p>
        </w:tc>
        <w:tc>
          <w:tcPr>
            <w:tcW w:w="1014"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32.461</w:t>
            </w:r>
          </w:p>
        </w:tc>
        <w:tc>
          <w:tcPr>
            <w:tcW w:w="2417"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853" w:type="pct"/>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总氮</w:t>
            </w:r>
          </w:p>
        </w:tc>
        <w:tc>
          <w:tcPr>
            <w:tcW w:w="150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467.550</w:t>
            </w:r>
          </w:p>
        </w:tc>
        <w:tc>
          <w:tcPr>
            <w:tcW w:w="1014"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94.679</w:t>
            </w:r>
          </w:p>
        </w:tc>
        <w:tc>
          <w:tcPr>
            <w:tcW w:w="2417"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853" w:type="pct"/>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总磷</w:t>
            </w:r>
          </w:p>
        </w:tc>
        <w:tc>
          <w:tcPr>
            <w:tcW w:w="150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33.396</w:t>
            </w:r>
          </w:p>
        </w:tc>
        <w:tc>
          <w:tcPr>
            <w:tcW w:w="1014"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1.830</w:t>
            </w:r>
          </w:p>
        </w:tc>
        <w:tc>
          <w:tcPr>
            <w:tcW w:w="2417"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 w:type="pct"/>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lang w:val="zh-CN"/>
              </w:rPr>
              <w:t>废气</w:t>
            </w:r>
          </w:p>
        </w:tc>
        <w:tc>
          <w:tcPr>
            <w:tcW w:w="362" w:type="pct"/>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有组织</w:t>
            </w:r>
          </w:p>
        </w:tc>
        <w:tc>
          <w:tcPr>
            <w:tcW w:w="491"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NH</w:t>
            </w:r>
            <w:r>
              <w:rPr>
                <w:rFonts w:hint="default" w:ascii="Times New Roman" w:hAnsi="Times New Roman" w:cs="Times New Roman"/>
                <w:color w:val="auto"/>
                <w:sz w:val="21"/>
                <w:szCs w:val="20"/>
                <w:highlight w:val="none"/>
                <w:vertAlign w:val="subscript"/>
              </w:rPr>
              <w:t>3</w:t>
            </w:r>
          </w:p>
        </w:tc>
        <w:tc>
          <w:tcPr>
            <w:tcW w:w="792" w:type="pct"/>
            <w:tcBorders>
              <w:tl2br w:val="nil"/>
              <w:tr2bl w:val="nil"/>
            </w:tcBorders>
            <w:vAlign w:val="center"/>
          </w:tcPr>
          <w:p>
            <w:pPr>
              <w:pStyle w:val="104"/>
              <w:rPr>
                <w:rFonts w:hint="default" w:ascii="Times New Roman" w:hAnsi="Times New Roman" w:cs="Times New Roman"/>
                <w:color w:val="auto"/>
                <w:sz w:val="21"/>
                <w:szCs w:val="20"/>
                <w:highlight w:val="none"/>
              </w:rPr>
            </w:pPr>
            <w:r>
              <w:rPr>
                <w:rFonts w:hint="eastAsia" w:ascii="Times New Roman" w:hAnsi="Times New Roman" w:eastAsia="宋体" w:cstheme="minorBidi"/>
                <w:color w:val="auto"/>
                <w:kern w:val="2"/>
                <w:sz w:val="21"/>
                <w:szCs w:val="24"/>
                <w:highlight w:val="none"/>
                <w:lang w:val="en-US" w:eastAsia="zh-CN" w:bidi="ar-SA"/>
              </w:rPr>
              <w:t>14.386</w:t>
            </w:r>
          </w:p>
        </w:tc>
        <w:tc>
          <w:tcPr>
            <w:tcW w:w="1014" w:type="dxa"/>
            <w:tcBorders>
              <w:tl2br w:val="nil"/>
              <w:tr2bl w:val="nil"/>
            </w:tcBorders>
            <w:vAlign w:val="center"/>
          </w:tcPr>
          <w:p>
            <w:pPr>
              <w:pStyle w:val="104"/>
              <w:rPr>
                <w:rFonts w:hint="default" w:ascii="Times New Roman" w:hAnsi="Times New Roman" w:cs="Times New Roman"/>
                <w:color w:val="auto"/>
                <w:sz w:val="21"/>
                <w:szCs w:val="20"/>
                <w:highlight w:val="none"/>
              </w:rPr>
            </w:pPr>
            <w:r>
              <w:rPr>
                <w:rFonts w:hint="eastAsia" w:ascii="Times New Roman" w:hAnsi="Times New Roman" w:eastAsia="宋体" w:cstheme="minorBidi"/>
                <w:color w:val="auto"/>
                <w:kern w:val="2"/>
                <w:sz w:val="21"/>
                <w:szCs w:val="24"/>
                <w:highlight w:val="none"/>
                <w:lang w:val="en-US" w:eastAsia="zh-CN" w:bidi="ar-SA"/>
              </w:rPr>
              <w:t>1.367</w:t>
            </w:r>
          </w:p>
        </w:tc>
        <w:tc>
          <w:tcPr>
            <w:tcW w:w="2417" w:type="pct"/>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lang w:val="zh-CN"/>
              </w:rPr>
              <w:t>构筑物进行密封，通过</w:t>
            </w:r>
            <w:r>
              <w:rPr>
                <w:rFonts w:hint="default" w:ascii="Times New Roman" w:hAnsi="Times New Roman" w:cs="Times New Roman"/>
                <w:color w:val="auto"/>
                <w:sz w:val="21"/>
                <w:szCs w:val="20"/>
                <w:highlight w:val="none"/>
              </w:rPr>
              <w:t>1</w:t>
            </w:r>
            <w:r>
              <w:rPr>
                <w:rFonts w:hint="default" w:ascii="Times New Roman" w:hAnsi="Times New Roman" w:cs="Times New Roman"/>
                <w:color w:val="auto"/>
                <w:sz w:val="21"/>
                <w:szCs w:val="20"/>
                <w:highlight w:val="none"/>
                <w:lang w:val="zh-CN"/>
              </w:rPr>
              <w:t>套总风量为</w:t>
            </w:r>
            <w:r>
              <w:rPr>
                <w:rFonts w:hint="default" w:ascii="Times New Roman" w:hAnsi="Times New Roman" w:cs="Times New Roman"/>
                <w:color w:val="auto"/>
                <w:sz w:val="21"/>
                <w:szCs w:val="20"/>
                <w:highlight w:val="none"/>
              </w:rPr>
              <w:t>10000</w:t>
            </w:r>
            <w:r>
              <w:rPr>
                <w:rFonts w:hint="default" w:ascii="Times New Roman" w:hAnsi="Times New Roman" w:cs="Times New Roman"/>
                <w:color w:val="auto"/>
                <w:sz w:val="21"/>
                <w:szCs w:val="20"/>
                <w:highlight w:val="none"/>
                <w:lang w:val="zh-CN"/>
              </w:rPr>
              <w:t>m³/h的风机进行收集，并采用生物</w:t>
            </w:r>
            <w:r>
              <w:rPr>
                <w:rFonts w:hint="default" w:ascii="Times New Roman" w:hAnsi="Times New Roman" w:cs="Times New Roman"/>
                <w:color w:val="auto"/>
                <w:sz w:val="21"/>
                <w:szCs w:val="20"/>
                <w:highlight w:val="none"/>
              </w:rPr>
              <w:t>滤池</w:t>
            </w:r>
            <w:r>
              <w:rPr>
                <w:rFonts w:hint="default" w:ascii="Times New Roman" w:hAnsi="Times New Roman" w:cs="Times New Roman"/>
                <w:color w:val="auto"/>
                <w:sz w:val="21"/>
                <w:szCs w:val="20"/>
                <w:highlight w:val="none"/>
                <w:lang w:val="zh-CN"/>
              </w:rPr>
              <w:t>除臭工艺处理，通过1根</w:t>
            </w:r>
            <w:r>
              <w:rPr>
                <w:rFonts w:hint="default" w:ascii="Times New Roman" w:hAnsi="Times New Roman" w:cs="Times New Roman"/>
                <w:color w:val="auto"/>
                <w:sz w:val="21"/>
                <w:szCs w:val="20"/>
                <w:highlight w:val="none"/>
              </w:rPr>
              <w:t>15</w:t>
            </w:r>
            <w:r>
              <w:rPr>
                <w:rFonts w:hint="default" w:ascii="Times New Roman" w:hAnsi="Times New Roman" w:cs="Times New Roman"/>
                <w:color w:val="auto"/>
                <w:sz w:val="21"/>
                <w:szCs w:val="20"/>
                <w:highlight w:val="none"/>
                <w:lang w:val="zh-CN"/>
              </w:rPr>
              <w:t>m高排气管排放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lang w:val="zh-CN"/>
              </w:rPr>
            </w:pPr>
          </w:p>
        </w:tc>
        <w:tc>
          <w:tcPr>
            <w:tcW w:w="362"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491"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H</w:t>
            </w:r>
            <w:r>
              <w:rPr>
                <w:rFonts w:hint="default" w:ascii="Times New Roman" w:hAnsi="Times New Roman" w:cs="Times New Roman"/>
                <w:color w:val="auto"/>
                <w:sz w:val="21"/>
                <w:szCs w:val="20"/>
                <w:highlight w:val="none"/>
                <w:vertAlign w:val="subscript"/>
              </w:rPr>
              <w:t>2</w:t>
            </w:r>
            <w:r>
              <w:rPr>
                <w:rFonts w:hint="default" w:ascii="Times New Roman" w:hAnsi="Times New Roman" w:cs="Times New Roman"/>
                <w:color w:val="auto"/>
                <w:sz w:val="21"/>
                <w:szCs w:val="20"/>
                <w:highlight w:val="none"/>
              </w:rPr>
              <w:t>S</w:t>
            </w:r>
          </w:p>
        </w:tc>
        <w:tc>
          <w:tcPr>
            <w:tcW w:w="792" w:type="pct"/>
            <w:tcBorders>
              <w:tl2br w:val="nil"/>
              <w:tr2bl w:val="nil"/>
            </w:tcBorders>
            <w:vAlign w:val="center"/>
          </w:tcPr>
          <w:p>
            <w:pPr>
              <w:pStyle w:val="104"/>
              <w:rPr>
                <w:rFonts w:hint="default" w:ascii="Times New Roman" w:hAnsi="Times New Roman" w:cs="Times New Roman"/>
                <w:color w:val="auto"/>
                <w:sz w:val="21"/>
                <w:szCs w:val="20"/>
                <w:highlight w:val="none"/>
              </w:rPr>
            </w:pPr>
            <w:r>
              <w:rPr>
                <w:rFonts w:hint="eastAsia" w:ascii="Times New Roman" w:hAnsi="Times New Roman" w:eastAsia="宋体" w:cstheme="minorBidi"/>
                <w:color w:val="auto"/>
                <w:kern w:val="2"/>
                <w:sz w:val="21"/>
                <w:szCs w:val="24"/>
                <w:highlight w:val="none"/>
                <w:lang w:val="en-US" w:eastAsia="zh-CN" w:bidi="ar-SA"/>
              </w:rPr>
              <w:t>0.301</w:t>
            </w:r>
          </w:p>
        </w:tc>
        <w:tc>
          <w:tcPr>
            <w:tcW w:w="1014" w:type="dxa"/>
            <w:tcBorders>
              <w:tl2br w:val="nil"/>
              <w:tr2bl w:val="nil"/>
            </w:tcBorders>
            <w:vAlign w:val="center"/>
          </w:tcPr>
          <w:p>
            <w:pPr>
              <w:pStyle w:val="104"/>
              <w:rPr>
                <w:rFonts w:hint="default" w:ascii="Times New Roman" w:hAnsi="Times New Roman" w:cs="Times New Roman"/>
                <w:color w:val="auto"/>
                <w:sz w:val="21"/>
                <w:szCs w:val="20"/>
                <w:highlight w:val="none"/>
              </w:rPr>
            </w:pPr>
            <w:r>
              <w:rPr>
                <w:rFonts w:hint="eastAsia" w:ascii="Times New Roman" w:hAnsi="Times New Roman" w:eastAsia="宋体" w:cstheme="minorBidi"/>
                <w:color w:val="auto"/>
                <w:kern w:val="2"/>
                <w:sz w:val="21"/>
                <w:szCs w:val="24"/>
                <w:highlight w:val="none"/>
                <w:lang w:val="en-US" w:eastAsia="zh-CN" w:bidi="ar-SA"/>
              </w:rPr>
              <w:t>0.029</w:t>
            </w:r>
          </w:p>
        </w:tc>
        <w:tc>
          <w:tcPr>
            <w:tcW w:w="2417"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402"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lang w:val="zh-CN"/>
              </w:rPr>
            </w:pPr>
          </w:p>
        </w:tc>
        <w:tc>
          <w:tcPr>
            <w:tcW w:w="362" w:type="pct"/>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无组织</w:t>
            </w:r>
          </w:p>
        </w:tc>
        <w:tc>
          <w:tcPr>
            <w:tcW w:w="491"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NH</w:t>
            </w:r>
            <w:r>
              <w:rPr>
                <w:rFonts w:hint="default" w:ascii="Times New Roman" w:hAnsi="Times New Roman" w:cs="Times New Roman"/>
                <w:color w:val="auto"/>
                <w:sz w:val="21"/>
                <w:szCs w:val="20"/>
                <w:highlight w:val="none"/>
                <w:vertAlign w:val="subscript"/>
              </w:rPr>
              <w:t>3</w:t>
            </w:r>
          </w:p>
        </w:tc>
        <w:tc>
          <w:tcPr>
            <w:tcW w:w="792" w:type="pct"/>
            <w:tcBorders>
              <w:tl2br w:val="nil"/>
              <w:tr2bl w:val="nil"/>
            </w:tcBorders>
            <w:vAlign w:val="center"/>
          </w:tcPr>
          <w:p>
            <w:pPr>
              <w:pStyle w:val="104"/>
              <w:rPr>
                <w:rFonts w:hint="default" w:ascii="Times New Roman" w:hAnsi="Times New Roman" w:cs="Times New Roman"/>
                <w:color w:val="auto"/>
                <w:sz w:val="21"/>
                <w:szCs w:val="20"/>
                <w:highlight w:val="none"/>
              </w:rPr>
            </w:pPr>
            <w:r>
              <w:rPr>
                <w:rFonts w:hint="eastAsia" w:ascii="Times New Roman" w:hAnsi="Times New Roman" w:eastAsia="宋体" w:cstheme="minorBidi"/>
                <w:color w:val="auto"/>
                <w:kern w:val="2"/>
                <w:sz w:val="21"/>
                <w:szCs w:val="24"/>
                <w:highlight w:val="none"/>
                <w:lang w:val="en-US" w:eastAsia="zh-CN" w:bidi="ar-SA"/>
              </w:rPr>
              <w:t>0.719</w:t>
            </w:r>
          </w:p>
        </w:tc>
        <w:tc>
          <w:tcPr>
            <w:tcW w:w="1014" w:type="dxa"/>
            <w:tcBorders>
              <w:tl2br w:val="nil"/>
              <w:tr2bl w:val="nil"/>
            </w:tcBorders>
            <w:vAlign w:val="center"/>
          </w:tcPr>
          <w:p>
            <w:pPr>
              <w:pStyle w:val="104"/>
              <w:rPr>
                <w:rFonts w:hint="default" w:ascii="Times New Roman" w:hAnsi="Times New Roman" w:cs="Times New Roman"/>
                <w:color w:val="auto"/>
                <w:sz w:val="21"/>
                <w:szCs w:val="20"/>
                <w:highlight w:val="none"/>
              </w:rPr>
            </w:pPr>
            <w:r>
              <w:rPr>
                <w:rFonts w:hint="eastAsia" w:ascii="Times New Roman" w:hAnsi="Times New Roman" w:eastAsia="宋体" w:cstheme="minorBidi"/>
                <w:color w:val="auto"/>
                <w:kern w:val="2"/>
                <w:sz w:val="21"/>
                <w:szCs w:val="24"/>
                <w:highlight w:val="none"/>
                <w:lang w:val="en-US" w:eastAsia="zh-CN" w:bidi="ar-SA"/>
              </w:rPr>
              <w:t>0.719</w:t>
            </w:r>
          </w:p>
        </w:tc>
        <w:tc>
          <w:tcPr>
            <w:tcW w:w="2417" w:type="pct"/>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lang w:val="zh-CN"/>
              </w:rPr>
              <w:t>池体加盖，设置绿化隔离带，以厂界四周为界，设立恶臭污染物卫生防护距离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lang w:val="zh-CN"/>
              </w:rPr>
            </w:pPr>
          </w:p>
        </w:tc>
        <w:tc>
          <w:tcPr>
            <w:tcW w:w="362"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491"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H</w:t>
            </w:r>
            <w:r>
              <w:rPr>
                <w:rFonts w:hint="default" w:ascii="Times New Roman" w:hAnsi="Times New Roman" w:cs="Times New Roman"/>
                <w:color w:val="auto"/>
                <w:sz w:val="21"/>
                <w:szCs w:val="20"/>
                <w:highlight w:val="none"/>
                <w:vertAlign w:val="subscript"/>
              </w:rPr>
              <w:t>2</w:t>
            </w:r>
            <w:r>
              <w:rPr>
                <w:rFonts w:hint="default" w:ascii="Times New Roman" w:hAnsi="Times New Roman" w:cs="Times New Roman"/>
                <w:color w:val="auto"/>
                <w:sz w:val="21"/>
                <w:szCs w:val="20"/>
                <w:highlight w:val="none"/>
              </w:rPr>
              <w:t>S</w:t>
            </w:r>
          </w:p>
        </w:tc>
        <w:tc>
          <w:tcPr>
            <w:tcW w:w="792" w:type="pct"/>
            <w:tcBorders>
              <w:tl2br w:val="nil"/>
              <w:tr2bl w:val="nil"/>
            </w:tcBorders>
            <w:vAlign w:val="center"/>
          </w:tcPr>
          <w:p>
            <w:pPr>
              <w:pStyle w:val="104"/>
              <w:rPr>
                <w:rFonts w:hint="default" w:ascii="Times New Roman" w:hAnsi="Times New Roman" w:cs="Times New Roman"/>
                <w:color w:val="auto"/>
                <w:sz w:val="21"/>
                <w:szCs w:val="20"/>
                <w:highlight w:val="none"/>
              </w:rPr>
            </w:pPr>
            <w:r>
              <w:rPr>
                <w:rFonts w:hint="eastAsia" w:ascii="Times New Roman" w:hAnsi="Times New Roman" w:eastAsia="宋体" w:cstheme="minorBidi"/>
                <w:color w:val="auto"/>
                <w:kern w:val="2"/>
                <w:sz w:val="21"/>
                <w:szCs w:val="24"/>
                <w:highlight w:val="none"/>
                <w:lang w:val="en-US" w:eastAsia="zh-CN" w:bidi="ar-SA"/>
              </w:rPr>
              <w:t>0.015</w:t>
            </w:r>
          </w:p>
        </w:tc>
        <w:tc>
          <w:tcPr>
            <w:tcW w:w="1014" w:type="dxa"/>
            <w:tcBorders>
              <w:tl2br w:val="nil"/>
              <w:tr2bl w:val="nil"/>
            </w:tcBorders>
            <w:vAlign w:val="center"/>
          </w:tcPr>
          <w:p>
            <w:pPr>
              <w:pStyle w:val="104"/>
              <w:rPr>
                <w:rFonts w:hint="default" w:ascii="Times New Roman" w:hAnsi="Times New Roman" w:cs="Times New Roman"/>
                <w:color w:val="auto"/>
                <w:sz w:val="21"/>
                <w:szCs w:val="20"/>
                <w:highlight w:val="none"/>
              </w:rPr>
            </w:pPr>
            <w:r>
              <w:rPr>
                <w:rFonts w:hint="eastAsia" w:ascii="Times New Roman" w:hAnsi="Times New Roman" w:eastAsia="宋体" w:cstheme="minorBidi"/>
                <w:color w:val="auto"/>
                <w:kern w:val="2"/>
                <w:sz w:val="21"/>
                <w:szCs w:val="24"/>
                <w:highlight w:val="none"/>
                <w:lang w:val="en-US" w:eastAsia="zh-CN" w:bidi="ar-SA"/>
              </w:rPr>
              <w:t>0.015</w:t>
            </w:r>
          </w:p>
        </w:tc>
        <w:tc>
          <w:tcPr>
            <w:tcW w:w="2417"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 w:type="pct"/>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lang w:val="zh-CN"/>
              </w:rPr>
              <w:t>固体废物</w:t>
            </w:r>
          </w:p>
        </w:tc>
        <w:tc>
          <w:tcPr>
            <w:tcW w:w="853" w:type="pct"/>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lang w:val="zh-CN"/>
              </w:rPr>
              <w:t>污泥（含水率</w:t>
            </w:r>
            <w:r>
              <w:rPr>
                <w:rFonts w:hint="default" w:ascii="Times New Roman" w:hAnsi="Times New Roman" w:cs="Times New Roman"/>
                <w:color w:val="auto"/>
                <w:sz w:val="21"/>
                <w:szCs w:val="20"/>
                <w:highlight w:val="none"/>
              </w:rPr>
              <w:t>6</w:t>
            </w:r>
            <w:r>
              <w:rPr>
                <w:rFonts w:hint="default" w:ascii="Times New Roman" w:hAnsi="Times New Roman" w:cs="Times New Roman"/>
                <w:color w:val="auto"/>
                <w:sz w:val="21"/>
                <w:szCs w:val="20"/>
                <w:highlight w:val="none"/>
                <w:lang w:val="en-US" w:eastAsia="zh-CN"/>
              </w:rPr>
              <w:t>0</w:t>
            </w:r>
            <w:r>
              <w:rPr>
                <w:rFonts w:hint="default" w:ascii="Times New Roman" w:hAnsi="Times New Roman" w:cs="Times New Roman"/>
                <w:color w:val="auto"/>
                <w:sz w:val="21"/>
                <w:szCs w:val="20"/>
                <w:highlight w:val="none"/>
                <w:lang w:val="zh-CN"/>
              </w:rPr>
              <w:t>%）</w:t>
            </w:r>
          </w:p>
        </w:tc>
        <w:tc>
          <w:tcPr>
            <w:tcW w:w="792" w:type="pc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z w:val="21"/>
                <w:szCs w:val="20"/>
                <w:highlight w:val="none"/>
                <w:lang w:eastAsia="zh-CN"/>
              </w:rPr>
            </w:pPr>
            <w:r>
              <w:rPr>
                <w:rFonts w:hint="eastAsia" w:cs="Times New Roman"/>
                <w:color w:val="auto"/>
                <w:sz w:val="21"/>
                <w:szCs w:val="20"/>
                <w:highlight w:val="none"/>
                <w:lang w:eastAsia="zh-CN"/>
              </w:rPr>
              <w:t>9537.52</w:t>
            </w:r>
          </w:p>
        </w:tc>
        <w:tc>
          <w:tcPr>
            <w:tcW w:w="53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0</w:t>
            </w:r>
          </w:p>
        </w:tc>
        <w:tc>
          <w:tcPr>
            <w:tcW w:w="2417"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根据现有污水处理厂针对污泥危险废物鉴别实验，可知本项目污泥为一般固体废物（见附件污泥鉴别报告），污泥经脱水至含水率小于60%后，与栅渣、沉砂一起运至生活垃圾填埋场进行卫生填埋。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853" w:type="pct"/>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lang w:val="zh-CN"/>
              </w:rPr>
            </w:pPr>
            <w:r>
              <w:rPr>
                <w:rFonts w:hint="default" w:ascii="Times New Roman" w:hAnsi="Times New Roman" w:cs="Times New Roman"/>
                <w:color w:val="auto"/>
                <w:sz w:val="21"/>
                <w:szCs w:val="20"/>
                <w:highlight w:val="none"/>
                <w:lang w:val="zh-CN"/>
              </w:rPr>
              <w:t>栅渣及沉砂</w:t>
            </w:r>
          </w:p>
        </w:tc>
        <w:tc>
          <w:tcPr>
            <w:tcW w:w="792" w:type="pc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z w:val="21"/>
                <w:szCs w:val="20"/>
                <w:highlight w:val="none"/>
                <w:lang w:eastAsia="zh-CN"/>
              </w:rPr>
            </w:pPr>
            <w:r>
              <w:rPr>
                <w:rFonts w:hint="eastAsia" w:cs="Times New Roman"/>
                <w:color w:val="auto"/>
                <w:sz w:val="21"/>
                <w:szCs w:val="20"/>
                <w:highlight w:val="none"/>
                <w:lang w:eastAsia="zh-CN"/>
              </w:rPr>
              <w:t>24.27</w:t>
            </w:r>
          </w:p>
        </w:tc>
        <w:tc>
          <w:tcPr>
            <w:tcW w:w="53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0</w:t>
            </w:r>
          </w:p>
        </w:tc>
        <w:tc>
          <w:tcPr>
            <w:tcW w:w="2417"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脱水后外运资源化处置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853" w:type="pct"/>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lang w:val="zh-CN"/>
              </w:rPr>
            </w:pPr>
            <w:r>
              <w:rPr>
                <w:rFonts w:hint="default" w:ascii="Times New Roman" w:hAnsi="Times New Roman" w:cs="Times New Roman"/>
                <w:color w:val="auto"/>
                <w:sz w:val="21"/>
                <w:szCs w:val="20"/>
                <w:highlight w:val="none"/>
                <w:lang w:val="zh-CN"/>
              </w:rPr>
              <w:t>生活垃圾</w:t>
            </w:r>
          </w:p>
        </w:tc>
        <w:tc>
          <w:tcPr>
            <w:tcW w:w="792"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4.38</w:t>
            </w:r>
          </w:p>
        </w:tc>
        <w:tc>
          <w:tcPr>
            <w:tcW w:w="53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0</w:t>
            </w:r>
          </w:p>
        </w:tc>
        <w:tc>
          <w:tcPr>
            <w:tcW w:w="2417"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交</w:t>
            </w:r>
            <w:r>
              <w:rPr>
                <w:rFonts w:hint="default" w:ascii="Times New Roman" w:hAnsi="Times New Roman" w:cs="Times New Roman"/>
                <w:color w:val="auto"/>
                <w:sz w:val="21"/>
                <w:szCs w:val="20"/>
                <w:highlight w:val="none"/>
                <w:lang w:val="zh-CN"/>
              </w:rPr>
              <w:t>环卫部门收集统一处理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853" w:type="pct"/>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废润滑油</w:t>
            </w:r>
          </w:p>
        </w:tc>
        <w:tc>
          <w:tcPr>
            <w:tcW w:w="792"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lang w:val="zh-CN"/>
              </w:rPr>
              <w:t>0.1</w:t>
            </w:r>
          </w:p>
        </w:tc>
        <w:tc>
          <w:tcPr>
            <w:tcW w:w="53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0</w:t>
            </w:r>
          </w:p>
        </w:tc>
        <w:tc>
          <w:tcPr>
            <w:tcW w:w="2417"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委托危废资质单位处置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853" w:type="pct"/>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lang w:val="zh-CN"/>
              </w:rPr>
              <w:t>废抹布、手套</w:t>
            </w:r>
          </w:p>
        </w:tc>
        <w:tc>
          <w:tcPr>
            <w:tcW w:w="792"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lang w:val="zh-CN"/>
              </w:rPr>
            </w:pPr>
            <w:r>
              <w:rPr>
                <w:rFonts w:hint="default" w:ascii="Times New Roman" w:hAnsi="Times New Roman" w:cs="Times New Roman"/>
                <w:color w:val="auto"/>
                <w:sz w:val="21"/>
                <w:szCs w:val="20"/>
                <w:highlight w:val="none"/>
                <w:lang w:val="zh-CN"/>
              </w:rPr>
              <w:t>0.01</w:t>
            </w:r>
          </w:p>
        </w:tc>
        <w:tc>
          <w:tcPr>
            <w:tcW w:w="53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0</w:t>
            </w:r>
          </w:p>
        </w:tc>
        <w:tc>
          <w:tcPr>
            <w:tcW w:w="2417"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委托危废资质单位处置</w:t>
            </w:r>
          </w:p>
        </w:tc>
      </w:tr>
      <w:bookmarkEnd w:id="101"/>
    </w:tbl>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非正常排放污染源分析</w:t>
      </w:r>
    </w:p>
    <w:p>
      <w:pPr>
        <w:autoSpaceDE w:val="0"/>
        <w:autoSpaceDN w:val="0"/>
        <w:adjustRightInd w:val="0"/>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污水处理厂非正常情况下污染物排放主要包括以下几种情况：</w:t>
      </w:r>
    </w:p>
    <w:p>
      <w:pPr>
        <w:autoSpaceDE w:val="0"/>
        <w:autoSpaceDN w:val="0"/>
        <w:adjustRightInd w:val="0"/>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（1）供电中断，造成生化菌类死亡和污水外溢。</w:t>
      </w:r>
    </w:p>
    <w:p>
      <w:pPr>
        <w:autoSpaceDE w:val="0"/>
        <w:autoSpaceDN w:val="0"/>
        <w:adjustRightInd w:val="0"/>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（2）设备损坏，造成污水处理运行中断。</w:t>
      </w:r>
    </w:p>
    <w:p>
      <w:pPr>
        <w:autoSpaceDE w:val="0"/>
        <w:autoSpaceDN w:val="0"/>
        <w:adjustRightInd w:val="0"/>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（3）构筑物损坏，造成污水处理运行中断。</w:t>
      </w:r>
    </w:p>
    <w:p>
      <w:pPr>
        <w:autoSpaceDE w:val="0"/>
        <w:autoSpaceDN w:val="0"/>
        <w:adjustRightInd w:val="0"/>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（4）进水水质中含有毒物质，造成生物菌类的死亡，污水处理效率降低或运行中断。</w:t>
      </w:r>
    </w:p>
    <w:p>
      <w:pPr>
        <w:autoSpaceDE w:val="0"/>
        <w:autoSpaceDN w:val="0"/>
        <w:adjustRightInd w:val="0"/>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（5）由于本项目主要接纳工业园区工业废水，一旦某个工厂发生事故，排入大量高浓度废水，这将使污水处理效率降低，造成超标排放。</w:t>
      </w:r>
    </w:p>
    <w:p>
      <w:pPr>
        <w:autoSpaceDE w:val="0"/>
        <w:autoSpaceDN w:val="0"/>
        <w:adjustRightInd w:val="0"/>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因此，需要定期对设备进行检修，密切关注污水处理站污水处理及微生物菌群情况，加强管理，可以有效避免</w:t>
      </w:r>
      <w:r>
        <w:rPr>
          <w:rFonts w:hint="default" w:ascii="Times New Roman" w:hAnsi="Times New Roman" w:cs="Times New Roman"/>
          <w:color w:val="auto"/>
          <w:highlight w:val="none"/>
        </w:rPr>
        <w:t>上述</w:t>
      </w:r>
      <w:r>
        <w:rPr>
          <w:rFonts w:hint="default" w:ascii="Times New Roman" w:hAnsi="Times New Roman" w:cs="Times New Roman"/>
          <w:color w:val="auto"/>
          <w:highlight w:val="none"/>
          <w:lang w:val="zh-CN"/>
        </w:rPr>
        <w:t>事故发生。</w:t>
      </w:r>
    </w:p>
    <w:p>
      <w:pPr>
        <w:autoSpaceDE w:val="0"/>
        <w:autoSpaceDN w:val="0"/>
        <w:adjustRightInd w:val="0"/>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万一出现污水处理厂设备故障或检修，导致部分或者全部污水未经过处理排放到外环境，从而导致废水非正常排放。事故发生时段以6小时计，污水最大排放量按全部进水量计，排放的污染物浓度为污水处理厂的进水浓度，则非正常情况废水排放源强详见表</w:t>
      </w:r>
      <w:r>
        <w:rPr>
          <w:rFonts w:hint="default" w:ascii="Times New Roman" w:hAnsi="Times New Roman" w:cs="Times New Roman"/>
          <w:color w:val="auto"/>
          <w:highlight w:val="none"/>
        </w:rPr>
        <w:t>3.4-12</w:t>
      </w:r>
      <w:r>
        <w:rPr>
          <w:rFonts w:hint="default" w:ascii="Times New Roman" w:hAnsi="Times New Roman" w:cs="Times New Roman"/>
          <w:color w:val="auto"/>
          <w:highlight w:val="none"/>
          <w:lang w:val="zh-CN"/>
        </w:rPr>
        <w:t>。非正常情况下废气排放源强按废气治理设施处理效率为0%时的废气排放量计算，详见</w:t>
      </w:r>
      <w:r>
        <w:rPr>
          <w:rFonts w:hint="eastAsia" w:cs="Times New Roman"/>
          <w:color w:val="auto"/>
          <w:highlight w:val="none"/>
          <w:lang w:val="en-US" w:eastAsia="zh-CN"/>
        </w:rPr>
        <w:t>下</w:t>
      </w:r>
      <w:r>
        <w:rPr>
          <w:rFonts w:hint="default" w:ascii="Times New Roman" w:hAnsi="Times New Roman" w:cs="Times New Roman"/>
          <w:color w:val="auto"/>
          <w:highlight w:val="none"/>
          <w:lang w:val="zh-CN"/>
        </w:rPr>
        <w:t>表。</w:t>
      </w:r>
    </w:p>
    <w:p>
      <w:pPr>
        <w:spacing w:line="240" w:lineRule="auto"/>
        <w:ind w:firstLine="0" w:firstLineChars="0"/>
        <w:jc w:val="center"/>
        <w:rPr>
          <w:rFonts w:hint="default" w:ascii="Times New Roman" w:hAnsi="Times New Roman" w:cs="Times New Roman"/>
          <w:b/>
          <w:bCs/>
          <w:snapToGrid w:val="0"/>
          <w:color w:val="auto"/>
          <w:kern w:val="0"/>
          <w:highlight w:val="none"/>
        </w:rPr>
      </w:pPr>
      <w:r>
        <w:rPr>
          <w:rFonts w:hint="default" w:ascii="Times New Roman" w:hAnsi="Times New Roman" w:eastAsia="黑体" w:cs="Times New Roman"/>
          <w:color w:val="auto"/>
          <w:highlight w:val="none"/>
        </w:rPr>
        <w:t>表</w:t>
      </w:r>
      <w:r>
        <w:rPr>
          <w:rFonts w:hint="default" w:ascii="Times New Roman" w:hAnsi="Times New Roman" w:cs="Times New Roman"/>
          <w:color w:val="auto"/>
          <w:highlight w:val="none"/>
        </w:rPr>
        <w:t>3.5-</w:t>
      </w:r>
      <w:r>
        <w:rPr>
          <w:rFonts w:hint="eastAsia" w:cs="Times New Roman"/>
          <w:color w:val="auto"/>
          <w:highlight w:val="none"/>
          <w:lang w:val="en-US" w:eastAsia="zh-CN"/>
        </w:rPr>
        <w:t>16</w:t>
      </w:r>
      <w:r>
        <w:rPr>
          <w:rFonts w:hint="default" w:ascii="Times New Roman" w:hAnsi="Times New Roman" w:eastAsia="黑体" w:cs="Times New Roman"/>
          <w:color w:val="auto"/>
          <w:highlight w:val="none"/>
        </w:rPr>
        <w:t>非正常排放废水源强表</w:t>
      </w:r>
    </w:p>
    <w:tbl>
      <w:tblPr>
        <w:tblStyle w:val="57"/>
        <w:tblW w:w="930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40"/>
        <w:gridCol w:w="914"/>
        <w:gridCol w:w="884"/>
        <w:gridCol w:w="1788"/>
        <w:gridCol w:w="2050"/>
        <w:gridCol w:w="784"/>
        <w:gridCol w:w="9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jc w:val="center"/>
        </w:trPr>
        <w:tc>
          <w:tcPr>
            <w:tcW w:w="1940" w:type="dxa"/>
            <w:vMerge w:val="restart"/>
            <w:tcBorders>
              <w:bottom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事故排放工况</w:t>
            </w:r>
          </w:p>
        </w:tc>
        <w:tc>
          <w:tcPr>
            <w:tcW w:w="7368" w:type="dxa"/>
            <w:gridSpan w:val="6"/>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污染因子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jc w:val="center"/>
        </w:trPr>
        <w:tc>
          <w:tcPr>
            <w:tcW w:w="1940" w:type="dxa"/>
            <w:vMerge w:val="continue"/>
            <w:tcBorders>
              <w:top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914" w:type="dxa"/>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COD</w:t>
            </w:r>
          </w:p>
        </w:tc>
        <w:tc>
          <w:tcPr>
            <w:tcW w:w="884" w:type="dxa"/>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BOD</w:t>
            </w:r>
            <w:r>
              <w:rPr>
                <w:rFonts w:hint="default" w:ascii="Times New Roman" w:hAnsi="Times New Roman" w:cs="Times New Roman"/>
                <w:color w:val="auto"/>
                <w:sz w:val="21"/>
                <w:szCs w:val="20"/>
                <w:highlight w:val="none"/>
                <w:vertAlign w:val="subscript"/>
              </w:rPr>
              <w:t>5</w:t>
            </w:r>
          </w:p>
        </w:tc>
        <w:tc>
          <w:tcPr>
            <w:tcW w:w="1788" w:type="dxa"/>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SS</w:t>
            </w:r>
          </w:p>
        </w:tc>
        <w:tc>
          <w:tcPr>
            <w:tcW w:w="2050" w:type="dxa"/>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氨氮</w:t>
            </w:r>
          </w:p>
        </w:tc>
        <w:tc>
          <w:tcPr>
            <w:tcW w:w="784" w:type="dxa"/>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总氮</w:t>
            </w:r>
          </w:p>
        </w:tc>
        <w:tc>
          <w:tcPr>
            <w:tcW w:w="948" w:type="dxa"/>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TP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jc w:val="center"/>
        </w:trPr>
        <w:tc>
          <w:tcPr>
            <w:tcW w:w="1940" w:type="dxa"/>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事故废水量（t/h）</w:t>
            </w:r>
          </w:p>
        </w:tc>
        <w:tc>
          <w:tcPr>
            <w:tcW w:w="7368" w:type="dxa"/>
            <w:gridSpan w:val="6"/>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1250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jc w:val="center"/>
        </w:trPr>
        <w:tc>
          <w:tcPr>
            <w:tcW w:w="1940" w:type="dxa"/>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持续时间（h）</w:t>
            </w:r>
          </w:p>
        </w:tc>
        <w:tc>
          <w:tcPr>
            <w:tcW w:w="7368" w:type="dxa"/>
            <w:gridSpan w:val="6"/>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1940" w:type="dxa"/>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非正常排放浓度</w:t>
            </w:r>
          </w:p>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(mg/L)</w:t>
            </w:r>
          </w:p>
        </w:tc>
        <w:tc>
          <w:tcPr>
            <w:tcW w:w="914" w:type="dxa"/>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600</w:t>
            </w:r>
          </w:p>
        </w:tc>
        <w:tc>
          <w:tcPr>
            <w:tcW w:w="884" w:type="dxa"/>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350</w:t>
            </w:r>
          </w:p>
        </w:tc>
        <w:tc>
          <w:tcPr>
            <w:tcW w:w="1788" w:type="dxa"/>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350</w:t>
            </w:r>
          </w:p>
        </w:tc>
        <w:tc>
          <w:tcPr>
            <w:tcW w:w="2050" w:type="dxa"/>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35</w:t>
            </w:r>
          </w:p>
        </w:tc>
        <w:tc>
          <w:tcPr>
            <w:tcW w:w="784" w:type="dxa"/>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70</w:t>
            </w:r>
          </w:p>
        </w:tc>
        <w:tc>
          <w:tcPr>
            <w:tcW w:w="948" w:type="dxa"/>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jc w:val="center"/>
        </w:trPr>
        <w:tc>
          <w:tcPr>
            <w:tcW w:w="1940" w:type="dxa"/>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非正常排放量</w:t>
            </w:r>
          </w:p>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(t)</w:t>
            </w:r>
          </w:p>
        </w:tc>
        <w:tc>
          <w:tcPr>
            <w:tcW w:w="914" w:type="dxa"/>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4.5</w:t>
            </w:r>
          </w:p>
        </w:tc>
        <w:tc>
          <w:tcPr>
            <w:tcW w:w="884" w:type="dxa"/>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2.625</w:t>
            </w:r>
          </w:p>
        </w:tc>
        <w:tc>
          <w:tcPr>
            <w:tcW w:w="1788" w:type="dxa"/>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2.625</w:t>
            </w:r>
          </w:p>
        </w:tc>
        <w:tc>
          <w:tcPr>
            <w:tcW w:w="2050" w:type="dxa"/>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0.263</w:t>
            </w:r>
          </w:p>
        </w:tc>
        <w:tc>
          <w:tcPr>
            <w:tcW w:w="784" w:type="dxa"/>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0.525</w:t>
            </w:r>
          </w:p>
        </w:tc>
        <w:tc>
          <w:tcPr>
            <w:tcW w:w="948" w:type="dxa"/>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lang w:val="en-US" w:eastAsia="zh-CN"/>
              </w:rPr>
            </w:pPr>
            <w:r>
              <w:rPr>
                <w:rFonts w:hint="default" w:ascii="Times New Roman" w:hAnsi="Times New Roman" w:cs="Times New Roman"/>
                <w:color w:val="auto"/>
                <w:sz w:val="21"/>
                <w:szCs w:val="20"/>
                <w:highlight w:val="none"/>
              </w:rPr>
              <w:t>0</w:t>
            </w:r>
            <w:r>
              <w:rPr>
                <w:rFonts w:hint="eastAsia" w:cs="Times New Roman"/>
                <w:color w:val="auto"/>
                <w:sz w:val="21"/>
                <w:szCs w:val="20"/>
                <w:highlight w:val="none"/>
                <w:lang w:val="en-US" w:eastAsia="zh-CN"/>
              </w:rPr>
              <w:t>.0375</w:t>
            </w:r>
          </w:p>
        </w:tc>
      </w:tr>
    </w:tbl>
    <w:p>
      <w:pPr>
        <w:spacing w:line="240" w:lineRule="auto"/>
        <w:ind w:firstLine="0" w:firstLineChars="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表</w:t>
      </w:r>
      <w:r>
        <w:rPr>
          <w:rFonts w:hint="default" w:ascii="Times New Roman" w:hAnsi="Times New Roman" w:cs="Times New Roman"/>
          <w:color w:val="auto"/>
          <w:highlight w:val="none"/>
        </w:rPr>
        <w:t>3.4-1</w:t>
      </w:r>
      <w:r>
        <w:rPr>
          <w:rFonts w:hint="eastAsia" w:cs="Times New Roman"/>
          <w:color w:val="auto"/>
          <w:highlight w:val="none"/>
          <w:lang w:val="en-US" w:eastAsia="zh-CN"/>
        </w:rPr>
        <w:t>7</w:t>
      </w:r>
      <w:r>
        <w:rPr>
          <w:rFonts w:hint="default" w:ascii="Times New Roman" w:hAnsi="Times New Roman" w:eastAsia="黑体" w:cs="Times New Roman"/>
          <w:color w:val="auto"/>
          <w:highlight w:val="none"/>
        </w:rPr>
        <w:t>非正常排放废气产排污源强表</w:t>
      </w:r>
    </w:p>
    <w:tbl>
      <w:tblPr>
        <w:tblStyle w:val="57"/>
        <w:tblW w:w="930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06"/>
        <w:gridCol w:w="1316"/>
        <w:gridCol w:w="1054"/>
        <w:gridCol w:w="1056"/>
        <w:gridCol w:w="1410"/>
        <w:gridCol w:w="2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190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污染源</w:t>
            </w:r>
          </w:p>
        </w:tc>
        <w:tc>
          <w:tcPr>
            <w:tcW w:w="131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污染物名称</w:t>
            </w:r>
          </w:p>
        </w:tc>
        <w:tc>
          <w:tcPr>
            <w:tcW w:w="211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排放情况</w:t>
            </w:r>
          </w:p>
        </w:tc>
        <w:tc>
          <w:tcPr>
            <w:tcW w:w="141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去向</w:t>
            </w:r>
          </w:p>
        </w:tc>
        <w:tc>
          <w:tcPr>
            <w:tcW w:w="2562"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排放时间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90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131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105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速率kg/h</w:t>
            </w:r>
          </w:p>
        </w:tc>
        <w:tc>
          <w:tcPr>
            <w:tcW w:w="105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排放浓度mg/m</w:t>
            </w:r>
            <w:r>
              <w:rPr>
                <w:rFonts w:hint="default" w:ascii="Times New Roman" w:hAnsi="Times New Roman" w:cs="Times New Roman"/>
                <w:color w:val="auto"/>
                <w:sz w:val="21"/>
                <w:szCs w:val="20"/>
                <w:highlight w:val="none"/>
                <w:vertAlign w:val="superscript"/>
              </w:rPr>
              <w:t>3</w:t>
            </w:r>
          </w:p>
        </w:tc>
        <w:tc>
          <w:tcPr>
            <w:tcW w:w="141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25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90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除臭系统排气筒</w:t>
            </w:r>
          </w:p>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(1#)</w:t>
            </w:r>
          </w:p>
        </w:tc>
        <w:tc>
          <w:tcPr>
            <w:tcW w:w="131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NH</w:t>
            </w:r>
            <w:r>
              <w:rPr>
                <w:rFonts w:hint="default" w:ascii="Times New Roman" w:hAnsi="Times New Roman" w:cs="Times New Roman"/>
                <w:color w:val="auto"/>
                <w:sz w:val="21"/>
                <w:szCs w:val="20"/>
                <w:highlight w:val="none"/>
                <w:vertAlign w:val="subscript"/>
              </w:rPr>
              <w:t>3</w:t>
            </w:r>
          </w:p>
        </w:tc>
        <w:tc>
          <w:tcPr>
            <w:tcW w:w="1054" w:type="dxa"/>
            <w:tcBorders>
              <w:tl2br w:val="nil"/>
              <w:tr2bl w:val="nil"/>
            </w:tcBorders>
            <w:vAlign w:val="center"/>
          </w:tcPr>
          <w:p>
            <w:pPr>
              <w:pStyle w:val="104"/>
              <w:rPr>
                <w:rFonts w:hint="default" w:ascii="Times New Roman" w:hAnsi="Times New Roman" w:cs="Times New Roman"/>
                <w:color w:val="auto"/>
                <w:sz w:val="21"/>
                <w:szCs w:val="20"/>
                <w:highlight w:val="none"/>
              </w:rPr>
            </w:pPr>
            <w:r>
              <w:rPr>
                <w:rFonts w:hint="eastAsia" w:ascii="Times New Roman" w:hAnsi="Times New Roman" w:eastAsia="宋体" w:cstheme="minorBidi"/>
                <w:color w:val="auto"/>
                <w:kern w:val="2"/>
                <w:sz w:val="21"/>
                <w:szCs w:val="24"/>
                <w:highlight w:val="none"/>
                <w:lang w:val="en-US" w:eastAsia="zh-CN" w:bidi="ar-SA"/>
              </w:rPr>
              <w:t>1.64</w:t>
            </w:r>
          </w:p>
        </w:tc>
        <w:tc>
          <w:tcPr>
            <w:tcW w:w="105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820</w:t>
            </w:r>
          </w:p>
        </w:tc>
        <w:tc>
          <w:tcPr>
            <w:tcW w:w="141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1#（DA001）排气筒</w:t>
            </w:r>
          </w:p>
        </w:tc>
        <w:tc>
          <w:tcPr>
            <w:tcW w:w="2562"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发生1次，每次持续60min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90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131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H</w:t>
            </w:r>
            <w:r>
              <w:rPr>
                <w:rFonts w:hint="default" w:ascii="Times New Roman" w:hAnsi="Times New Roman" w:cs="Times New Roman"/>
                <w:color w:val="auto"/>
                <w:sz w:val="21"/>
                <w:szCs w:val="20"/>
                <w:highlight w:val="none"/>
                <w:vertAlign w:val="subscript"/>
              </w:rPr>
              <w:t>2</w:t>
            </w:r>
            <w:r>
              <w:rPr>
                <w:rFonts w:hint="default" w:ascii="Times New Roman" w:hAnsi="Times New Roman" w:cs="Times New Roman"/>
                <w:color w:val="auto"/>
                <w:sz w:val="21"/>
                <w:szCs w:val="20"/>
                <w:highlight w:val="none"/>
              </w:rPr>
              <w:t>S</w:t>
            </w:r>
          </w:p>
        </w:tc>
        <w:tc>
          <w:tcPr>
            <w:tcW w:w="1054" w:type="dxa"/>
            <w:tcBorders>
              <w:tl2br w:val="nil"/>
              <w:tr2bl w:val="nil"/>
            </w:tcBorders>
            <w:vAlign w:val="center"/>
          </w:tcPr>
          <w:p>
            <w:pPr>
              <w:pStyle w:val="104"/>
              <w:rPr>
                <w:rFonts w:hint="default" w:ascii="Times New Roman" w:hAnsi="Times New Roman" w:cs="Times New Roman"/>
                <w:color w:val="auto"/>
                <w:sz w:val="21"/>
                <w:szCs w:val="20"/>
                <w:highlight w:val="none"/>
              </w:rPr>
            </w:pPr>
            <w:r>
              <w:rPr>
                <w:rFonts w:hint="eastAsia" w:ascii="Times New Roman" w:hAnsi="Times New Roman" w:eastAsia="宋体" w:cstheme="minorBidi"/>
                <w:color w:val="auto"/>
                <w:kern w:val="2"/>
                <w:sz w:val="21"/>
                <w:szCs w:val="24"/>
                <w:highlight w:val="none"/>
                <w:lang w:val="en-US" w:eastAsia="zh-CN" w:bidi="ar-SA"/>
              </w:rPr>
              <w:t>0.034</w:t>
            </w:r>
          </w:p>
        </w:tc>
        <w:tc>
          <w:tcPr>
            <w:tcW w:w="105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0"/>
                <w:highlight w:val="none"/>
                <w:lang w:val="en-US" w:eastAsia="zh-CN"/>
              </w:rPr>
            </w:pPr>
            <w:r>
              <w:rPr>
                <w:rFonts w:hint="eastAsia" w:cs="Times New Roman"/>
                <w:color w:val="auto"/>
                <w:sz w:val="21"/>
                <w:szCs w:val="20"/>
                <w:highlight w:val="none"/>
                <w:lang w:val="en-US" w:eastAsia="zh-CN"/>
              </w:rPr>
              <w:t>170</w:t>
            </w:r>
          </w:p>
        </w:tc>
        <w:tc>
          <w:tcPr>
            <w:tcW w:w="141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c>
          <w:tcPr>
            <w:tcW w:w="25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p>
        </w:tc>
      </w:tr>
    </w:tbl>
    <w:p>
      <w:pPr>
        <w:pStyle w:val="4"/>
        <w:bidi w:val="0"/>
        <w:rPr>
          <w:rFonts w:hint="default"/>
          <w:color w:val="FF0000"/>
          <w:highlight w:val="none"/>
        </w:rPr>
      </w:pPr>
      <w:bookmarkStart w:id="102" w:name="_Toc24392"/>
      <w:bookmarkStart w:id="103" w:name="_Toc30619"/>
      <w:bookmarkStart w:id="104" w:name="_Toc488060756"/>
      <w:bookmarkStart w:id="105" w:name="_Toc28336"/>
      <w:bookmarkStart w:id="106" w:name="_Toc5115"/>
      <w:r>
        <w:rPr>
          <w:rFonts w:hint="default"/>
          <w:color w:val="FF0000"/>
          <w:highlight w:val="none"/>
        </w:rPr>
        <w:t>达标排放与总量控制</w:t>
      </w:r>
      <w:bookmarkEnd w:id="102"/>
      <w:bookmarkEnd w:id="103"/>
      <w:bookmarkEnd w:id="104"/>
      <w:bookmarkEnd w:id="105"/>
      <w:bookmarkEnd w:id="106"/>
    </w:p>
    <w:p>
      <w:pPr>
        <w:pStyle w:val="5"/>
        <w:rPr>
          <w:rFonts w:hint="default" w:ascii="Times New Roman" w:hAnsi="Times New Roman" w:cs="Times New Roman"/>
          <w:color w:val="FF0000"/>
          <w:highlight w:val="none"/>
        </w:rPr>
      </w:pPr>
      <w:bookmarkStart w:id="107" w:name="_Toc30553"/>
      <w:bookmarkStart w:id="108" w:name="_Toc1730"/>
      <w:r>
        <w:rPr>
          <w:rFonts w:hint="default" w:ascii="Times New Roman" w:hAnsi="Times New Roman" w:cs="Times New Roman"/>
          <w:color w:val="FF0000"/>
          <w:highlight w:val="none"/>
        </w:rPr>
        <w:t>达标排放</w:t>
      </w:r>
      <w:bookmarkEnd w:id="107"/>
      <w:bookmarkEnd w:id="108"/>
    </w:p>
    <w:p>
      <w:pPr>
        <w:ind w:firstLine="540" w:firstLineChars="225"/>
        <w:rPr>
          <w:rFonts w:hint="default" w:ascii="Times New Roman" w:hAnsi="Times New Roman" w:cs="Times New Roman"/>
          <w:color w:val="FF0000"/>
          <w:szCs w:val="22"/>
          <w:highlight w:val="none"/>
        </w:rPr>
      </w:pPr>
      <w:r>
        <w:rPr>
          <w:rFonts w:hint="default" w:ascii="Times New Roman" w:hAnsi="Times New Roman" w:cs="Times New Roman"/>
          <w:color w:val="FF0000"/>
          <w:szCs w:val="22"/>
          <w:highlight w:val="none"/>
        </w:rPr>
        <w:t>本项目采用先进的污水处理工艺，</w:t>
      </w:r>
      <w:r>
        <w:rPr>
          <w:rFonts w:hint="default" w:ascii="Times New Roman" w:hAnsi="Times New Roman" w:cs="Times New Roman"/>
          <w:color w:val="FF0000"/>
          <w:highlight w:val="none"/>
        </w:rPr>
        <w:t>采用</w:t>
      </w:r>
      <w:r>
        <w:rPr>
          <w:rFonts w:hint="eastAsia" w:cs="Times New Roman"/>
          <w:color w:val="FF0000"/>
          <w:highlight w:val="none"/>
          <w:lang w:eastAsia="zh-CN"/>
        </w:rPr>
        <w:t>“预处理+调节池+AAO生物池＋高效沉淀池+反硝化深床滤池+接触消毒池”</w:t>
      </w:r>
      <w:r>
        <w:rPr>
          <w:rFonts w:hint="default" w:ascii="Times New Roman" w:hAnsi="Times New Roman" w:cs="Times New Roman"/>
          <w:color w:val="FF0000"/>
          <w:highlight w:val="none"/>
        </w:rPr>
        <w:t>处理工艺。生活污水和工业废水处理均达到（GB18918-2002）一级A标准</w:t>
      </w:r>
      <w:r>
        <w:rPr>
          <w:rFonts w:hint="eastAsia" w:cs="Times New Roman"/>
          <w:color w:val="FF0000"/>
          <w:highlight w:val="none"/>
          <w:lang w:eastAsia="zh-CN"/>
        </w:rPr>
        <w:t>，</w:t>
      </w:r>
      <w:r>
        <w:rPr>
          <w:rFonts w:hint="default" w:ascii="Times New Roman" w:hAnsi="Times New Roman" w:cs="Times New Roman"/>
          <w:color w:val="FF0000"/>
          <w:highlight w:val="none"/>
        </w:rPr>
        <w:t>同时满足《</w:t>
      </w:r>
      <w:r>
        <w:rPr>
          <w:rFonts w:hint="eastAsia" w:cs="Times New Roman"/>
          <w:color w:val="FF0000"/>
          <w:highlight w:val="none"/>
          <w:lang w:eastAsia="zh-CN"/>
        </w:rPr>
        <w:t>城市污水再生利用城市杂用水水质》（GB/T18920-2020）</w:t>
      </w:r>
      <w:r>
        <w:rPr>
          <w:rFonts w:hint="default" w:ascii="Times New Roman" w:hAnsi="Times New Roman" w:cs="Times New Roman"/>
          <w:color w:val="FF0000"/>
          <w:highlight w:val="none"/>
        </w:rPr>
        <w:t>和《城市污水再生利用绿地灌溉水质》（GB/T25499-2010）</w:t>
      </w:r>
      <w:r>
        <w:rPr>
          <w:rFonts w:hint="eastAsia" w:cs="Times New Roman"/>
          <w:color w:val="FF0000"/>
          <w:highlight w:val="none"/>
          <w:lang w:val="en-US" w:eastAsia="zh-CN"/>
        </w:rPr>
        <w:t>的绿化用水要求</w:t>
      </w:r>
      <w:r>
        <w:rPr>
          <w:rFonts w:hint="default" w:ascii="Times New Roman" w:hAnsi="Times New Roman" w:cs="Times New Roman"/>
          <w:color w:val="FF0000"/>
          <w:highlight w:val="none"/>
        </w:rPr>
        <w:t>，尾水经专用管道夏季用于灌溉示范区的林地，冬季储存于</w:t>
      </w:r>
      <w:r>
        <w:rPr>
          <w:rFonts w:hint="eastAsia" w:cs="Times New Roman"/>
          <w:color w:val="FF0000"/>
          <w:highlight w:val="none"/>
          <w:lang w:eastAsia="zh-CN"/>
        </w:rPr>
        <w:t>中水池</w:t>
      </w:r>
      <w:r>
        <w:rPr>
          <w:rFonts w:hint="default" w:ascii="Times New Roman" w:hAnsi="Times New Roman" w:cs="Times New Roman"/>
          <w:color w:val="FF0000"/>
          <w:highlight w:val="none"/>
        </w:rPr>
        <w:t>中，实现污水有效利用。</w:t>
      </w:r>
      <w:r>
        <w:rPr>
          <w:rFonts w:hint="default" w:ascii="Times New Roman" w:hAnsi="Times New Roman" w:cs="Times New Roman"/>
          <w:color w:val="FF0000"/>
          <w:szCs w:val="22"/>
          <w:highlight w:val="none"/>
        </w:rPr>
        <w:t>设计中主要设备采用国产优质设备和进口设备，检测仪表和控制系统采用进口设备，自动监控水平较高。因此，污水处理厂正常运转是有保证的，在污水处理厂按照设计要求正常运行时，出水中各类污染物可实现达标排放。</w:t>
      </w:r>
    </w:p>
    <w:p>
      <w:pPr>
        <w:ind w:firstLine="480"/>
        <w:rPr>
          <w:rFonts w:hint="default" w:ascii="Times New Roman" w:hAnsi="Times New Roman" w:cs="Times New Roman"/>
          <w:color w:val="FF0000"/>
          <w:szCs w:val="22"/>
          <w:highlight w:val="none"/>
        </w:rPr>
      </w:pPr>
      <w:r>
        <w:rPr>
          <w:rFonts w:hint="default" w:ascii="Times New Roman" w:hAnsi="Times New Roman" w:cs="Times New Roman"/>
          <w:color w:val="FF0000"/>
          <w:szCs w:val="22"/>
          <w:highlight w:val="none"/>
        </w:rPr>
        <w:t>在拟建污水处理厂中产生噪声处按照设计要求设置隔音装置，要求污水处理厂厂界噪声达到</w:t>
      </w:r>
      <w:r>
        <w:rPr>
          <w:rFonts w:hint="default" w:ascii="Times New Roman" w:hAnsi="Times New Roman" w:cs="Times New Roman"/>
          <w:color w:val="FF0000"/>
          <w:highlight w:val="none"/>
        </w:rPr>
        <w:t>《</w:t>
      </w:r>
      <w:r>
        <w:rPr>
          <w:rFonts w:hint="default" w:ascii="Times New Roman" w:hAnsi="Times New Roman" w:cs="Times New Roman"/>
          <w:color w:val="FF0000"/>
          <w:highlight w:val="none"/>
          <w:lang w:eastAsia="zh-CN"/>
        </w:rPr>
        <w:t>工业企业厂界环境噪声排放标准</w:t>
      </w:r>
      <w:r>
        <w:rPr>
          <w:rFonts w:hint="default" w:ascii="Times New Roman" w:hAnsi="Times New Roman" w:cs="Times New Roman"/>
          <w:color w:val="FF0000"/>
          <w:highlight w:val="none"/>
        </w:rPr>
        <w:t>》（GB12348-2008）中的3类标准</w:t>
      </w:r>
      <w:r>
        <w:rPr>
          <w:rFonts w:hint="default" w:ascii="Times New Roman" w:hAnsi="Times New Roman" w:cs="Times New Roman"/>
          <w:color w:val="FF0000"/>
          <w:szCs w:val="22"/>
          <w:highlight w:val="none"/>
        </w:rPr>
        <w:t>。</w:t>
      </w:r>
      <w:r>
        <w:rPr>
          <w:rFonts w:hint="eastAsia" w:cs="Times New Roman"/>
          <w:color w:val="FF0000"/>
          <w:szCs w:val="22"/>
          <w:highlight w:val="none"/>
          <w:lang w:eastAsia="zh-CN"/>
        </w:rPr>
        <w:t>本项目</w:t>
      </w:r>
      <w:r>
        <w:rPr>
          <w:rFonts w:hint="default" w:ascii="Times New Roman" w:hAnsi="Times New Roman" w:cs="Times New Roman"/>
          <w:color w:val="FF0000"/>
          <w:szCs w:val="22"/>
          <w:highlight w:val="none"/>
        </w:rPr>
        <w:t>污水泵和污泥泵采用潜污泵，在水下基本无噪声。浓缩脱水机等设在室内，经过隔声后传播到外环境时已衰减很多。</w:t>
      </w:r>
      <w:r>
        <w:rPr>
          <w:rFonts w:hint="eastAsia" w:cs="Times New Roman"/>
          <w:color w:val="FF0000"/>
          <w:szCs w:val="22"/>
          <w:highlight w:val="none"/>
          <w:lang w:eastAsia="zh-CN"/>
        </w:rPr>
        <w:t>本项目</w:t>
      </w:r>
      <w:r>
        <w:rPr>
          <w:rFonts w:hint="default" w:ascii="Times New Roman" w:hAnsi="Times New Roman" w:cs="Times New Roman"/>
          <w:color w:val="FF0000"/>
          <w:szCs w:val="22"/>
          <w:highlight w:val="none"/>
        </w:rPr>
        <w:t>采用先进的低噪声设备，对环境的影响会进一步减少。</w:t>
      </w:r>
    </w:p>
    <w:p>
      <w:pPr>
        <w:ind w:firstLine="480"/>
        <w:rPr>
          <w:rFonts w:hint="default" w:ascii="Times New Roman" w:hAnsi="Times New Roman" w:cs="Times New Roman"/>
          <w:color w:val="FF0000"/>
          <w:highlight w:val="none"/>
        </w:rPr>
      </w:pPr>
      <w:r>
        <w:rPr>
          <w:rFonts w:hint="eastAsia" w:cs="Times New Roman"/>
          <w:color w:val="FF0000"/>
          <w:szCs w:val="22"/>
          <w:highlight w:val="none"/>
          <w:lang w:eastAsia="zh-CN"/>
        </w:rPr>
        <w:t>本项目</w:t>
      </w:r>
      <w:r>
        <w:rPr>
          <w:rFonts w:hint="default" w:ascii="Times New Roman" w:hAnsi="Times New Roman" w:cs="Times New Roman"/>
          <w:color w:val="FF0000"/>
          <w:szCs w:val="22"/>
          <w:highlight w:val="none"/>
        </w:rPr>
        <w:t>设有</w:t>
      </w:r>
      <w:r>
        <w:rPr>
          <w:rFonts w:hint="eastAsia" w:cs="Times New Roman"/>
          <w:color w:val="FF0000"/>
          <w:szCs w:val="22"/>
          <w:highlight w:val="none"/>
          <w:lang w:eastAsia="zh-CN"/>
        </w:rPr>
        <w:t>300m</w:t>
      </w:r>
      <w:r>
        <w:rPr>
          <w:rFonts w:hint="default" w:ascii="Times New Roman" w:hAnsi="Times New Roman" w:cs="Times New Roman"/>
          <w:color w:val="FF0000"/>
          <w:szCs w:val="22"/>
          <w:highlight w:val="none"/>
        </w:rPr>
        <w:t>的卫生防护距离，同时</w:t>
      </w:r>
      <w:r>
        <w:rPr>
          <w:rFonts w:hint="default" w:ascii="Times New Roman" w:hAnsi="Times New Roman" w:cs="Times New Roman"/>
          <w:color w:val="FF0000"/>
          <w:highlight w:val="none"/>
        </w:rPr>
        <w:t>设有除臭系统。格栅间和曝气沉砂池、缺氧好氧池、生物接触氧化池、中沉池、污泥浓缩池等均采用加罩（不锈钢、玻璃结构）负压收集处理；污泥脱水机房采取直接布管负压收集。</w:t>
      </w:r>
      <w:r>
        <w:rPr>
          <w:rFonts w:hint="default" w:ascii="Times New Roman" w:hAnsi="Times New Roman" w:cs="Times New Roman"/>
          <w:color w:val="FF0000"/>
          <w:szCs w:val="22"/>
          <w:highlight w:val="none"/>
        </w:rPr>
        <w:t>臭味对周边地区影响很小。且总图布置与常年风向结合，避开主导风向，加上厂区绿化，减少了臭味对厂前区和周围环境的影响。</w:t>
      </w:r>
    </w:p>
    <w:p>
      <w:pPr>
        <w:pStyle w:val="5"/>
        <w:rPr>
          <w:rFonts w:hint="default" w:ascii="Times New Roman" w:hAnsi="Times New Roman" w:cs="Times New Roman"/>
          <w:color w:val="FF0000"/>
          <w:highlight w:val="none"/>
        </w:rPr>
      </w:pPr>
      <w:bookmarkStart w:id="109" w:name="_Toc29995"/>
      <w:bookmarkStart w:id="110" w:name="_Toc23717"/>
      <w:bookmarkStart w:id="111" w:name="_Toc488060759"/>
      <w:r>
        <w:rPr>
          <w:rFonts w:hint="default" w:ascii="Times New Roman" w:hAnsi="Times New Roman" w:cs="Times New Roman"/>
          <w:color w:val="FF0000"/>
          <w:highlight w:val="none"/>
        </w:rPr>
        <w:t>总量控制指标</w:t>
      </w:r>
      <w:bookmarkEnd w:id="109"/>
      <w:bookmarkEnd w:id="110"/>
      <w:bookmarkEnd w:id="111"/>
    </w:p>
    <w:p>
      <w:pPr>
        <w:ind w:firstLine="480"/>
        <w:rPr>
          <w:rFonts w:hint="default" w:ascii="Times New Roman" w:hAnsi="Times New Roman" w:cs="Times New Roman"/>
          <w:color w:val="FF0000"/>
          <w:szCs w:val="22"/>
          <w:highlight w:val="none"/>
        </w:rPr>
      </w:pPr>
      <w:r>
        <w:rPr>
          <w:rFonts w:hint="default" w:ascii="Times New Roman" w:hAnsi="Times New Roman" w:cs="Times New Roman"/>
          <w:color w:val="FF0000"/>
          <w:szCs w:val="22"/>
          <w:highlight w:val="none"/>
        </w:rPr>
        <w:t>国家提出的“总量控制”是区域性的，当局部不可避免地增加污染物排放时，应对同行业或区域内进行污染物排放量削减，使区域内污染源的污染物排放负荷控制在一定的数量内，使污染物的受纳水体、空气等的环境质量可达到规定的环境目标。实施污染物总量控制是考核各级政府和企业环境保护目标责任制的重要指标，也是改善环境质量的具体措施之一。“十四五”期间，国家将污染物总量控制指标作为约束性指标对各级政府进行考核，化学需氧量、二氧化硫排放分别减少8%，氨氮、氮氧化物排放分别减少10%。</w:t>
      </w:r>
    </w:p>
    <w:p>
      <w:pPr>
        <w:ind w:firstLine="480"/>
        <w:rPr>
          <w:rFonts w:hint="default" w:ascii="Times New Roman" w:hAnsi="Times New Roman" w:cs="Times New Roman"/>
          <w:color w:val="FF0000"/>
          <w:szCs w:val="22"/>
          <w:highlight w:val="none"/>
        </w:rPr>
      </w:pPr>
      <w:r>
        <w:rPr>
          <w:rFonts w:hint="default" w:ascii="Times New Roman" w:hAnsi="Times New Roman" w:cs="Times New Roman"/>
          <w:color w:val="FF0000"/>
          <w:szCs w:val="22"/>
          <w:highlight w:val="none"/>
        </w:rPr>
        <w:t>根据国家环境保护部对实施污染物排放总量控制的要求以及《中华人民共和国国民经济和社会发展第十四个五年规划纲要》环保规划要求，根据</w:t>
      </w:r>
      <w:r>
        <w:rPr>
          <w:rFonts w:hint="eastAsia" w:cs="Times New Roman"/>
          <w:color w:val="FF0000"/>
          <w:szCs w:val="22"/>
          <w:highlight w:val="none"/>
          <w:lang w:eastAsia="zh-CN"/>
        </w:rPr>
        <w:t>本项目</w:t>
      </w:r>
      <w:r>
        <w:rPr>
          <w:rFonts w:hint="default" w:ascii="Times New Roman" w:hAnsi="Times New Roman" w:cs="Times New Roman"/>
          <w:color w:val="FF0000"/>
          <w:szCs w:val="22"/>
          <w:highlight w:val="none"/>
        </w:rPr>
        <w:t>的污染特点和环保部门的要求，根据国家总量控制有关规定，结合公司生产实际情况，确定</w:t>
      </w:r>
      <w:r>
        <w:rPr>
          <w:rFonts w:hint="eastAsia" w:cs="Times New Roman"/>
          <w:color w:val="FF0000"/>
          <w:szCs w:val="22"/>
          <w:highlight w:val="none"/>
          <w:lang w:eastAsia="zh-CN"/>
        </w:rPr>
        <w:t>本项目</w:t>
      </w:r>
      <w:r>
        <w:rPr>
          <w:rFonts w:hint="default" w:ascii="Times New Roman" w:hAnsi="Times New Roman" w:cs="Times New Roman"/>
          <w:color w:val="FF0000"/>
          <w:szCs w:val="22"/>
          <w:highlight w:val="none"/>
        </w:rPr>
        <w:t>总量控制因子为：CODcr、氨氮。</w:t>
      </w:r>
    </w:p>
    <w:p>
      <w:pPr>
        <w:ind w:firstLine="480"/>
        <w:rPr>
          <w:rFonts w:cs="Times New Roman"/>
          <w:color w:val="FF0000"/>
          <w:highlight w:val="none"/>
        </w:rPr>
      </w:pPr>
      <w:r>
        <w:rPr>
          <w:rFonts w:cs="Times New Roman"/>
          <w:color w:val="FF0000"/>
          <w:highlight w:val="none"/>
        </w:rPr>
        <w:t>本工程是一项环保工程，项目建设将使服务区域内的污水排放实现集中和有效的处理。根据工程分析，</w:t>
      </w:r>
      <w:r>
        <w:rPr>
          <w:rFonts w:hint="eastAsia" w:cs="Times New Roman"/>
          <w:color w:val="FF0000"/>
          <w:highlight w:val="none"/>
          <w:lang w:eastAsia="zh-CN"/>
        </w:rPr>
        <w:t>工程</w:t>
      </w:r>
      <w:r>
        <w:rPr>
          <w:rFonts w:cs="Times New Roman"/>
          <w:color w:val="FF0000"/>
          <w:highlight w:val="none"/>
        </w:rPr>
        <w:t>外排废水中主要污染物为COD、NH</w:t>
      </w:r>
      <w:r>
        <w:rPr>
          <w:rFonts w:cs="Times New Roman"/>
          <w:color w:val="FF0000"/>
          <w:highlight w:val="none"/>
          <w:vertAlign w:val="subscript"/>
        </w:rPr>
        <w:t>3</w:t>
      </w:r>
      <w:r>
        <w:rPr>
          <w:rFonts w:cs="Times New Roman"/>
          <w:color w:val="FF0000"/>
          <w:highlight w:val="none"/>
        </w:rPr>
        <w:t>-N。因此，本工程总量控制因子为废水中的COD、NH</w:t>
      </w:r>
      <w:r>
        <w:rPr>
          <w:rFonts w:cs="Times New Roman"/>
          <w:color w:val="FF0000"/>
          <w:highlight w:val="none"/>
          <w:vertAlign w:val="subscript"/>
        </w:rPr>
        <w:t>3</w:t>
      </w:r>
      <w:r>
        <w:rPr>
          <w:rFonts w:cs="Times New Roman"/>
          <w:color w:val="FF0000"/>
          <w:highlight w:val="none"/>
        </w:rPr>
        <w:t>-N，</w:t>
      </w:r>
      <w:r>
        <w:rPr>
          <w:rFonts w:hint="eastAsia" w:cs="Times New Roman"/>
          <w:color w:val="FF0000"/>
          <w:highlight w:val="none"/>
          <w:lang w:eastAsia="zh-CN"/>
        </w:rPr>
        <w:t>新疆昌吉国家农业高新技术产业示范区现代农业精深加工示范区污水处理厂改造扩容项目</w:t>
      </w:r>
      <w:r>
        <w:rPr>
          <w:rFonts w:cs="Times New Roman"/>
          <w:color w:val="FF0000"/>
          <w:highlight w:val="none"/>
        </w:rPr>
        <w:t>全厂总量控制指标见</w:t>
      </w:r>
      <w:r>
        <w:rPr>
          <w:rFonts w:hint="eastAsia" w:cs="Times New Roman"/>
          <w:color w:val="FF0000"/>
          <w:highlight w:val="none"/>
          <w:lang w:val="en-US" w:eastAsia="zh-CN"/>
        </w:rPr>
        <w:t>下</w:t>
      </w:r>
      <w:r>
        <w:rPr>
          <w:rFonts w:cs="Times New Roman"/>
          <w:color w:val="FF0000"/>
          <w:highlight w:val="none"/>
        </w:rPr>
        <w:t>表。</w:t>
      </w:r>
    </w:p>
    <w:p>
      <w:pPr>
        <w:ind w:firstLine="480"/>
        <w:rPr>
          <w:rFonts w:cs="Times New Roman"/>
          <w:color w:val="FF0000"/>
          <w:highlight w:val="none"/>
        </w:rPr>
      </w:pPr>
      <w:r>
        <w:rPr>
          <w:rFonts w:cs="Times New Roman"/>
          <w:color w:val="FF0000"/>
          <w:highlight w:val="none"/>
        </w:rPr>
        <w:t>本次全厂总量控制指标为新增。</w:t>
      </w:r>
    </w:p>
    <w:p>
      <w:pPr>
        <w:spacing w:line="240" w:lineRule="auto"/>
        <w:ind w:firstLine="0" w:firstLineChars="0"/>
        <w:jc w:val="center"/>
        <w:rPr>
          <w:rFonts w:eastAsia="黑体" w:cs="Times New Roman"/>
          <w:color w:val="FF0000"/>
          <w:highlight w:val="none"/>
        </w:rPr>
      </w:pPr>
      <w:r>
        <w:rPr>
          <w:rFonts w:eastAsia="黑体" w:cs="Times New Roman"/>
          <w:color w:val="FF0000"/>
          <w:highlight w:val="none"/>
        </w:rPr>
        <w:t>表</w:t>
      </w:r>
      <w:r>
        <w:rPr>
          <w:rFonts w:hint="eastAsia" w:eastAsia="黑体" w:cs="Times New Roman"/>
          <w:color w:val="FF0000"/>
          <w:highlight w:val="none"/>
          <w:lang w:val="en-US" w:eastAsia="zh-CN"/>
        </w:rPr>
        <w:t>3.6</w:t>
      </w:r>
      <w:r>
        <w:rPr>
          <w:rFonts w:eastAsia="黑体" w:cs="Times New Roman"/>
          <w:color w:val="FF0000"/>
          <w:highlight w:val="none"/>
        </w:rPr>
        <w:t>-1本工程总量控制指标单位：t/a</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1040"/>
        <w:gridCol w:w="1560"/>
        <w:gridCol w:w="2046"/>
        <w:gridCol w:w="2046"/>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6" w:type="pct"/>
            <w:tcBorders>
              <w:tl2br w:val="nil"/>
              <w:tr2bl w:val="nil"/>
            </w:tcBorders>
            <w:vAlign w:val="center"/>
          </w:tcPr>
          <w:p>
            <w:pPr>
              <w:spacing w:line="240" w:lineRule="auto"/>
              <w:ind w:firstLine="0" w:firstLineChars="0"/>
              <w:jc w:val="center"/>
              <w:rPr>
                <w:rFonts w:cs="Times New Roman"/>
                <w:color w:val="FF0000"/>
                <w:sz w:val="21"/>
                <w:highlight w:val="none"/>
              </w:rPr>
            </w:pPr>
            <w:r>
              <w:rPr>
                <w:rFonts w:cs="Times New Roman"/>
                <w:color w:val="FF0000"/>
                <w:sz w:val="21"/>
                <w:highlight w:val="none"/>
                <w:lang w:val="zh-CN"/>
              </w:rPr>
              <w:t>类别</w:t>
            </w:r>
          </w:p>
        </w:tc>
        <w:tc>
          <w:tcPr>
            <w:tcW w:w="547" w:type="pct"/>
            <w:tcBorders>
              <w:tl2br w:val="nil"/>
              <w:tr2bl w:val="nil"/>
            </w:tcBorders>
            <w:vAlign w:val="center"/>
          </w:tcPr>
          <w:p>
            <w:pPr>
              <w:spacing w:line="240" w:lineRule="auto"/>
              <w:ind w:firstLine="0" w:firstLineChars="0"/>
              <w:jc w:val="center"/>
              <w:rPr>
                <w:rFonts w:cs="Times New Roman"/>
                <w:color w:val="FF0000"/>
                <w:sz w:val="21"/>
                <w:highlight w:val="none"/>
              </w:rPr>
            </w:pPr>
            <w:r>
              <w:rPr>
                <w:rFonts w:cs="Times New Roman"/>
                <w:color w:val="FF0000"/>
                <w:sz w:val="21"/>
                <w:highlight w:val="none"/>
                <w:lang w:val="zh-CN"/>
              </w:rPr>
              <w:t>项目</w:t>
            </w:r>
          </w:p>
        </w:tc>
        <w:tc>
          <w:tcPr>
            <w:tcW w:w="820" w:type="pct"/>
            <w:tcBorders>
              <w:tl2br w:val="nil"/>
              <w:tr2bl w:val="nil"/>
            </w:tcBorders>
            <w:vAlign w:val="center"/>
          </w:tcPr>
          <w:p>
            <w:pPr>
              <w:spacing w:line="240" w:lineRule="auto"/>
              <w:ind w:firstLine="0" w:firstLineChars="0"/>
              <w:jc w:val="center"/>
              <w:rPr>
                <w:rFonts w:cs="Times New Roman"/>
                <w:color w:val="FF0000"/>
                <w:sz w:val="21"/>
                <w:highlight w:val="none"/>
              </w:rPr>
            </w:pPr>
            <w:r>
              <w:rPr>
                <w:rFonts w:cs="Times New Roman"/>
                <w:color w:val="FF0000"/>
                <w:sz w:val="21"/>
                <w:highlight w:val="none"/>
                <w:lang w:val="zh-CN"/>
              </w:rPr>
              <w:t>排放量（</w:t>
            </w:r>
            <w:r>
              <w:rPr>
                <w:rFonts w:cs="Times New Roman"/>
                <w:color w:val="FF0000"/>
                <w:sz w:val="21"/>
                <w:highlight w:val="none"/>
              </w:rPr>
              <w:t>t/a</w:t>
            </w:r>
            <w:r>
              <w:rPr>
                <w:rFonts w:cs="Times New Roman"/>
                <w:color w:val="FF0000"/>
                <w:sz w:val="21"/>
                <w:highlight w:val="none"/>
                <w:lang w:val="zh-CN"/>
              </w:rPr>
              <w:t>）</w:t>
            </w:r>
          </w:p>
        </w:tc>
        <w:tc>
          <w:tcPr>
            <w:tcW w:w="1075" w:type="pct"/>
            <w:tcBorders>
              <w:tl2br w:val="nil"/>
              <w:tr2bl w:val="nil"/>
            </w:tcBorders>
            <w:vAlign w:val="center"/>
          </w:tcPr>
          <w:p>
            <w:pPr>
              <w:spacing w:line="240" w:lineRule="auto"/>
              <w:ind w:firstLine="0" w:firstLineChars="0"/>
              <w:jc w:val="center"/>
              <w:rPr>
                <w:rFonts w:cs="Times New Roman"/>
                <w:color w:val="FF0000"/>
                <w:sz w:val="21"/>
                <w:highlight w:val="none"/>
                <w:lang w:val="zh-CN"/>
              </w:rPr>
            </w:pPr>
            <w:r>
              <w:rPr>
                <w:rFonts w:cs="Times New Roman"/>
                <w:color w:val="FF0000"/>
                <w:sz w:val="21"/>
                <w:highlight w:val="none"/>
                <w:lang w:val="zh-CN"/>
              </w:rPr>
              <w:t>建议控制指标（</w:t>
            </w:r>
            <w:r>
              <w:rPr>
                <w:rFonts w:cs="Times New Roman"/>
                <w:color w:val="FF0000"/>
                <w:sz w:val="21"/>
                <w:highlight w:val="none"/>
              </w:rPr>
              <w:t>t/a</w:t>
            </w:r>
            <w:r>
              <w:rPr>
                <w:rFonts w:cs="Times New Roman"/>
                <w:color w:val="FF0000"/>
                <w:sz w:val="21"/>
                <w:highlight w:val="none"/>
                <w:lang w:val="zh-CN"/>
              </w:rPr>
              <w:t>）</w:t>
            </w:r>
          </w:p>
        </w:tc>
        <w:tc>
          <w:tcPr>
            <w:tcW w:w="1075" w:type="pct"/>
            <w:tcBorders>
              <w:tl2br w:val="nil"/>
              <w:tr2bl w:val="nil"/>
            </w:tcBorders>
          </w:tcPr>
          <w:p>
            <w:pPr>
              <w:spacing w:line="240" w:lineRule="auto"/>
              <w:ind w:firstLine="0" w:firstLineChars="0"/>
              <w:jc w:val="center"/>
              <w:rPr>
                <w:rFonts w:cs="Times New Roman"/>
                <w:color w:val="FF0000"/>
                <w:sz w:val="21"/>
                <w:highlight w:val="none"/>
                <w:lang w:val="zh-CN"/>
              </w:rPr>
            </w:pPr>
            <w:r>
              <w:rPr>
                <w:rFonts w:cs="Times New Roman"/>
                <w:color w:val="FF0000"/>
                <w:sz w:val="21"/>
                <w:highlight w:val="none"/>
                <w:lang w:val="zh-CN"/>
              </w:rPr>
              <w:t>现有总量指标（</w:t>
            </w:r>
            <w:r>
              <w:rPr>
                <w:rFonts w:cs="Times New Roman"/>
                <w:color w:val="FF0000"/>
                <w:sz w:val="21"/>
                <w:highlight w:val="none"/>
              </w:rPr>
              <w:t>t/a</w:t>
            </w:r>
            <w:r>
              <w:rPr>
                <w:rFonts w:cs="Times New Roman"/>
                <w:color w:val="FF0000"/>
                <w:sz w:val="21"/>
                <w:highlight w:val="none"/>
                <w:lang w:val="zh-CN"/>
              </w:rPr>
              <w:t>）</w:t>
            </w:r>
          </w:p>
        </w:tc>
        <w:tc>
          <w:tcPr>
            <w:tcW w:w="1075" w:type="pct"/>
            <w:tcBorders>
              <w:tl2br w:val="nil"/>
              <w:tr2bl w:val="nil"/>
            </w:tcBorders>
          </w:tcPr>
          <w:p>
            <w:pPr>
              <w:spacing w:line="240" w:lineRule="auto"/>
              <w:ind w:firstLine="0" w:firstLineChars="0"/>
              <w:jc w:val="center"/>
              <w:rPr>
                <w:rFonts w:cs="Times New Roman"/>
                <w:color w:val="FF0000"/>
                <w:sz w:val="21"/>
                <w:highlight w:val="none"/>
                <w:lang w:val="zh-CN"/>
              </w:rPr>
            </w:pPr>
            <w:r>
              <w:rPr>
                <w:rFonts w:cs="Times New Roman"/>
                <w:color w:val="FF0000"/>
                <w:sz w:val="21"/>
                <w:highlight w:val="none"/>
                <w:lang w:val="zh-CN"/>
              </w:rPr>
              <w:t>新增总量指标（</w:t>
            </w:r>
            <w:r>
              <w:rPr>
                <w:rFonts w:cs="Times New Roman"/>
                <w:color w:val="FF0000"/>
                <w:sz w:val="21"/>
                <w:highlight w:val="none"/>
              </w:rPr>
              <w:t>t/a</w:t>
            </w:r>
            <w:r>
              <w:rPr>
                <w:rFonts w:cs="Times New Roman"/>
                <w:color w:val="FF0000"/>
                <w:sz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6" w:type="pct"/>
            <w:vMerge w:val="restart"/>
            <w:tcBorders>
              <w:tl2br w:val="nil"/>
              <w:tr2bl w:val="nil"/>
            </w:tcBorders>
            <w:vAlign w:val="center"/>
          </w:tcPr>
          <w:p>
            <w:pPr>
              <w:spacing w:line="240" w:lineRule="auto"/>
              <w:ind w:firstLine="0" w:firstLineChars="0"/>
              <w:jc w:val="center"/>
              <w:rPr>
                <w:rFonts w:cs="Times New Roman"/>
                <w:color w:val="FF0000"/>
                <w:sz w:val="21"/>
                <w:highlight w:val="none"/>
              </w:rPr>
            </w:pPr>
            <w:r>
              <w:rPr>
                <w:rFonts w:cs="Times New Roman"/>
                <w:color w:val="FF0000"/>
                <w:sz w:val="21"/>
                <w:highlight w:val="none"/>
                <w:lang w:val="zh-CN"/>
              </w:rPr>
              <w:t>废水</w:t>
            </w:r>
          </w:p>
        </w:tc>
        <w:tc>
          <w:tcPr>
            <w:tcW w:w="547" w:type="pct"/>
            <w:tcBorders>
              <w:tl2br w:val="nil"/>
              <w:tr2bl w:val="nil"/>
            </w:tcBorders>
            <w:vAlign w:val="center"/>
          </w:tcPr>
          <w:p>
            <w:pPr>
              <w:spacing w:line="240" w:lineRule="auto"/>
              <w:ind w:firstLine="0" w:firstLineChars="0"/>
              <w:jc w:val="center"/>
              <w:rPr>
                <w:rFonts w:cs="Times New Roman"/>
                <w:color w:val="FF0000"/>
                <w:sz w:val="21"/>
                <w:highlight w:val="none"/>
              </w:rPr>
            </w:pPr>
            <w:r>
              <w:rPr>
                <w:rFonts w:cs="Times New Roman"/>
                <w:color w:val="FF0000"/>
                <w:sz w:val="21"/>
                <w:highlight w:val="none"/>
              </w:rPr>
              <w:t>COD</w:t>
            </w:r>
          </w:p>
        </w:tc>
        <w:tc>
          <w:tcPr>
            <w:tcW w:w="820" w:type="pc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eastAsia" w:cs="Times New Roman"/>
                <w:color w:val="FF0000"/>
                <w:sz w:val="21"/>
                <w:szCs w:val="20"/>
                <w:highlight w:val="none"/>
                <w:lang w:val="en-US" w:eastAsia="zh-CN"/>
              </w:rPr>
              <w:t>289.535</w:t>
            </w:r>
          </w:p>
        </w:tc>
        <w:tc>
          <w:tcPr>
            <w:tcW w:w="1075" w:type="pc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eastAsia" w:cs="Times New Roman"/>
                <w:color w:val="FF0000"/>
                <w:sz w:val="21"/>
                <w:szCs w:val="20"/>
                <w:highlight w:val="none"/>
                <w:lang w:val="en-US" w:eastAsia="zh-CN"/>
              </w:rPr>
              <w:t>289.535</w:t>
            </w:r>
          </w:p>
        </w:tc>
        <w:tc>
          <w:tcPr>
            <w:tcW w:w="1075" w:type="pct"/>
            <w:tcBorders>
              <w:tl2br w:val="nil"/>
              <w:tr2bl w:val="nil"/>
            </w:tcBorders>
            <w:vAlign w:val="center"/>
          </w:tcPr>
          <w:p>
            <w:pPr>
              <w:spacing w:line="240" w:lineRule="auto"/>
              <w:ind w:firstLine="0" w:firstLineChars="0"/>
              <w:jc w:val="center"/>
              <w:rPr>
                <w:rFonts w:hint="default" w:eastAsia="宋体" w:cs="Times New Roman"/>
                <w:color w:val="FF0000"/>
                <w:sz w:val="21"/>
                <w:highlight w:val="none"/>
                <w:lang w:val="en-US" w:eastAsia="zh-CN"/>
              </w:rPr>
            </w:pPr>
            <w:r>
              <w:rPr>
                <w:rFonts w:hint="eastAsia" w:cs="Times New Roman"/>
                <w:color w:val="FF0000"/>
                <w:sz w:val="21"/>
                <w:highlight w:val="none"/>
                <w:lang w:val="en-US" w:eastAsia="zh-CN"/>
              </w:rPr>
              <w:t>91.25</w:t>
            </w:r>
          </w:p>
        </w:tc>
        <w:tc>
          <w:tcPr>
            <w:tcW w:w="1075" w:type="pct"/>
            <w:tcBorders>
              <w:tl2br w:val="nil"/>
              <w:tr2bl w:val="nil"/>
            </w:tcBorders>
            <w:vAlign w:val="center"/>
          </w:tcPr>
          <w:p>
            <w:pPr>
              <w:spacing w:line="240" w:lineRule="auto"/>
              <w:ind w:firstLine="0" w:firstLineChars="0"/>
              <w:jc w:val="center"/>
              <w:rPr>
                <w:rFonts w:hint="default" w:cs="Times New Roman"/>
                <w:color w:val="FF0000"/>
                <w:sz w:val="21"/>
                <w:highlight w:val="none"/>
                <w:lang w:val="en-US"/>
              </w:rPr>
            </w:pPr>
            <w:r>
              <w:rPr>
                <w:rFonts w:hint="eastAsia" w:cs="Times New Roman"/>
                <w:color w:val="FF0000"/>
                <w:kern w:val="2"/>
                <w:sz w:val="21"/>
                <w:szCs w:val="20"/>
                <w:highlight w:val="none"/>
                <w:lang w:val="en-US" w:eastAsia="zh-CN" w:bidi="ar-SA"/>
              </w:rPr>
              <w:t>152.78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6" w:type="pct"/>
            <w:vMerge w:val="continue"/>
            <w:tcBorders>
              <w:tl2br w:val="nil"/>
              <w:tr2bl w:val="nil"/>
            </w:tcBorders>
            <w:vAlign w:val="center"/>
          </w:tcPr>
          <w:p>
            <w:pPr>
              <w:spacing w:line="240" w:lineRule="auto"/>
              <w:ind w:firstLine="0" w:firstLineChars="0"/>
              <w:jc w:val="center"/>
              <w:rPr>
                <w:rFonts w:cs="Times New Roman"/>
                <w:color w:val="FF0000"/>
                <w:sz w:val="21"/>
                <w:highlight w:val="none"/>
              </w:rPr>
            </w:pPr>
          </w:p>
        </w:tc>
        <w:tc>
          <w:tcPr>
            <w:tcW w:w="547" w:type="pct"/>
            <w:tcBorders>
              <w:tl2br w:val="nil"/>
              <w:tr2bl w:val="nil"/>
            </w:tcBorders>
            <w:vAlign w:val="center"/>
          </w:tcPr>
          <w:p>
            <w:pPr>
              <w:spacing w:line="240" w:lineRule="auto"/>
              <w:ind w:firstLine="0" w:firstLineChars="0"/>
              <w:jc w:val="center"/>
              <w:rPr>
                <w:rFonts w:cs="Times New Roman"/>
                <w:color w:val="FF0000"/>
                <w:sz w:val="21"/>
                <w:highlight w:val="none"/>
              </w:rPr>
            </w:pPr>
            <w:r>
              <w:rPr>
                <w:rFonts w:cs="Times New Roman"/>
                <w:color w:val="FF0000"/>
                <w:sz w:val="21"/>
                <w:highlight w:val="none"/>
              </w:rPr>
              <w:t>NH</w:t>
            </w:r>
            <w:r>
              <w:rPr>
                <w:rFonts w:cs="Times New Roman"/>
                <w:color w:val="FF0000"/>
                <w:sz w:val="21"/>
                <w:highlight w:val="none"/>
                <w:vertAlign w:val="subscript"/>
              </w:rPr>
              <w:t>3</w:t>
            </w:r>
            <w:r>
              <w:rPr>
                <w:rFonts w:cs="Times New Roman"/>
                <w:color w:val="FF0000"/>
                <w:sz w:val="21"/>
                <w:highlight w:val="none"/>
              </w:rPr>
              <w:t>-N</w:t>
            </w:r>
          </w:p>
        </w:tc>
        <w:tc>
          <w:tcPr>
            <w:tcW w:w="820" w:type="pc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32.461</w:t>
            </w:r>
          </w:p>
        </w:tc>
        <w:tc>
          <w:tcPr>
            <w:tcW w:w="1075" w:type="pc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eastAsia" w:ascii="Times New Roman" w:hAnsi="Times New Roman" w:eastAsia="宋体" w:cs="Times New Roman"/>
                <w:color w:val="auto"/>
                <w:sz w:val="21"/>
                <w:szCs w:val="20"/>
                <w:highlight w:val="none"/>
                <w:lang w:val="en-US" w:eastAsia="zh-CN"/>
              </w:rPr>
              <w:t>32.461</w:t>
            </w:r>
          </w:p>
        </w:tc>
        <w:tc>
          <w:tcPr>
            <w:tcW w:w="1075" w:type="pct"/>
            <w:tcBorders>
              <w:tl2br w:val="nil"/>
              <w:tr2bl w:val="nil"/>
            </w:tcBorders>
            <w:vAlign w:val="center"/>
          </w:tcPr>
          <w:p>
            <w:pPr>
              <w:spacing w:line="240" w:lineRule="auto"/>
              <w:ind w:firstLine="0" w:firstLineChars="0"/>
              <w:jc w:val="center"/>
              <w:rPr>
                <w:rFonts w:hint="default" w:eastAsia="宋体" w:cs="Times New Roman"/>
                <w:color w:val="FF0000"/>
                <w:sz w:val="21"/>
                <w:highlight w:val="none"/>
                <w:lang w:val="en-US" w:eastAsia="zh-CN"/>
              </w:rPr>
            </w:pPr>
            <w:r>
              <w:rPr>
                <w:rFonts w:hint="eastAsia" w:cs="Times New Roman"/>
                <w:color w:val="FF0000"/>
                <w:sz w:val="21"/>
                <w:highlight w:val="none"/>
                <w:lang w:val="en-US" w:eastAsia="zh-CN"/>
              </w:rPr>
              <w:t>14.6</w:t>
            </w:r>
          </w:p>
        </w:tc>
        <w:tc>
          <w:tcPr>
            <w:tcW w:w="1075" w:type="pct"/>
            <w:tcBorders>
              <w:tl2br w:val="nil"/>
              <w:tr2bl w:val="nil"/>
            </w:tcBorders>
            <w:vAlign w:val="center"/>
          </w:tcPr>
          <w:p>
            <w:pPr>
              <w:spacing w:line="240" w:lineRule="auto"/>
              <w:ind w:firstLine="0" w:firstLineChars="0"/>
              <w:jc w:val="center"/>
              <w:rPr>
                <w:rFonts w:hint="default" w:eastAsia="宋体" w:cs="Times New Roman"/>
                <w:color w:val="FF0000"/>
                <w:sz w:val="21"/>
                <w:highlight w:val="none"/>
                <w:lang w:val="en-US" w:eastAsia="zh-CN"/>
              </w:rPr>
            </w:pPr>
            <w:r>
              <w:rPr>
                <w:rFonts w:hint="eastAsia" w:cs="Times New Roman"/>
                <w:color w:val="FF0000"/>
                <w:kern w:val="2"/>
                <w:sz w:val="21"/>
                <w:szCs w:val="20"/>
                <w:highlight w:val="none"/>
                <w:lang w:val="en-US" w:eastAsia="zh-CN" w:bidi="ar-SA"/>
              </w:rPr>
              <w:t>17.861</w:t>
            </w:r>
          </w:p>
        </w:tc>
      </w:tr>
    </w:tbl>
    <w:p>
      <w:pPr>
        <w:pStyle w:val="4"/>
        <w:tabs>
          <w:tab w:val="left" w:pos="0"/>
          <w:tab w:val="clear" w:pos="360"/>
          <w:tab w:val="clear" w:pos="903"/>
        </w:tabs>
        <w:bidi w:val="0"/>
        <w:rPr>
          <w:rFonts w:hint="eastAsia"/>
          <w:color w:val="auto"/>
          <w:highlight w:val="none"/>
          <w:lang w:eastAsia="zh-CN"/>
        </w:rPr>
      </w:pPr>
      <w:bookmarkStart w:id="112" w:name="_Toc28160"/>
      <w:r>
        <w:rPr>
          <w:rFonts w:hint="eastAsia"/>
          <w:color w:val="auto"/>
          <w:highlight w:val="none"/>
          <w:lang w:eastAsia="zh-CN"/>
        </w:rPr>
        <w:t>清洁生产</w:t>
      </w:r>
      <w:bookmarkEnd w:id="112"/>
    </w:p>
    <w:p>
      <w:pPr>
        <w:pStyle w:val="5"/>
        <w:bidi w:val="0"/>
        <w:rPr>
          <w:rFonts w:hint="default"/>
          <w:color w:val="auto"/>
          <w:highlight w:val="none"/>
          <w:lang w:val="en-US" w:eastAsia="zh-CN"/>
        </w:rPr>
      </w:pPr>
      <w:r>
        <w:rPr>
          <w:rFonts w:hint="eastAsia"/>
          <w:color w:val="auto"/>
          <w:highlight w:val="none"/>
          <w:lang w:val="en-US" w:eastAsia="zh-CN"/>
        </w:rPr>
        <w:t>清洁生产的要求</w:t>
      </w:r>
    </w:p>
    <w:p>
      <w:pPr>
        <w:bidi w:val="0"/>
        <w:rPr>
          <w:rFonts w:hint="eastAsia"/>
          <w:color w:val="auto"/>
          <w:highlight w:val="none"/>
          <w:lang w:eastAsia="zh-CN"/>
        </w:rPr>
      </w:pPr>
      <w:r>
        <w:rPr>
          <w:rFonts w:hint="eastAsia"/>
          <w:color w:val="auto"/>
          <w:highlight w:val="none"/>
          <w:lang w:eastAsia="zh-CN"/>
        </w:rPr>
        <w:t>清洁生产的宗旨是为推进可持续发展，使经济增长方式从粗放型向集约型转变，通过改善管理和技术进步，改末端治理为全生产过程控制，以实现节能、降耗、减污、增效的目标，实现经济、环境效益的统一。</w:t>
      </w:r>
    </w:p>
    <w:p>
      <w:pPr>
        <w:bidi w:val="0"/>
        <w:rPr>
          <w:rFonts w:hint="eastAsia"/>
          <w:color w:val="auto"/>
          <w:highlight w:val="none"/>
          <w:lang w:eastAsia="zh-CN"/>
        </w:rPr>
      </w:pPr>
      <w:r>
        <w:rPr>
          <w:rFonts w:hint="eastAsia"/>
          <w:color w:val="auto"/>
          <w:highlight w:val="none"/>
          <w:lang w:eastAsia="zh-CN"/>
        </w:rPr>
        <w:t>我国污染防治方针，正经历着一个战略转变，已不再限于污染源末端治理，把防治污染的重点由末端治理转向生产全过程控制，即从尾端治理为主的方针转移到开发应用清洁生产的防治污染方针，这是实施可持续发展战略、综合防治环境污染的重大举措。</w:t>
      </w:r>
    </w:p>
    <w:p>
      <w:pPr>
        <w:bidi w:val="0"/>
        <w:rPr>
          <w:rFonts w:hint="eastAsia"/>
          <w:color w:val="auto"/>
          <w:highlight w:val="none"/>
          <w:lang w:eastAsia="zh-CN"/>
        </w:rPr>
      </w:pPr>
      <w:r>
        <w:rPr>
          <w:rFonts w:hint="eastAsia"/>
          <w:color w:val="auto"/>
          <w:highlight w:val="none"/>
          <w:lang w:eastAsia="zh-CN"/>
        </w:rPr>
        <w:t>清洁生产是将污染预防战略持续地应用于生产全过程，通过不断地改进管理和推进技术进步提高资源利用率、减少污染物排放量，以降低对人类和环境危害。</w:t>
      </w:r>
    </w:p>
    <w:p>
      <w:pPr>
        <w:bidi w:val="0"/>
        <w:rPr>
          <w:rFonts w:hint="eastAsia"/>
          <w:color w:val="auto"/>
          <w:highlight w:val="none"/>
          <w:lang w:eastAsia="zh-CN"/>
        </w:rPr>
      </w:pPr>
      <w:r>
        <w:rPr>
          <w:rFonts w:hint="eastAsia"/>
          <w:color w:val="auto"/>
          <w:highlight w:val="none"/>
          <w:lang w:eastAsia="zh-CN"/>
        </w:rPr>
        <w:t>清洁生产的核心是从源头做起、预防为主、通过全过程控制，以实现经济效益和环境效益的统一。其基本要求为：</w:t>
      </w:r>
    </w:p>
    <w:p>
      <w:pPr>
        <w:bidi w:val="0"/>
        <w:rPr>
          <w:rFonts w:hint="eastAsia"/>
          <w:color w:val="auto"/>
          <w:highlight w:val="none"/>
          <w:lang w:eastAsia="zh-CN"/>
        </w:rPr>
      </w:pPr>
      <w:r>
        <w:rPr>
          <w:rFonts w:hint="eastAsia"/>
          <w:color w:val="auto"/>
          <w:highlight w:val="none"/>
          <w:lang w:eastAsia="zh-CN"/>
        </w:rPr>
        <w:t>（1）节约原材料和能源，使资源得到最有效的利用。</w:t>
      </w:r>
    </w:p>
    <w:p>
      <w:pPr>
        <w:bidi w:val="0"/>
        <w:rPr>
          <w:rFonts w:hint="eastAsia"/>
          <w:color w:val="auto"/>
          <w:highlight w:val="none"/>
          <w:lang w:eastAsia="zh-CN"/>
        </w:rPr>
      </w:pPr>
      <w:r>
        <w:rPr>
          <w:rFonts w:hint="eastAsia"/>
          <w:color w:val="auto"/>
          <w:highlight w:val="none"/>
          <w:lang w:eastAsia="zh-CN"/>
        </w:rPr>
        <w:t>（2）尽量采用无毒、无害、无污染或少污染的原材料。</w:t>
      </w:r>
    </w:p>
    <w:p>
      <w:pPr>
        <w:bidi w:val="0"/>
        <w:rPr>
          <w:rFonts w:hint="eastAsia"/>
          <w:color w:val="auto"/>
          <w:highlight w:val="none"/>
          <w:lang w:eastAsia="zh-CN"/>
        </w:rPr>
      </w:pPr>
      <w:r>
        <w:rPr>
          <w:rFonts w:hint="eastAsia"/>
          <w:color w:val="auto"/>
          <w:highlight w:val="none"/>
          <w:lang w:eastAsia="zh-CN"/>
        </w:rPr>
        <w:t>（3）采用无污染、少污染、节省原材料和能源的高效技术设备。</w:t>
      </w:r>
    </w:p>
    <w:p>
      <w:pPr>
        <w:bidi w:val="0"/>
        <w:rPr>
          <w:rFonts w:hint="eastAsia"/>
          <w:color w:val="auto"/>
          <w:highlight w:val="none"/>
          <w:lang w:eastAsia="zh-CN"/>
        </w:rPr>
      </w:pPr>
      <w:r>
        <w:rPr>
          <w:rFonts w:hint="eastAsia"/>
          <w:color w:val="auto"/>
          <w:highlight w:val="none"/>
          <w:lang w:eastAsia="zh-CN"/>
        </w:rPr>
        <w:t>（4）采用的生产工艺能够把原材料最大限度地转化为产品。</w:t>
      </w:r>
    </w:p>
    <w:p>
      <w:pPr>
        <w:bidi w:val="0"/>
        <w:rPr>
          <w:rFonts w:hint="eastAsia"/>
          <w:color w:val="auto"/>
          <w:highlight w:val="none"/>
          <w:lang w:eastAsia="zh-CN"/>
        </w:rPr>
      </w:pPr>
      <w:r>
        <w:rPr>
          <w:rFonts w:hint="eastAsia"/>
          <w:color w:val="auto"/>
          <w:highlight w:val="none"/>
          <w:lang w:eastAsia="zh-CN"/>
        </w:rPr>
        <w:t>（5）发展换代型对环境无污染、少污染，并为环境所兼容的新产品。</w:t>
      </w:r>
    </w:p>
    <w:p>
      <w:pPr>
        <w:pStyle w:val="5"/>
        <w:bidi w:val="0"/>
        <w:rPr>
          <w:rFonts w:hint="default"/>
          <w:color w:val="auto"/>
          <w:highlight w:val="none"/>
          <w:lang w:val="en-US" w:eastAsia="zh-CN"/>
        </w:rPr>
      </w:pPr>
      <w:r>
        <w:rPr>
          <w:rFonts w:hint="eastAsia"/>
          <w:color w:val="auto"/>
          <w:highlight w:val="none"/>
          <w:lang w:val="en-US" w:eastAsia="zh-CN"/>
        </w:rPr>
        <w:t>工艺与装备先进性分析</w:t>
      </w:r>
    </w:p>
    <w:p>
      <w:pPr>
        <w:pStyle w:val="2"/>
        <w:bidi w:val="0"/>
        <w:rPr>
          <w:rFonts w:hint="eastAsia"/>
          <w:color w:val="auto"/>
          <w:highlight w:val="none"/>
          <w:lang w:val="en-US" w:eastAsia="zh-CN"/>
        </w:rPr>
      </w:pPr>
      <w:r>
        <w:rPr>
          <w:rFonts w:hint="eastAsia"/>
          <w:color w:val="auto"/>
          <w:highlight w:val="none"/>
          <w:lang w:val="en-US" w:eastAsia="zh-CN"/>
        </w:rPr>
        <w:t>水处理工艺</w:t>
      </w:r>
    </w:p>
    <w:p>
      <w:pPr>
        <w:bidi w:val="0"/>
        <w:rPr>
          <w:rFonts w:hint="eastAsia"/>
          <w:color w:val="auto"/>
          <w:highlight w:val="none"/>
          <w:lang w:eastAsia="zh-CN"/>
        </w:rPr>
      </w:pPr>
      <w:r>
        <w:rPr>
          <w:rFonts w:hint="eastAsia"/>
          <w:color w:val="auto"/>
          <w:highlight w:val="none"/>
          <w:lang w:eastAsia="zh-CN"/>
        </w:rPr>
        <w:t>通过调查国内已投产的污水处理厂和</w:t>
      </w:r>
      <w:r>
        <w:rPr>
          <w:rFonts w:hint="eastAsia"/>
          <w:color w:val="auto"/>
          <w:highlight w:val="none"/>
          <w:lang w:val="en-US" w:eastAsia="zh-CN"/>
        </w:rPr>
        <w:t>新疆维吾尔自治区</w:t>
      </w:r>
      <w:r>
        <w:rPr>
          <w:rFonts w:hint="eastAsia"/>
          <w:color w:val="auto"/>
          <w:highlight w:val="none"/>
          <w:lang w:eastAsia="zh-CN"/>
        </w:rPr>
        <w:t>类似污水处理厂的实际进水水质情况并结合服务范围实际情况，提出合理的设计参数。若取值过高，会使构筑物及设备过大，形成“大马拉小车”，造成资源的浪费。本项目在污水处理厂中，采用了多项新技术和新工艺，以真正做到降低能耗。污水处理工艺选用““预处理+调节池+AAO生物池＋高效沉淀池+反硝化深床滤池+接触消毒池”的组合工艺，节约了能源。</w:t>
      </w:r>
    </w:p>
    <w:p>
      <w:pPr>
        <w:pStyle w:val="5"/>
        <w:bidi w:val="0"/>
        <w:rPr>
          <w:rFonts w:hint="default"/>
          <w:color w:val="auto"/>
          <w:highlight w:val="none"/>
          <w:lang w:val="en-US" w:eastAsia="zh-CN"/>
        </w:rPr>
      </w:pPr>
      <w:r>
        <w:rPr>
          <w:rFonts w:hint="eastAsia"/>
          <w:color w:val="auto"/>
          <w:highlight w:val="none"/>
          <w:lang w:val="en-US" w:eastAsia="zh-CN"/>
        </w:rPr>
        <w:t>主要设备</w:t>
      </w:r>
    </w:p>
    <w:p>
      <w:pPr>
        <w:bidi w:val="0"/>
        <w:rPr>
          <w:rFonts w:hint="eastAsia"/>
          <w:color w:val="auto"/>
          <w:highlight w:val="none"/>
          <w:lang w:eastAsia="zh-CN"/>
        </w:rPr>
      </w:pPr>
      <w:r>
        <w:rPr>
          <w:rFonts w:hint="eastAsia"/>
          <w:color w:val="auto"/>
          <w:highlight w:val="none"/>
          <w:lang w:eastAsia="zh-CN"/>
        </w:rPr>
        <w:t>污水处理厂中的设备如各种型号的污水泵、鼓风机、搅拌机等均选用高效节能形式，以最大程度的节省能源消耗。</w:t>
      </w:r>
    </w:p>
    <w:p>
      <w:pPr>
        <w:bidi w:val="0"/>
        <w:rPr>
          <w:rFonts w:hint="eastAsia"/>
          <w:color w:val="auto"/>
          <w:highlight w:val="none"/>
          <w:lang w:eastAsia="zh-CN"/>
        </w:rPr>
      </w:pPr>
      <w:r>
        <w:rPr>
          <w:rFonts w:hint="eastAsia"/>
          <w:color w:val="auto"/>
          <w:highlight w:val="none"/>
          <w:lang w:eastAsia="zh-CN"/>
        </w:rPr>
        <w:t>本工程的主要耗能设备——鼓风机拟选用进口或国内先进产品，并配变频调节装置，力求达到动力效率高，同时根据需要DO量自动调节风量。</w:t>
      </w:r>
    </w:p>
    <w:p>
      <w:pPr>
        <w:bidi w:val="0"/>
        <w:rPr>
          <w:rFonts w:hint="eastAsia"/>
          <w:color w:val="auto"/>
          <w:highlight w:val="none"/>
          <w:lang w:eastAsia="zh-CN"/>
        </w:rPr>
      </w:pPr>
      <w:r>
        <w:rPr>
          <w:rFonts w:hint="eastAsia"/>
          <w:color w:val="auto"/>
          <w:highlight w:val="none"/>
          <w:lang w:eastAsia="zh-CN"/>
        </w:rPr>
        <w:t>污水提升泵均考虑采用潜水排污泵，该种泵型性能优良，效率高，不仅节省土建投资，装机功率及运转功率均低，其工作效率大多可达80%以上，高于其它水泵，从而节约了能耗。</w:t>
      </w:r>
    </w:p>
    <w:p>
      <w:pPr>
        <w:bidi w:val="0"/>
        <w:rPr>
          <w:rFonts w:hint="eastAsia"/>
          <w:color w:val="auto"/>
          <w:highlight w:val="none"/>
          <w:lang w:eastAsia="zh-CN"/>
        </w:rPr>
      </w:pPr>
      <w:r>
        <w:rPr>
          <w:rFonts w:hint="eastAsia"/>
          <w:color w:val="auto"/>
          <w:highlight w:val="none"/>
          <w:lang w:eastAsia="zh-CN"/>
        </w:rPr>
        <w:t>厂站的变压器均选用节能低耗型产品。</w:t>
      </w:r>
    </w:p>
    <w:p>
      <w:pPr>
        <w:bidi w:val="0"/>
        <w:rPr>
          <w:rFonts w:hint="eastAsia"/>
          <w:color w:val="auto"/>
          <w:highlight w:val="none"/>
          <w:lang w:eastAsia="zh-CN"/>
        </w:rPr>
      </w:pPr>
      <w:r>
        <w:rPr>
          <w:rFonts w:hint="eastAsia"/>
          <w:color w:val="auto"/>
          <w:highlight w:val="none"/>
          <w:lang w:eastAsia="zh-CN"/>
        </w:rPr>
        <w:t>对整个厂区照明、通风、空调等设施，根据季节、气候的不同合理使用，节约能耗。</w:t>
      </w:r>
    </w:p>
    <w:p>
      <w:pPr>
        <w:pStyle w:val="5"/>
        <w:bidi w:val="0"/>
        <w:rPr>
          <w:rFonts w:hint="default"/>
          <w:color w:val="auto"/>
          <w:highlight w:val="none"/>
          <w:lang w:val="en-US" w:eastAsia="zh-CN"/>
        </w:rPr>
      </w:pPr>
      <w:r>
        <w:rPr>
          <w:rFonts w:hint="eastAsia"/>
          <w:color w:val="auto"/>
          <w:highlight w:val="none"/>
          <w:lang w:val="en-US" w:eastAsia="zh-CN"/>
        </w:rPr>
        <w:t>资源和能源消耗分析</w:t>
      </w:r>
    </w:p>
    <w:p>
      <w:pPr>
        <w:bidi w:val="0"/>
        <w:rPr>
          <w:rFonts w:hint="eastAsia"/>
          <w:color w:val="auto"/>
          <w:highlight w:val="none"/>
          <w:lang w:eastAsia="zh-CN"/>
        </w:rPr>
      </w:pPr>
      <w:r>
        <w:rPr>
          <w:rFonts w:hint="eastAsia"/>
          <w:color w:val="auto"/>
          <w:highlight w:val="none"/>
          <w:lang w:eastAsia="zh-CN"/>
        </w:rPr>
        <w:t>根据工程可研报告，本工程耗电量</w:t>
      </w:r>
      <w:r>
        <w:rPr>
          <w:rFonts w:hint="eastAsia"/>
          <w:color w:val="auto"/>
          <w:highlight w:val="none"/>
          <w:lang w:val="en-US" w:eastAsia="zh-CN"/>
        </w:rPr>
        <w:t>15237</w:t>
      </w:r>
      <w:r>
        <w:rPr>
          <w:rFonts w:hint="eastAsia"/>
          <w:color w:val="auto"/>
          <w:highlight w:val="none"/>
          <w:lang w:eastAsia="zh-CN"/>
        </w:rPr>
        <w:t>kwh/</w:t>
      </w:r>
      <w:r>
        <w:rPr>
          <w:rFonts w:hint="eastAsia"/>
          <w:color w:val="auto"/>
          <w:highlight w:val="none"/>
          <w:lang w:val="en-US" w:eastAsia="zh-CN"/>
        </w:rPr>
        <w:t>d</w:t>
      </w:r>
      <w:r>
        <w:rPr>
          <w:rFonts w:hint="eastAsia"/>
          <w:color w:val="auto"/>
          <w:highlight w:val="none"/>
          <w:lang w:eastAsia="zh-CN"/>
        </w:rPr>
        <w:t>，折合每吨污水处理电耗指标为</w:t>
      </w:r>
      <w:r>
        <w:rPr>
          <w:rFonts w:hint="eastAsia"/>
          <w:color w:val="auto"/>
          <w:highlight w:val="none"/>
          <w:lang w:val="en-US" w:eastAsia="zh-CN"/>
        </w:rPr>
        <w:t>0.76</w:t>
      </w:r>
      <w:r>
        <w:rPr>
          <w:rFonts w:hint="eastAsia"/>
          <w:color w:val="auto"/>
          <w:highlight w:val="none"/>
          <w:lang w:eastAsia="zh-CN"/>
        </w:rPr>
        <w:t>kwh/m</w:t>
      </w:r>
      <w:r>
        <w:rPr>
          <w:rFonts w:hint="eastAsia"/>
          <w:color w:val="auto"/>
          <w:highlight w:val="none"/>
          <w:vertAlign w:val="superscript"/>
          <w:lang w:eastAsia="zh-CN"/>
        </w:rPr>
        <w:t>3</w:t>
      </w:r>
      <w:r>
        <w:rPr>
          <w:rFonts w:hint="eastAsia"/>
          <w:color w:val="auto"/>
          <w:highlight w:val="none"/>
          <w:lang w:eastAsia="zh-CN"/>
        </w:rPr>
        <w:t>，电费按0.7</w:t>
      </w:r>
      <w:r>
        <w:rPr>
          <w:rFonts w:hint="eastAsia"/>
          <w:color w:val="auto"/>
          <w:highlight w:val="none"/>
          <w:lang w:val="en-US" w:eastAsia="zh-CN"/>
        </w:rPr>
        <w:t>2</w:t>
      </w:r>
      <w:r>
        <w:rPr>
          <w:rFonts w:hint="eastAsia"/>
          <w:color w:val="auto"/>
          <w:highlight w:val="none"/>
          <w:lang w:eastAsia="zh-CN"/>
        </w:rPr>
        <w:t>元/kwh计算，运行成本为0.</w:t>
      </w:r>
      <w:r>
        <w:rPr>
          <w:rFonts w:hint="eastAsia"/>
          <w:color w:val="auto"/>
          <w:highlight w:val="none"/>
          <w:lang w:val="en-US" w:eastAsia="zh-CN"/>
        </w:rPr>
        <w:t>421</w:t>
      </w:r>
      <w:r>
        <w:rPr>
          <w:rFonts w:hint="eastAsia"/>
          <w:color w:val="auto"/>
          <w:highlight w:val="none"/>
          <w:lang w:eastAsia="zh-CN"/>
        </w:rPr>
        <w:t>元/m</w:t>
      </w:r>
      <w:r>
        <w:rPr>
          <w:rFonts w:hint="eastAsia"/>
          <w:color w:val="auto"/>
          <w:highlight w:val="none"/>
          <w:vertAlign w:val="superscript"/>
          <w:lang w:eastAsia="zh-CN"/>
        </w:rPr>
        <w:t>3</w:t>
      </w:r>
      <w:r>
        <w:rPr>
          <w:rFonts w:hint="eastAsia"/>
          <w:color w:val="auto"/>
          <w:highlight w:val="none"/>
          <w:lang w:eastAsia="zh-CN"/>
        </w:rPr>
        <w:t>，药剂量合约</w:t>
      </w:r>
      <w:r>
        <w:rPr>
          <w:rFonts w:hint="eastAsia"/>
          <w:color w:val="auto"/>
          <w:highlight w:val="none"/>
          <w:lang w:val="en-US" w:eastAsia="zh-CN"/>
        </w:rPr>
        <w:t>0.914</w:t>
      </w:r>
      <w:r>
        <w:rPr>
          <w:rFonts w:hint="eastAsia"/>
          <w:color w:val="auto"/>
          <w:highlight w:val="none"/>
          <w:lang w:eastAsia="zh-CN"/>
        </w:rPr>
        <w:t>元/m</w:t>
      </w:r>
      <w:r>
        <w:rPr>
          <w:rFonts w:hint="eastAsia"/>
          <w:color w:val="auto"/>
          <w:highlight w:val="none"/>
          <w:vertAlign w:val="superscript"/>
          <w:lang w:eastAsia="zh-CN"/>
        </w:rPr>
        <w:t>3</w:t>
      </w:r>
      <w:r>
        <w:rPr>
          <w:rFonts w:hint="eastAsia"/>
          <w:color w:val="auto"/>
          <w:highlight w:val="none"/>
          <w:lang w:eastAsia="zh-CN"/>
        </w:rPr>
        <w:t>。</w:t>
      </w:r>
    </w:p>
    <w:p>
      <w:pPr>
        <w:bidi w:val="0"/>
        <w:rPr>
          <w:rFonts w:hint="eastAsia"/>
          <w:color w:val="auto"/>
          <w:highlight w:val="none"/>
          <w:lang w:eastAsia="zh-CN"/>
        </w:rPr>
      </w:pPr>
      <w:r>
        <w:rPr>
          <w:rFonts w:hint="eastAsia"/>
          <w:color w:val="auto"/>
          <w:highlight w:val="none"/>
          <w:lang w:eastAsia="zh-CN"/>
        </w:rPr>
        <w:t>本项目节能措施和节能效果分析：</w:t>
      </w:r>
    </w:p>
    <w:p>
      <w:pPr>
        <w:bidi w:val="0"/>
        <w:rPr>
          <w:rFonts w:hint="eastAsia"/>
          <w:color w:val="auto"/>
          <w:highlight w:val="none"/>
          <w:lang w:eastAsia="zh-CN"/>
        </w:rPr>
      </w:pPr>
      <w:r>
        <w:rPr>
          <w:rFonts w:hint="eastAsia"/>
          <w:color w:val="auto"/>
          <w:highlight w:val="none"/>
          <w:lang w:val="en-US" w:eastAsia="zh-CN"/>
        </w:rPr>
        <w:t>（1）</w:t>
      </w:r>
      <w:r>
        <w:rPr>
          <w:rFonts w:hint="eastAsia"/>
          <w:color w:val="auto"/>
          <w:highlight w:val="none"/>
          <w:lang w:eastAsia="zh-CN"/>
        </w:rPr>
        <w:t>优选水泵/污泥泵</w:t>
      </w:r>
    </w:p>
    <w:p>
      <w:pPr>
        <w:bidi w:val="0"/>
        <w:rPr>
          <w:rFonts w:hint="eastAsia"/>
          <w:color w:val="auto"/>
          <w:highlight w:val="none"/>
          <w:lang w:eastAsia="zh-CN"/>
        </w:rPr>
      </w:pPr>
      <w:r>
        <w:rPr>
          <w:rFonts w:hint="eastAsia"/>
          <w:color w:val="auto"/>
          <w:highlight w:val="none"/>
          <w:lang w:eastAsia="zh-CN"/>
        </w:rPr>
        <w:t>在工矿企业中，水泵/污泥泵（风机）类属于通用机械，耗电量多（用电量约占总用电量的40%～45%）、并且节电潜力巨大（目前企业广泛应用的风机水泵/污泥泵类机械设备的额定效率大都低于70%）。</w:t>
      </w:r>
    </w:p>
    <w:p>
      <w:pPr>
        <w:bidi w:val="0"/>
        <w:rPr>
          <w:rFonts w:hint="eastAsia"/>
          <w:color w:val="auto"/>
          <w:highlight w:val="none"/>
          <w:lang w:eastAsia="zh-CN"/>
        </w:rPr>
      </w:pPr>
      <w:r>
        <w:rPr>
          <w:rFonts w:hint="eastAsia"/>
          <w:color w:val="auto"/>
          <w:highlight w:val="none"/>
          <w:lang w:eastAsia="zh-CN"/>
        </w:rPr>
        <w:t>根据水泵/污泥泵的压力——流量特性曲线，按照工艺要求的流量，实现变速变流控制是节电的有效方法。</w:t>
      </w:r>
    </w:p>
    <w:p>
      <w:pPr>
        <w:bidi w:val="0"/>
        <w:rPr>
          <w:rFonts w:hint="eastAsia"/>
          <w:color w:val="auto"/>
          <w:highlight w:val="none"/>
          <w:lang w:eastAsia="zh-CN"/>
        </w:rPr>
      </w:pPr>
      <w:r>
        <w:rPr>
          <w:rFonts w:hint="eastAsia"/>
          <w:color w:val="auto"/>
          <w:highlight w:val="none"/>
          <w:lang w:eastAsia="zh-CN"/>
        </w:rPr>
        <w:t>工作水泵/污泥泵的型号及台数应根据逐时、逐日和逐季水量变化、水压要求、水质情况、调节水池大小、机组的效率和功率因素等，综合考虑确定。当供水量变化大且水泵/污泥泵台数较少时，应考虑大小规格搭配，但型号不宜过多，电机的电压宜一致。</w:t>
      </w:r>
    </w:p>
    <w:p>
      <w:pPr>
        <w:bidi w:val="0"/>
        <w:rPr>
          <w:rFonts w:hint="eastAsia"/>
          <w:color w:val="auto"/>
          <w:highlight w:val="none"/>
          <w:lang w:eastAsia="zh-CN"/>
        </w:rPr>
      </w:pPr>
      <w:r>
        <w:rPr>
          <w:rFonts w:hint="eastAsia"/>
          <w:color w:val="auto"/>
          <w:highlight w:val="none"/>
          <w:lang w:eastAsia="zh-CN"/>
        </w:rPr>
        <w:t>水泵/污泥泵的选择应符合节能要求。当水量和水压变化较大时，经过技术经济比较，可采用机组调速、更换叶轮、调节叶片角度等措施。变频技术应用：当流量在90%～100%范围内变化时，可以通过风门、阀门、阀门开度等调节。超出该范围时可采用调速装置进行节能。由于每天的污泥量变化幅度大，采用变频调速技术可以使水泵/污泥泵始终运行在适宜的工况点，避免小流量时水泵/污泥泵频繁启动。</w:t>
      </w:r>
    </w:p>
    <w:p>
      <w:pPr>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）管道及输送系统</w:t>
      </w:r>
    </w:p>
    <w:p>
      <w:pPr>
        <w:keepNext w:val="0"/>
        <w:keepLines w:val="0"/>
        <w:widowControl/>
        <w:suppressLineNumbers w:val="0"/>
        <w:jc w:val="left"/>
        <w:rPr>
          <w:color w:val="auto"/>
          <w:highlight w:val="none"/>
        </w:rPr>
      </w:pPr>
      <w:r>
        <w:rPr>
          <w:rFonts w:hint="eastAsia"/>
          <w:color w:val="auto"/>
          <w:highlight w:val="none"/>
          <w:lang w:eastAsia="zh-CN"/>
        </w:rPr>
        <w:t>管道及输送系统在考虑投资成本的同时尽量采用大口径管道，提高系统调蓄削峰能力，减小输送规模；采用粗糙系数小的新型管材，减少管内水头损失，减小系统能耗，降低泵提</w:t>
      </w:r>
      <w:r>
        <w:rPr>
          <w:rFonts w:hint="eastAsia" w:ascii="宋体" w:hAnsi="宋体" w:eastAsia="宋体" w:cs="宋体"/>
          <w:color w:val="auto"/>
          <w:kern w:val="0"/>
          <w:sz w:val="24"/>
          <w:szCs w:val="24"/>
          <w:highlight w:val="none"/>
          <w:lang w:val="en-US" w:eastAsia="zh-CN" w:bidi="ar"/>
        </w:rPr>
        <w:t>升扬程。</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③高效、节能设备选用。</w:t>
      </w:r>
    </w:p>
    <w:p>
      <w:pPr>
        <w:pStyle w:val="5"/>
        <w:bidi w:val="0"/>
        <w:rPr>
          <w:rFonts w:hint="default"/>
          <w:color w:val="auto"/>
          <w:highlight w:val="none"/>
          <w:lang w:val="en-US" w:eastAsia="zh-CN"/>
        </w:rPr>
      </w:pPr>
      <w:r>
        <w:rPr>
          <w:rFonts w:hint="eastAsia"/>
          <w:color w:val="auto"/>
          <w:highlight w:val="none"/>
          <w:lang w:val="en-US" w:eastAsia="zh-CN"/>
        </w:rPr>
        <w:t>污染物的减少和循环利用</w:t>
      </w:r>
    </w:p>
    <w:p>
      <w:pPr>
        <w:bidi w:val="0"/>
        <w:rPr>
          <w:rFonts w:hint="eastAsia"/>
          <w:color w:val="auto"/>
          <w:highlight w:val="none"/>
          <w:lang w:eastAsia="zh-CN"/>
        </w:rPr>
      </w:pPr>
      <w:r>
        <w:rPr>
          <w:rFonts w:hint="eastAsia"/>
          <w:color w:val="auto"/>
          <w:highlight w:val="none"/>
          <w:lang w:eastAsia="zh-CN"/>
        </w:rPr>
        <w:t>本项目自身产生的生活污水、构筑物放空时的污水和滤布冲洗水等均回送到污水处理系统处理，不外排，减少了工程本身对环境的污染。</w:t>
      </w:r>
    </w:p>
    <w:p>
      <w:pPr>
        <w:bidi w:val="0"/>
        <w:rPr>
          <w:rFonts w:hint="eastAsia"/>
          <w:color w:val="auto"/>
          <w:highlight w:val="none"/>
          <w:lang w:eastAsia="zh-CN"/>
        </w:rPr>
      </w:pPr>
      <w:r>
        <w:rPr>
          <w:rFonts w:hint="eastAsia"/>
          <w:color w:val="auto"/>
          <w:highlight w:val="none"/>
          <w:lang w:eastAsia="zh-CN"/>
        </w:rPr>
        <w:t>本项目污泥脱水滤带的冲洗采用污水处理厂的出水，减少清洁水的使用量。</w:t>
      </w:r>
    </w:p>
    <w:p>
      <w:pPr>
        <w:bidi w:val="0"/>
        <w:rPr>
          <w:rFonts w:hint="eastAsia"/>
          <w:color w:val="auto"/>
          <w:highlight w:val="none"/>
          <w:lang w:eastAsia="zh-CN"/>
        </w:rPr>
      </w:pPr>
    </w:p>
    <w:p>
      <w:pPr>
        <w:bidi w:val="0"/>
        <w:rPr>
          <w:rFonts w:hint="eastAsia"/>
          <w:color w:val="auto"/>
          <w:highlight w:val="none"/>
          <w:lang w:eastAsia="zh-CN"/>
        </w:rPr>
        <w:sectPr>
          <w:footerReference r:id="rId16" w:type="default"/>
          <w:pgSz w:w="11906" w:h="16838"/>
          <w:pgMar w:top="1440" w:right="1304" w:bottom="1440" w:left="1304" w:header="851" w:footer="992" w:gutter="0"/>
          <w:pgBorders>
            <w:top w:val="none" w:sz="0" w:space="0"/>
            <w:left w:val="none" w:sz="0" w:space="0"/>
            <w:bottom w:val="none" w:sz="0" w:space="0"/>
            <w:right w:val="none" w:sz="0" w:space="0"/>
          </w:pgBorders>
          <w:pgNumType w:fmt="numberInDash" w:start="89"/>
          <w:cols w:space="0" w:num="1"/>
          <w:docGrid w:type="lines" w:linePitch="312" w:charSpace="0"/>
        </w:sectPr>
      </w:pPr>
    </w:p>
    <w:p>
      <w:pPr>
        <w:bidi w:val="0"/>
        <w:jc w:val="center"/>
        <w:rPr>
          <w:rFonts w:hint="eastAsia" w:ascii="黑体" w:hAnsi="黑体" w:eastAsia="黑体" w:cs="黑体"/>
          <w:color w:val="FF0000"/>
          <w:highlight w:val="none"/>
          <w:lang w:eastAsia="zh-CN"/>
        </w:rPr>
      </w:pPr>
      <w:r>
        <w:rPr>
          <w:rFonts w:hint="eastAsia" w:ascii="黑体" w:hAnsi="黑体" w:eastAsia="黑体" w:cs="黑体"/>
          <w:color w:val="FF0000"/>
          <w:highlight w:val="none"/>
          <w:lang w:eastAsia="zh-CN"/>
        </w:rPr>
        <w:t>表</w:t>
      </w:r>
      <w:r>
        <w:rPr>
          <w:rFonts w:hint="eastAsia" w:ascii="黑体" w:hAnsi="黑体" w:eastAsia="黑体" w:cs="黑体"/>
          <w:color w:val="FF0000"/>
          <w:highlight w:val="none"/>
          <w:lang w:val="en-US" w:eastAsia="zh-CN"/>
        </w:rPr>
        <w:t>3.7-1</w:t>
      </w:r>
      <w:r>
        <w:rPr>
          <w:rFonts w:hint="eastAsia" w:ascii="黑体" w:hAnsi="黑体" w:eastAsia="黑体" w:cs="黑体"/>
          <w:color w:val="FF0000"/>
          <w:highlight w:val="none"/>
          <w:lang w:eastAsia="zh-CN"/>
        </w:rPr>
        <w:t>与《污水处理及其再生利用行业清洁生产评价指标体系》中清洁生产要求的对比分析</w:t>
      </w:r>
    </w:p>
    <w:tbl>
      <w:tblPr>
        <w:tblStyle w:val="57"/>
        <w:tblW w:w="4816" w:type="pct"/>
        <w:tblInd w:w="0" w:type="dxa"/>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725"/>
        <w:gridCol w:w="447"/>
        <w:gridCol w:w="581"/>
        <w:gridCol w:w="1015"/>
        <w:gridCol w:w="692"/>
        <w:gridCol w:w="741"/>
        <w:gridCol w:w="6"/>
        <w:gridCol w:w="488"/>
        <w:gridCol w:w="1742"/>
        <w:gridCol w:w="1295"/>
        <w:gridCol w:w="412"/>
        <w:gridCol w:w="1707"/>
        <w:gridCol w:w="2105"/>
        <w:gridCol w:w="1491"/>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69"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3"/>
                <w:kern w:val="0"/>
                <w:sz w:val="21"/>
                <w:szCs w:val="21"/>
                <w:highlight w:val="none"/>
                <w:lang w:eastAsia="en-US"/>
              </w:rPr>
              <w:t>一级指标指标项</w:t>
            </w:r>
          </w:p>
        </w:tc>
        <w:tc>
          <w:tcPr>
            <w:tcW w:w="16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3"/>
                <w:kern w:val="0"/>
                <w:sz w:val="21"/>
                <w:szCs w:val="21"/>
                <w:highlight w:val="none"/>
                <w:lang w:eastAsia="en-US"/>
              </w:rPr>
              <w:t>一级指标</w:t>
            </w:r>
            <w:r>
              <w:rPr>
                <w:rFonts w:hint="default" w:ascii="Times New Roman" w:hAnsi="Times New Roman" w:eastAsia="宋体" w:cs="Times New Roman"/>
                <w:snapToGrid w:val="0"/>
                <w:color w:val="FF0000"/>
                <w:spacing w:val="-2"/>
                <w:kern w:val="0"/>
                <w:sz w:val="21"/>
                <w:szCs w:val="21"/>
                <w:highlight w:val="none"/>
                <w:lang w:eastAsia="en-US"/>
              </w:rPr>
              <w:t>权重值</w:t>
            </w:r>
          </w:p>
        </w:tc>
        <w:tc>
          <w:tcPr>
            <w:tcW w:w="21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zh-CN"/>
              </w:rPr>
            </w:pPr>
            <w:r>
              <w:rPr>
                <w:rFonts w:hint="default" w:ascii="Times New Roman" w:hAnsi="Times New Roman" w:eastAsia="宋体" w:cs="Times New Roman"/>
                <w:snapToGrid w:val="0"/>
                <w:color w:val="FF0000"/>
                <w:kern w:val="0"/>
                <w:sz w:val="21"/>
                <w:szCs w:val="21"/>
                <w:highlight w:val="none"/>
                <w:lang w:val="en-US" w:eastAsia="zh-CN"/>
              </w:rPr>
              <w:t>序号</w:t>
            </w:r>
          </w:p>
        </w:tc>
        <w:tc>
          <w:tcPr>
            <w:tcW w:w="37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2"/>
                <w:kern w:val="0"/>
                <w:sz w:val="21"/>
                <w:szCs w:val="21"/>
                <w:highlight w:val="none"/>
                <w:lang w:eastAsia="en-US"/>
              </w:rPr>
              <w:t>二级</w:t>
            </w:r>
            <w:r>
              <w:rPr>
                <w:rFonts w:hint="eastAsia" w:cs="Times New Roman"/>
                <w:snapToGrid w:val="0"/>
                <w:color w:val="FF0000"/>
                <w:spacing w:val="-2"/>
                <w:kern w:val="0"/>
                <w:sz w:val="21"/>
                <w:szCs w:val="21"/>
                <w:highlight w:val="none"/>
                <w:lang w:eastAsia="zh-CN"/>
              </w:rPr>
              <w:t>指标</w:t>
            </w:r>
            <w:r>
              <w:rPr>
                <w:rFonts w:hint="default" w:ascii="Times New Roman" w:hAnsi="Times New Roman" w:eastAsia="宋体" w:cs="Times New Roman"/>
                <w:snapToGrid w:val="0"/>
                <w:color w:val="FF0000"/>
                <w:spacing w:val="-2"/>
                <w:kern w:val="0"/>
                <w:sz w:val="21"/>
                <w:szCs w:val="21"/>
                <w:highlight w:val="none"/>
                <w:lang w:eastAsia="en-US"/>
              </w:rPr>
              <w:t>项</w:t>
            </w:r>
          </w:p>
        </w:tc>
        <w:tc>
          <w:tcPr>
            <w:tcW w:w="2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6"/>
                <w:kern w:val="0"/>
                <w:sz w:val="21"/>
                <w:szCs w:val="21"/>
                <w:highlight w:val="none"/>
                <w:lang w:eastAsia="en-US"/>
              </w:rPr>
              <w:t>单位</w:t>
            </w:r>
          </w:p>
        </w:tc>
        <w:tc>
          <w:tcPr>
            <w:tcW w:w="459" w:type="pct"/>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4"/>
                <w:kern w:val="0"/>
                <w:sz w:val="21"/>
                <w:szCs w:val="21"/>
                <w:highlight w:val="none"/>
                <w:lang w:eastAsia="en-US"/>
              </w:rPr>
              <w:t>二级指</w:t>
            </w:r>
            <w:r>
              <w:rPr>
                <w:rFonts w:hint="default" w:ascii="Times New Roman" w:hAnsi="Times New Roman" w:eastAsia="宋体" w:cs="Times New Roman"/>
                <w:snapToGrid w:val="0"/>
                <w:color w:val="FF0000"/>
                <w:spacing w:val="-2"/>
                <w:kern w:val="0"/>
                <w:sz w:val="21"/>
                <w:szCs w:val="21"/>
                <w:highlight w:val="none"/>
                <w:lang w:eastAsia="en-US"/>
              </w:rPr>
              <w:t>标分权</w:t>
            </w:r>
            <w:r>
              <w:rPr>
                <w:rFonts w:hint="default" w:ascii="Times New Roman" w:hAnsi="Times New Roman" w:eastAsia="宋体" w:cs="Times New Roman"/>
                <w:snapToGrid w:val="0"/>
                <w:color w:val="FF0000"/>
                <w:spacing w:val="-6"/>
                <w:kern w:val="0"/>
                <w:sz w:val="21"/>
                <w:szCs w:val="21"/>
                <w:highlight w:val="none"/>
                <w:lang w:eastAsia="en-US"/>
              </w:rPr>
              <w:t>重值</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14"/>
                <w:kern w:val="0"/>
                <w:sz w:val="21"/>
                <w:szCs w:val="21"/>
                <w:highlight w:val="none"/>
                <w:lang w:eastAsia="en-US"/>
              </w:rPr>
              <w:t>Ⅰ级基准值</w:t>
            </w:r>
          </w:p>
        </w:tc>
        <w:tc>
          <w:tcPr>
            <w:tcW w:w="4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8"/>
                <w:kern w:val="0"/>
                <w:sz w:val="21"/>
                <w:szCs w:val="21"/>
                <w:highlight w:val="none"/>
                <w:lang w:eastAsia="en-US"/>
              </w:rPr>
              <w:t>Ⅱ级基准值</w:t>
            </w:r>
          </w:p>
        </w:tc>
        <w:tc>
          <w:tcPr>
            <w:tcW w:w="787"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2"/>
                <w:kern w:val="0"/>
                <w:sz w:val="21"/>
                <w:szCs w:val="21"/>
                <w:highlight w:val="none"/>
                <w:lang w:eastAsia="en-US"/>
              </w:rPr>
              <w:t>Ⅲ级基准值</w:t>
            </w:r>
          </w:p>
        </w:tc>
        <w:tc>
          <w:tcPr>
            <w:tcW w:w="7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snapToGrid w:val="0"/>
                <w:color w:val="FF0000"/>
                <w:spacing w:val="-2"/>
                <w:kern w:val="0"/>
                <w:sz w:val="21"/>
                <w:szCs w:val="21"/>
                <w:highlight w:val="none"/>
                <w:lang w:val="en-US" w:eastAsia="zh-CN"/>
              </w:rPr>
            </w:pPr>
            <w:r>
              <w:rPr>
                <w:rFonts w:hint="default" w:ascii="Times New Roman" w:hAnsi="Times New Roman" w:eastAsia="宋体" w:cs="Times New Roman"/>
                <w:snapToGrid w:val="0"/>
                <w:color w:val="FF0000"/>
                <w:spacing w:val="-2"/>
                <w:kern w:val="0"/>
                <w:sz w:val="21"/>
                <w:szCs w:val="21"/>
                <w:highlight w:val="none"/>
                <w:lang w:val="en-US" w:eastAsia="zh-CN"/>
              </w:rPr>
              <w:t>本项目的要求</w:t>
            </w:r>
          </w:p>
        </w:tc>
        <w:tc>
          <w:tcPr>
            <w:tcW w:w="5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Times New Roman" w:hAnsi="Times New Roman" w:eastAsia="宋体" w:cs="Times New Roman"/>
                <w:snapToGrid w:val="0"/>
                <w:color w:val="FF0000"/>
                <w:spacing w:val="-2"/>
                <w:kern w:val="0"/>
                <w:sz w:val="21"/>
                <w:szCs w:val="21"/>
                <w:highlight w:val="none"/>
                <w:lang w:val="en-US" w:eastAsia="zh-CN"/>
              </w:rPr>
            </w:pPr>
            <w:r>
              <w:rPr>
                <w:rFonts w:hint="default" w:ascii="Times New Roman" w:hAnsi="Times New Roman" w:eastAsia="宋体" w:cs="Times New Roman"/>
                <w:snapToGrid w:val="0"/>
                <w:color w:val="FF0000"/>
                <w:spacing w:val="-8"/>
                <w:kern w:val="0"/>
                <w:sz w:val="21"/>
                <w:szCs w:val="21"/>
                <w:highlight w:val="none"/>
                <w:lang w:eastAsia="en-US"/>
              </w:rPr>
              <w:t>基准值</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69"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3"/>
                <w:kern w:val="0"/>
                <w:sz w:val="21"/>
                <w:szCs w:val="21"/>
                <w:highlight w:val="none"/>
                <w:lang w:eastAsia="en-US"/>
              </w:rPr>
              <w:t>生产工艺</w:t>
            </w:r>
            <w:r>
              <w:rPr>
                <w:rFonts w:hint="default" w:ascii="Times New Roman" w:hAnsi="Times New Roman" w:eastAsia="宋体" w:cs="Times New Roman"/>
                <w:snapToGrid w:val="0"/>
                <w:color w:val="FF0000"/>
                <w:spacing w:val="-2"/>
                <w:kern w:val="0"/>
                <w:sz w:val="21"/>
                <w:szCs w:val="21"/>
                <w:highlight w:val="none"/>
                <w:lang w:eastAsia="en-US"/>
              </w:rPr>
              <w:t>及装备指</w:t>
            </w:r>
            <w:r>
              <w:rPr>
                <w:rFonts w:hint="default" w:ascii="Times New Roman" w:hAnsi="Times New Roman" w:eastAsia="宋体" w:cs="Times New Roman"/>
                <w:snapToGrid w:val="0"/>
                <w:color w:val="FF0000"/>
                <w:kern w:val="0"/>
                <w:sz w:val="21"/>
                <w:szCs w:val="21"/>
                <w:highlight w:val="none"/>
                <w:lang w:eastAsia="en-US"/>
              </w:rPr>
              <w:t>标</w:t>
            </w:r>
          </w:p>
        </w:tc>
        <w:tc>
          <w:tcPr>
            <w:tcW w:w="166"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0.29</w:t>
            </w:r>
          </w:p>
        </w:tc>
        <w:tc>
          <w:tcPr>
            <w:tcW w:w="21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1</w:t>
            </w:r>
          </w:p>
        </w:tc>
        <w:tc>
          <w:tcPr>
            <w:tcW w:w="634"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1"/>
                <w:kern w:val="0"/>
                <w:sz w:val="21"/>
                <w:szCs w:val="21"/>
                <w:highlight w:val="none"/>
                <w:lang w:eastAsia="en-US"/>
              </w:rPr>
              <w:t>工艺先进性及设计规范性</w:t>
            </w:r>
          </w:p>
        </w:tc>
        <w:tc>
          <w:tcPr>
            <w:tcW w:w="459" w:type="pct"/>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0.21</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1"/>
                <w:kern w:val="0"/>
                <w:sz w:val="21"/>
                <w:szCs w:val="21"/>
                <w:highlight w:val="none"/>
                <w:lang w:eastAsia="en-US"/>
              </w:rPr>
              <w:t>使用二级处理+深度处理工艺</w:t>
            </w:r>
          </w:p>
        </w:tc>
        <w:tc>
          <w:tcPr>
            <w:tcW w:w="4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4"/>
                <w:kern w:val="0"/>
                <w:sz w:val="21"/>
                <w:szCs w:val="21"/>
                <w:highlight w:val="none"/>
                <w:lang w:eastAsia="en-US"/>
              </w:rPr>
            </w:pPr>
            <w:r>
              <w:rPr>
                <w:rFonts w:hint="default" w:ascii="Times New Roman" w:hAnsi="Times New Roman" w:eastAsia="宋体" w:cs="Times New Roman"/>
                <w:snapToGrid w:val="0"/>
                <w:color w:val="FF0000"/>
                <w:spacing w:val="4"/>
                <w:kern w:val="0"/>
                <w:sz w:val="21"/>
                <w:szCs w:val="21"/>
                <w:highlight w:val="none"/>
                <w:lang w:eastAsia="en-US"/>
              </w:rPr>
              <w:t>使用二级处理工艺；工艺设</w:t>
            </w:r>
            <w:r>
              <w:rPr>
                <w:rFonts w:hint="default" w:ascii="Times New Roman" w:hAnsi="Times New Roman" w:eastAsia="宋体" w:cs="Times New Roman"/>
                <w:snapToGrid w:val="0"/>
                <w:color w:val="FF0000"/>
                <w:spacing w:val="-1"/>
                <w:kern w:val="0"/>
                <w:sz w:val="21"/>
                <w:szCs w:val="21"/>
                <w:highlight w:val="none"/>
                <w:lang w:eastAsia="en-US"/>
              </w:rPr>
              <w:t>计符合国家相关规范要求</w:t>
            </w:r>
          </w:p>
        </w:tc>
        <w:tc>
          <w:tcPr>
            <w:tcW w:w="787"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4"/>
                <w:kern w:val="0"/>
                <w:sz w:val="21"/>
                <w:szCs w:val="21"/>
                <w:highlight w:val="none"/>
                <w:lang w:eastAsia="en-US"/>
              </w:rPr>
            </w:pPr>
            <w:r>
              <w:rPr>
                <w:rFonts w:hint="default" w:ascii="Times New Roman" w:hAnsi="Times New Roman" w:eastAsia="宋体" w:cs="Times New Roman"/>
                <w:snapToGrid w:val="0"/>
                <w:color w:val="FF0000"/>
                <w:spacing w:val="4"/>
                <w:kern w:val="0"/>
                <w:sz w:val="21"/>
                <w:szCs w:val="21"/>
                <w:highlight w:val="none"/>
                <w:lang w:eastAsia="en-US"/>
              </w:rPr>
              <w:t>使用二级处理工艺；工艺设</w:t>
            </w:r>
            <w:r>
              <w:rPr>
                <w:rFonts w:hint="default" w:ascii="Times New Roman" w:hAnsi="Times New Roman" w:eastAsia="宋体" w:cs="Times New Roman"/>
                <w:snapToGrid w:val="0"/>
                <w:color w:val="FF0000"/>
                <w:spacing w:val="-1"/>
                <w:kern w:val="0"/>
                <w:sz w:val="21"/>
                <w:szCs w:val="21"/>
                <w:highlight w:val="none"/>
                <w:lang w:eastAsia="en-US"/>
              </w:rPr>
              <w:t>计符合国家相关规范要求</w:t>
            </w:r>
          </w:p>
        </w:tc>
        <w:tc>
          <w:tcPr>
            <w:tcW w:w="7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4"/>
                <w:kern w:val="0"/>
                <w:sz w:val="21"/>
                <w:szCs w:val="21"/>
                <w:highlight w:val="none"/>
                <w:lang w:eastAsia="en-US"/>
              </w:rPr>
            </w:pPr>
            <w:r>
              <w:rPr>
                <w:rFonts w:hint="default" w:ascii="Times New Roman" w:hAnsi="Times New Roman" w:eastAsia="宋体" w:cs="Times New Roman"/>
                <w:snapToGrid w:val="0"/>
                <w:color w:val="FF0000"/>
                <w:spacing w:val="-1"/>
                <w:kern w:val="0"/>
                <w:sz w:val="21"/>
                <w:szCs w:val="21"/>
                <w:highlight w:val="none"/>
                <w:lang w:val="en-US" w:eastAsia="zh-CN"/>
              </w:rPr>
              <w:t>本项目采用“预处理+调节池+AAO生物池＋高效沉淀池+反硝化深床滤池+接触消毒池”的组合工艺</w:t>
            </w:r>
          </w:p>
        </w:tc>
        <w:tc>
          <w:tcPr>
            <w:tcW w:w="5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1"/>
                <w:kern w:val="0"/>
                <w:sz w:val="21"/>
                <w:szCs w:val="21"/>
                <w:highlight w:val="none"/>
                <w:lang w:val="en-US" w:eastAsia="zh-CN"/>
              </w:rPr>
            </w:pPr>
            <w:r>
              <w:rPr>
                <w:rFonts w:hint="default" w:ascii="Times New Roman" w:hAnsi="Times New Roman" w:eastAsia="宋体" w:cs="Times New Roman"/>
                <w:snapToGrid w:val="0"/>
                <w:color w:val="FF0000"/>
                <w:spacing w:val="-14"/>
                <w:kern w:val="0"/>
                <w:sz w:val="21"/>
                <w:szCs w:val="21"/>
                <w:highlight w:val="none"/>
                <w:lang w:eastAsia="en-US"/>
              </w:rPr>
              <w:t>Ⅰ级</w:t>
            </w:r>
            <w:r>
              <w:rPr>
                <w:rFonts w:hint="default" w:ascii="Times New Roman" w:hAnsi="Times New Roman" w:eastAsia="宋体" w:cs="Times New Roman"/>
                <w:snapToGrid w:val="0"/>
                <w:color w:val="FF0000"/>
                <w:spacing w:val="-8"/>
                <w:kern w:val="0"/>
                <w:sz w:val="21"/>
                <w:szCs w:val="21"/>
                <w:highlight w:val="none"/>
                <w:lang w:val="en-US" w:eastAsia="en-US" w:bidi="ar-SA"/>
              </w:rPr>
              <w:t>基准值</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6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16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21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2</w:t>
            </w:r>
          </w:p>
        </w:tc>
        <w:tc>
          <w:tcPr>
            <w:tcW w:w="634"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7"/>
                <w:kern w:val="0"/>
                <w:sz w:val="21"/>
                <w:szCs w:val="21"/>
                <w:highlight w:val="none"/>
                <w:lang w:eastAsia="en-US"/>
              </w:rPr>
              <w:t>自动控制系统</w:t>
            </w:r>
          </w:p>
        </w:tc>
        <w:tc>
          <w:tcPr>
            <w:tcW w:w="459" w:type="pct"/>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0.16</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2"/>
                <w:kern w:val="0"/>
                <w:sz w:val="21"/>
                <w:szCs w:val="21"/>
                <w:highlight w:val="none"/>
                <w:lang w:eastAsia="en-US"/>
              </w:rPr>
              <w:t>配套精确控制系统，</w:t>
            </w:r>
            <w:r>
              <w:rPr>
                <w:rFonts w:hint="default" w:ascii="Times New Roman" w:hAnsi="Times New Roman" w:eastAsia="宋体" w:cs="Times New Roman"/>
                <w:snapToGrid w:val="0"/>
                <w:color w:val="FF0000"/>
                <w:spacing w:val="21"/>
                <w:kern w:val="0"/>
                <w:sz w:val="21"/>
                <w:szCs w:val="21"/>
                <w:highlight w:val="none"/>
                <w:lang w:eastAsia="en-US"/>
              </w:rPr>
              <w:t>如精确曝气系统或</w:t>
            </w:r>
            <w:r>
              <w:rPr>
                <w:rFonts w:hint="default" w:ascii="Times New Roman" w:hAnsi="Times New Roman" w:eastAsia="宋体" w:cs="Times New Roman"/>
                <w:snapToGrid w:val="0"/>
                <w:color w:val="FF0000"/>
                <w:spacing w:val="-2"/>
                <w:kern w:val="0"/>
                <w:sz w:val="21"/>
                <w:szCs w:val="21"/>
                <w:highlight w:val="none"/>
                <w:lang w:eastAsia="en-US"/>
              </w:rPr>
              <w:t>反馈控制系统等</w:t>
            </w:r>
          </w:p>
        </w:tc>
        <w:tc>
          <w:tcPr>
            <w:tcW w:w="4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1"/>
                <w:kern w:val="0"/>
                <w:sz w:val="21"/>
                <w:szCs w:val="21"/>
                <w:highlight w:val="none"/>
                <w:lang w:val="en-US" w:eastAsia="en-US" w:bidi="ar-SA"/>
              </w:rPr>
              <w:t>建有废水处理设施运行中控系统，在满足工艺控</w:t>
            </w:r>
            <w:r>
              <w:rPr>
                <w:rFonts w:hint="default" w:ascii="Times New Roman" w:hAnsi="Times New Roman" w:eastAsia="宋体" w:cs="Times New Roman"/>
                <w:snapToGrid w:val="0"/>
                <w:color w:val="FF0000"/>
                <w:spacing w:val="18"/>
                <w:kern w:val="0"/>
                <w:sz w:val="21"/>
                <w:szCs w:val="21"/>
                <w:highlight w:val="none"/>
                <w:lang w:val="en-US" w:eastAsia="en-US" w:bidi="ar-SA"/>
              </w:rPr>
              <w:t>制条件的基础上合理选择配置集散控制系统</w:t>
            </w:r>
            <w:r>
              <w:rPr>
                <w:rFonts w:hint="default" w:ascii="Times New Roman" w:hAnsi="Times New Roman" w:eastAsia="宋体" w:cs="Times New Roman"/>
                <w:snapToGrid w:val="0"/>
                <w:color w:val="FF0000"/>
                <w:spacing w:val="-2"/>
                <w:kern w:val="0"/>
                <w:sz w:val="21"/>
                <w:szCs w:val="21"/>
                <w:highlight w:val="none"/>
                <w:lang w:val="en-US" w:eastAsia="en-US" w:bidi="ar-SA"/>
              </w:rPr>
              <w:t>（DCS）或可编程序控制（PLC）自动控制系统</w:t>
            </w:r>
          </w:p>
        </w:tc>
        <w:tc>
          <w:tcPr>
            <w:tcW w:w="787"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1"/>
                <w:kern w:val="0"/>
                <w:sz w:val="21"/>
                <w:szCs w:val="21"/>
                <w:highlight w:val="none"/>
                <w:lang w:val="en-US" w:eastAsia="en-US" w:bidi="ar-SA"/>
              </w:rPr>
            </w:pPr>
            <w:r>
              <w:rPr>
                <w:rFonts w:hint="default" w:ascii="Times New Roman" w:hAnsi="Times New Roman" w:eastAsia="宋体" w:cs="Times New Roman"/>
                <w:snapToGrid w:val="0"/>
                <w:color w:val="FF0000"/>
                <w:spacing w:val="-1"/>
                <w:kern w:val="0"/>
                <w:sz w:val="21"/>
                <w:szCs w:val="21"/>
                <w:highlight w:val="none"/>
                <w:lang w:val="en-US" w:eastAsia="en-US" w:bidi="ar-SA"/>
              </w:rPr>
              <w:t>建有废水处理设施运行中控系统，在满足工艺控</w:t>
            </w:r>
            <w:r>
              <w:rPr>
                <w:rFonts w:hint="default" w:ascii="Times New Roman" w:hAnsi="Times New Roman" w:eastAsia="宋体" w:cs="Times New Roman"/>
                <w:snapToGrid w:val="0"/>
                <w:color w:val="FF0000"/>
                <w:spacing w:val="18"/>
                <w:kern w:val="0"/>
                <w:sz w:val="21"/>
                <w:szCs w:val="21"/>
                <w:highlight w:val="none"/>
                <w:lang w:val="en-US" w:eastAsia="en-US" w:bidi="ar-SA"/>
              </w:rPr>
              <w:t>制条件的基础上合理选择配置集散控制系统</w:t>
            </w:r>
            <w:r>
              <w:rPr>
                <w:rFonts w:hint="default" w:ascii="Times New Roman" w:hAnsi="Times New Roman" w:eastAsia="宋体" w:cs="Times New Roman"/>
                <w:snapToGrid w:val="0"/>
                <w:color w:val="FF0000"/>
                <w:spacing w:val="-2"/>
                <w:kern w:val="0"/>
                <w:sz w:val="21"/>
                <w:szCs w:val="21"/>
                <w:highlight w:val="none"/>
                <w:lang w:val="en-US" w:eastAsia="en-US" w:bidi="ar-SA"/>
              </w:rPr>
              <w:t>（DCS）或可编程序控制（PLC）自动控制系统</w:t>
            </w:r>
          </w:p>
        </w:tc>
        <w:tc>
          <w:tcPr>
            <w:tcW w:w="7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1"/>
                <w:kern w:val="0"/>
                <w:sz w:val="21"/>
                <w:szCs w:val="21"/>
                <w:highlight w:val="none"/>
                <w:lang w:val="en-US" w:eastAsia="en-US" w:bidi="ar-SA"/>
              </w:rPr>
            </w:pPr>
            <w:r>
              <w:rPr>
                <w:rFonts w:hint="default" w:ascii="Times New Roman" w:hAnsi="Times New Roman" w:eastAsia="宋体" w:cs="Times New Roman"/>
                <w:snapToGrid w:val="0"/>
                <w:color w:val="FF0000"/>
                <w:spacing w:val="-1"/>
                <w:kern w:val="0"/>
                <w:sz w:val="21"/>
                <w:szCs w:val="21"/>
                <w:highlight w:val="none"/>
                <w:lang w:val="en-US" w:eastAsia="zh-CN" w:bidi="ar-SA"/>
              </w:rPr>
              <w:t>本项目</w:t>
            </w:r>
            <w:r>
              <w:rPr>
                <w:rFonts w:hint="default" w:ascii="Times New Roman" w:hAnsi="Times New Roman" w:eastAsia="宋体" w:cs="Times New Roman"/>
                <w:snapToGrid w:val="0"/>
                <w:color w:val="FF0000"/>
                <w:spacing w:val="-1"/>
                <w:kern w:val="0"/>
                <w:sz w:val="21"/>
                <w:szCs w:val="21"/>
                <w:highlight w:val="none"/>
                <w:lang w:val="en-US" w:eastAsia="en-US" w:bidi="ar-SA"/>
              </w:rPr>
              <w:t>建有废水处理设施运行中控系统，在满足工艺控</w:t>
            </w:r>
            <w:r>
              <w:rPr>
                <w:rFonts w:hint="default" w:ascii="Times New Roman" w:hAnsi="Times New Roman" w:eastAsia="宋体" w:cs="Times New Roman"/>
                <w:snapToGrid w:val="0"/>
                <w:color w:val="FF0000"/>
                <w:spacing w:val="18"/>
                <w:kern w:val="0"/>
                <w:sz w:val="21"/>
                <w:szCs w:val="21"/>
                <w:highlight w:val="none"/>
                <w:lang w:val="en-US" w:eastAsia="en-US" w:bidi="ar-SA"/>
              </w:rPr>
              <w:t>制条件的基础上合理选择配置集散控制系统</w:t>
            </w:r>
            <w:r>
              <w:rPr>
                <w:rFonts w:hint="default" w:ascii="Times New Roman" w:hAnsi="Times New Roman" w:eastAsia="宋体" w:cs="Times New Roman"/>
                <w:snapToGrid w:val="0"/>
                <w:color w:val="FF0000"/>
                <w:spacing w:val="-2"/>
                <w:kern w:val="0"/>
                <w:sz w:val="21"/>
                <w:szCs w:val="21"/>
                <w:highlight w:val="none"/>
                <w:lang w:val="en-US" w:eastAsia="en-US" w:bidi="ar-SA"/>
              </w:rPr>
              <w:t>（DCS）或可编程序控制（PLC）自动控制系统</w:t>
            </w:r>
          </w:p>
        </w:tc>
        <w:tc>
          <w:tcPr>
            <w:tcW w:w="5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388" w:firstLineChars="200"/>
              <w:jc w:val="center"/>
              <w:textAlignment w:val="baseline"/>
              <w:rPr>
                <w:rFonts w:hint="default" w:ascii="Times New Roman" w:hAnsi="Times New Roman" w:eastAsia="宋体" w:cs="Times New Roman"/>
                <w:snapToGrid w:val="0"/>
                <w:color w:val="FF0000"/>
                <w:spacing w:val="-1"/>
                <w:kern w:val="0"/>
                <w:sz w:val="21"/>
                <w:szCs w:val="21"/>
                <w:highlight w:val="none"/>
                <w:lang w:val="en-US" w:eastAsia="zh-CN" w:bidi="ar-SA"/>
              </w:rPr>
            </w:pPr>
            <w:r>
              <w:rPr>
                <w:rFonts w:hint="default" w:ascii="Times New Roman" w:hAnsi="Times New Roman" w:eastAsia="宋体" w:cs="Times New Roman"/>
                <w:snapToGrid w:val="0"/>
                <w:color w:val="FF0000"/>
                <w:spacing w:val="-8"/>
                <w:kern w:val="0"/>
                <w:sz w:val="21"/>
                <w:szCs w:val="21"/>
                <w:highlight w:val="none"/>
                <w:lang w:val="en-US" w:eastAsia="en-US" w:bidi="ar-SA"/>
              </w:rPr>
              <w:t>Ⅱ级基准值</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6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16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21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3</w:t>
            </w:r>
          </w:p>
        </w:tc>
        <w:tc>
          <w:tcPr>
            <w:tcW w:w="634"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3"/>
                <w:kern w:val="0"/>
                <w:sz w:val="21"/>
                <w:szCs w:val="21"/>
                <w:highlight w:val="none"/>
                <w:lang w:eastAsia="en-US"/>
              </w:rPr>
              <w:t>投药系统</w:t>
            </w:r>
          </w:p>
        </w:tc>
        <w:tc>
          <w:tcPr>
            <w:tcW w:w="459" w:type="pct"/>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0.07</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21"/>
                <w:kern w:val="0"/>
                <w:sz w:val="21"/>
                <w:szCs w:val="21"/>
                <w:highlight w:val="none"/>
                <w:lang w:eastAsia="en-US"/>
              </w:rPr>
              <w:t>配套反馈系统的全</w:t>
            </w:r>
            <w:r>
              <w:rPr>
                <w:rFonts w:hint="default" w:ascii="Times New Roman" w:hAnsi="Times New Roman" w:eastAsia="宋体" w:cs="Times New Roman"/>
                <w:snapToGrid w:val="0"/>
                <w:color w:val="FF0000"/>
                <w:spacing w:val="-7"/>
                <w:kern w:val="0"/>
                <w:sz w:val="21"/>
                <w:szCs w:val="21"/>
                <w:highlight w:val="none"/>
                <w:lang w:eastAsia="en-US"/>
              </w:rPr>
              <w:t>自动加药装置</w:t>
            </w:r>
          </w:p>
        </w:tc>
        <w:tc>
          <w:tcPr>
            <w:tcW w:w="4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1"/>
                <w:kern w:val="0"/>
                <w:sz w:val="21"/>
                <w:szCs w:val="21"/>
                <w:highlight w:val="none"/>
                <w:lang w:eastAsia="en-US"/>
              </w:rPr>
              <w:t>全部药剂添加使用计量泵加药</w:t>
            </w:r>
          </w:p>
        </w:tc>
        <w:tc>
          <w:tcPr>
            <w:tcW w:w="787"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1"/>
                <w:kern w:val="0"/>
                <w:sz w:val="21"/>
                <w:szCs w:val="21"/>
                <w:highlight w:val="none"/>
                <w:lang w:eastAsia="en-US"/>
              </w:rPr>
            </w:pPr>
            <w:r>
              <w:rPr>
                <w:rFonts w:hint="default" w:ascii="Times New Roman" w:hAnsi="Times New Roman" w:eastAsia="宋体" w:cs="Times New Roman"/>
                <w:snapToGrid w:val="0"/>
                <w:color w:val="FF0000"/>
                <w:spacing w:val="-1"/>
                <w:kern w:val="0"/>
                <w:sz w:val="21"/>
                <w:szCs w:val="21"/>
                <w:highlight w:val="none"/>
                <w:lang w:eastAsia="en-US"/>
              </w:rPr>
              <w:t>全部药剂添加使用计量泵加药</w:t>
            </w:r>
          </w:p>
        </w:tc>
        <w:tc>
          <w:tcPr>
            <w:tcW w:w="7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1"/>
                <w:kern w:val="0"/>
                <w:sz w:val="21"/>
                <w:szCs w:val="21"/>
                <w:highlight w:val="none"/>
                <w:lang w:eastAsia="en-US"/>
              </w:rPr>
            </w:pPr>
            <w:r>
              <w:rPr>
                <w:rFonts w:hint="default" w:ascii="Times New Roman" w:hAnsi="Times New Roman" w:eastAsia="宋体" w:cs="Times New Roman"/>
                <w:snapToGrid w:val="0"/>
                <w:color w:val="FF0000"/>
                <w:spacing w:val="-1"/>
                <w:kern w:val="0"/>
                <w:sz w:val="21"/>
                <w:szCs w:val="21"/>
                <w:highlight w:val="none"/>
                <w:lang w:eastAsia="en-US"/>
              </w:rPr>
              <w:t>全部药剂添加使用计量泵加药</w:t>
            </w:r>
          </w:p>
        </w:tc>
        <w:tc>
          <w:tcPr>
            <w:tcW w:w="5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388" w:firstLineChars="200"/>
              <w:jc w:val="center"/>
              <w:textAlignment w:val="baseline"/>
              <w:rPr>
                <w:rFonts w:hint="default" w:ascii="Times New Roman" w:hAnsi="Times New Roman" w:eastAsia="宋体" w:cs="Times New Roman"/>
                <w:snapToGrid w:val="0"/>
                <w:color w:val="FF0000"/>
                <w:spacing w:val="-1"/>
                <w:kern w:val="0"/>
                <w:sz w:val="21"/>
                <w:szCs w:val="21"/>
                <w:highlight w:val="none"/>
                <w:lang w:eastAsia="en-US"/>
              </w:rPr>
            </w:pPr>
            <w:r>
              <w:rPr>
                <w:rFonts w:hint="default" w:ascii="Times New Roman" w:hAnsi="Times New Roman" w:eastAsia="宋体" w:cs="Times New Roman"/>
                <w:snapToGrid w:val="0"/>
                <w:color w:val="FF0000"/>
                <w:spacing w:val="-8"/>
                <w:kern w:val="0"/>
                <w:sz w:val="21"/>
                <w:szCs w:val="21"/>
                <w:highlight w:val="none"/>
                <w:lang w:val="en-US" w:eastAsia="en-US" w:bidi="ar-SA"/>
              </w:rPr>
              <w:t>Ⅱ级基准值</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6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16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21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4</w:t>
            </w:r>
          </w:p>
        </w:tc>
        <w:tc>
          <w:tcPr>
            <w:tcW w:w="634"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2"/>
                <w:kern w:val="0"/>
                <w:sz w:val="21"/>
                <w:szCs w:val="21"/>
                <w:highlight w:val="none"/>
                <w:lang w:eastAsia="en-US"/>
              </w:rPr>
              <w:t>污泥处理工艺</w:t>
            </w:r>
          </w:p>
        </w:tc>
        <w:tc>
          <w:tcPr>
            <w:tcW w:w="459" w:type="pct"/>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0.16</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2"/>
                <w:kern w:val="0"/>
                <w:sz w:val="21"/>
                <w:szCs w:val="21"/>
                <w:highlight w:val="none"/>
                <w:lang w:eastAsia="en-US"/>
              </w:rPr>
              <w:t>配套污泥消化、干化以及综合利用（土地</w:t>
            </w:r>
            <w:r>
              <w:rPr>
                <w:rFonts w:hint="default" w:ascii="Times New Roman" w:hAnsi="Times New Roman" w:eastAsia="宋体" w:cs="Times New Roman"/>
                <w:snapToGrid w:val="0"/>
                <w:color w:val="FF0000"/>
                <w:spacing w:val="-14"/>
                <w:kern w:val="0"/>
                <w:sz w:val="21"/>
                <w:szCs w:val="21"/>
                <w:highlight w:val="none"/>
                <w:lang w:eastAsia="en-US"/>
              </w:rPr>
              <w:t>利用、建筑材料等）、</w:t>
            </w:r>
            <w:r>
              <w:rPr>
                <w:rFonts w:hint="default" w:ascii="Times New Roman" w:hAnsi="Times New Roman" w:eastAsia="宋体" w:cs="Times New Roman"/>
                <w:snapToGrid w:val="0"/>
                <w:color w:val="FF0000"/>
                <w:spacing w:val="21"/>
                <w:kern w:val="0"/>
                <w:sz w:val="21"/>
                <w:szCs w:val="21"/>
                <w:highlight w:val="none"/>
                <w:lang w:eastAsia="en-US"/>
              </w:rPr>
              <w:t>焚烧等其他资源化</w:t>
            </w:r>
            <w:r>
              <w:rPr>
                <w:rFonts w:hint="default" w:ascii="Times New Roman" w:hAnsi="Times New Roman" w:eastAsia="宋体" w:cs="Times New Roman"/>
                <w:snapToGrid w:val="0"/>
                <w:color w:val="FF0000"/>
                <w:spacing w:val="-4"/>
                <w:kern w:val="0"/>
                <w:sz w:val="21"/>
                <w:szCs w:val="21"/>
                <w:highlight w:val="none"/>
                <w:lang w:eastAsia="en-US"/>
              </w:rPr>
              <w:t>工艺</w:t>
            </w:r>
          </w:p>
        </w:tc>
        <w:tc>
          <w:tcPr>
            <w:tcW w:w="4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1"/>
                <w:kern w:val="0"/>
                <w:sz w:val="21"/>
                <w:szCs w:val="21"/>
                <w:highlight w:val="none"/>
                <w:lang w:eastAsia="en-US"/>
              </w:rPr>
              <w:t>配套污泥浓缩或脱水工艺</w:t>
            </w:r>
          </w:p>
        </w:tc>
        <w:tc>
          <w:tcPr>
            <w:tcW w:w="787"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1"/>
                <w:kern w:val="0"/>
                <w:sz w:val="21"/>
                <w:szCs w:val="21"/>
                <w:highlight w:val="none"/>
                <w:lang w:eastAsia="en-US"/>
              </w:rPr>
            </w:pPr>
            <w:r>
              <w:rPr>
                <w:rFonts w:hint="default" w:ascii="Times New Roman" w:hAnsi="Times New Roman" w:eastAsia="宋体" w:cs="Times New Roman"/>
                <w:snapToGrid w:val="0"/>
                <w:color w:val="FF0000"/>
                <w:spacing w:val="-1"/>
                <w:kern w:val="0"/>
                <w:sz w:val="21"/>
                <w:szCs w:val="21"/>
                <w:highlight w:val="none"/>
                <w:lang w:eastAsia="en-US"/>
              </w:rPr>
              <w:t>配套污泥浓缩或脱水工艺</w:t>
            </w:r>
          </w:p>
        </w:tc>
        <w:tc>
          <w:tcPr>
            <w:tcW w:w="7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1"/>
                <w:kern w:val="0"/>
                <w:sz w:val="21"/>
                <w:szCs w:val="21"/>
                <w:highlight w:val="none"/>
                <w:lang w:eastAsia="en-US"/>
              </w:rPr>
            </w:pPr>
            <w:r>
              <w:rPr>
                <w:rFonts w:hint="eastAsia" w:cs="Times New Roman"/>
                <w:snapToGrid w:val="0"/>
                <w:color w:val="FF0000"/>
                <w:spacing w:val="-1"/>
                <w:kern w:val="0"/>
                <w:sz w:val="21"/>
                <w:szCs w:val="21"/>
                <w:highlight w:val="none"/>
                <w:lang w:val="en-US" w:eastAsia="zh-CN"/>
              </w:rPr>
              <w:t>本项目</w:t>
            </w:r>
            <w:r>
              <w:rPr>
                <w:rFonts w:hint="default" w:ascii="Times New Roman" w:hAnsi="Times New Roman" w:eastAsia="宋体" w:cs="Times New Roman"/>
                <w:snapToGrid w:val="0"/>
                <w:color w:val="FF0000"/>
                <w:spacing w:val="-1"/>
                <w:kern w:val="0"/>
                <w:sz w:val="21"/>
                <w:szCs w:val="21"/>
                <w:highlight w:val="none"/>
                <w:lang w:eastAsia="en-US"/>
              </w:rPr>
              <w:t>配套污泥浓缩脱水工艺</w:t>
            </w:r>
          </w:p>
        </w:tc>
        <w:tc>
          <w:tcPr>
            <w:tcW w:w="5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388" w:firstLineChars="200"/>
              <w:jc w:val="center"/>
              <w:textAlignment w:val="baseline"/>
              <w:rPr>
                <w:rFonts w:hint="default" w:ascii="Times New Roman" w:hAnsi="Times New Roman" w:eastAsia="宋体" w:cs="Times New Roman"/>
                <w:snapToGrid w:val="0"/>
                <w:color w:val="FF0000"/>
                <w:spacing w:val="-1"/>
                <w:kern w:val="0"/>
                <w:sz w:val="21"/>
                <w:szCs w:val="21"/>
                <w:highlight w:val="none"/>
                <w:lang w:eastAsia="en-US"/>
              </w:rPr>
            </w:pPr>
            <w:r>
              <w:rPr>
                <w:rFonts w:hint="default" w:ascii="Times New Roman" w:hAnsi="Times New Roman" w:eastAsia="宋体" w:cs="Times New Roman"/>
                <w:snapToGrid w:val="0"/>
                <w:color w:val="FF0000"/>
                <w:spacing w:val="-8"/>
                <w:kern w:val="0"/>
                <w:sz w:val="21"/>
                <w:szCs w:val="21"/>
                <w:highlight w:val="none"/>
                <w:lang w:val="en-US" w:eastAsia="en-US" w:bidi="ar-SA"/>
              </w:rPr>
              <w:t>Ⅱ级基准值</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6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16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21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5</w:t>
            </w:r>
          </w:p>
        </w:tc>
        <w:tc>
          <w:tcPr>
            <w:tcW w:w="634"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3"/>
                <w:kern w:val="0"/>
                <w:sz w:val="21"/>
                <w:szCs w:val="21"/>
                <w:highlight w:val="none"/>
                <w:lang w:eastAsia="en-US"/>
              </w:rPr>
              <w:t>消毒工艺</w:t>
            </w:r>
          </w:p>
        </w:tc>
        <w:tc>
          <w:tcPr>
            <w:tcW w:w="459" w:type="pct"/>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0.10</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4"/>
                <w:kern w:val="0"/>
                <w:sz w:val="21"/>
                <w:szCs w:val="21"/>
                <w:highlight w:val="none"/>
                <w:lang w:eastAsia="en-US"/>
              </w:rPr>
              <w:t>配套非加药的消毒工艺，如紫外线消毒或</w:t>
            </w:r>
            <w:r>
              <w:rPr>
                <w:rFonts w:hint="default" w:ascii="Times New Roman" w:hAnsi="Times New Roman" w:eastAsia="宋体" w:cs="Times New Roman"/>
                <w:snapToGrid w:val="0"/>
                <w:color w:val="FF0000"/>
                <w:spacing w:val="-2"/>
                <w:kern w:val="0"/>
                <w:sz w:val="21"/>
                <w:szCs w:val="21"/>
                <w:highlight w:val="none"/>
                <w:lang w:eastAsia="en-US"/>
              </w:rPr>
              <w:t>臭氧消毒工艺等</w:t>
            </w:r>
          </w:p>
        </w:tc>
        <w:tc>
          <w:tcPr>
            <w:tcW w:w="4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4"/>
                <w:kern w:val="0"/>
                <w:sz w:val="21"/>
                <w:szCs w:val="21"/>
                <w:highlight w:val="none"/>
                <w:lang w:eastAsia="en-US"/>
              </w:rPr>
            </w:pPr>
            <w:r>
              <w:rPr>
                <w:rFonts w:hint="default" w:ascii="Times New Roman" w:hAnsi="Times New Roman" w:eastAsia="宋体" w:cs="Times New Roman"/>
                <w:snapToGrid w:val="0"/>
                <w:color w:val="FF0000"/>
                <w:spacing w:val="-4"/>
                <w:kern w:val="0"/>
                <w:sz w:val="21"/>
                <w:szCs w:val="21"/>
                <w:highlight w:val="none"/>
                <w:lang w:eastAsia="en-US"/>
              </w:rPr>
              <w:t>配套非加药的消毒工艺，如紫外线消毒或</w:t>
            </w:r>
            <w:r>
              <w:rPr>
                <w:rFonts w:hint="default" w:ascii="Times New Roman" w:hAnsi="Times New Roman" w:eastAsia="宋体" w:cs="Times New Roman"/>
                <w:snapToGrid w:val="0"/>
                <w:color w:val="FF0000"/>
                <w:spacing w:val="-2"/>
                <w:kern w:val="0"/>
                <w:sz w:val="21"/>
                <w:szCs w:val="21"/>
                <w:highlight w:val="none"/>
                <w:lang w:eastAsia="en-US"/>
              </w:rPr>
              <w:t>臭氧消毒工艺等</w:t>
            </w:r>
          </w:p>
        </w:tc>
        <w:tc>
          <w:tcPr>
            <w:tcW w:w="787"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4"/>
                <w:kern w:val="0"/>
                <w:sz w:val="21"/>
                <w:szCs w:val="21"/>
                <w:highlight w:val="none"/>
                <w:lang w:eastAsia="en-US"/>
              </w:rPr>
            </w:pPr>
            <w:r>
              <w:rPr>
                <w:rFonts w:hint="default" w:ascii="Times New Roman" w:hAnsi="Times New Roman" w:eastAsia="宋体" w:cs="Times New Roman"/>
                <w:snapToGrid w:val="0"/>
                <w:color w:val="FF0000"/>
                <w:spacing w:val="4"/>
                <w:kern w:val="0"/>
                <w:sz w:val="21"/>
                <w:szCs w:val="21"/>
                <w:highlight w:val="none"/>
                <w:lang w:eastAsia="en-US"/>
              </w:rPr>
              <w:t>配套加药的消毒工艺，如投加液氯、二氧化氯的消毒工</w:t>
            </w:r>
            <w:r>
              <w:rPr>
                <w:rFonts w:hint="default" w:ascii="Times New Roman" w:hAnsi="Times New Roman" w:eastAsia="宋体" w:cs="Times New Roman"/>
                <w:snapToGrid w:val="0"/>
                <w:color w:val="FF0000"/>
                <w:spacing w:val="-4"/>
                <w:kern w:val="0"/>
                <w:sz w:val="21"/>
                <w:szCs w:val="21"/>
                <w:highlight w:val="none"/>
                <w:lang w:eastAsia="en-US"/>
              </w:rPr>
              <w:t>艺等</w:t>
            </w:r>
          </w:p>
        </w:tc>
        <w:tc>
          <w:tcPr>
            <w:tcW w:w="7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4"/>
                <w:kern w:val="0"/>
                <w:sz w:val="21"/>
                <w:szCs w:val="21"/>
                <w:highlight w:val="none"/>
                <w:lang w:eastAsia="en-US"/>
              </w:rPr>
            </w:pPr>
            <w:r>
              <w:rPr>
                <w:rFonts w:hint="default" w:ascii="Times New Roman" w:hAnsi="Times New Roman" w:eastAsia="宋体" w:cs="Times New Roman"/>
                <w:snapToGrid w:val="0"/>
                <w:color w:val="FF0000"/>
                <w:spacing w:val="4"/>
                <w:kern w:val="0"/>
                <w:sz w:val="21"/>
                <w:szCs w:val="21"/>
                <w:highlight w:val="none"/>
                <w:lang w:eastAsia="en-US"/>
              </w:rPr>
              <w:t>配套加药的消毒工艺，投加二氧化氯的消毒工</w:t>
            </w:r>
            <w:r>
              <w:rPr>
                <w:rFonts w:hint="default" w:ascii="Times New Roman" w:hAnsi="Times New Roman" w:eastAsia="宋体" w:cs="Times New Roman"/>
                <w:snapToGrid w:val="0"/>
                <w:color w:val="FF0000"/>
                <w:spacing w:val="-4"/>
                <w:kern w:val="0"/>
                <w:sz w:val="21"/>
                <w:szCs w:val="21"/>
                <w:highlight w:val="none"/>
                <w:lang w:eastAsia="en-US"/>
              </w:rPr>
              <w:t>艺等</w:t>
            </w:r>
          </w:p>
        </w:tc>
        <w:tc>
          <w:tcPr>
            <w:tcW w:w="5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388" w:firstLineChars="200"/>
              <w:jc w:val="center"/>
              <w:textAlignment w:val="baseline"/>
              <w:rPr>
                <w:rFonts w:hint="default" w:ascii="Times New Roman" w:hAnsi="Times New Roman" w:eastAsia="宋体" w:cs="Times New Roman"/>
                <w:snapToGrid w:val="0"/>
                <w:color w:val="FF0000"/>
                <w:spacing w:val="4"/>
                <w:kern w:val="0"/>
                <w:sz w:val="21"/>
                <w:szCs w:val="21"/>
                <w:highlight w:val="none"/>
                <w:lang w:eastAsia="en-US"/>
              </w:rPr>
            </w:pPr>
            <w:r>
              <w:rPr>
                <w:rFonts w:hint="eastAsia" w:ascii="仿宋" w:hAnsi="仿宋" w:eastAsia="仿宋" w:cs="仿宋"/>
                <w:snapToGrid w:val="0"/>
                <w:color w:val="FF0000"/>
                <w:spacing w:val="-8"/>
                <w:kern w:val="0"/>
                <w:sz w:val="21"/>
                <w:szCs w:val="21"/>
                <w:highlight w:val="none"/>
                <w:lang w:val="en-US" w:eastAsia="en-US" w:bidi="ar-SA"/>
              </w:rPr>
              <w:t>Ⅲ</w:t>
            </w:r>
            <w:r>
              <w:rPr>
                <w:rFonts w:hint="default" w:ascii="Times New Roman" w:hAnsi="Times New Roman" w:eastAsia="宋体" w:cs="Times New Roman"/>
                <w:snapToGrid w:val="0"/>
                <w:color w:val="FF0000"/>
                <w:spacing w:val="-8"/>
                <w:kern w:val="0"/>
                <w:sz w:val="21"/>
                <w:szCs w:val="21"/>
                <w:highlight w:val="none"/>
                <w:lang w:val="en-US" w:eastAsia="en-US" w:bidi="ar-SA"/>
              </w:rPr>
              <w:t>级基准值</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6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16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21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6</w:t>
            </w:r>
          </w:p>
        </w:tc>
        <w:tc>
          <w:tcPr>
            <w:tcW w:w="634"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2"/>
                <w:kern w:val="0"/>
                <w:sz w:val="21"/>
                <w:szCs w:val="21"/>
                <w:highlight w:val="none"/>
                <w:lang w:eastAsia="en-US"/>
              </w:rPr>
              <w:t>臭气处理</w:t>
            </w:r>
          </w:p>
        </w:tc>
        <w:tc>
          <w:tcPr>
            <w:tcW w:w="459" w:type="pct"/>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0.10</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4"/>
                <w:kern w:val="0"/>
                <w:sz w:val="21"/>
                <w:szCs w:val="21"/>
                <w:highlight w:val="none"/>
                <w:lang w:eastAsia="en-US"/>
              </w:rPr>
              <w:t>对恶臭气体有良好收集、净化装置，并定</w:t>
            </w:r>
            <w:r>
              <w:rPr>
                <w:rFonts w:hint="default" w:ascii="Times New Roman" w:hAnsi="Times New Roman" w:eastAsia="宋体" w:cs="Times New Roman"/>
                <w:snapToGrid w:val="0"/>
                <w:color w:val="FF0000"/>
                <w:spacing w:val="-2"/>
                <w:kern w:val="0"/>
                <w:sz w:val="21"/>
                <w:szCs w:val="21"/>
                <w:highlight w:val="none"/>
                <w:lang w:eastAsia="en-US"/>
              </w:rPr>
              <w:t>期检测达标</w:t>
            </w:r>
          </w:p>
        </w:tc>
        <w:tc>
          <w:tcPr>
            <w:tcW w:w="4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4"/>
                <w:kern w:val="0"/>
                <w:sz w:val="21"/>
                <w:szCs w:val="21"/>
                <w:highlight w:val="none"/>
                <w:lang w:eastAsia="en-US"/>
              </w:rPr>
              <w:t>对恶臭气体有良好收集、净化装置，并定</w:t>
            </w:r>
            <w:r>
              <w:rPr>
                <w:rFonts w:hint="default" w:ascii="Times New Roman" w:hAnsi="Times New Roman" w:eastAsia="宋体" w:cs="Times New Roman"/>
                <w:snapToGrid w:val="0"/>
                <w:color w:val="FF0000"/>
                <w:spacing w:val="-2"/>
                <w:kern w:val="0"/>
                <w:sz w:val="21"/>
                <w:szCs w:val="21"/>
                <w:highlight w:val="none"/>
                <w:lang w:eastAsia="en-US"/>
              </w:rPr>
              <w:t>期检测达标</w:t>
            </w:r>
          </w:p>
        </w:tc>
        <w:tc>
          <w:tcPr>
            <w:tcW w:w="787"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1"/>
                <w:kern w:val="0"/>
                <w:sz w:val="21"/>
                <w:szCs w:val="21"/>
                <w:highlight w:val="none"/>
                <w:lang w:eastAsia="en-US"/>
              </w:rPr>
            </w:pPr>
            <w:r>
              <w:rPr>
                <w:rFonts w:hint="default" w:ascii="Times New Roman" w:hAnsi="Times New Roman" w:eastAsia="宋体" w:cs="Times New Roman"/>
                <w:snapToGrid w:val="0"/>
                <w:color w:val="FF0000"/>
                <w:spacing w:val="-1"/>
                <w:kern w:val="0"/>
                <w:sz w:val="21"/>
                <w:szCs w:val="21"/>
                <w:highlight w:val="none"/>
                <w:lang w:eastAsia="en-US"/>
              </w:rPr>
              <w:t>恶臭气体厂界达标</w:t>
            </w:r>
          </w:p>
        </w:tc>
        <w:tc>
          <w:tcPr>
            <w:tcW w:w="7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1"/>
                <w:kern w:val="0"/>
                <w:sz w:val="21"/>
                <w:szCs w:val="21"/>
                <w:highlight w:val="none"/>
                <w:lang w:eastAsia="en-US"/>
              </w:rPr>
            </w:pPr>
            <w:r>
              <w:rPr>
                <w:rFonts w:hint="default" w:ascii="Times New Roman" w:hAnsi="Times New Roman" w:eastAsia="宋体" w:cs="Times New Roman"/>
                <w:snapToGrid w:val="0"/>
                <w:color w:val="FF0000"/>
                <w:spacing w:val="-4"/>
                <w:kern w:val="0"/>
                <w:sz w:val="21"/>
                <w:szCs w:val="21"/>
                <w:highlight w:val="none"/>
                <w:lang w:eastAsia="en-US"/>
              </w:rPr>
              <w:t>对恶臭气体</w:t>
            </w:r>
            <w:r>
              <w:rPr>
                <w:rFonts w:hint="eastAsia" w:cs="Times New Roman"/>
                <w:snapToGrid w:val="0"/>
                <w:color w:val="FF0000"/>
                <w:spacing w:val="-4"/>
                <w:kern w:val="0"/>
                <w:sz w:val="21"/>
                <w:szCs w:val="21"/>
                <w:highlight w:val="none"/>
                <w:lang w:val="en-US" w:eastAsia="zh-CN"/>
              </w:rPr>
              <w:t>采用生物滤池除臭</w:t>
            </w:r>
            <w:r>
              <w:rPr>
                <w:rFonts w:hint="default" w:ascii="Times New Roman" w:hAnsi="Times New Roman" w:eastAsia="宋体" w:cs="Times New Roman"/>
                <w:snapToGrid w:val="0"/>
                <w:color w:val="FF0000"/>
                <w:spacing w:val="-4"/>
                <w:kern w:val="0"/>
                <w:sz w:val="21"/>
                <w:szCs w:val="21"/>
                <w:highlight w:val="none"/>
                <w:lang w:eastAsia="en-US"/>
              </w:rPr>
              <w:t>，并定</w:t>
            </w:r>
            <w:r>
              <w:rPr>
                <w:rFonts w:hint="default" w:ascii="Times New Roman" w:hAnsi="Times New Roman" w:eastAsia="宋体" w:cs="Times New Roman"/>
                <w:snapToGrid w:val="0"/>
                <w:color w:val="FF0000"/>
                <w:spacing w:val="-2"/>
                <w:kern w:val="0"/>
                <w:sz w:val="21"/>
                <w:szCs w:val="21"/>
                <w:highlight w:val="none"/>
                <w:lang w:eastAsia="en-US"/>
              </w:rPr>
              <w:t>期检测达标</w:t>
            </w:r>
          </w:p>
        </w:tc>
        <w:tc>
          <w:tcPr>
            <w:tcW w:w="5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388" w:firstLineChars="200"/>
              <w:jc w:val="center"/>
              <w:textAlignment w:val="baseline"/>
              <w:rPr>
                <w:rFonts w:hint="default" w:ascii="Times New Roman" w:hAnsi="Times New Roman" w:eastAsia="宋体" w:cs="Times New Roman"/>
                <w:snapToGrid w:val="0"/>
                <w:color w:val="FF0000"/>
                <w:spacing w:val="-1"/>
                <w:kern w:val="0"/>
                <w:sz w:val="21"/>
                <w:szCs w:val="21"/>
                <w:highlight w:val="none"/>
                <w:lang w:eastAsia="en-US"/>
              </w:rPr>
            </w:pPr>
            <w:r>
              <w:rPr>
                <w:rFonts w:hint="default" w:ascii="Times New Roman" w:hAnsi="Times New Roman" w:eastAsia="宋体" w:cs="Times New Roman"/>
                <w:snapToGrid w:val="0"/>
                <w:color w:val="FF0000"/>
                <w:spacing w:val="-8"/>
                <w:kern w:val="0"/>
                <w:sz w:val="21"/>
                <w:szCs w:val="21"/>
                <w:highlight w:val="none"/>
                <w:lang w:val="en-US" w:eastAsia="en-US" w:bidi="ar-SA"/>
              </w:rPr>
              <w:t>Ⅱ级基准值</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6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16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21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7</w:t>
            </w:r>
          </w:p>
        </w:tc>
        <w:tc>
          <w:tcPr>
            <w:tcW w:w="634"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5"/>
                <w:kern w:val="0"/>
                <w:sz w:val="21"/>
                <w:szCs w:val="21"/>
                <w:highlight w:val="none"/>
                <w:lang w:eastAsia="en-US"/>
              </w:rPr>
              <w:t>设备</w:t>
            </w:r>
          </w:p>
        </w:tc>
        <w:tc>
          <w:tcPr>
            <w:tcW w:w="459" w:type="pct"/>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0.10</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4"/>
                <w:kern w:val="0"/>
                <w:sz w:val="21"/>
                <w:szCs w:val="21"/>
                <w:highlight w:val="none"/>
                <w:lang w:eastAsia="en-US"/>
              </w:rPr>
              <w:t>采用泵与风机容量匹配及变频技术，且达</w:t>
            </w:r>
            <w:r>
              <w:rPr>
                <w:rFonts w:hint="default" w:ascii="Times New Roman" w:hAnsi="Times New Roman" w:eastAsia="宋体" w:cs="Times New Roman"/>
                <w:snapToGrid w:val="0"/>
                <w:color w:val="FF0000"/>
                <w:spacing w:val="-2"/>
                <w:kern w:val="0"/>
                <w:sz w:val="21"/>
                <w:szCs w:val="21"/>
                <w:highlight w:val="none"/>
                <w:lang w:eastAsia="en-US"/>
              </w:rPr>
              <w:t>到一级能效水平</w:t>
            </w:r>
          </w:p>
        </w:tc>
        <w:tc>
          <w:tcPr>
            <w:tcW w:w="4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4"/>
                <w:kern w:val="0"/>
                <w:sz w:val="21"/>
                <w:szCs w:val="21"/>
                <w:highlight w:val="none"/>
                <w:lang w:eastAsia="en-US"/>
              </w:rPr>
              <w:t>采用泵与风机容量匹配及变频技术，且达</w:t>
            </w:r>
            <w:r>
              <w:rPr>
                <w:rFonts w:hint="default" w:ascii="Times New Roman" w:hAnsi="Times New Roman" w:eastAsia="宋体" w:cs="Times New Roman"/>
                <w:snapToGrid w:val="0"/>
                <w:color w:val="FF0000"/>
                <w:spacing w:val="-2"/>
                <w:kern w:val="0"/>
                <w:sz w:val="21"/>
                <w:szCs w:val="21"/>
                <w:highlight w:val="none"/>
                <w:lang w:eastAsia="en-US"/>
              </w:rPr>
              <w:t>到一级能效水平</w:t>
            </w:r>
          </w:p>
        </w:tc>
        <w:tc>
          <w:tcPr>
            <w:tcW w:w="787"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4"/>
                <w:kern w:val="0"/>
                <w:sz w:val="21"/>
                <w:szCs w:val="21"/>
                <w:highlight w:val="none"/>
                <w:lang w:eastAsia="en-US"/>
              </w:rPr>
            </w:pPr>
            <w:r>
              <w:rPr>
                <w:rFonts w:hint="default" w:ascii="Times New Roman" w:hAnsi="Times New Roman" w:eastAsia="宋体" w:cs="Times New Roman"/>
                <w:snapToGrid w:val="0"/>
                <w:color w:val="FF0000"/>
                <w:spacing w:val="4"/>
                <w:kern w:val="0"/>
                <w:sz w:val="21"/>
                <w:szCs w:val="21"/>
                <w:highlight w:val="none"/>
                <w:lang w:eastAsia="en-US"/>
              </w:rPr>
              <w:t>没有使用国家明文规定需要落后淘汰的设备；采用泵与风机容量匹配或变频技术，</w:t>
            </w:r>
            <w:r>
              <w:rPr>
                <w:rFonts w:hint="default" w:ascii="Times New Roman" w:hAnsi="Times New Roman" w:eastAsia="宋体" w:cs="Times New Roman"/>
                <w:snapToGrid w:val="0"/>
                <w:color w:val="FF0000"/>
                <w:spacing w:val="-1"/>
                <w:kern w:val="0"/>
                <w:sz w:val="21"/>
                <w:szCs w:val="21"/>
                <w:highlight w:val="none"/>
                <w:lang w:eastAsia="en-US"/>
              </w:rPr>
              <w:t>且达到国家规定的能效标准</w:t>
            </w:r>
          </w:p>
        </w:tc>
        <w:tc>
          <w:tcPr>
            <w:tcW w:w="7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4"/>
                <w:kern w:val="0"/>
                <w:sz w:val="21"/>
                <w:szCs w:val="21"/>
                <w:highlight w:val="none"/>
                <w:lang w:eastAsia="en-US"/>
              </w:rPr>
            </w:pPr>
            <w:r>
              <w:rPr>
                <w:rFonts w:hint="eastAsia" w:ascii="Times New Roman" w:hAnsi="Times New Roman" w:cs="Times New Roman"/>
                <w:snapToGrid w:val="0"/>
                <w:color w:val="FF0000"/>
                <w:spacing w:val="-4"/>
                <w:kern w:val="0"/>
                <w:sz w:val="21"/>
                <w:szCs w:val="21"/>
                <w:highlight w:val="none"/>
                <w:lang w:val="en-US" w:eastAsia="zh-CN"/>
              </w:rPr>
              <w:t>本项目</w:t>
            </w:r>
            <w:r>
              <w:rPr>
                <w:rFonts w:hint="default" w:ascii="Times New Roman" w:hAnsi="Times New Roman" w:eastAsia="宋体" w:cs="Times New Roman"/>
                <w:snapToGrid w:val="0"/>
                <w:color w:val="FF0000"/>
                <w:spacing w:val="-4"/>
                <w:kern w:val="0"/>
                <w:sz w:val="21"/>
                <w:szCs w:val="21"/>
                <w:highlight w:val="none"/>
                <w:lang w:eastAsia="en-US"/>
              </w:rPr>
              <w:t>采用泵与风机容量匹配及变频技术，且达</w:t>
            </w:r>
            <w:r>
              <w:rPr>
                <w:rFonts w:hint="default" w:ascii="Times New Roman" w:hAnsi="Times New Roman" w:eastAsia="宋体" w:cs="Times New Roman"/>
                <w:snapToGrid w:val="0"/>
                <w:color w:val="FF0000"/>
                <w:spacing w:val="-2"/>
                <w:kern w:val="0"/>
                <w:sz w:val="21"/>
                <w:szCs w:val="21"/>
                <w:highlight w:val="none"/>
                <w:lang w:eastAsia="en-US"/>
              </w:rPr>
              <w:t>到一级能效水平</w:t>
            </w:r>
          </w:p>
        </w:tc>
        <w:tc>
          <w:tcPr>
            <w:tcW w:w="5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388" w:firstLineChars="200"/>
              <w:jc w:val="center"/>
              <w:textAlignment w:val="baseline"/>
              <w:rPr>
                <w:rFonts w:hint="default" w:ascii="Times New Roman" w:hAnsi="Times New Roman" w:eastAsia="宋体" w:cs="Times New Roman"/>
                <w:snapToGrid w:val="0"/>
                <w:color w:val="FF0000"/>
                <w:spacing w:val="4"/>
                <w:kern w:val="0"/>
                <w:sz w:val="21"/>
                <w:szCs w:val="21"/>
                <w:highlight w:val="none"/>
                <w:lang w:eastAsia="en-US"/>
              </w:rPr>
            </w:pPr>
            <w:r>
              <w:rPr>
                <w:rFonts w:hint="default" w:ascii="Times New Roman" w:hAnsi="Times New Roman" w:eastAsia="宋体" w:cs="Times New Roman"/>
                <w:snapToGrid w:val="0"/>
                <w:color w:val="FF0000"/>
                <w:spacing w:val="-8"/>
                <w:kern w:val="0"/>
                <w:sz w:val="21"/>
                <w:szCs w:val="21"/>
                <w:highlight w:val="none"/>
                <w:lang w:val="en-US" w:eastAsia="en-US" w:bidi="ar-SA"/>
              </w:rPr>
              <w:t>Ⅱ级基准值</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6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16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21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8</w:t>
            </w:r>
          </w:p>
        </w:tc>
        <w:tc>
          <w:tcPr>
            <w:tcW w:w="634"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2"/>
                <w:kern w:val="0"/>
                <w:sz w:val="21"/>
                <w:szCs w:val="21"/>
                <w:highlight w:val="none"/>
                <w:lang w:eastAsia="en-US"/>
              </w:rPr>
              <w:t>调节池和应急池</w:t>
            </w:r>
          </w:p>
        </w:tc>
        <w:tc>
          <w:tcPr>
            <w:tcW w:w="459" w:type="pct"/>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0.10</w:t>
            </w:r>
          </w:p>
        </w:tc>
        <w:tc>
          <w:tcPr>
            <w:tcW w:w="1917" w:type="pct"/>
            <w:gridSpan w:val="4"/>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1"/>
                <w:kern w:val="0"/>
                <w:sz w:val="21"/>
                <w:szCs w:val="21"/>
                <w:highlight w:val="none"/>
                <w:lang w:eastAsia="en-US"/>
              </w:rPr>
              <w:t>污水处理设施应设置足够容积的调节池和应急池</w:t>
            </w:r>
            <w:r>
              <w:rPr>
                <w:rFonts w:hint="default" w:ascii="Times New Roman" w:hAnsi="Times New Roman" w:eastAsia="宋体" w:cs="Times New Roman"/>
                <w:snapToGrid w:val="0"/>
                <w:color w:val="FF0000"/>
                <w:kern w:val="0"/>
                <w:sz w:val="21"/>
                <w:szCs w:val="21"/>
                <w:highlight w:val="none"/>
                <w:lang w:eastAsia="en-US"/>
              </w:rPr>
              <w:t>，并根据相关规定做好</w:t>
            </w:r>
            <w:r>
              <w:rPr>
                <w:rFonts w:hint="default" w:ascii="Times New Roman" w:hAnsi="Times New Roman" w:eastAsia="宋体" w:cs="Times New Roman"/>
                <w:snapToGrid w:val="0"/>
                <w:color w:val="FF0000"/>
                <w:spacing w:val="-5"/>
                <w:kern w:val="0"/>
                <w:sz w:val="21"/>
                <w:szCs w:val="21"/>
                <w:highlight w:val="none"/>
                <w:lang w:eastAsia="en-US"/>
              </w:rPr>
              <w:t>日常的管理维护工作</w:t>
            </w:r>
          </w:p>
        </w:tc>
        <w:tc>
          <w:tcPr>
            <w:tcW w:w="7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1"/>
                <w:kern w:val="0"/>
                <w:sz w:val="21"/>
                <w:szCs w:val="21"/>
                <w:highlight w:val="none"/>
                <w:lang w:eastAsia="en-US"/>
              </w:rPr>
            </w:pPr>
            <w:r>
              <w:rPr>
                <w:rFonts w:hint="default" w:ascii="Times New Roman" w:hAnsi="Times New Roman" w:eastAsia="宋体" w:cs="Times New Roman"/>
                <w:snapToGrid w:val="0"/>
                <w:color w:val="FF0000"/>
                <w:spacing w:val="1"/>
                <w:kern w:val="0"/>
                <w:sz w:val="21"/>
                <w:szCs w:val="21"/>
                <w:highlight w:val="none"/>
                <w:lang w:eastAsia="en-US"/>
              </w:rPr>
              <w:t>污水处理设施设置容积的调节池和应急池</w:t>
            </w:r>
            <w:r>
              <w:rPr>
                <w:rFonts w:hint="eastAsia" w:cs="Times New Roman"/>
                <w:snapToGrid w:val="0"/>
                <w:color w:val="FF0000"/>
                <w:spacing w:val="1"/>
                <w:kern w:val="0"/>
                <w:sz w:val="21"/>
                <w:szCs w:val="21"/>
                <w:highlight w:val="none"/>
                <w:lang w:eastAsia="zh-CN"/>
              </w:rPr>
              <w:t>（</w:t>
            </w:r>
            <w:r>
              <w:rPr>
                <w:rFonts w:hint="eastAsia" w:cs="Times New Roman"/>
                <w:snapToGrid w:val="0"/>
                <w:color w:val="FF0000"/>
                <w:spacing w:val="1"/>
                <w:kern w:val="0"/>
                <w:sz w:val="21"/>
                <w:szCs w:val="21"/>
                <w:highlight w:val="none"/>
                <w:lang w:val="en-US" w:eastAsia="zh-CN"/>
              </w:rPr>
              <w:t>5000m</w:t>
            </w:r>
            <w:r>
              <w:rPr>
                <w:rFonts w:hint="eastAsia" w:cs="Times New Roman"/>
                <w:snapToGrid w:val="0"/>
                <w:color w:val="FF0000"/>
                <w:spacing w:val="1"/>
                <w:kern w:val="0"/>
                <w:sz w:val="21"/>
                <w:szCs w:val="21"/>
                <w:highlight w:val="none"/>
                <w:vertAlign w:val="superscript"/>
                <w:lang w:val="en-US" w:eastAsia="zh-CN"/>
              </w:rPr>
              <w:t>3</w:t>
            </w:r>
            <w:r>
              <w:rPr>
                <w:rFonts w:hint="eastAsia" w:cs="Times New Roman"/>
                <w:snapToGrid w:val="0"/>
                <w:color w:val="FF0000"/>
                <w:spacing w:val="1"/>
                <w:kern w:val="0"/>
                <w:sz w:val="21"/>
                <w:szCs w:val="21"/>
                <w:highlight w:val="none"/>
                <w:lang w:eastAsia="zh-CN"/>
              </w:rPr>
              <w:t>），</w:t>
            </w:r>
            <w:r>
              <w:rPr>
                <w:rFonts w:hint="eastAsia" w:cs="Times New Roman"/>
                <w:snapToGrid w:val="0"/>
                <w:color w:val="FF0000"/>
                <w:spacing w:val="1"/>
                <w:kern w:val="0"/>
                <w:sz w:val="21"/>
                <w:szCs w:val="21"/>
                <w:highlight w:val="none"/>
                <w:lang w:val="en-US" w:eastAsia="zh-CN"/>
              </w:rPr>
              <w:t>满足四个小时的事故废水容积</w:t>
            </w:r>
            <w:r>
              <w:rPr>
                <w:rFonts w:hint="default" w:ascii="Times New Roman" w:hAnsi="Times New Roman" w:eastAsia="宋体" w:cs="Times New Roman"/>
                <w:snapToGrid w:val="0"/>
                <w:color w:val="FF0000"/>
                <w:kern w:val="0"/>
                <w:sz w:val="21"/>
                <w:szCs w:val="21"/>
                <w:highlight w:val="none"/>
                <w:lang w:eastAsia="en-US"/>
              </w:rPr>
              <w:t>，并根据相关规定做好</w:t>
            </w:r>
            <w:r>
              <w:rPr>
                <w:rFonts w:hint="default" w:ascii="Times New Roman" w:hAnsi="Times New Roman" w:eastAsia="宋体" w:cs="Times New Roman"/>
                <w:snapToGrid w:val="0"/>
                <w:color w:val="FF0000"/>
                <w:spacing w:val="-5"/>
                <w:kern w:val="0"/>
                <w:sz w:val="21"/>
                <w:szCs w:val="21"/>
                <w:highlight w:val="none"/>
                <w:lang w:eastAsia="en-US"/>
              </w:rPr>
              <w:t>日常的管理维护工作</w:t>
            </w:r>
          </w:p>
        </w:tc>
        <w:tc>
          <w:tcPr>
            <w:tcW w:w="5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1"/>
                <w:kern w:val="0"/>
                <w:sz w:val="21"/>
                <w:szCs w:val="21"/>
                <w:highlight w:val="none"/>
                <w:lang w:eastAsia="en-US"/>
              </w:rPr>
            </w:pPr>
            <w:r>
              <w:rPr>
                <w:rFonts w:hint="default" w:ascii="Times New Roman" w:hAnsi="Times New Roman" w:eastAsia="宋体" w:cs="Times New Roman"/>
                <w:snapToGrid w:val="0"/>
                <w:color w:val="FF0000"/>
                <w:spacing w:val="-8"/>
                <w:kern w:val="0"/>
                <w:sz w:val="21"/>
                <w:szCs w:val="21"/>
                <w:highlight w:val="none"/>
                <w:lang w:val="en-US" w:eastAsia="en-US" w:bidi="ar-SA"/>
              </w:rPr>
              <w:t>Ⅱ级基准值</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69"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4"/>
                <w:kern w:val="0"/>
                <w:sz w:val="21"/>
                <w:szCs w:val="21"/>
                <w:highlight w:val="none"/>
                <w:lang w:eastAsia="en-US"/>
              </w:rPr>
              <w:t>资源能源</w:t>
            </w:r>
            <w:r>
              <w:rPr>
                <w:rFonts w:hint="default" w:ascii="Times New Roman" w:hAnsi="Times New Roman" w:eastAsia="宋体" w:cs="Times New Roman"/>
                <w:snapToGrid w:val="0"/>
                <w:color w:val="FF0000"/>
                <w:spacing w:val="-3"/>
                <w:kern w:val="0"/>
                <w:sz w:val="21"/>
                <w:szCs w:val="21"/>
                <w:highlight w:val="none"/>
                <w:lang w:eastAsia="en-US"/>
              </w:rPr>
              <w:t>消耗指标</w:t>
            </w:r>
          </w:p>
        </w:tc>
        <w:tc>
          <w:tcPr>
            <w:tcW w:w="166"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0.23</w:t>
            </w:r>
          </w:p>
        </w:tc>
        <w:tc>
          <w:tcPr>
            <w:tcW w:w="21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1</w:t>
            </w:r>
          </w:p>
        </w:tc>
        <w:tc>
          <w:tcPr>
            <w:tcW w:w="37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1"/>
                <w:kern w:val="0"/>
                <w:sz w:val="21"/>
                <w:szCs w:val="21"/>
                <w:highlight w:val="none"/>
                <w:lang w:eastAsia="en-US"/>
              </w:rPr>
              <w:t>处理单位污水的新鲜水耗量</w:t>
            </w:r>
          </w:p>
        </w:tc>
        <w:tc>
          <w:tcPr>
            <w:tcW w:w="2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zh-CN" w:bidi="ar-SA"/>
              </w:rPr>
              <w:t>m</w:t>
            </w:r>
            <w:r>
              <w:rPr>
                <w:rFonts w:hint="default" w:ascii="Times New Roman" w:hAnsi="Times New Roman" w:eastAsia="宋体" w:cs="Times New Roman"/>
                <w:snapToGrid w:val="0"/>
                <w:color w:val="FF0000"/>
                <w:kern w:val="0"/>
                <w:sz w:val="21"/>
                <w:szCs w:val="21"/>
                <w:highlight w:val="none"/>
                <w:vertAlign w:val="superscript"/>
                <w:lang w:val="en-US" w:eastAsia="zh-CN" w:bidi="ar-SA"/>
              </w:rPr>
              <w:t>3</w:t>
            </w:r>
            <w:r>
              <w:rPr>
                <w:rFonts w:hint="default" w:ascii="Times New Roman" w:hAnsi="Times New Roman" w:eastAsia="宋体" w:cs="Times New Roman"/>
                <w:snapToGrid w:val="0"/>
                <w:color w:val="FF0000"/>
                <w:kern w:val="0"/>
                <w:sz w:val="21"/>
                <w:szCs w:val="21"/>
                <w:highlight w:val="none"/>
                <w:lang w:val="en-US" w:eastAsia="en-US" w:bidi="ar-SA"/>
              </w:rPr>
              <w:t>/万t</w:t>
            </w:r>
          </w:p>
        </w:tc>
        <w:tc>
          <w:tcPr>
            <w:tcW w:w="459" w:type="pct"/>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0.09</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5"/>
                <w:kern w:val="0"/>
                <w:sz w:val="21"/>
                <w:szCs w:val="21"/>
                <w:highlight w:val="none"/>
                <w:lang w:val="en-US" w:eastAsia="en-US" w:bidi="ar-SA"/>
              </w:rPr>
              <w:t>1.50</w:t>
            </w:r>
          </w:p>
        </w:tc>
        <w:tc>
          <w:tcPr>
            <w:tcW w:w="4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3.00</w:t>
            </w:r>
          </w:p>
        </w:tc>
        <w:tc>
          <w:tcPr>
            <w:tcW w:w="787"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7.00</w:t>
            </w:r>
          </w:p>
        </w:tc>
        <w:tc>
          <w:tcPr>
            <w:tcW w:w="7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2"/>
                <w:kern w:val="0"/>
                <w:sz w:val="21"/>
                <w:szCs w:val="21"/>
                <w:highlight w:val="none"/>
                <w:lang w:val="en-US" w:eastAsia="zh-CN" w:bidi="ar-SA"/>
              </w:rPr>
            </w:pPr>
            <w:r>
              <w:rPr>
                <w:rFonts w:hint="eastAsia" w:cs="Times New Roman"/>
                <w:snapToGrid w:val="0"/>
                <w:color w:val="FF0000"/>
                <w:spacing w:val="-2"/>
                <w:kern w:val="0"/>
                <w:sz w:val="21"/>
                <w:szCs w:val="21"/>
                <w:highlight w:val="none"/>
                <w:lang w:val="en-US" w:eastAsia="zh-CN" w:bidi="ar-SA"/>
              </w:rPr>
              <w:t>无新鲜水的损耗</w:t>
            </w:r>
          </w:p>
        </w:tc>
        <w:tc>
          <w:tcPr>
            <w:tcW w:w="5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snapToGrid w:val="0"/>
                <w:color w:val="FF0000"/>
                <w:spacing w:val="-2"/>
                <w:kern w:val="0"/>
                <w:sz w:val="21"/>
                <w:szCs w:val="21"/>
                <w:highlight w:val="none"/>
                <w:lang w:val="en-US" w:eastAsia="zh-CN" w:bidi="ar-SA"/>
              </w:rPr>
            </w:pPr>
            <w:r>
              <w:rPr>
                <w:rFonts w:hint="default" w:ascii="Times New Roman" w:hAnsi="Times New Roman" w:eastAsia="宋体" w:cs="Times New Roman"/>
                <w:snapToGrid w:val="0"/>
                <w:color w:val="FF0000"/>
                <w:spacing w:val="-14"/>
                <w:kern w:val="0"/>
                <w:sz w:val="21"/>
                <w:szCs w:val="21"/>
                <w:highlight w:val="none"/>
                <w:lang w:eastAsia="en-US"/>
              </w:rPr>
              <w:t>Ⅰ级</w:t>
            </w:r>
            <w:r>
              <w:rPr>
                <w:rFonts w:hint="default" w:ascii="Times New Roman" w:hAnsi="Times New Roman" w:eastAsia="宋体" w:cs="Times New Roman"/>
                <w:snapToGrid w:val="0"/>
                <w:color w:val="FF0000"/>
                <w:spacing w:val="-8"/>
                <w:kern w:val="0"/>
                <w:sz w:val="21"/>
                <w:szCs w:val="21"/>
                <w:highlight w:val="none"/>
                <w:lang w:val="en-US" w:eastAsia="en-US" w:bidi="ar-SA"/>
              </w:rPr>
              <w:t>基准值</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26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16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21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2</w:t>
            </w:r>
          </w:p>
        </w:tc>
        <w:tc>
          <w:tcPr>
            <w:tcW w:w="37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*处理单位污水的耗电量</w:t>
            </w:r>
          </w:p>
        </w:tc>
        <w:tc>
          <w:tcPr>
            <w:tcW w:w="2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3"/>
                <w:kern w:val="0"/>
                <w:sz w:val="21"/>
                <w:szCs w:val="21"/>
                <w:highlight w:val="none"/>
                <w:lang w:eastAsia="en-US"/>
              </w:rPr>
              <w:t>西北</w:t>
            </w:r>
          </w:p>
        </w:tc>
        <w:tc>
          <w:tcPr>
            <w:tcW w:w="27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1"/>
                <w:kern w:val="0"/>
                <w:sz w:val="21"/>
                <w:szCs w:val="21"/>
                <w:highlight w:val="none"/>
                <w:lang w:val="en-US" w:eastAsia="en-US" w:bidi="ar-SA"/>
              </w:rPr>
              <w:t>kWh/t</w:t>
            </w:r>
          </w:p>
        </w:tc>
        <w:tc>
          <w:tcPr>
            <w:tcW w:w="183"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0.45</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0.15</w:t>
            </w:r>
          </w:p>
        </w:tc>
        <w:tc>
          <w:tcPr>
            <w:tcW w:w="4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0.20</w:t>
            </w:r>
          </w:p>
        </w:tc>
        <w:tc>
          <w:tcPr>
            <w:tcW w:w="787"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0.24</w:t>
            </w:r>
          </w:p>
        </w:tc>
        <w:tc>
          <w:tcPr>
            <w:tcW w:w="7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2"/>
                <w:kern w:val="0"/>
                <w:sz w:val="21"/>
                <w:szCs w:val="21"/>
                <w:highlight w:val="none"/>
                <w:lang w:val="en-US" w:eastAsia="zh-CN"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处理单位污水的耗电量</w:t>
            </w:r>
            <w:r>
              <w:rPr>
                <w:rFonts w:hint="eastAsia" w:ascii="Times New Roman" w:hAnsi="Times New Roman" w:cs="Times New Roman"/>
                <w:snapToGrid w:val="0"/>
                <w:color w:val="FF0000"/>
                <w:spacing w:val="-2"/>
                <w:kern w:val="0"/>
                <w:sz w:val="21"/>
                <w:szCs w:val="21"/>
                <w:highlight w:val="none"/>
                <w:lang w:val="en-US" w:eastAsia="zh-CN" w:bidi="ar-SA"/>
              </w:rPr>
              <w:t>为</w:t>
            </w:r>
            <w:r>
              <w:rPr>
                <w:rFonts w:hint="eastAsia" w:cs="Times New Roman"/>
                <w:snapToGrid w:val="0"/>
                <w:color w:val="FF0000"/>
                <w:spacing w:val="-2"/>
                <w:kern w:val="0"/>
                <w:sz w:val="21"/>
                <w:szCs w:val="21"/>
                <w:highlight w:val="none"/>
                <w:lang w:val="en-US" w:eastAsia="zh-CN" w:bidi="ar-SA"/>
              </w:rPr>
              <w:t>0.0049</w:t>
            </w:r>
          </w:p>
        </w:tc>
        <w:tc>
          <w:tcPr>
            <w:tcW w:w="5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snapToGrid w:val="0"/>
                <w:color w:val="FF0000"/>
                <w:spacing w:val="-2"/>
                <w:kern w:val="0"/>
                <w:sz w:val="21"/>
                <w:szCs w:val="21"/>
                <w:highlight w:val="none"/>
                <w:lang w:val="en-US" w:eastAsia="zh-CN" w:bidi="ar-SA"/>
              </w:rPr>
            </w:pPr>
            <w:r>
              <w:rPr>
                <w:rFonts w:hint="default" w:ascii="Times New Roman" w:hAnsi="Times New Roman" w:eastAsia="宋体" w:cs="Times New Roman"/>
                <w:snapToGrid w:val="0"/>
                <w:color w:val="FF0000"/>
                <w:spacing w:val="-14"/>
                <w:kern w:val="0"/>
                <w:sz w:val="21"/>
                <w:szCs w:val="21"/>
                <w:highlight w:val="none"/>
                <w:lang w:eastAsia="en-US"/>
              </w:rPr>
              <w:t>Ⅰ级</w:t>
            </w:r>
            <w:r>
              <w:rPr>
                <w:rFonts w:hint="default" w:ascii="Times New Roman" w:hAnsi="Times New Roman" w:eastAsia="宋体" w:cs="Times New Roman"/>
                <w:snapToGrid w:val="0"/>
                <w:color w:val="FF0000"/>
                <w:spacing w:val="-8"/>
                <w:kern w:val="0"/>
                <w:sz w:val="21"/>
                <w:szCs w:val="21"/>
                <w:highlight w:val="none"/>
                <w:lang w:val="en-US" w:eastAsia="en-US" w:bidi="ar-SA"/>
              </w:rPr>
              <w:t>基准值</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26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16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21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3</w:t>
            </w:r>
          </w:p>
        </w:tc>
        <w:tc>
          <w:tcPr>
            <w:tcW w:w="37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1"/>
                <w:kern w:val="0"/>
                <w:sz w:val="21"/>
                <w:szCs w:val="21"/>
                <w:highlight w:val="none"/>
                <w:lang w:eastAsia="en-US"/>
              </w:rPr>
              <w:t>去除单位化学需氧量的</w:t>
            </w:r>
            <w:r>
              <w:rPr>
                <w:rFonts w:hint="default" w:ascii="Times New Roman" w:hAnsi="Times New Roman" w:eastAsia="宋体" w:cs="Times New Roman"/>
                <w:snapToGrid w:val="0"/>
                <w:color w:val="FF0000"/>
                <w:spacing w:val="-3"/>
                <w:kern w:val="0"/>
                <w:sz w:val="21"/>
                <w:szCs w:val="21"/>
                <w:highlight w:val="none"/>
                <w:lang w:eastAsia="en-US"/>
              </w:rPr>
              <w:t>耗电量</w:t>
            </w:r>
          </w:p>
        </w:tc>
        <w:tc>
          <w:tcPr>
            <w:tcW w:w="2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3"/>
                <w:kern w:val="0"/>
                <w:sz w:val="21"/>
                <w:szCs w:val="21"/>
                <w:highlight w:val="none"/>
                <w:lang w:eastAsia="en-US"/>
              </w:rPr>
              <w:t>西北</w:t>
            </w:r>
          </w:p>
        </w:tc>
        <w:tc>
          <w:tcPr>
            <w:tcW w:w="27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kWh/kg</w:t>
            </w:r>
          </w:p>
        </w:tc>
        <w:tc>
          <w:tcPr>
            <w:tcW w:w="183"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0.30</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5"/>
                <w:kern w:val="0"/>
                <w:sz w:val="21"/>
                <w:szCs w:val="21"/>
                <w:highlight w:val="none"/>
                <w:lang w:val="en-US" w:eastAsia="en-US" w:bidi="ar-SA"/>
              </w:rPr>
              <w:t>1.00</w:t>
            </w:r>
          </w:p>
        </w:tc>
        <w:tc>
          <w:tcPr>
            <w:tcW w:w="4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5"/>
                <w:kern w:val="0"/>
                <w:sz w:val="21"/>
                <w:szCs w:val="21"/>
                <w:highlight w:val="none"/>
                <w:lang w:val="en-US" w:eastAsia="en-US" w:bidi="ar-SA"/>
              </w:rPr>
              <w:t>1.10</w:t>
            </w:r>
          </w:p>
        </w:tc>
        <w:tc>
          <w:tcPr>
            <w:tcW w:w="787"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5"/>
                <w:kern w:val="0"/>
                <w:sz w:val="21"/>
                <w:szCs w:val="21"/>
                <w:highlight w:val="none"/>
                <w:lang w:val="en-US" w:eastAsia="en-US" w:bidi="ar-SA"/>
              </w:rPr>
              <w:t>1.30</w:t>
            </w:r>
          </w:p>
        </w:tc>
        <w:tc>
          <w:tcPr>
            <w:tcW w:w="7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5"/>
                <w:kern w:val="0"/>
                <w:sz w:val="21"/>
                <w:szCs w:val="21"/>
                <w:highlight w:val="none"/>
                <w:lang w:val="en-US" w:eastAsia="zh-CN" w:bidi="ar-SA"/>
              </w:rPr>
            </w:pPr>
            <w:r>
              <w:rPr>
                <w:rFonts w:hint="default" w:ascii="Times New Roman" w:hAnsi="Times New Roman" w:eastAsia="宋体" w:cs="Times New Roman"/>
                <w:snapToGrid w:val="0"/>
                <w:color w:val="FF0000"/>
                <w:spacing w:val="-1"/>
                <w:kern w:val="0"/>
                <w:sz w:val="21"/>
                <w:szCs w:val="21"/>
                <w:highlight w:val="none"/>
                <w:lang w:eastAsia="en-US"/>
              </w:rPr>
              <w:t>去除单位化学需氧量的</w:t>
            </w:r>
            <w:r>
              <w:rPr>
                <w:rFonts w:hint="default" w:ascii="Times New Roman" w:hAnsi="Times New Roman" w:eastAsia="宋体" w:cs="Times New Roman"/>
                <w:snapToGrid w:val="0"/>
                <w:color w:val="FF0000"/>
                <w:spacing w:val="-3"/>
                <w:kern w:val="0"/>
                <w:sz w:val="21"/>
                <w:szCs w:val="21"/>
                <w:highlight w:val="none"/>
                <w:lang w:eastAsia="en-US"/>
              </w:rPr>
              <w:t>耗电量</w:t>
            </w:r>
            <w:r>
              <w:rPr>
                <w:rFonts w:hint="eastAsia" w:cs="Times New Roman"/>
                <w:snapToGrid w:val="0"/>
                <w:color w:val="FF0000"/>
                <w:spacing w:val="-5"/>
                <w:kern w:val="0"/>
                <w:sz w:val="21"/>
                <w:szCs w:val="21"/>
                <w:highlight w:val="none"/>
                <w:lang w:val="en-US" w:eastAsia="zh-CN" w:bidi="ar-SA"/>
              </w:rPr>
              <w:t>0.96</w:t>
            </w:r>
          </w:p>
        </w:tc>
        <w:tc>
          <w:tcPr>
            <w:tcW w:w="5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5"/>
                <w:kern w:val="0"/>
                <w:sz w:val="21"/>
                <w:szCs w:val="21"/>
                <w:highlight w:val="none"/>
                <w:lang w:val="en-US" w:eastAsia="en-US" w:bidi="ar-SA"/>
              </w:rPr>
            </w:pPr>
            <w:r>
              <w:rPr>
                <w:rFonts w:hint="default" w:ascii="Times New Roman" w:hAnsi="Times New Roman" w:eastAsia="宋体" w:cs="Times New Roman"/>
                <w:snapToGrid w:val="0"/>
                <w:color w:val="FF0000"/>
                <w:spacing w:val="-14"/>
                <w:kern w:val="0"/>
                <w:sz w:val="21"/>
                <w:szCs w:val="21"/>
                <w:highlight w:val="none"/>
                <w:lang w:eastAsia="en-US"/>
              </w:rPr>
              <w:t>Ⅰ</w:t>
            </w:r>
            <w:r>
              <w:rPr>
                <w:rFonts w:hint="default" w:ascii="Times New Roman" w:hAnsi="Times New Roman" w:eastAsia="宋体" w:cs="Times New Roman"/>
                <w:snapToGrid w:val="0"/>
                <w:color w:val="FF0000"/>
                <w:spacing w:val="-8"/>
                <w:kern w:val="0"/>
                <w:sz w:val="21"/>
                <w:szCs w:val="21"/>
                <w:highlight w:val="none"/>
                <w:lang w:val="en-US" w:eastAsia="en-US" w:bidi="ar-SA"/>
              </w:rPr>
              <w:t>级基准值</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26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16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21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4</w:t>
            </w:r>
          </w:p>
        </w:tc>
        <w:tc>
          <w:tcPr>
            <w:tcW w:w="634"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1"/>
                <w:kern w:val="0"/>
                <w:sz w:val="21"/>
                <w:szCs w:val="21"/>
                <w:highlight w:val="none"/>
                <w:lang w:eastAsia="en-US"/>
              </w:rPr>
              <w:t>处理单位绝干污泥的絮凝剂用量</w:t>
            </w:r>
            <w:r>
              <w:rPr>
                <w:rFonts w:hint="default" w:ascii="Times New Roman" w:hAnsi="Times New Roman" w:eastAsia="宋体" w:cs="Times New Roman"/>
                <w:snapToGrid w:val="0"/>
                <w:color w:val="FF0000"/>
                <w:spacing w:val="-1"/>
                <w:kern w:val="0"/>
                <w:position w:val="8"/>
                <w:sz w:val="21"/>
                <w:szCs w:val="21"/>
                <w:highlight w:val="none"/>
                <w:lang w:eastAsia="en-US"/>
              </w:rPr>
              <w:t>①</w:t>
            </w:r>
          </w:p>
        </w:tc>
        <w:tc>
          <w:tcPr>
            <w:tcW w:w="27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1"/>
                <w:kern w:val="0"/>
                <w:sz w:val="21"/>
                <w:szCs w:val="21"/>
                <w:highlight w:val="none"/>
                <w:lang w:val="en-US" w:eastAsia="en-US" w:bidi="ar-SA"/>
              </w:rPr>
              <w:t>kg/t</w:t>
            </w:r>
          </w:p>
        </w:tc>
        <w:tc>
          <w:tcPr>
            <w:tcW w:w="183"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0.16</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5"/>
                <w:kern w:val="0"/>
                <w:sz w:val="21"/>
                <w:szCs w:val="21"/>
                <w:highlight w:val="none"/>
                <w:lang w:val="en-US" w:eastAsia="en-US" w:bidi="ar-SA"/>
              </w:rPr>
              <w:t>1.50</w:t>
            </w:r>
          </w:p>
        </w:tc>
        <w:tc>
          <w:tcPr>
            <w:tcW w:w="4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1"/>
                <w:kern w:val="0"/>
                <w:sz w:val="21"/>
                <w:szCs w:val="21"/>
                <w:highlight w:val="none"/>
                <w:lang w:val="en-US" w:eastAsia="en-US" w:bidi="ar-SA"/>
              </w:rPr>
              <w:t>2.00</w:t>
            </w:r>
          </w:p>
        </w:tc>
        <w:tc>
          <w:tcPr>
            <w:tcW w:w="787"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3.00</w:t>
            </w:r>
          </w:p>
        </w:tc>
        <w:tc>
          <w:tcPr>
            <w:tcW w:w="7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2"/>
                <w:kern w:val="0"/>
                <w:sz w:val="21"/>
                <w:szCs w:val="21"/>
                <w:highlight w:val="none"/>
                <w:lang w:val="en-US" w:eastAsia="zh-CN" w:bidi="ar-SA"/>
              </w:rPr>
            </w:pPr>
            <w:r>
              <w:rPr>
                <w:rFonts w:hint="default" w:ascii="Times New Roman" w:hAnsi="Times New Roman" w:eastAsia="宋体" w:cs="Times New Roman"/>
                <w:snapToGrid w:val="0"/>
                <w:color w:val="FF0000"/>
                <w:spacing w:val="-1"/>
                <w:kern w:val="0"/>
                <w:sz w:val="21"/>
                <w:szCs w:val="21"/>
                <w:highlight w:val="none"/>
                <w:lang w:eastAsia="en-US"/>
              </w:rPr>
              <w:t>处理单位绝干污泥的絮凝剂用量</w:t>
            </w:r>
            <w:r>
              <w:rPr>
                <w:rFonts w:hint="eastAsia" w:ascii="Times New Roman" w:hAnsi="Times New Roman" w:cs="Times New Roman"/>
                <w:snapToGrid w:val="0"/>
                <w:color w:val="FF0000"/>
                <w:spacing w:val="-1"/>
                <w:kern w:val="0"/>
                <w:sz w:val="21"/>
                <w:szCs w:val="21"/>
                <w:highlight w:val="none"/>
                <w:lang w:val="en-US" w:eastAsia="zh-CN"/>
              </w:rPr>
              <w:t>1.1</w:t>
            </w:r>
          </w:p>
        </w:tc>
        <w:tc>
          <w:tcPr>
            <w:tcW w:w="5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2"/>
                <w:kern w:val="0"/>
                <w:sz w:val="21"/>
                <w:szCs w:val="21"/>
                <w:highlight w:val="none"/>
                <w:lang w:val="en-US" w:eastAsia="en-US" w:bidi="ar-SA"/>
              </w:rPr>
            </w:pPr>
            <w:r>
              <w:rPr>
                <w:rFonts w:hint="default" w:ascii="Times New Roman" w:hAnsi="Times New Roman" w:eastAsia="宋体" w:cs="Times New Roman"/>
                <w:snapToGrid w:val="0"/>
                <w:color w:val="FF0000"/>
                <w:spacing w:val="-8"/>
                <w:kern w:val="0"/>
                <w:sz w:val="21"/>
                <w:szCs w:val="21"/>
                <w:highlight w:val="none"/>
                <w:lang w:val="en-US" w:eastAsia="en-US" w:bidi="ar-SA"/>
              </w:rPr>
              <w:t>Ⅱ级基准值</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8" w:hRule="atLeast"/>
        </w:trPr>
        <w:tc>
          <w:tcPr>
            <w:tcW w:w="269"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4"/>
                <w:kern w:val="0"/>
                <w:sz w:val="21"/>
                <w:szCs w:val="21"/>
                <w:highlight w:val="none"/>
                <w:lang w:eastAsia="en-US"/>
              </w:rPr>
              <w:t>资源综合</w:t>
            </w:r>
            <w:r>
              <w:rPr>
                <w:rFonts w:hint="default" w:ascii="Times New Roman" w:hAnsi="Times New Roman" w:eastAsia="宋体" w:cs="Times New Roman"/>
                <w:snapToGrid w:val="0"/>
                <w:color w:val="FF0000"/>
                <w:spacing w:val="-2"/>
                <w:kern w:val="0"/>
                <w:sz w:val="21"/>
                <w:szCs w:val="21"/>
                <w:highlight w:val="none"/>
                <w:lang w:eastAsia="en-US"/>
              </w:rPr>
              <w:t>利用指标</w:t>
            </w:r>
          </w:p>
        </w:tc>
        <w:tc>
          <w:tcPr>
            <w:tcW w:w="166"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0.10</w:t>
            </w:r>
          </w:p>
        </w:tc>
        <w:tc>
          <w:tcPr>
            <w:tcW w:w="21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1</w:t>
            </w:r>
          </w:p>
        </w:tc>
        <w:tc>
          <w:tcPr>
            <w:tcW w:w="37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kern w:val="0"/>
                <w:sz w:val="21"/>
                <w:szCs w:val="21"/>
                <w:highlight w:val="none"/>
                <w:lang w:eastAsia="en-US"/>
              </w:rPr>
              <w:t>尾水回用率</w:t>
            </w:r>
            <w:r>
              <w:rPr>
                <w:rFonts w:hint="default" w:ascii="Times New Roman" w:hAnsi="Times New Roman" w:eastAsia="宋体" w:cs="Times New Roman"/>
                <w:snapToGrid w:val="0"/>
                <w:color w:val="FF0000"/>
                <w:kern w:val="0"/>
                <w:position w:val="8"/>
                <w:sz w:val="21"/>
                <w:szCs w:val="21"/>
                <w:highlight w:val="none"/>
                <w:lang w:eastAsia="en-US"/>
              </w:rPr>
              <w:t>②</w:t>
            </w:r>
          </w:p>
        </w:tc>
        <w:tc>
          <w:tcPr>
            <w:tcW w:w="25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2"/>
                <w:kern w:val="0"/>
                <w:sz w:val="21"/>
                <w:szCs w:val="21"/>
                <w:highlight w:val="none"/>
                <w:lang w:eastAsia="en-US"/>
              </w:rPr>
              <w:t>缺水地区</w:t>
            </w:r>
          </w:p>
        </w:tc>
        <w:tc>
          <w:tcPr>
            <w:tcW w:w="277"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w:t>
            </w:r>
          </w:p>
        </w:tc>
        <w:tc>
          <w:tcPr>
            <w:tcW w:w="1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0.55</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1"/>
                <w:kern w:val="0"/>
                <w:sz w:val="21"/>
                <w:szCs w:val="21"/>
                <w:highlight w:val="none"/>
                <w:lang w:val="en-US" w:eastAsia="en-US" w:bidi="ar-SA"/>
              </w:rPr>
              <w:t>20.0</w:t>
            </w:r>
          </w:p>
        </w:tc>
        <w:tc>
          <w:tcPr>
            <w:tcW w:w="4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6"/>
                <w:kern w:val="0"/>
                <w:sz w:val="21"/>
                <w:szCs w:val="21"/>
                <w:highlight w:val="none"/>
                <w:lang w:val="en-US" w:eastAsia="en-US" w:bidi="ar-SA"/>
              </w:rPr>
              <w:t>15.0</w:t>
            </w:r>
          </w:p>
        </w:tc>
        <w:tc>
          <w:tcPr>
            <w:tcW w:w="787"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6"/>
                <w:kern w:val="0"/>
                <w:sz w:val="21"/>
                <w:szCs w:val="21"/>
                <w:highlight w:val="none"/>
                <w:lang w:val="en-US" w:eastAsia="en-US" w:bidi="ar-SA"/>
              </w:rPr>
              <w:t>10.0</w:t>
            </w:r>
          </w:p>
        </w:tc>
        <w:tc>
          <w:tcPr>
            <w:tcW w:w="7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6"/>
                <w:kern w:val="0"/>
                <w:sz w:val="21"/>
                <w:szCs w:val="21"/>
                <w:highlight w:val="none"/>
                <w:lang w:val="en-US" w:eastAsia="zh-CN" w:bidi="ar-SA"/>
              </w:rPr>
            </w:pPr>
            <w:r>
              <w:rPr>
                <w:rFonts w:hint="default" w:ascii="Times New Roman" w:hAnsi="Times New Roman" w:eastAsia="宋体" w:cs="Times New Roman"/>
                <w:snapToGrid w:val="0"/>
                <w:color w:val="FF0000"/>
                <w:kern w:val="0"/>
                <w:sz w:val="21"/>
                <w:szCs w:val="21"/>
                <w:highlight w:val="none"/>
                <w:lang w:eastAsia="en-US"/>
              </w:rPr>
              <w:t>尾水回用率</w:t>
            </w:r>
            <w:r>
              <w:rPr>
                <w:rFonts w:hint="eastAsia" w:cs="Times New Roman"/>
                <w:snapToGrid w:val="0"/>
                <w:color w:val="FF0000"/>
                <w:spacing w:val="-6"/>
                <w:kern w:val="0"/>
                <w:sz w:val="21"/>
                <w:szCs w:val="21"/>
                <w:highlight w:val="none"/>
                <w:lang w:val="en-US" w:eastAsia="zh-CN" w:bidi="ar-SA"/>
              </w:rPr>
              <w:t>100%，用于园区绿化和生态林灌溉</w:t>
            </w:r>
          </w:p>
        </w:tc>
        <w:tc>
          <w:tcPr>
            <w:tcW w:w="5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6"/>
                <w:kern w:val="0"/>
                <w:sz w:val="21"/>
                <w:szCs w:val="21"/>
                <w:highlight w:val="none"/>
                <w:lang w:val="en-US" w:eastAsia="zh-CN" w:bidi="ar-SA"/>
              </w:rPr>
            </w:pPr>
            <w:r>
              <w:rPr>
                <w:rFonts w:hint="default" w:ascii="Times New Roman" w:hAnsi="Times New Roman" w:eastAsia="宋体" w:cs="Times New Roman"/>
                <w:snapToGrid w:val="0"/>
                <w:color w:val="FF0000"/>
                <w:spacing w:val="-14"/>
                <w:kern w:val="0"/>
                <w:sz w:val="21"/>
                <w:szCs w:val="21"/>
                <w:highlight w:val="none"/>
                <w:lang w:eastAsia="en-US"/>
              </w:rPr>
              <w:t>Ⅰ</w:t>
            </w:r>
            <w:r>
              <w:rPr>
                <w:rFonts w:hint="default" w:ascii="Times New Roman" w:hAnsi="Times New Roman" w:eastAsia="宋体" w:cs="Times New Roman"/>
                <w:snapToGrid w:val="0"/>
                <w:color w:val="FF0000"/>
                <w:spacing w:val="-8"/>
                <w:kern w:val="0"/>
                <w:sz w:val="21"/>
                <w:szCs w:val="21"/>
                <w:highlight w:val="none"/>
                <w:lang w:val="en-US" w:eastAsia="en-US" w:bidi="ar-SA"/>
              </w:rPr>
              <w:t>级</w:t>
            </w:r>
            <w:r>
              <w:rPr>
                <w:rFonts w:hint="default" w:ascii="Times New Roman" w:hAnsi="Times New Roman" w:eastAsia="宋体" w:cs="Times New Roman"/>
                <w:snapToGrid w:val="0"/>
                <w:color w:val="FF0000"/>
                <w:spacing w:val="-2"/>
                <w:kern w:val="0"/>
                <w:sz w:val="21"/>
                <w:szCs w:val="21"/>
                <w:highlight w:val="none"/>
                <w:lang w:val="en-US" w:eastAsia="en-US" w:bidi="ar-SA"/>
              </w:rPr>
              <w:t>基准值</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8" w:hRule="atLeast"/>
        </w:trPr>
        <w:tc>
          <w:tcPr>
            <w:tcW w:w="26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16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21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2</w:t>
            </w:r>
          </w:p>
        </w:tc>
        <w:tc>
          <w:tcPr>
            <w:tcW w:w="634"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1"/>
                <w:kern w:val="0"/>
                <w:sz w:val="21"/>
                <w:szCs w:val="21"/>
                <w:highlight w:val="none"/>
                <w:lang w:eastAsia="en-US"/>
              </w:rPr>
              <w:t>一般工业固体废物综合利用率</w:t>
            </w:r>
          </w:p>
        </w:tc>
        <w:tc>
          <w:tcPr>
            <w:tcW w:w="27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w:t>
            </w:r>
          </w:p>
        </w:tc>
        <w:tc>
          <w:tcPr>
            <w:tcW w:w="183"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0.35</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90.0</w:t>
            </w:r>
          </w:p>
        </w:tc>
        <w:tc>
          <w:tcPr>
            <w:tcW w:w="4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70.0</w:t>
            </w:r>
          </w:p>
        </w:tc>
        <w:tc>
          <w:tcPr>
            <w:tcW w:w="787"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3"/>
                <w:kern w:val="0"/>
                <w:sz w:val="21"/>
                <w:szCs w:val="21"/>
                <w:highlight w:val="none"/>
                <w:lang w:val="en-US" w:eastAsia="en-US" w:bidi="ar-SA"/>
              </w:rPr>
              <w:t>50.0</w:t>
            </w:r>
          </w:p>
        </w:tc>
        <w:tc>
          <w:tcPr>
            <w:tcW w:w="7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3"/>
                <w:kern w:val="0"/>
                <w:sz w:val="21"/>
                <w:szCs w:val="21"/>
                <w:highlight w:val="none"/>
                <w:lang w:val="en-US" w:eastAsia="zh-CN" w:bidi="ar-SA"/>
              </w:rPr>
            </w:pPr>
            <w:r>
              <w:rPr>
                <w:rFonts w:hint="eastAsia" w:cs="Times New Roman"/>
                <w:snapToGrid w:val="0"/>
                <w:color w:val="FF0000"/>
                <w:spacing w:val="-3"/>
                <w:kern w:val="0"/>
                <w:sz w:val="21"/>
                <w:szCs w:val="21"/>
                <w:highlight w:val="none"/>
                <w:lang w:val="en-US" w:eastAsia="zh-CN" w:bidi="ar-SA"/>
              </w:rPr>
              <w:t>0</w:t>
            </w:r>
          </w:p>
        </w:tc>
        <w:tc>
          <w:tcPr>
            <w:tcW w:w="5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snapToGrid w:val="0"/>
                <w:color w:val="FF0000"/>
                <w:spacing w:val="-3"/>
                <w:kern w:val="0"/>
                <w:sz w:val="21"/>
                <w:szCs w:val="21"/>
                <w:highlight w:val="none"/>
                <w:lang w:val="en-US" w:eastAsia="zh-CN" w:bidi="ar-SA"/>
              </w:rPr>
            </w:pPr>
            <w:r>
              <w:rPr>
                <w:rFonts w:hint="eastAsia" w:cs="Times New Roman"/>
                <w:snapToGrid w:val="0"/>
                <w:color w:val="FF0000"/>
                <w:spacing w:val="-2"/>
                <w:kern w:val="0"/>
                <w:sz w:val="21"/>
                <w:szCs w:val="21"/>
                <w:highlight w:val="none"/>
                <w:lang w:val="en-US" w:eastAsia="zh-CN" w:bidi="ar-SA"/>
              </w:rPr>
              <w:t>/</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26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16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21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3</w:t>
            </w:r>
          </w:p>
        </w:tc>
        <w:tc>
          <w:tcPr>
            <w:tcW w:w="634"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2"/>
                <w:kern w:val="0"/>
                <w:sz w:val="21"/>
                <w:szCs w:val="21"/>
                <w:highlight w:val="none"/>
                <w:lang w:eastAsia="en-US"/>
              </w:rPr>
              <w:t>危险废物处置率</w:t>
            </w:r>
          </w:p>
        </w:tc>
        <w:tc>
          <w:tcPr>
            <w:tcW w:w="27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w:t>
            </w:r>
          </w:p>
        </w:tc>
        <w:tc>
          <w:tcPr>
            <w:tcW w:w="183"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0.10</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4"/>
                <w:kern w:val="0"/>
                <w:sz w:val="21"/>
                <w:szCs w:val="21"/>
                <w:highlight w:val="none"/>
                <w:lang w:val="en-US" w:eastAsia="en-US" w:bidi="ar-SA"/>
              </w:rPr>
              <w:t>100.0</w:t>
            </w:r>
          </w:p>
        </w:tc>
        <w:tc>
          <w:tcPr>
            <w:tcW w:w="4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4"/>
                <w:kern w:val="0"/>
                <w:sz w:val="21"/>
                <w:szCs w:val="21"/>
                <w:highlight w:val="none"/>
                <w:lang w:val="en-US" w:eastAsia="en-US" w:bidi="ar-SA"/>
              </w:rPr>
              <w:t>100.0</w:t>
            </w:r>
          </w:p>
        </w:tc>
        <w:tc>
          <w:tcPr>
            <w:tcW w:w="787"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4"/>
                <w:kern w:val="0"/>
                <w:sz w:val="21"/>
                <w:szCs w:val="21"/>
                <w:highlight w:val="none"/>
                <w:lang w:val="en-US" w:eastAsia="en-US" w:bidi="ar-SA"/>
              </w:rPr>
              <w:t>100.0</w:t>
            </w:r>
          </w:p>
        </w:tc>
        <w:tc>
          <w:tcPr>
            <w:tcW w:w="7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4"/>
                <w:kern w:val="0"/>
                <w:sz w:val="21"/>
                <w:szCs w:val="21"/>
                <w:highlight w:val="none"/>
                <w:lang w:val="en-US" w:eastAsia="zh-CN" w:bidi="ar-SA"/>
              </w:rPr>
            </w:pPr>
            <w:r>
              <w:rPr>
                <w:rFonts w:hint="default" w:ascii="Times New Roman" w:hAnsi="Times New Roman" w:eastAsia="宋体" w:cs="Times New Roman"/>
                <w:snapToGrid w:val="0"/>
                <w:color w:val="FF0000"/>
                <w:spacing w:val="-4"/>
                <w:kern w:val="0"/>
                <w:sz w:val="21"/>
                <w:szCs w:val="21"/>
                <w:highlight w:val="none"/>
                <w:lang w:val="en-US" w:eastAsia="zh-CN" w:bidi="ar-SA"/>
              </w:rPr>
              <w:t>100</w:t>
            </w:r>
          </w:p>
        </w:tc>
        <w:tc>
          <w:tcPr>
            <w:tcW w:w="5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4"/>
                <w:kern w:val="0"/>
                <w:sz w:val="21"/>
                <w:szCs w:val="21"/>
                <w:highlight w:val="none"/>
                <w:lang w:val="en-US" w:eastAsia="en-US" w:bidi="ar-SA"/>
              </w:rPr>
            </w:pPr>
            <w:r>
              <w:rPr>
                <w:rFonts w:hint="default" w:ascii="Times New Roman" w:hAnsi="Times New Roman" w:eastAsia="宋体" w:cs="Times New Roman"/>
                <w:snapToGrid w:val="0"/>
                <w:color w:val="FF0000"/>
                <w:spacing w:val="-8"/>
                <w:kern w:val="0"/>
                <w:sz w:val="21"/>
                <w:szCs w:val="21"/>
                <w:highlight w:val="none"/>
                <w:lang w:val="en-US" w:eastAsia="en-US" w:bidi="ar-SA"/>
              </w:rPr>
              <w:t>Ⅱ级基准值</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8" w:hRule="atLeast"/>
        </w:trPr>
        <w:tc>
          <w:tcPr>
            <w:tcW w:w="269"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3"/>
                <w:kern w:val="0"/>
                <w:sz w:val="21"/>
                <w:szCs w:val="21"/>
                <w:highlight w:val="none"/>
                <w:lang w:eastAsia="en-US"/>
              </w:rPr>
              <w:t>污染物产生指标</w:t>
            </w:r>
          </w:p>
        </w:tc>
        <w:tc>
          <w:tcPr>
            <w:tcW w:w="166"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0.16</w:t>
            </w:r>
          </w:p>
        </w:tc>
        <w:tc>
          <w:tcPr>
            <w:tcW w:w="21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1</w:t>
            </w:r>
          </w:p>
        </w:tc>
        <w:tc>
          <w:tcPr>
            <w:tcW w:w="634"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2"/>
                <w:kern w:val="0"/>
                <w:sz w:val="21"/>
                <w:szCs w:val="21"/>
                <w:highlight w:val="none"/>
                <w:lang w:eastAsia="en-US"/>
              </w:rPr>
              <w:t>污泥含水率</w:t>
            </w:r>
          </w:p>
        </w:tc>
        <w:tc>
          <w:tcPr>
            <w:tcW w:w="27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w:t>
            </w:r>
          </w:p>
        </w:tc>
        <w:tc>
          <w:tcPr>
            <w:tcW w:w="183"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0.53</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1"/>
                <w:kern w:val="0"/>
                <w:sz w:val="21"/>
                <w:szCs w:val="21"/>
                <w:highlight w:val="none"/>
                <w:lang w:val="en-US" w:eastAsia="en-US" w:bidi="ar-SA"/>
              </w:rPr>
              <w:t>40</w:t>
            </w:r>
          </w:p>
        </w:tc>
        <w:tc>
          <w:tcPr>
            <w:tcW w:w="4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4"/>
                <w:kern w:val="0"/>
                <w:sz w:val="21"/>
                <w:szCs w:val="21"/>
                <w:highlight w:val="none"/>
                <w:lang w:val="en-US" w:eastAsia="en-US" w:bidi="ar-SA"/>
              </w:rPr>
              <w:t>60</w:t>
            </w:r>
          </w:p>
        </w:tc>
        <w:tc>
          <w:tcPr>
            <w:tcW w:w="787"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3"/>
                <w:kern w:val="0"/>
                <w:sz w:val="21"/>
                <w:szCs w:val="21"/>
                <w:highlight w:val="none"/>
                <w:lang w:val="en-US" w:eastAsia="en-US" w:bidi="ar-SA"/>
              </w:rPr>
              <w:t>75</w:t>
            </w:r>
          </w:p>
        </w:tc>
        <w:tc>
          <w:tcPr>
            <w:tcW w:w="7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3"/>
                <w:kern w:val="0"/>
                <w:sz w:val="21"/>
                <w:szCs w:val="21"/>
                <w:highlight w:val="none"/>
                <w:lang w:val="en-US" w:eastAsia="zh-CN" w:bidi="ar-SA"/>
              </w:rPr>
            </w:pPr>
            <w:r>
              <w:rPr>
                <w:rFonts w:hint="default" w:ascii="Times New Roman" w:hAnsi="Times New Roman" w:eastAsia="宋体" w:cs="Times New Roman"/>
                <w:snapToGrid w:val="0"/>
                <w:color w:val="FF0000"/>
                <w:spacing w:val="-3"/>
                <w:kern w:val="0"/>
                <w:sz w:val="21"/>
                <w:szCs w:val="21"/>
                <w:highlight w:val="none"/>
                <w:lang w:val="en-US" w:eastAsia="zh-CN" w:bidi="ar-SA"/>
              </w:rPr>
              <w:t>60</w:t>
            </w:r>
          </w:p>
        </w:tc>
        <w:tc>
          <w:tcPr>
            <w:tcW w:w="5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3"/>
                <w:kern w:val="0"/>
                <w:sz w:val="21"/>
                <w:szCs w:val="21"/>
                <w:highlight w:val="none"/>
                <w:lang w:val="en-US" w:eastAsia="en-US" w:bidi="ar-SA"/>
              </w:rPr>
            </w:pPr>
            <w:r>
              <w:rPr>
                <w:rFonts w:hint="default" w:ascii="Times New Roman" w:hAnsi="Times New Roman" w:eastAsia="宋体" w:cs="Times New Roman"/>
                <w:snapToGrid w:val="0"/>
                <w:color w:val="FF0000"/>
                <w:spacing w:val="-8"/>
                <w:kern w:val="0"/>
                <w:sz w:val="21"/>
                <w:szCs w:val="21"/>
                <w:highlight w:val="none"/>
                <w:lang w:val="en-US" w:eastAsia="en-US" w:bidi="ar-SA"/>
              </w:rPr>
              <w:t>Ⅱ级基准值</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26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16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21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2</w:t>
            </w:r>
          </w:p>
        </w:tc>
        <w:tc>
          <w:tcPr>
            <w:tcW w:w="634"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1"/>
                <w:kern w:val="0"/>
                <w:sz w:val="21"/>
                <w:szCs w:val="21"/>
                <w:highlight w:val="none"/>
                <w:lang w:eastAsia="en-US"/>
              </w:rPr>
              <w:t>处理单位污水产生绝干污泥量</w:t>
            </w:r>
          </w:p>
        </w:tc>
        <w:tc>
          <w:tcPr>
            <w:tcW w:w="27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1"/>
                <w:kern w:val="0"/>
                <w:sz w:val="21"/>
                <w:szCs w:val="21"/>
                <w:highlight w:val="none"/>
                <w:lang w:val="en-US" w:eastAsia="en-US" w:bidi="ar-SA"/>
              </w:rPr>
              <w:t>t/万t</w:t>
            </w:r>
          </w:p>
        </w:tc>
        <w:tc>
          <w:tcPr>
            <w:tcW w:w="183"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0.17</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0.5</w:t>
            </w:r>
          </w:p>
        </w:tc>
        <w:tc>
          <w:tcPr>
            <w:tcW w:w="4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7"/>
                <w:kern w:val="0"/>
                <w:sz w:val="21"/>
                <w:szCs w:val="21"/>
                <w:highlight w:val="none"/>
                <w:lang w:val="en-US" w:eastAsia="en-US" w:bidi="ar-SA"/>
              </w:rPr>
              <w:t>1.0</w:t>
            </w:r>
          </w:p>
        </w:tc>
        <w:tc>
          <w:tcPr>
            <w:tcW w:w="787"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7"/>
                <w:kern w:val="0"/>
                <w:sz w:val="21"/>
                <w:szCs w:val="21"/>
                <w:highlight w:val="none"/>
                <w:lang w:val="en-US" w:eastAsia="en-US" w:bidi="ar-SA"/>
              </w:rPr>
              <w:t>1.5</w:t>
            </w:r>
          </w:p>
        </w:tc>
        <w:tc>
          <w:tcPr>
            <w:tcW w:w="7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7"/>
                <w:kern w:val="0"/>
                <w:sz w:val="21"/>
                <w:szCs w:val="21"/>
                <w:highlight w:val="none"/>
                <w:lang w:val="en-US" w:eastAsia="zh-CN" w:bidi="ar-SA"/>
              </w:rPr>
            </w:pPr>
            <w:r>
              <w:rPr>
                <w:rFonts w:hint="eastAsia" w:ascii="Times New Roman" w:hAnsi="Times New Roman" w:cs="Times New Roman"/>
                <w:snapToGrid w:val="0"/>
                <w:color w:val="FF0000"/>
                <w:spacing w:val="-1"/>
                <w:kern w:val="0"/>
                <w:sz w:val="21"/>
                <w:szCs w:val="21"/>
                <w:highlight w:val="none"/>
                <w:lang w:val="en-US" w:eastAsia="zh-CN"/>
              </w:rPr>
              <w:t>污泥总量为9537.52（含水量80%），绝干污泥为1907.504，</w:t>
            </w:r>
            <w:r>
              <w:rPr>
                <w:rFonts w:hint="default" w:ascii="Times New Roman" w:hAnsi="Times New Roman" w:eastAsia="宋体" w:cs="Times New Roman"/>
                <w:snapToGrid w:val="0"/>
                <w:color w:val="FF0000"/>
                <w:spacing w:val="-1"/>
                <w:kern w:val="0"/>
                <w:sz w:val="21"/>
                <w:szCs w:val="21"/>
                <w:highlight w:val="none"/>
                <w:lang w:eastAsia="en-US"/>
              </w:rPr>
              <w:t>处理单位污水产生绝干污泥量</w:t>
            </w:r>
            <w:r>
              <w:rPr>
                <w:rFonts w:hint="eastAsia" w:cs="Times New Roman"/>
                <w:snapToGrid w:val="0"/>
                <w:color w:val="FF0000"/>
                <w:spacing w:val="-7"/>
                <w:kern w:val="0"/>
                <w:sz w:val="21"/>
                <w:szCs w:val="21"/>
                <w:highlight w:val="none"/>
                <w:lang w:val="en-US" w:eastAsia="zh-CN" w:bidi="ar-SA"/>
              </w:rPr>
              <w:t>2.85</w:t>
            </w:r>
          </w:p>
        </w:tc>
        <w:tc>
          <w:tcPr>
            <w:tcW w:w="5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snapToGrid w:val="0"/>
                <w:color w:val="FF0000"/>
                <w:spacing w:val="-8"/>
                <w:kern w:val="0"/>
                <w:sz w:val="21"/>
                <w:szCs w:val="21"/>
                <w:highlight w:val="none"/>
                <w:lang w:val="en-US" w:eastAsia="zh-CN" w:bidi="ar-SA"/>
              </w:rPr>
            </w:pPr>
            <w:r>
              <w:rPr>
                <w:rFonts w:hint="eastAsia" w:cs="Times New Roman"/>
                <w:snapToGrid w:val="0"/>
                <w:color w:val="FF0000"/>
                <w:spacing w:val="-8"/>
                <w:kern w:val="0"/>
                <w:sz w:val="21"/>
                <w:szCs w:val="21"/>
                <w:highlight w:val="none"/>
                <w:lang w:val="en-US" w:eastAsia="zh-CN" w:bidi="ar-SA"/>
              </w:rPr>
              <w:t>/</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26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16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21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3</w:t>
            </w:r>
          </w:p>
        </w:tc>
        <w:tc>
          <w:tcPr>
            <w:tcW w:w="634"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1"/>
                <w:kern w:val="0"/>
                <w:sz w:val="21"/>
                <w:szCs w:val="21"/>
                <w:highlight w:val="none"/>
                <w:lang w:eastAsia="en-US"/>
              </w:rPr>
              <w:t>去除单位化学需氧量产生绝干污泥量</w:t>
            </w:r>
          </w:p>
        </w:tc>
        <w:tc>
          <w:tcPr>
            <w:tcW w:w="27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kg/kg化学</w:t>
            </w:r>
            <w:r>
              <w:rPr>
                <w:rFonts w:hint="default" w:ascii="Times New Roman" w:hAnsi="Times New Roman" w:eastAsia="宋体" w:cs="Times New Roman"/>
                <w:snapToGrid w:val="0"/>
                <w:color w:val="FF0000"/>
                <w:spacing w:val="-6"/>
                <w:kern w:val="0"/>
                <w:sz w:val="21"/>
                <w:szCs w:val="21"/>
                <w:highlight w:val="none"/>
                <w:lang w:val="en-US" w:eastAsia="en-US" w:bidi="ar-SA"/>
              </w:rPr>
              <w:t>需氧量</w:t>
            </w:r>
          </w:p>
        </w:tc>
        <w:tc>
          <w:tcPr>
            <w:tcW w:w="183"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0.15</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0.20</w:t>
            </w:r>
          </w:p>
        </w:tc>
        <w:tc>
          <w:tcPr>
            <w:tcW w:w="4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0.35</w:t>
            </w:r>
          </w:p>
        </w:tc>
        <w:tc>
          <w:tcPr>
            <w:tcW w:w="787"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0.50</w:t>
            </w:r>
          </w:p>
        </w:tc>
        <w:tc>
          <w:tcPr>
            <w:tcW w:w="7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FF0000"/>
                <w:spacing w:val="-2"/>
                <w:kern w:val="0"/>
                <w:sz w:val="21"/>
                <w:szCs w:val="21"/>
                <w:highlight w:val="none"/>
                <w:lang w:val="en-US" w:eastAsia="zh-CN" w:bidi="ar-SA"/>
              </w:rPr>
            </w:pPr>
            <w:r>
              <w:rPr>
                <w:rFonts w:hint="default" w:ascii="Times New Roman" w:hAnsi="Times New Roman" w:eastAsia="宋体" w:cs="Times New Roman"/>
                <w:snapToGrid w:val="0"/>
                <w:color w:val="FF0000"/>
                <w:spacing w:val="-1"/>
                <w:kern w:val="0"/>
                <w:sz w:val="21"/>
                <w:szCs w:val="21"/>
                <w:highlight w:val="none"/>
                <w:lang w:eastAsia="en-US"/>
              </w:rPr>
              <w:t>去除单位化学需氧量产生绝干污泥量</w:t>
            </w:r>
            <w:r>
              <w:rPr>
                <w:rFonts w:hint="eastAsia" w:cs="Times New Roman"/>
                <w:snapToGrid w:val="0"/>
                <w:color w:val="FF0000"/>
                <w:spacing w:val="-2"/>
                <w:kern w:val="0"/>
                <w:sz w:val="21"/>
                <w:szCs w:val="21"/>
                <w:highlight w:val="none"/>
                <w:lang w:val="en-US" w:eastAsia="zh-CN" w:bidi="ar-SA"/>
              </w:rPr>
              <w:t>0.51</w:t>
            </w:r>
          </w:p>
        </w:tc>
        <w:tc>
          <w:tcPr>
            <w:tcW w:w="5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snapToGrid w:val="0"/>
                <w:color w:val="FF0000"/>
                <w:spacing w:val="-8"/>
                <w:kern w:val="0"/>
                <w:sz w:val="21"/>
                <w:szCs w:val="21"/>
                <w:highlight w:val="none"/>
                <w:lang w:val="en-US" w:eastAsia="zh-CN" w:bidi="ar-SA"/>
              </w:rPr>
            </w:pPr>
            <w:r>
              <w:rPr>
                <w:rFonts w:hint="eastAsia" w:ascii="Times New Roman" w:hAnsi="Times New Roman" w:cs="Times New Roman"/>
                <w:snapToGrid w:val="0"/>
                <w:color w:val="FF0000"/>
                <w:spacing w:val="-14"/>
                <w:kern w:val="0"/>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26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16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21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4</w:t>
            </w:r>
          </w:p>
        </w:tc>
        <w:tc>
          <w:tcPr>
            <w:tcW w:w="634"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去除单位SS产生绝干污泥量</w:t>
            </w:r>
          </w:p>
        </w:tc>
        <w:tc>
          <w:tcPr>
            <w:tcW w:w="27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1"/>
                <w:kern w:val="0"/>
                <w:sz w:val="21"/>
                <w:szCs w:val="21"/>
                <w:highlight w:val="none"/>
                <w:lang w:val="en-US" w:eastAsia="en-US" w:bidi="ar-SA"/>
              </w:rPr>
              <w:t>kg/kgSS</w:t>
            </w:r>
          </w:p>
        </w:tc>
        <w:tc>
          <w:tcPr>
            <w:tcW w:w="183"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0.15</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0.30</w:t>
            </w:r>
          </w:p>
        </w:tc>
        <w:tc>
          <w:tcPr>
            <w:tcW w:w="4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0.50</w:t>
            </w:r>
          </w:p>
        </w:tc>
        <w:tc>
          <w:tcPr>
            <w:tcW w:w="787"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0.80</w:t>
            </w:r>
          </w:p>
        </w:tc>
        <w:tc>
          <w:tcPr>
            <w:tcW w:w="7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FF0000"/>
                <w:spacing w:val="-2"/>
                <w:kern w:val="0"/>
                <w:sz w:val="21"/>
                <w:szCs w:val="21"/>
                <w:highlight w:val="none"/>
                <w:lang w:val="en-US" w:eastAsia="zh-CN"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去除单位SS产生绝干污泥量</w:t>
            </w:r>
            <w:r>
              <w:rPr>
                <w:rFonts w:hint="eastAsia" w:ascii="Times New Roman" w:hAnsi="Times New Roman" w:cs="Times New Roman"/>
                <w:snapToGrid w:val="0"/>
                <w:color w:val="FF0000"/>
                <w:spacing w:val="-2"/>
                <w:kern w:val="0"/>
                <w:sz w:val="21"/>
                <w:szCs w:val="21"/>
                <w:highlight w:val="none"/>
                <w:lang w:val="en-US" w:eastAsia="zh-CN" w:bidi="ar-SA"/>
              </w:rPr>
              <w:t>0.82</w:t>
            </w:r>
          </w:p>
        </w:tc>
        <w:tc>
          <w:tcPr>
            <w:tcW w:w="5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snapToGrid w:val="0"/>
                <w:color w:val="FF0000"/>
                <w:spacing w:val="-8"/>
                <w:kern w:val="0"/>
                <w:sz w:val="21"/>
                <w:szCs w:val="21"/>
                <w:highlight w:val="none"/>
                <w:lang w:val="en-US" w:eastAsia="zh-CN" w:bidi="ar-SA"/>
              </w:rPr>
            </w:pPr>
            <w:r>
              <w:rPr>
                <w:rFonts w:hint="eastAsia" w:cs="Times New Roman"/>
                <w:snapToGrid w:val="0"/>
                <w:color w:val="FF0000"/>
                <w:spacing w:val="-8"/>
                <w:kern w:val="0"/>
                <w:sz w:val="21"/>
                <w:szCs w:val="21"/>
                <w:highlight w:val="none"/>
                <w:lang w:val="en-US" w:eastAsia="zh-CN" w:bidi="ar-SA"/>
              </w:rPr>
              <w:t>/</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8" w:hRule="atLeast"/>
        </w:trPr>
        <w:tc>
          <w:tcPr>
            <w:tcW w:w="269"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2"/>
                <w:kern w:val="0"/>
                <w:sz w:val="21"/>
                <w:szCs w:val="21"/>
                <w:highlight w:val="none"/>
                <w:lang w:eastAsia="en-US"/>
              </w:rPr>
              <w:t>产品特征</w:t>
            </w:r>
            <w:r>
              <w:rPr>
                <w:rFonts w:hint="default" w:ascii="Times New Roman" w:hAnsi="Times New Roman" w:eastAsia="宋体" w:cs="Times New Roman"/>
                <w:snapToGrid w:val="0"/>
                <w:color w:val="FF0000"/>
                <w:spacing w:val="-5"/>
                <w:kern w:val="0"/>
                <w:sz w:val="21"/>
                <w:szCs w:val="21"/>
                <w:highlight w:val="none"/>
                <w:lang w:eastAsia="en-US"/>
              </w:rPr>
              <w:t>指标</w:t>
            </w:r>
          </w:p>
        </w:tc>
        <w:tc>
          <w:tcPr>
            <w:tcW w:w="166"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0.14</w:t>
            </w:r>
          </w:p>
        </w:tc>
        <w:tc>
          <w:tcPr>
            <w:tcW w:w="21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1</w:t>
            </w:r>
          </w:p>
        </w:tc>
        <w:tc>
          <w:tcPr>
            <w:tcW w:w="634"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1"/>
                <w:kern w:val="0"/>
                <w:sz w:val="21"/>
                <w:szCs w:val="21"/>
                <w:highlight w:val="none"/>
                <w:lang w:val="en-US" w:eastAsia="en-US" w:bidi="ar-SA"/>
              </w:rPr>
              <w:t>*化学需氧量去除率</w:t>
            </w:r>
            <w:r>
              <w:rPr>
                <w:rFonts w:hint="default" w:ascii="Times New Roman" w:hAnsi="Times New Roman" w:eastAsia="宋体" w:cs="Times New Roman"/>
                <w:snapToGrid w:val="0"/>
                <w:color w:val="FF0000"/>
                <w:spacing w:val="-1"/>
                <w:kern w:val="0"/>
                <w:position w:val="8"/>
                <w:sz w:val="21"/>
                <w:szCs w:val="21"/>
                <w:highlight w:val="none"/>
                <w:lang w:val="en-US" w:eastAsia="en-US" w:bidi="ar-SA"/>
              </w:rPr>
              <w:t>③</w:t>
            </w:r>
          </w:p>
        </w:tc>
        <w:tc>
          <w:tcPr>
            <w:tcW w:w="27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w:t>
            </w:r>
          </w:p>
        </w:tc>
        <w:tc>
          <w:tcPr>
            <w:tcW w:w="183"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0.35</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95.0</w:t>
            </w:r>
          </w:p>
        </w:tc>
        <w:tc>
          <w:tcPr>
            <w:tcW w:w="4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90.0</w:t>
            </w:r>
          </w:p>
        </w:tc>
        <w:tc>
          <w:tcPr>
            <w:tcW w:w="787"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3"/>
                <w:kern w:val="0"/>
                <w:sz w:val="21"/>
                <w:szCs w:val="21"/>
                <w:highlight w:val="none"/>
                <w:lang w:val="en-US" w:eastAsia="en-US" w:bidi="ar-SA"/>
              </w:rPr>
              <w:t>85.0</w:t>
            </w:r>
          </w:p>
        </w:tc>
        <w:tc>
          <w:tcPr>
            <w:tcW w:w="7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FF0000"/>
                <w:spacing w:val="-3"/>
                <w:kern w:val="0"/>
                <w:sz w:val="21"/>
                <w:szCs w:val="21"/>
                <w:highlight w:val="none"/>
                <w:lang w:val="en-US" w:eastAsia="en-US" w:bidi="ar-SA"/>
              </w:rPr>
            </w:pPr>
            <w:r>
              <w:rPr>
                <w:rFonts w:hint="default" w:ascii="Times New Roman" w:hAnsi="Times New Roman" w:eastAsia="宋体" w:cs="Times New Roman"/>
                <w:snapToGrid w:val="0"/>
                <w:color w:val="FF0000"/>
                <w:spacing w:val="-1"/>
                <w:kern w:val="0"/>
                <w:sz w:val="21"/>
                <w:szCs w:val="21"/>
                <w:highlight w:val="none"/>
                <w:lang w:val="en-US" w:eastAsia="en-US" w:bidi="ar-SA"/>
              </w:rPr>
              <w:t>化学需氧量去除率</w:t>
            </w:r>
            <w:r>
              <w:rPr>
                <w:rFonts w:hint="default" w:ascii="Times New Roman" w:hAnsi="Times New Roman" w:eastAsia="宋体" w:cs="Times New Roman"/>
                <w:snapToGrid w:val="0"/>
                <w:color w:val="FF0000"/>
                <w:spacing w:val="-2"/>
                <w:kern w:val="0"/>
                <w:sz w:val="21"/>
                <w:szCs w:val="21"/>
                <w:highlight w:val="none"/>
                <w:lang w:val="en-US" w:eastAsia="en-US" w:bidi="ar-SA"/>
              </w:rPr>
              <w:t>90.0</w:t>
            </w:r>
          </w:p>
        </w:tc>
        <w:tc>
          <w:tcPr>
            <w:tcW w:w="5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8"/>
                <w:kern w:val="0"/>
                <w:sz w:val="21"/>
                <w:szCs w:val="21"/>
                <w:highlight w:val="none"/>
                <w:lang w:val="en-US" w:eastAsia="en-US" w:bidi="ar-SA"/>
              </w:rPr>
            </w:pPr>
            <w:r>
              <w:rPr>
                <w:rFonts w:hint="default" w:ascii="Times New Roman" w:hAnsi="Times New Roman" w:eastAsia="宋体" w:cs="Times New Roman"/>
                <w:snapToGrid w:val="0"/>
                <w:color w:val="FF0000"/>
                <w:spacing w:val="-8"/>
                <w:kern w:val="0"/>
                <w:sz w:val="21"/>
                <w:szCs w:val="21"/>
                <w:highlight w:val="none"/>
                <w:lang w:val="en-US" w:eastAsia="en-US" w:bidi="ar-SA"/>
              </w:rPr>
              <w:t>Ⅱ级基准值</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26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16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21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2</w:t>
            </w:r>
          </w:p>
        </w:tc>
        <w:tc>
          <w:tcPr>
            <w:tcW w:w="634"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1"/>
                <w:kern w:val="0"/>
                <w:sz w:val="21"/>
                <w:szCs w:val="21"/>
                <w:highlight w:val="none"/>
                <w:lang w:val="en-US" w:eastAsia="en-US" w:bidi="ar-SA"/>
              </w:rPr>
              <w:t>*氨氮去除率</w:t>
            </w:r>
            <w:r>
              <w:rPr>
                <w:rFonts w:hint="default" w:ascii="Times New Roman" w:hAnsi="Times New Roman" w:eastAsia="宋体" w:cs="Times New Roman"/>
                <w:snapToGrid w:val="0"/>
                <w:color w:val="FF0000"/>
                <w:spacing w:val="-1"/>
                <w:kern w:val="0"/>
                <w:position w:val="8"/>
                <w:sz w:val="21"/>
                <w:szCs w:val="21"/>
                <w:highlight w:val="none"/>
                <w:lang w:val="en-US" w:eastAsia="en-US" w:bidi="ar-SA"/>
              </w:rPr>
              <w:t>③</w:t>
            </w:r>
          </w:p>
        </w:tc>
        <w:tc>
          <w:tcPr>
            <w:tcW w:w="27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w:t>
            </w:r>
          </w:p>
        </w:tc>
        <w:tc>
          <w:tcPr>
            <w:tcW w:w="183"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0.35</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97.0</w:t>
            </w:r>
          </w:p>
        </w:tc>
        <w:tc>
          <w:tcPr>
            <w:tcW w:w="4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90.0</w:t>
            </w:r>
          </w:p>
        </w:tc>
        <w:tc>
          <w:tcPr>
            <w:tcW w:w="787"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3"/>
                <w:kern w:val="0"/>
                <w:sz w:val="21"/>
                <w:szCs w:val="21"/>
                <w:highlight w:val="none"/>
                <w:lang w:val="en-US" w:eastAsia="en-US" w:bidi="ar-SA"/>
              </w:rPr>
              <w:t>85.0</w:t>
            </w:r>
          </w:p>
        </w:tc>
        <w:tc>
          <w:tcPr>
            <w:tcW w:w="7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FF0000"/>
                <w:spacing w:val="-3"/>
                <w:kern w:val="0"/>
                <w:sz w:val="21"/>
                <w:szCs w:val="21"/>
                <w:highlight w:val="none"/>
                <w:lang w:val="en-US" w:eastAsia="en-US" w:bidi="ar-SA"/>
              </w:rPr>
            </w:pPr>
            <w:r>
              <w:rPr>
                <w:rFonts w:hint="default" w:ascii="Times New Roman" w:hAnsi="Times New Roman" w:eastAsia="宋体" w:cs="Times New Roman"/>
                <w:snapToGrid w:val="0"/>
                <w:color w:val="FF0000"/>
                <w:spacing w:val="-1"/>
                <w:kern w:val="0"/>
                <w:sz w:val="21"/>
                <w:szCs w:val="21"/>
                <w:highlight w:val="none"/>
                <w:lang w:val="en-US" w:eastAsia="en-US" w:bidi="ar-SA"/>
              </w:rPr>
              <w:t>氨氮去除率</w:t>
            </w:r>
            <w:r>
              <w:rPr>
                <w:rFonts w:hint="default" w:ascii="Times New Roman" w:hAnsi="Times New Roman" w:eastAsia="宋体" w:cs="Times New Roman"/>
                <w:snapToGrid w:val="0"/>
                <w:color w:val="FF0000"/>
                <w:spacing w:val="-2"/>
                <w:kern w:val="0"/>
                <w:sz w:val="21"/>
                <w:szCs w:val="21"/>
                <w:highlight w:val="none"/>
                <w:lang w:val="en-US" w:eastAsia="en-US" w:bidi="ar-SA"/>
              </w:rPr>
              <w:t>90.0</w:t>
            </w:r>
          </w:p>
        </w:tc>
        <w:tc>
          <w:tcPr>
            <w:tcW w:w="5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8"/>
                <w:kern w:val="0"/>
                <w:sz w:val="21"/>
                <w:szCs w:val="21"/>
                <w:highlight w:val="none"/>
                <w:lang w:val="en-US" w:eastAsia="en-US" w:bidi="ar-SA"/>
              </w:rPr>
            </w:pPr>
            <w:r>
              <w:rPr>
                <w:rFonts w:hint="default" w:ascii="Times New Roman" w:hAnsi="Times New Roman" w:eastAsia="宋体" w:cs="Times New Roman"/>
                <w:snapToGrid w:val="0"/>
                <w:color w:val="FF0000"/>
                <w:spacing w:val="-8"/>
                <w:kern w:val="0"/>
                <w:sz w:val="21"/>
                <w:szCs w:val="21"/>
                <w:highlight w:val="none"/>
                <w:lang w:val="en-US" w:eastAsia="en-US" w:bidi="ar-SA"/>
              </w:rPr>
              <w:t>Ⅱ级基准值</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8" w:hRule="atLeast"/>
        </w:trPr>
        <w:tc>
          <w:tcPr>
            <w:tcW w:w="26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16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21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3</w:t>
            </w:r>
          </w:p>
        </w:tc>
        <w:tc>
          <w:tcPr>
            <w:tcW w:w="634"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6"/>
                <w:kern w:val="0"/>
                <w:sz w:val="21"/>
                <w:szCs w:val="21"/>
                <w:highlight w:val="none"/>
                <w:lang w:eastAsia="en-US"/>
              </w:rPr>
              <w:t>出水色度</w:t>
            </w:r>
          </w:p>
        </w:tc>
        <w:tc>
          <w:tcPr>
            <w:tcW w:w="275"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2"/>
                <w:kern w:val="0"/>
                <w:sz w:val="21"/>
                <w:szCs w:val="21"/>
                <w:highlight w:val="none"/>
                <w:lang w:eastAsia="en-US"/>
              </w:rPr>
              <w:t>稀释倍数</w:t>
            </w:r>
          </w:p>
        </w:tc>
        <w:tc>
          <w:tcPr>
            <w:tcW w:w="183"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0.15</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6</w:t>
            </w:r>
          </w:p>
        </w:tc>
        <w:tc>
          <w:tcPr>
            <w:tcW w:w="4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10"/>
                <w:kern w:val="0"/>
                <w:sz w:val="21"/>
                <w:szCs w:val="21"/>
                <w:highlight w:val="none"/>
                <w:lang w:val="en-US" w:eastAsia="en-US" w:bidi="ar-SA"/>
              </w:rPr>
              <w:t>15</w:t>
            </w:r>
          </w:p>
        </w:tc>
        <w:tc>
          <w:tcPr>
            <w:tcW w:w="787"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4"/>
                <w:kern w:val="0"/>
                <w:sz w:val="21"/>
                <w:szCs w:val="21"/>
                <w:highlight w:val="none"/>
                <w:lang w:val="en-US" w:eastAsia="en-US" w:bidi="ar-SA"/>
              </w:rPr>
              <w:t>30</w:t>
            </w:r>
          </w:p>
        </w:tc>
        <w:tc>
          <w:tcPr>
            <w:tcW w:w="7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FF0000"/>
                <w:spacing w:val="-4"/>
                <w:kern w:val="0"/>
                <w:sz w:val="21"/>
                <w:szCs w:val="21"/>
                <w:highlight w:val="none"/>
                <w:lang w:val="en-US" w:eastAsia="en-US" w:bidi="ar-SA"/>
              </w:rPr>
            </w:pPr>
            <w:r>
              <w:rPr>
                <w:rFonts w:hint="default" w:ascii="Times New Roman" w:hAnsi="Times New Roman" w:eastAsia="宋体" w:cs="Times New Roman"/>
                <w:snapToGrid w:val="0"/>
                <w:color w:val="FF0000"/>
                <w:spacing w:val="-6"/>
                <w:kern w:val="0"/>
                <w:sz w:val="21"/>
                <w:szCs w:val="21"/>
                <w:highlight w:val="none"/>
                <w:lang w:eastAsia="en-US"/>
              </w:rPr>
              <w:t>出水色度</w:t>
            </w:r>
            <w:r>
              <w:rPr>
                <w:rFonts w:hint="default" w:ascii="Times New Roman" w:hAnsi="Times New Roman" w:eastAsia="宋体" w:cs="Times New Roman"/>
                <w:snapToGrid w:val="0"/>
                <w:color w:val="FF0000"/>
                <w:spacing w:val="-10"/>
                <w:kern w:val="0"/>
                <w:sz w:val="21"/>
                <w:szCs w:val="21"/>
                <w:highlight w:val="none"/>
                <w:lang w:val="en-US" w:eastAsia="en-US" w:bidi="ar-SA"/>
              </w:rPr>
              <w:t>15</w:t>
            </w:r>
          </w:p>
        </w:tc>
        <w:tc>
          <w:tcPr>
            <w:tcW w:w="5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8"/>
                <w:kern w:val="0"/>
                <w:sz w:val="21"/>
                <w:szCs w:val="21"/>
                <w:highlight w:val="none"/>
                <w:lang w:val="en-US" w:eastAsia="en-US" w:bidi="ar-SA"/>
              </w:rPr>
            </w:pPr>
            <w:r>
              <w:rPr>
                <w:rFonts w:hint="default" w:ascii="Times New Roman" w:hAnsi="Times New Roman" w:eastAsia="宋体" w:cs="Times New Roman"/>
                <w:snapToGrid w:val="0"/>
                <w:color w:val="FF0000"/>
                <w:spacing w:val="-8"/>
                <w:kern w:val="0"/>
                <w:sz w:val="21"/>
                <w:szCs w:val="21"/>
                <w:highlight w:val="none"/>
                <w:lang w:val="en-US" w:eastAsia="en-US" w:bidi="ar-SA"/>
              </w:rPr>
              <w:t>Ⅱ级基准值</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26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16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21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4</w:t>
            </w:r>
          </w:p>
        </w:tc>
        <w:tc>
          <w:tcPr>
            <w:tcW w:w="910" w:type="pct"/>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4"/>
                <w:kern w:val="0"/>
                <w:sz w:val="21"/>
                <w:szCs w:val="21"/>
                <w:highlight w:val="none"/>
                <w:lang w:val="en-US" w:eastAsia="en-US" w:bidi="ar-SA"/>
              </w:rPr>
              <w:t>出水稳定度ST</w:t>
            </w:r>
            <w:r>
              <w:rPr>
                <w:rFonts w:hint="default" w:ascii="Times New Roman" w:hAnsi="Times New Roman" w:eastAsia="宋体" w:cs="Times New Roman"/>
                <w:snapToGrid w:val="0"/>
                <w:color w:val="FF0000"/>
                <w:spacing w:val="-4"/>
                <w:kern w:val="0"/>
                <w:position w:val="-1"/>
                <w:sz w:val="21"/>
                <w:szCs w:val="21"/>
                <w:highlight w:val="none"/>
                <w:lang w:val="en-US" w:eastAsia="en-US" w:bidi="ar-SA"/>
              </w:rPr>
              <w:t>EQ</w:t>
            </w:r>
          </w:p>
        </w:tc>
        <w:tc>
          <w:tcPr>
            <w:tcW w:w="183"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0.15</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0.08</w:t>
            </w:r>
          </w:p>
        </w:tc>
        <w:tc>
          <w:tcPr>
            <w:tcW w:w="4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0.15</w:t>
            </w:r>
          </w:p>
        </w:tc>
        <w:tc>
          <w:tcPr>
            <w:tcW w:w="787"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0.25</w:t>
            </w:r>
          </w:p>
        </w:tc>
        <w:tc>
          <w:tcPr>
            <w:tcW w:w="7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FF0000"/>
                <w:spacing w:val="-2"/>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0.15</w:t>
            </w:r>
          </w:p>
        </w:tc>
        <w:tc>
          <w:tcPr>
            <w:tcW w:w="5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8"/>
                <w:kern w:val="0"/>
                <w:sz w:val="21"/>
                <w:szCs w:val="21"/>
                <w:highlight w:val="none"/>
                <w:lang w:val="en-US" w:eastAsia="en-US" w:bidi="ar-SA"/>
              </w:rPr>
            </w:pPr>
            <w:r>
              <w:rPr>
                <w:rFonts w:hint="default" w:ascii="Times New Roman" w:hAnsi="Times New Roman" w:eastAsia="宋体" w:cs="Times New Roman"/>
                <w:snapToGrid w:val="0"/>
                <w:color w:val="FF0000"/>
                <w:spacing w:val="-8"/>
                <w:kern w:val="0"/>
                <w:sz w:val="21"/>
                <w:szCs w:val="21"/>
                <w:highlight w:val="none"/>
                <w:lang w:val="en-US" w:eastAsia="en-US" w:bidi="ar-SA"/>
              </w:rPr>
              <w:t>Ⅱ级基准值</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269"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2"/>
                <w:kern w:val="0"/>
                <w:sz w:val="21"/>
                <w:szCs w:val="21"/>
                <w:highlight w:val="none"/>
                <w:lang w:eastAsia="en-US"/>
              </w:rPr>
              <w:t>清洁生产</w:t>
            </w:r>
            <w:r>
              <w:rPr>
                <w:rFonts w:hint="default" w:ascii="Times New Roman" w:hAnsi="Times New Roman" w:eastAsia="宋体" w:cs="Times New Roman"/>
                <w:snapToGrid w:val="0"/>
                <w:color w:val="FF0000"/>
                <w:spacing w:val="-3"/>
                <w:kern w:val="0"/>
                <w:sz w:val="21"/>
                <w:szCs w:val="21"/>
                <w:highlight w:val="none"/>
                <w:lang w:eastAsia="en-US"/>
              </w:rPr>
              <w:t>管理指标</w:t>
            </w:r>
          </w:p>
        </w:tc>
        <w:tc>
          <w:tcPr>
            <w:tcW w:w="166"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0.08</w:t>
            </w:r>
          </w:p>
        </w:tc>
        <w:tc>
          <w:tcPr>
            <w:tcW w:w="21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1</w:t>
            </w:r>
          </w:p>
        </w:tc>
        <w:tc>
          <w:tcPr>
            <w:tcW w:w="910" w:type="pct"/>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*环境法律法规标准执行情况</w:t>
            </w:r>
          </w:p>
        </w:tc>
        <w:tc>
          <w:tcPr>
            <w:tcW w:w="183"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0.20</w:t>
            </w:r>
          </w:p>
        </w:tc>
        <w:tc>
          <w:tcPr>
            <w:tcW w:w="1917" w:type="pct"/>
            <w:gridSpan w:val="4"/>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1"/>
                <w:kern w:val="0"/>
                <w:sz w:val="21"/>
                <w:szCs w:val="21"/>
                <w:highlight w:val="none"/>
                <w:lang w:val="en-US" w:eastAsia="en-US" w:bidi="ar-SA"/>
              </w:rPr>
              <w:t>符合国家和地方有关环境</w:t>
            </w:r>
            <w:r>
              <w:rPr>
                <w:rFonts w:hint="eastAsia" w:cs="Times New Roman"/>
                <w:snapToGrid w:val="0"/>
                <w:color w:val="FF0000"/>
                <w:spacing w:val="1"/>
                <w:kern w:val="0"/>
                <w:sz w:val="21"/>
                <w:szCs w:val="21"/>
                <w:highlight w:val="none"/>
                <w:lang w:val="en-US" w:eastAsia="zh-CN" w:bidi="ar-SA"/>
              </w:rPr>
              <w:t>法律法规</w:t>
            </w:r>
            <w:r>
              <w:rPr>
                <w:rFonts w:hint="default" w:ascii="Times New Roman" w:hAnsi="Times New Roman" w:eastAsia="宋体" w:cs="Times New Roman"/>
                <w:snapToGrid w:val="0"/>
                <w:color w:val="FF0000"/>
                <w:spacing w:val="1"/>
                <w:kern w:val="0"/>
                <w:sz w:val="21"/>
                <w:szCs w:val="21"/>
                <w:highlight w:val="none"/>
                <w:lang w:val="en-US" w:eastAsia="en-US" w:bidi="ar-SA"/>
              </w:rPr>
              <w:t>，严格遵循“三同时”管理制度，废水、废气、噪声等污染物排放符合国家和地方排放标</w:t>
            </w:r>
            <w:r>
              <w:rPr>
                <w:rFonts w:hint="default" w:ascii="Times New Roman" w:hAnsi="Times New Roman" w:eastAsia="宋体" w:cs="Times New Roman"/>
                <w:snapToGrid w:val="0"/>
                <w:color w:val="FF0000"/>
                <w:kern w:val="0"/>
                <w:sz w:val="21"/>
                <w:szCs w:val="21"/>
                <w:highlight w:val="none"/>
                <w:lang w:val="en-US" w:eastAsia="en-US" w:bidi="ar-SA"/>
              </w:rPr>
              <w:t>准；主要污染物排</w:t>
            </w:r>
            <w:r>
              <w:rPr>
                <w:rFonts w:hint="default" w:ascii="Times New Roman" w:hAnsi="Times New Roman" w:eastAsia="宋体" w:cs="Times New Roman"/>
                <w:snapToGrid w:val="0"/>
                <w:color w:val="FF0000"/>
                <w:spacing w:val="1"/>
                <w:kern w:val="0"/>
                <w:sz w:val="21"/>
                <w:szCs w:val="21"/>
                <w:highlight w:val="none"/>
                <w:lang w:val="en-US" w:eastAsia="en-US" w:bidi="ar-SA"/>
              </w:rPr>
              <w:t>放应达到国家和地方污染物排放总量控制指标；尾水</w:t>
            </w:r>
            <w:r>
              <w:rPr>
                <w:rFonts w:hint="default" w:ascii="Times New Roman" w:hAnsi="Times New Roman" w:eastAsia="宋体" w:cs="Times New Roman"/>
                <w:snapToGrid w:val="0"/>
                <w:color w:val="FF0000"/>
                <w:kern w:val="0"/>
                <w:sz w:val="21"/>
                <w:szCs w:val="21"/>
                <w:highlight w:val="none"/>
                <w:lang w:val="en-US" w:eastAsia="en-US" w:bidi="ar-SA"/>
              </w:rPr>
              <w:t>回用应满足国家对</w:t>
            </w:r>
            <w:r>
              <w:rPr>
                <w:rFonts w:hint="default" w:ascii="Times New Roman" w:hAnsi="Times New Roman" w:eastAsia="宋体" w:cs="Times New Roman"/>
                <w:snapToGrid w:val="0"/>
                <w:color w:val="FF0000"/>
                <w:spacing w:val="-1"/>
                <w:kern w:val="0"/>
                <w:sz w:val="21"/>
                <w:szCs w:val="21"/>
                <w:highlight w:val="none"/>
                <w:lang w:val="en-US" w:eastAsia="en-US" w:bidi="ar-SA"/>
              </w:rPr>
              <w:t>不同用途的水质标准要求。</w:t>
            </w:r>
          </w:p>
        </w:tc>
        <w:tc>
          <w:tcPr>
            <w:tcW w:w="7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1"/>
                <w:kern w:val="0"/>
                <w:sz w:val="21"/>
                <w:szCs w:val="21"/>
                <w:highlight w:val="none"/>
                <w:lang w:val="en-US" w:eastAsia="en-US" w:bidi="ar-SA"/>
              </w:rPr>
            </w:pPr>
            <w:r>
              <w:rPr>
                <w:rFonts w:hint="default" w:ascii="Times New Roman" w:hAnsi="Times New Roman" w:eastAsia="宋体" w:cs="Times New Roman"/>
                <w:snapToGrid w:val="0"/>
                <w:color w:val="FF0000"/>
                <w:spacing w:val="1"/>
                <w:kern w:val="0"/>
                <w:sz w:val="21"/>
                <w:szCs w:val="21"/>
                <w:highlight w:val="none"/>
                <w:lang w:val="en-US" w:eastAsia="en-US" w:bidi="ar-SA"/>
              </w:rPr>
              <w:t>符合国家和地方有关环境</w:t>
            </w:r>
            <w:r>
              <w:rPr>
                <w:rFonts w:hint="eastAsia" w:cs="Times New Roman"/>
                <w:snapToGrid w:val="0"/>
                <w:color w:val="FF0000"/>
                <w:spacing w:val="1"/>
                <w:kern w:val="0"/>
                <w:sz w:val="21"/>
                <w:szCs w:val="21"/>
                <w:highlight w:val="none"/>
                <w:lang w:val="en-US" w:eastAsia="zh-CN" w:bidi="ar-SA"/>
              </w:rPr>
              <w:t>法律法规</w:t>
            </w:r>
            <w:r>
              <w:rPr>
                <w:rFonts w:hint="default" w:ascii="Times New Roman" w:hAnsi="Times New Roman" w:eastAsia="宋体" w:cs="Times New Roman"/>
                <w:snapToGrid w:val="0"/>
                <w:color w:val="FF0000"/>
                <w:spacing w:val="1"/>
                <w:kern w:val="0"/>
                <w:sz w:val="21"/>
                <w:szCs w:val="21"/>
                <w:highlight w:val="none"/>
                <w:lang w:val="en-US" w:eastAsia="en-US" w:bidi="ar-SA"/>
              </w:rPr>
              <w:t>，严格遵循“三同时”管理制度，废水、废气、噪声等污染物排放符合国家和地方排放标</w:t>
            </w:r>
            <w:r>
              <w:rPr>
                <w:rFonts w:hint="default" w:ascii="Times New Roman" w:hAnsi="Times New Roman" w:eastAsia="宋体" w:cs="Times New Roman"/>
                <w:snapToGrid w:val="0"/>
                <w:color w:val="FF0000"/>
                <w:kern w:val="0"/>
                <w:sz w:val="21"/>
                <w:szCs w:val="21"/>
                <w:highlight w:val="none"/>
                <w:lang w:val="en-US" w:eastAsia="en-US" w:bidi="ar-SA"/>
              </w:rPr>
              <w:t>准；主要污染物排</w:t>
            </w:r>
            <w:r>
              <w:rPr>
                <w:rFonts w:hint="default" w:ascii="Times New Roman" w:hAnsi="Times New Roman" w:eastAsia="宋体" w:cs="Times New Roman"/>
                <w:snapToGrid w:val="0"/>
                <w:color w:val="FF0000"/>
                <w:spacing w:val="1"/>
                <w:kern w:val="0"/>
                <w:sz w:val="21"/>
                <w:szCs w:val="21"/>
                <w:highlight w:val="none"/>
                <w:lang w:val="en-US" w:eastAsia="en-US" w:bidi="ar-SA"/>
              </w:rPr>
              <w:t>放应达到国家和地方污染物排放总量控制指标；尾水</w:t>
            </w:r>
            <w:r>
              <w:rPr>
                <w:rFonts w:hint="default" w:ascii="Times New Roman" w:hAnsi="Times New Roman" w:eastAsia="宋体" w:cs="Times New Roman"/>
                <w:snapToGrid w:val="0"/>
                <w:color w:val="FF0000"/>
                <w:kern w:val="0"/>
                <w:sz w:val="21"/>
                <w:szCs w:val="21"/>
                <w:highlight w:val="none"/>
                <w:lang w:val="en-US" w:eastAsia="en-US" w:bidi="ar-SA"/>
              </w:rPr>
              <w:t>回用应满足国家对</w:t>
            </w:r>
            <w:r>
              <w:rPr>
                <w:rFonts w:hint="default" w:ascii="Times New Roman" w:hAnsi="Times New Roman" w:eastAsia="宋体" w:cs="Times New Roman"/>
                <w:snapToGrid w:val="0"/>
                <w:color w:val="FF0000"/>
                <w:spacing w:val="-1"/>
                <w:kern w:val="0"/>
                <w:sz w:val="21"/>
                <w:szCs w:val="21"/>
                <w:highlight w:val="none"/>
                <w:lang w:val="en-US" w:eastAsia="en-US" w:bidi="ar-SA"/>
              </w:rPr>
              <w:t>不同用途的水质标准要求。</w:t>
            </w:r>
          </w:p>
        </w:tc>
        <w:tc>
          <w:tcPr>
            <w:tcW w:w="5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1"/>
                <w:kern w:val="0"/>
                <w:sz w:val="21"/>
                <w:szCs w:val="21"/>
                <w:highlight w:val="none"/>
                <w:lang w:val="en-US" w:eastAsia="en-US" w:bidi="ar-SA"/>
              </w:rPr>
            </w:pPr>
            <w:r>
              <w:rPr>
                <w:rFonts w:hint="default" w:ascii="Times New Roman" w:hAnsi="Times New Roman" w:eastAsia="宋体" w:cs="Times New Roman"/>
                <w:snapToGrid w:val="0"/>
                <w:color w:val="FF0000"/>
                <w:spacing w:val="-8"/>
                <w:kern w:val="0"/>
                <w:sz w:val="21"/>
                <w:szCs w:val="21"/>
                <w:highlight w:val="none"/>
                <w:lang w:val="en-US" w:eastAsia="en-US" w:bidi="ar-SA"/>
              </w:rPr>
              <w:t>Ⅱ级基准值</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6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16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21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2</w:t>
            </w:r>
          </w:p>
        </w:tc>
        <w:tc>
          <w:tcPr>
            <w:tcW w:w="910" w:type="pct"/>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1"/>
                <w:kern w:val="0"/>
                <w:sz w:val="21"/>
                <w:szCs w:val="21"/>
                <w:highlight w:val="none"/>
                <w:lang w:eastAsia="en-US"/>
              </w:rPr>
              <w:t>产业政策执行情况</w:t>
            </w:r>
          </w:p>
        </w:tc>
        <w:tc>
          <w:tcPr>
            <w:tcW w:w="183"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7"/>
                <w:kern w:val="0"/>
                <w:sz w:val="21"/>
                <w:szCs w:val="21"/>
                <w:highlight w:val="none"/>
                <w:lang w:val="en-US" w:eastAsia="en-US" w:bidi="ar-SA"/>
              </w:rPr>
              <w:t>0.14</w:t>
            </w:r>
          </w:p>
        </w:tc>
        <w:tc>
          <w:tcPr>
            <w:tcW w:w="1917" w:type="pct"/>
            <w:gridSpan w:val="4"/>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1"/>
                <w:kern w:val="0"/>
                <w:sz w:val="21"/>
                <w:szCs w:val="21"/>
                <w:highlight w:val="none"/>
                <w:lang w:eastAsia="en-US"/>
              </w:rPr>
              <w:t>生产规模和工艺符合国家和地方相关产业政策，</w:t>
            </w:r>
            <w:r>
              <w:rPr>
                <w:rFonts w:hint="default" w:ascii="Times New Roman" w:hAnsi="Times New Roman" w:eastAsia="宋体" w:cs="Times New Roman"/>
                <w:snapToGrid w:val="0"/>
                <w:color w:val="FF0000"/>
                <w:kern w:val="0"/>
                <w:sz w:val="21"/>
                <w:szCs w:val="21"/>
                <w:highlight w:val="none"/>
                <w:lang w:eastAsia="en-US"/>
              </w:rPr>
              <w:t>不采用国家明令禁止和</w:t>
            </w:r>
            <w:r>
              <w:rPr>
                <w:rFonts w:hint="default" w:ascii="Times New Roman" w:hAnsi="Times New Roman" w:eastAsia="宋体" w:cs="Times New Roman"/>
                <w:snapToGrid w:val="0"/>
                <w:color w:val="FF0000"/>
                <w:spacing w:val="-1"/>
                <w:kern w:val="0"/>
                <w:sz w:val="21"/>
                <w:szCs w:val="21"/>
                <w:highlight w:val="none"/>
                <w:lang w:eastAsia="en-US"/>
              </w:rPr>
              <w:t>淘汰的生产工艺、装备</w:t>
            </w:r>
          </w:p>
        </w:tc>
        <w:tc>
          <w:tcPr>
            <w:tcW w:w="7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1"/>
                <w:kern w:val="0"/>
                <w:sz w:val="21"/>
                <w:szCs w:val="21"/>
                <w:highlight w:val="none"/>
                <w:lang w:eastAsia="en-US"/>
              </w:rPr>
            </w:pPr>
            <w:r>
              <w:rPr>
                <w:rFonts w:hint="default" w:ascii="Times New Roman" w:hAnsi="Times New Roman" w:eastAsia="宋体" w:cs="Times New Roman"/>
                <w:snapToGrid w:val="0"/>
                <w:color w:val="FF0000"/>
                <w:spacing w:val="1"/>
                <w:kern w:val="0"/>
                <w:sz w:val="21"/>
                <w:szCs w:val="21"/>
                <w:highlight w:val="none"/>
                <w:lang w:eastAsia="en-US"/>
              </w:rPr>
              <w:t>生产规模和工艺符合国家和地方相关产业政策</w:t>
            </w:r>
          </w:p>
        </w:tc>
        <w:tc>
          <w:tcPr>
            <w:tcW w:w="5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1"/>
                <w:kern w:val="0"/>
                <w:sz w:val="21"/>
                <w:szCs w:val="21"/>
                <w:highlight w:val="none"/>
                <w:lang w:eastAsia="en-US"/>
              </w:rPr>
            </w:pPr>
            <w:r>
              <w:rPr>
                <w:rFonts w:hint="default" w:ascii="Times New Roman" w:hAnsi="Times New Roman" w:eastAsia="宋体" w:cs="Times New Roman"/>
                <w:snapToGrid w:val="0"/>
                <w:color w:val="FF0000"/>
                <w:spacing w:val="-8"/>
                <w:kern w:val="0"/>
                <w:sz w:val="21"/>
                <w:szCs w:val="21"/>
                <w:highlight w:val="none"/>
                <w:lang w:eastAsia="en-US"/>
              </w:rPr>
              <w:t>Ⅱ级基准值</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099" w:hRule="atLeast"/>
        </w:trPr>
        <w:tc>
          <w:tcPr>
            <w:tcW w:w="26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16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21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3</w:t>
            </w:r>
          </w:p>
        </w:tc>
        <w:tc>
          <w:tcPr>
            <w:tcW w:w="910" w:type="pct"/>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1"/>
                <w:kern w:val="0"/>
                <w:sz w:val="21"/>
                <w:szCs w:val="21"/>
                <w:highlight w:val="none"/>
                <w:lang w:eastAsia="en-US"/>
              </w:rPr>
              <w:t>环境管理体系制度，清洁生产审核情况，危险化学品管理</w:t>
            </w:r>
          </w:p>
        </w:tc>
        <w:tc>
          <w:tcPr>
            <w:tcW w:w="183"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0.20</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1"/>
                <w:kern w:val="0"/>
                <w:sz w:val="21"/>
                <w:szCs w:val="21"/>
                <w:highlight w:val="none"/>
                <w:lang w:val="en-US" w:eastAsia="en-US" w:bidi="ar-SA"/>
              </w:rPr>
              <w:t>按照GB/T24001建</w:t>
            </w:r>
            <w:r>
              <w:rPr>
                <w:rFonts w:hint="default" w:ascii="Times New Roman" w:hAnsi="Times New Roman" w:eastAsia="宋体" w:cs="Times New Roman"/>
                <w:snapToGrid w:val="0"/>
                <w:color w:val="FF0000"/>
                <w:spacing w:val="21"/>
                <w:kern w:val="0"/>
                <w:sz w:val="21"/>
                <w:szCs w:val="21"/>
                <w:highlight w:val="none"/>
                <w:lang w:val="en-US" w:eastAsia="en-US" w:bidi="ar-SA"/>
              </w:rPr>
              <w:t>立并运行环境管理</w:t>
            </w:r>
            <w:r>
              <w:rPr>
                <w:rFonts w:hint="default" w:ascii="Times New Roman" w:hAnsi="Times New Roman" w:eastAsia="宋体" w:cs="Times New Roman"/>
                <w:snapToGrid w:val="0"/>
                <w:color w:val="FF0000"/>
                <w:spacing w:val="-2"/>
                <w:kern w:val="0"/>
                <w:sz w:val="21"/>
                <w:szCs w:val="21"/>
                <w:highlight w:val="none"/>
                <w:lang w:val="en-US" w:eastAsia="en-US" w:bidi="ar-SA"/>
              </w:rPr>
              <w:t>体系，环境管理程序</w:t>
            </w:r>
            <w:r>
              <w:rPr>
                <w:rFonts w:hint="default" w:ascii="Times New Roman" w:hAnsi="Times New Roman" w:eastAsia="宋体" w:cs="Times New Roman"/>
                <w:snapToGrid w:val="0"/>
                <w:color w:val="FF0000"/>
                <w:spacing w:val="21"/>
                <w:kern w:val="0"/>
                <w:sz w:val="21"/>
                <w:szCs w:val="21"/>
                <w:highlight w:val="none"/>
                <w:lang w:val="en-US" w:eastAsia="en-US" w:bidi="ar-SA"/>
              </w:rPr>
              <w:t>文件及作业文件齐</w:t>
            </w:r>
            <w:r>
              <w:rPr>
                <w:rFonts w:hint="default" w:ascii="Times New Roman" w:hAnsi="Times New Roman" w:eastAsia="宋体" w:cs="Times New Roman"/>
                <w:snapToGrid w:val="0"/>
                <w:color w:val="FF0000"/>
                <w:spacing w:val="-2"/>
                <w:kern w:val="0"/>
                <w:sz w:val="21"/>
                <w:szCs w:val="21"/>
                <w:highlight w:val="none"/>
                <w:lang w:val="en-US" w:eastAsia="en-US" w:bidi="ar-SA"/>
              </w:rPr>
              <w:t>备；按照国家和地方要求，开展清洁生产审核；符合《危险化学品安全管理条例》相关要求</w:t>
            </w:r>
          </w:p>
        </w:tc>
        <w:tc>
          <w:tcPr>
            <w:tcW w:w="4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1"/>
                <w:kern w:val="0"/>
                <w:sz w:val="21"/>
                <w:szCs w:val="21"/>
                <w:highlight w:val="none"/>
                <w:lang w:val="en-US" w:eastAsia="en-US" w:bidi="ar-SA"/>
              </w:rPr>
            </w:pPr>
            <w:r>
              <w:rPr>
                <w:rFonts w:hint="default" w:ascii="Times New Roman" w:hAnsi="Times New Roman" w:eastAsia="宋体" w:cs="Times New Roman"/>
                <w:snapToGrid w:val="0"/>
                <w:color w:val="FF0000"/>
                <w:spacing w:val="-1"/>
                <w:kern w:val="0"/>
                <w:sz w:val="21"/>
                <w:szCs w:val="21"/>
                <w:highlight w:val="none"/>
                <w:lang w:val="en-US" w:eastAsia="en-US" w:bidi="ar-SA"/>
              </w:rPr>
              <w:t>按照GB/T24001建</w:t>
            </w:r>
            <w:r>
              <w:rPr>
                <w:rFonts w:hint="default" w:ascii="Times New Roman" w:hAnsi="Times New Roman" w:eastAsia="宋体" w:cs="Times New Roman"/>
                <w:snapToGrid w:val="0"/>
                <w:color w:val="FF0000"/>
                <w:spacing w:val="21"/>
                <w:kern w:val="0"/>
                <w:sz w:val="21"/>
                <w:szCs w:val="21"/>
                <w:highlight w:val="none"/>
                <w:lang w:val="en-US" w:eastAsia="en-US" w:bidi="ar-SA"/>
              </w:rPr>
              <w:t>立并运行环境管理</w:t>
            </w:r>
            <w:r>
              <w:rPr>
                <w:rFonts w:hint="default" w:ascii="Times New Roman" w:hAnsi="Times New Roman" w:eastAsia="宋体" w:cs="Times New Roman"/>
                <w:snapToGrid w:val="0"/>
                <w:color w:val="FF0000"/>
                <w:spacing w:val="-2"/>
                <w:kern w:val="0"/>
                <w:sz w:val="21"/>
                <w:szCs w:val="21"/>
                <w:highlight w:val="none"/>
                <w:lang w:val="en-US" w:eastAsia="en-US" w:bidi="ar-SA"/>
              </w:rPr>
              <w:t>体系，环境管理程序</w:t>
            </w:r>
            <w:r>
              <w:rPr>
                <w:rFonts w:hint="default" w:ascii="Times New Roman" w:hAnsi="Times New Roman" w:eastAsia="宋体" w:cs="Times New Roman"/>
                <w:snapToGrid w:val="0"/>
                <w:color w:val="FF0000"/>
                <w:spacing w:val="21"/>
                <w:kern w:val="0"/>
                <w:sz w:val="21"/>
                <w:szCs w:val="21"/>
                <w:highlight w:val="none"/>
                <w:lang w:val="en-US" w:eastAsia="en-US" w:bidi="ar-SA"/>
              </w:rPr>
              <w:t>文件及作业文件齐</w:t>
            </w:r>
            <w:r>
              <w:rPr>
                <w:rFonts w:hint="default" w:ascii="Times New Roman" w:hAnsi="Times New Roman" w:eastAsia="宋体" w:cs="Times New Roman"/>
                <w:snapToGrid w:val="0"/>
                <w:color w:val="FF0000"/>
                <w:spacing w:val="-2"/>
                <w:kern w:val="0"/>
                <w:sz w:val="21"/>
                <w:szCs w:val="21"/>
                <w:highlight w:val="none"/>
                <w:lang w:val="en-US" w:eastAsia="en-US" w:bidi="ar-SA"/>
              </w:rPr>
              <w:t>备；按照国家和地方要求，开展清洁生产审核；符合《危险化学品安全管理条例》相关要求</w:t>
            </w:r>
          </w:p>
        </w:tc>
        <w:tc>
          <w:tcPr>
            <w:tcW w:w="787"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1"/>
                <w:kern w:val="0"/>
                <w:sz w:val="21"/>
                <w:szCs w:val="21"/>
                <w:highlight w:val="none"/>
                <w:lang w:eastAsia="en-US"/>
              </w:rPr>
              <w:t>拥有健全的环境管理体系和完备的管理文件；按</w:t>
            </w:r>
            <w:r>
              <w:rPr>
                <w:rFonts w:hint="default" w:ascii="Times New Roman" w:hAnsi="Times New Roman" w:eastAsia="宋体" w:cs="Times New Roman"/>
                <w:snapToGrid w:val="0"/>
                <w:color w:val="FF0000"/>
                <w:spacing w:val="-9"/>
                <w:kern w:val="0"/>
                <w:sz w:val="21"/>
                <w:szCs w:val="21"/>
                <w:highlight w:val="none"/>
                <w:lang w:eastAsia="en-US"/>
              </w:rPr>
              <w:t>照国家和地方要求，开展清洁生产审核；符合《危</w:t>
            </w:r>
            <w:r>
              <w:rPr>
                <w:rFonts w:hint="default" w:ascii="Times New Roman" w:hAnsi="Times New Roman" w:eastAsia="宋体" w:cs="Times New Roman"/>
                <w:snapToGrid w:val="0"/>
                <w:color w:val="FF0000"/>
                <w:spacing w:val="-1"/>
                <w:kern w:val="0"/>
                <w:sz w:val="21"/>
                <w:szCs w:val="21"/>
                <w:highlight w:val="none"/>
                <w:lang w:eastAsia="en-US"/>
              </w:rPr>
              <w:t>险化学品安全管理条例》相关要求。</w:t>
            </w:r>
          </w:p>
        </w:tc>
        <w:tc>
          <w:tcPr>
            <w:tcW w:w="7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1"/>
                <w:kern w:val="0"/>
                <w:sz w:val="21"/>
                <w:szCs w:val="21"/>
                <w:highlight w:val="none"/>
                <w:lang w:eastAsia="en-US"/>
              </w:rPr>
            </w:pPr>
            <w:r>
              <w:rPr>
                <w:rFonts w:hint="default" w:ascii="Times New Roman" w:hAnsi="Times New Roman" w:eastAsia="宋体" w:cs="Times New Roman"/>
                <w:snapToGrid w:val="0"/>
                <w:color w:val="FF0000"/>
                <w:spacing w:val="-1"/>
                <w:kern w:val="0"/>
                <w:sz w:val="21"/>
                <w:szCs w:val="21"/>
                <w:highlight w:val="none"/>
                <w:lang w:val="en-US" w:eastAsia="en-US" w:bidi="ar-SA"/>
              </w:rPr>
              <w:t>按照GB/T24001建</w:t>
            </w:r>
            <w:r>
              <w:rPr>
                <w:rFonts w:hint="default" w:ascii="Times New Roman" w:hAnsi="Times New Roman" w:eastAsia="宋体" w:cs="Times New Roman"/>
                <w:snapToGrid w:val="0"/>
                <w:color w:val="FF0000"/>
                <w:spacing w:val="21"/>
                <w:kern w:val="0"/>
                <w:sz w:val="21"/>
                <w:szCs w:val="21"/>
                <w:highlight w:val="none"/>
                <w:lang w:val="en-US" w:eastAsia="en-US" w:bidi="ar-SA"/>
              </w:rPr>
              <w:t>立并运行环境管理</w:t>
            </w:r>
            <w:r>
              <w:rPr>
                <w:rFonts w:hint="default" w:ascii="Times New Roman" w:hAnsi="Times New Roman" w:eastAsia="宋体" w:cs="Times New Roman"/>
                <w:snapToGrid w:val="0"/>
                <w:color w:val="FF0000"/>
                <w:spacing w:val="-2"/>
                <w:kern w:val="0"/>
                <w:sz w:val="21"/>
                <w:szCs w:val="21"/>
                <w:highlight w:val="none"/>
                <w:lang w:val="en-US" w:eastAsia="en-US" w:bidi="ar-SA"/>
              </w:rPr>
              <w:t>体系，环境管理程序</w:t>
            </w:r>
            <w:r>
              <w:rPr>
                <w:rFonts w:hint="default" w:ascii="Times New Roman" w:hAnsi="Times New Roman" w:eastAsia="宋体" w:cs="Times New Roman"/>
                <w:snapToGrid w:val="0"/>
                <w:color w:val="FF0000"/>
                <w:spacing w:val="21"/>
                <w:kern w:val="0"/>
                <w:sz w:val="21"/>
                <w:szCs w:val="21"/>
                <w:highlight w:val="none"/>
                <w:lang w:val="en-US" w:eastAsia="en-US" w:bidi="ar-SA"/>
              </w:rPr>
              <w:t>文件及作业文件齐</w:t>
            </w:r>
            <w:r>
              <w:rPr>
                <w:rFonts w:hint="default" w:ascii="Times New Roman" w:hAnsi="Times New Roman" w:eastAsia="宋体" w:cs="Times New Roman"/>
                <w:snapToGrid w:val="0"/>
                <w:color w:val="FF0000"/>
                <w:spacing w:val="-2"/>
                <w:kern w:val="0"/>
                <w:sz w:val="21"/>
                <w:szCs w:val="21"/>
                <w:highlight w:val="none"/>
                <w:lang w:val="en-US" w:eastAsia="en-US" w:bidi="ar-SA"/>
              </w:rPr>
              <w:t>备；按照国家和地方要求，开展清洁生产审核；符合《危险化学品安全管理条例》相关要求</w:t>
            </w:r>
          </w:p>
        </w:tc>
        <w:tc>
          <w:tcPr>
            <w:tcW w:w="5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1"/>
                <w:kern w:val="0"/>
                <w:sz w:val="21"/>
                <w:szCs w:val="21"/>
                <w:highlight w:val="none"/>
                <w:lang w:eastAsia="en-US"/>
              </w:rPr>
            </w:pPr>
            <w:r>
              <w:rPr>
                <w:rFonts w:hint="default" w:ascii="Times New Roman" w:hAnsi="Times New Roman" w:eastAsia="宋体" w:cs="Times New Roman"/>
                <w:snapToGrid w:val="0"/>
                <w:color w:val="FF0000"/>
                <w:spacing w:val="-8"/>
                <w:kern w:val="0"/>
                <w:sz w:val="21"/>
                <w:szCs w:val="21"/>
                <w:highlight w:val="none"/>
                <w:lang w:eastAsia="en-US"/>
              </w:rPr>
              <w:t>Ⅱ</w:t>
            </w:r>
            <w:r>
              <w:rPr>
                <w:rFonts w:hint="default" w:ascii="Times New Roman" w:hAnsi="Times New Roman" w:eastAsia="宋体" w:cs="Times New Roman"/>
                <w:snapToGrid w:val="0"/>
                <w:color w:val="FF0000"/>
                <w:spacing w:val="-2"/>
                <w:kern w:val="0"/>
                <w:sz w:val="21"/>
                <w:szCs w:val="21"/>
                <w:highlight w:val="none"/>
                <w:lang w:eastAsia="en-US"/>
              </w:rPr>
              <w:t>级基准值</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797" w:hRule="atLeast"/>
        </w:trPr>
        <w:tc>
          <w:tcPr>
            <w:tcW w:w="26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16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21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4</w:t>
            </w:r>
          </w:p>
        </w:tc>
        <w:tc>
          <w:tcPr>
            <w:tcW w:w="910" w:type="pct"/>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*废水处理设施运行管理</w:t>
            </w:r>
          </w:p>
        </w:tc>
        <w:tc>
          <w:tcPr>
            <w:tcW w:w="183"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0.19</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8"/>
                <w:kern w:val="0"/>
                <w:sz w:val="21"/>
                <w:szCs w:val="21"/>
                <w:highlight w:val="none"/>
                <w:lang w:val="en-US" w:eastAsia="en-US" w:bidi="ar-SA"/>
              </w:rPr>
              <w:t>符合HJ978要求，出</w:t>
            </w:r>
            <w:r>
              <w:rPr>
                <w:rFonts w:hint="default" w:ascii="Times New Roman" w:hAnsi="Times New Roman" w:eastAsia="宋体" w:cs="Times New Roman"/>
                <w:snapToGrid w:val="0"/>
                <w:color w:val="FF0000"/>
                <w:spacing w:val="6"/>
                <w:kern w:val="0"/>
                <w:sz w:val="21"/>
                <w:szCs w:val="21"/>
                <w:highlight w:val="none"/>
                <w:lang w:val="en-US" w:eastAsia="en-US" w:bidi="ar-SA"/>
              </w:rPr>
              <w:t>水口有自动监测装</w:t>
            </w:r>
            <w:r>
              <w:rPr>
                <w:rFonts w:hint="default" w:ascii="Times New Roman" w:hAnsi="Times New Roman" w:eastAsia="宋体" w:cs="Times New Roman"/>
                <w:snapToGrid w:val="0"/>
                <w:color w:val="FF0000"/>
                <w:spacing w:val="-1"/>
                <w:kern w:val="0"/>
                <w:sz w:val="21"/>
                <w:szCs w:val="21"/>
                <w:highlight w:val="none"/>
                <w:lang w:val="en-US" w:eastAsia="en-US" w:bidi="ar-SA"/>
              </w:rPr>
              <w:t>置，建立运行台账，</w:t>
            </w:r>
            <w:r>
              <w:rPr>
                <w:rFonts w:hint="default" w:ascii="Times New Roman" w:hAnsi="Times New Roman" w:eastAsia="宋体" w:cs="Times New Roman"/>
                <w:snapToGrid w:val="0"/>
                <w:color w:val="FF0000"/>
                <w:spacing w:val="21"/>
                <w:kern w:val="0"/>
                <w:sz w:val="21"/>
                <w:szCs w:val="21"/>
                <w:highlight w:val="none"/>
                <w:lang w:val="en-US" w:eastAsia="en-US" w:bidi="ar-SA"/>
              </w:rPr>
              <w:t>至少每月自行或委</w:t>
            </w:r>
            <w:r>
              <w:rPr>
                <w:rFonts w:hint="default" w:ascii="Times New Roman" w:hAnsi="Times New Roman" w:eastAsia="宋体" w:cs="Times New Roman"/>
                <w:snapToGrid w:val="0"/>
                <w:color w:val="FF0000"/>
                <w:spacing w:val="-1"/>
                <w:kern w:val="0"/>
                <w:sz w:val="21"/>
                <w:szCs w:val="21"/>
                <w:highlight w:val="none"/>
                <w:lang w:val="en-US" w:eastAsia="en-US" w:bidi="ar-SA"/>
              </w:rPr>
              <w:t>托监测一次，并对监测数据进行记录、整理、统计和分析；应设水质检验室，配备检验人员和仪器。具</w:t>
            </w:r>
            <w:r>
              <w:rPr>
                <w:rFonts w:hint="default" w:ascii="Times New Roman" w:hAnsi="Times New Roman" w:eastAsia="宋体" w:cs="Times New Roman"/>
                <w:snapToGrid w:val="0"/>
                <w:color w:val="FF0000"/>
                <w:spacing w:val="21"/>
                <w:kern w:val="0"/>
                <w:sz w:val="21"/>
                <w:szCs w:val="21"/>
                <w:highlight w:val="none"/>
                <w:lang w:val="en-US" w:eastAsia="en-US" w:bidi="ar-SA"/>
              </w:rPr>
              <w:t>有健全的设备维护</w:t>
            </w:r>
            <w:r>
              <w:rPr>
                <w:rFonts w:hint="default" w:ascii="Times New Roman" w:hAnsi="Times New Roman" w:eastAsia="宋体" w:cs="Times New Roman"/>
                <w:snapToGrid w:val="0"/>
                <w:color w:val="FF0000"/>
                <w:spacing w:val="-1"/>
                <w:kern w:val="0"/>
                <w:sz w:val="21"/>
                <w:szCs w:val="21"/>
                <w:highlight w:val="none"/>
                <w:lang w:val="en-US" w:eastAsia="en-US" w:bidi="ar-SA"/>
              </w:rPr>
              <w:t>保养制度，并有效实</w:t>
            </w:r>
            <w:r>
              <w:rPr>
                <w:rFonts w:hint="default" w:ascii="Times New Roman" w:hAnsi="Times New Roman" w:eastAsia="宋体" w:cs="Times New Roman"/>
                <w:snapToGrid w:val="0"/>
                <w:color w:val="FF0000"/>
                <w:spacing w:val="-3"/>
                <w:kern w:val="0"/>
                <w:sz w:val="21"/>
                <w:szCs w:val="21"/>
                <w:highlight w:val="none"/>
                <w:lang w:val="en-US" w:eastAsia="en-US" w:bidi="ar-SA"/>
              </w:rPr>
              <w:t>施。</w:t>
            </w:r>
          </w:p>
        </w:tc>
        <w:tc>
          <w:tcPr>
            <w:tcW w:w="481"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3"/>
                <w:kern w:val="0"/>
                <w:sz w:val="21"/>
                <w:szCs w:val="21"/>
                <w:highlight w:val="none"/>
                <w:lang w:val="en-US" w:eastAsia="en-US" w:bidi="ar-SA"/>
              </w:rPr>
              <w:t>符合HJ978要求，出水口有自动监测装</w:t>
            </w:r>
            <w:r>
              <w:rPr>
                <w:rFonts w:hint="default" w:ascii="Times New Roman" w:hAnsi="Times New Roman" w:eastAsia="宋体" w:cs="Times New Roman"/>
                <w:snapToGrid w:val="0"/>
                <w:color w:val="FF0000"/>
                <w:spacing w:val="-4"/>
                <w:kern w:val="0"/>
                <w:sz w:val="21"/>
                <w:szCs w:val="21"/>
                <w:highlight w:val="none"/>
                <w:lang w:val="en-US" w:eastAsia="en-US" w:bidi="ar-SA"/>
              </w:rPr>
              <w:t>置，建立</w:t>
            </w:r>
            <w:r>
              <w:rPr>
                <w:rFonts w:hint="default" w:ascii="Times New Roman" w:hAnsi="Times New Roman" w:eastAsia="宋体" w:cs="Times New Roman"/>
                <w:snapToGrid w:val="0"/>
                <w:color w:val="FF0000"/>
                <w:spacing w:val="-1"/>
                <w:kern w:val="0"/>
                <w:sz w:val="21"/>
                <w:szCs w:val="21"/>
                <w:highlight w:val="none"/>
                <w:lang w:val="en-US" w:eastAsia="en-US" w:bidi="ar-SA"/>
              </w:rPr>
              <w:t>运行台账；应设水质检验室，配备检验人员和仪</w:t>
            </w:r>
            <w:r>
              <w:rPr>
                <w:rFonts w:hint="default" w:ascii="Times New Roman" w:hAnsi="Times New Roman" w:eastAsia="宋体" w:cs="Times New Roman"/>
                <w:snapToGrid w:val="0"/>
                <w:color w:val="FF0000"/>
                <w:spacing w:val="-6"/>
                <w:kern w:val="0"/>
                <w:sz w:val="21"/>
                <w:szCs w:val="21"/>
                <w:highlight w:val="none"/>
                <w:lang w:val="en-US" w:eastAsia="en-US" w:bidi="ar-SA"/>
              </w:rPr>
              <w:t>器。具有健全的设备维护保养制度，并有效实施。</w:t>
            </w:r>
          </w:p>
        </w:tc>
        <w:tc>
          <w:tcPr>
            <w:tcW w:w="787"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3"/>
                <w:kern w:val="0"/>
                <w:sz w:val="21"/>
                <w:szCs w:val="21"/>
                <w:highlight w:val="none"/>
                <w:lang w:val="en-US" w:eastAsia="en-US" w:bidi="ar-SA"/>
              </w:rPr>
            </w:pPr>
            <w:r>
              <w:rPr>
                <w:rFonts w:hint="default" w:ascii="Times New Roman" w:hAnsi="Times New Roman" w:eastAsia="宋体" w:cs="Times New Roman"/>
                <w:snapToGrid w:val="0"/>
                <w:color w:val="FF0000"/>
                <w:spacing w:val="-3"/>
                <w:kern w:val="0"/>
                <w:sz w:val="21"/>
                <w:szCs w:val="21"/>
                <w:highlight w:val="none"/>
                <w:lang w:val="en-US" w:eastAsia="en-US" w:bidi="ar-SA"/>
              </w:rPr>
              <w:t>符合HJ978要求，出水口有自动监测装</w:t>
            </w:r>
            <w:r>
              <w:rPr>
                <w:rFonts w:hint="default" w:ascii="Times New Roman" w:hAnsi="Times New Roman" w:eastAsia="宋体" w:cs="Times New Roman"/>
                <w:snapToGrid w:val="0"/>
                <w:color w:val="FF0000"/>
                <w:spacing w:val="-4"/>
                <w:kern w:val="0"/>
                <w:sz w:val="21"/>
                <w:szCs w:val="21"/>
                <w:highlight w:val="none"/>
                <w:lang w:val="en-US" w:eastAsia="en-US" w:bidi="ar-SA"/>
              </w:rPr>
              <w:t>置，建立</w:t>
            </w:r>
            <w:r>
              <w:rPr>
                <w:rFonts w:hint="default" w:ascii="Times New Roman" w:hAnsi="Times New Roman" w:eastAsia="宋体" w:cs="Times New Roman"/>
                <w:snapToGrid w:val="0"/>
                <w:color w:val="FF0000"/>
                <w:spacing w:val="-1"/>
                <w:kern w:val="0"/>
                <w:sz w:val="21"/>
                <w:szCs w:val="21"/>
                <w:highlight w:val="none"/>
                <w:lang w:val="en-US" w:eastAsia="en-US" w:bidi="ar-SA"/>
              </w:rPr>
              <w:t>运行台账；应设水质检验室，配备检验人员和仪</w:t>
            </w:r>
            <w:r>
              <w:rPr>
                <w:rFonts w:hint="default" w:ascii="Times New Roman" w:hAnsi="Times New Roman" w:eastAsia="宋体" w:cs="Times New Roman"/>
                <w:snapToGrid w:val="0"/>
                <w:color w:val="FF0000"/>
                <w:spacing w:val="-6"/>
                <w:kern w:val="0"/>
                <w:sz w:val="21"/>
                <w:szCs w:val="21"/>
                <w:highlight w:val="none"/>
                <w:lang w:val="en-US" w:eastAsia="en-US" w:bidi="ar-SA"/>
              </w:rPr>
              <w:t>器。具有健全的设备维护保养制度，并有效实施</w:t>
            </w:r>
          </w:p>
        </w:tc>
        <w:tc>
          <w:tcPr>
            <w:tcW w:w="7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3"/>
                <w:kern w:val="0"/>
                <w:sz w:val="21"/>
                <w:szCs w:val="21"/>
                <w:highlight w:val="none"/>
                <w:lang w:val="en-US" w:eastAsia="en-US" w:bidi="ar-SA"/>
              </w:rPr>
            </w:pPr>
            <w:r>
              <w:rPr>
                <w:rFonts w:hint="default" w:ascii="Times New Roman" w:hAnsi="Times New Roman" w:eastAsia="宋体" w:cs="Times New Roman"/>
                <w:snapToGrid w:val="0"/>
                <w:color w:val="FF0000"/>
                <w:spacing w:val="-8"/>
                <w:kern w:val="0"/>
                <w:sz w:val="21"/>
                <w:szCs w:val="21"/>
                <w:highlight w:val="none"/>
                <w:lang w:val="en-US" w:eastAsia="en-US" w:bidi="ar-SA"/>
              </w:rPr>
              <w:t>符合HJ978要求，出</w:t>
            </w:r>
            <w:r>
              <w:rPr>
                <w:rFonts w:hint="default" w:ascii="Times New Roman" w:hAnsi="Times New Roman" w:eastAsia="宋体" w:cs="Times New Roman"/>
                <w:snapToGrid w:val="0"/>
                <w:color w:val="FF0000"/>
                <w:spacing w:val="6"/>
                <w:kern w:val="0"/>
                <w:sz w:val="21"/>
                <w:szCs w:val="21"/>
                <w:highlight w:val="none"/>
                <w:lang w:val="en-US" w:eastAsia="en-US" w:bidi="ar-SA"/>
              </w:rPr>
              <w:t>水口有自动监测装</w:t>
            </w:r>
            <w:r>
              <w:rPr>
                <w:rFonts w:hint="default" w:ascii="Times New Roman" w:hAnsi="Times New Roman" w:eastAsia="宋体" w:cs="Times New Roman"/>
                <w:snapToGrid w:val="0"/>
                <w:color w:val="FF0000"/>
                <w:spacing w:val="-1"/>
                <w:kern w:val="0"/>
                <w:sz w:val="21"/>
                <w:szCs w:val="21"/>
                <w:highlight w:val="none"/>
                <w:lang w:val="en-US" w:eastAsia="en-US" w:bidi="ar-SA"/>
              </w:rPr>
              <w:t>置，建立运行台账，</w:t>
            </w:r>
            <w:r>
              <w:rPr>
                <w:rFonts w:hint="default" w:ascii="Times New Roman" w:hAnsi="Times New Roman" w:eastAsia="宋体" w:cs="Times New Roman"/>
                <w:snapToGrid w:val="0"/>
                <w:color w:val="FF0000"/>
                <w:spacing w:val="21"/>
                <w:kern w:val="0"/>
                <w:sz w:val="21"/>
                <w:szCs w:val="21"/>
                <w:highlight w:val="none"/>
                <w:lang w:val="en-US" w:eastAsia="en-US" w:bidi="ar-SA"/>
              </w:rPr>
              <w:t>至少每月自行或委</w:t>
            </w:r>
            <w:r>
              <w:rPr>
                <w:rFonts w:hint="default" w:ascii="Times New Roman" w:hAnsi="Times New Roman" w:eastAsia="宋体" w:cs="Times New Roman"/>
                <w:snapToGrid w:val="0"/>
                <w:color w:val="FF0000"/>
                <w:spacing w:val="-1"/>
                <w:kern w:val="0"/>
                <w:sz w:val="21"/>
                <w:szCs w:val="21"/>
                <w:highlight w:val="none"/>
                <w:lang w:val="en-US" w:eastAsia="en-US" w:bidi="ar-SA"/>
              </w:rPr>
              <w:t>托监测一次，并对监测数据进行记录、整理、统计和分析；应设水质检验室，配备检验人员和仪器。具</w:t>
            </w:r>
            <w:r>
              <w:rPr>
                <w:rFonts w:hint="default" w:ascii="Times New Roman" w:hAnsi="Times New Roman" w:eastAsia="宋体" w:cs="Times New Roman"/>
                <w:snapToGrid w:val="0"/>
                <w:color w:val="FF0000"/>
                <w:spacing w:val="21"/>
                <w:kern w:val="0"/>
                <w:sz w:val="21"/>
                <w:szCs w:val="21"/>
                <w:highlight w:val="none"/>
                <w:lang w:val="en-US" w:eastAsia="en-US" w:bidi="ar-SA"/>
              </w:rPr>
              <w:t>有健全的设备维护</w:t>
            </w:r>
            <w:r>
              <w:rPr>
                <w:rFonts w:hint="default" w:ascii="Times New Roman" w:hAnsi="Times New Roman" w:eastAsia="宋体" w:cs="Times New Roman"/>
                <w:snapToGrid w:val="0"/>
                <w:color w:val="FF0000"/>
                <w:spacing w:val="-1"/>
                <w:kern w:val="0"/>
                <w:sz w:val="21"/>
                <w:szCs w:val="21"/>
                <w:highlight w:val="none"/>
                <w:lang w:val="en-US" w:eastAsia="en-US" w:bidi="ar-SA"/>
              </w:rPr>
              <w:t>保养制度，并有效实</w:t>
            </w:r>
            <w:r>
              <w:rPr>
                <w:rFonts w:hint="default" w:ascii="Times New Roman" w:hAnsi="Times New Roman" w:eastAsia="宋体" w:cs="Times New Roman"/>
                <w:snapToGrid w:val="0"/>
                <w:color w:val="FF0000"/>
                <w:spacing w:val="-3"/>
                <w:kern w:val="0"/>
                <w:sz w:val="21"/>
                <w:szCs w:val="21"/>
                <w:highlight w:val="none"/>
                <w:lang w:val="en-US" w:eastAsia="en-US" w:bidi="ar-SA"/>
              </w:rPr>
              <w:t>施</w:t>
            </w:r>
          </w:p>
        </w:tc>
        <w:tc>
          <w:tcPr>
            <w:tcW w:w="5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3"/>
                <w:kern w:val="0"/>
                <w:sz w:val="21"/>
                <w:szCs w:val="21"/>
                <w:highlight w:val="none"/>
                <w:lang w:val="en-US" w:eastAsia="en-US" w:bidi="ar-SA"/>
              </w:rPr>
            </w:pPr>
            <w:r>
              <w:rPr>
                <w:rFonts w:hint="default" w:ascii="Times New Roman" w:hAnsi="Times New Roman" w:eastAsia="宋体" w:cs="Times New Roman"/>
                <w:snapToGrid w:val="0"/>
                <w:color w:val="FF0000"/>
                <w:spacing w:val="-8"/>
                <w:kern w:val="0"/>
                <w:sz w:val="21"/>
                <w:szCs w:val="21"/>
                <w:highlight w:val="none"/>
                <w:lang w:eastAsia="en-US"/>
              </w:rPr>
              <w:t>Ⅱ</w:t>
            </w:r>
            <w:r>
              <w:rPr>
                <w:rFonts w:hint="default" w:ascii="Times New Roman" w:hAnsi="Times New Roman" w:eastAsia="宋体" w:cs="Times New Roman"/>
                <w:snapToGrid w:val="0"/>
                <w:color w:val="FF0000"/>
                <w:spacing w:val="-2"/>
                <w:kern w:val="0"/>
                <w:sz w:val="21"/>
                <w:szCs w:val="21"/>
                <w:highlight w:val="none"/>
                <w:lang w:val="en-US" w:eastAsia="en-US" w:bidi="ar-SA"/>
              </w:rPr>
              <w:t>级基准值</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50" w:hRule="atLeast"/>
        </w:trPr>
        <w:tc>
          <w:tcPr>
            <w:tcW w:w="26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16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21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5</w:t>
            </w:r>
          </w:p>
        </w:tc>
        <w:tc>
          <w:tcPr>
            <w:tcW w:w="910" w:type="pct"/>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*固体废物管理情况</w:t>
            </w:r>
          </w:p>
        </w:tc>
        <w:tc>
          <w:tcPr>
            <w:tcW w:w="183"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0.15</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5"/>
                <w:kern w:val="0"/>
                <w:sz w:val="21"/>
                <w:szCs w:val="21"/>
                <w:highlight w:val="none"/>
                <w:lang w:val="en-US" w:eastAsia="en-US" w:bidi="ar-SA"/>
              </w:rPr>
              <w:t>应保持污泥处理设施稳定运行，产生的污泥应及</w:t>
            </w:r>
            <w:r>
              <w:rPr>
                <w:rFonts w:hint="default" w:ascii="Times New Roman" w:hAnsi="Times New Roman" w:eastAsia="宋体" w:cs="Times New Roman"/>
                <w:snapToGrid w:val="0"/>
                <w:color w:val="FF0000"/>
                <w:spacing w:val="-2"/>
                <w:kern w:val="0"/>
                <w:sz w:val="21"/>
                <w:szCs w:val="21"/>
                <w:highlight w:val="none"/>
                <w:lang w:val="en-US" w:eastAsia="en-US" w:bidi="ar-SA"/>
              </w:rPr>
              <w:t>时处理和清运，防止二次污染，记录污泥产生、</w:t>
            </w:r>
            <w:r>
              <w:rPr>
                <w:rFonts w:hint="default" w:ascii="Times New Roman" w:hAnsi="Times New Roman" w:eastAsia="宋体" w:cs="Times New Roman"/>
                <w:snapToGrid w:val="0"/>
                <w:color w:val="FF0000"/>
                <w:spacing w:val="4"/>
                <w:kern w:val="0"/>
                <w:sz w:val="21"/>
                <w:szCs w:val="21"/>
                <w:highlight w:val="none"/>
                <w:lang w:val="en-US" w:eastAsia="en-US" w:bidi="ar-SA"/>
              </w:rPr>
              <w:t>处置及出厂总量，污泥处理处置情况应全程跟</w:t>
            </w:r>
            <w:r>
              <w:rPr>
                <w:rFonts w:hint="default" w:ascii="Times New Roman" w:hAnsi="Times New Roman" w:eastAsia="宋体" w:cs="Times New Roman"/>
                <w:snapToGrid w:val="0"/>
                <w:color w:val="FF0000"/>
                <w:spacing w:val="-5"/>
                <w:kern w:val="0"/>
                <w:sz w:val="21"/>
                <w:szCs w:val="21"/>
                <w:highlight w:val="none"/>
                <w:lang w:val="en-US" w:eastAsia="en-US" w:bidi="ar-SA"/>
              </w:rPr>
              <w:t>踪，并严格执行污泥转移联单制度。污泥暂存间地面应采取防雨、防渗漏措施，排水设施应采取防渗措施。采用符合国家规定的废物处置方法处</w:t>
            </w:r>
            <w:r>
              <w:rPr>
                <w:rFonts w:hint="default" w:ascii="Times New Roman" w:hAnsi="Times New Roman" w:eastAsia="宋体" w:cs="Times New Roman"/>
                <w:snapToGrid w:val="0"/>
                <w:color w:val="FF0000"/>
                <w:spacing w:val="-3"/>
                <w:kern w:val="0"/>
                <w:sz w:val="21"/>
                <w:szCs w:val="21"/>
                <w:highlight w:val="none"/>
                <w:lang w:val="en-US" w:eastAsia="en-US" w:bidi="ar-SA"/>
              </w:rPr>
              <w:t>置废物：一般固体废物按照GB18599相关规定</w:t>
            </w:r>
            <w:r>
              <w:rPr>
                <w:rFonts w:hint="default" w:ascii="Times New Roman" w:hAnsi="Times New Roman" w:eastAsia="宋体" w:cs="Times New Roman"/>
                <w:snapToGrid w:val="0"/>
                <w:color w:val="FF0000"/>
                <w:spacing w:val="-2"/>
                <w:kern w:val="0"/>
                <w:sz w:val="21"/>
                <w:szCs w:val="21"/>
                <w:highlight w:val="none"/>
                <w:lang w:val="en-US" w:eastAsia="en-US" w:bidi="ar-SA"/>
              </w:rPr>
              <w:t>执行；危险废物按照GB18597相关规定执行。</w:t>
            </w:r>
          </w:p>
        </w:tc>
        <w:tc>
          <w:tcPr>
            <w:tcW w:w="634"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5"/>
                <w:kern w:val="0"/>
                <w:sz w:val="21"/>
                <w:szCs w:val="21"/>
                <w:highlight w:val="none"/>
                <w:lang w:val="en-US" w:eastAsia="en-US" w:bidi="ar-SA"/>
              </w:rPr>
              <w:t>应保持污泥处理设施稳定运行，产生的污泥应及</w:t>
            </w:r>
            <w:r>
              <w:rPr>
                <w:rFonts w:hint="default" w:ascii="Times New Roman" w:hAnsi="Times New Roman" w:eastAsia="宋体" w:cs="Times New Roman"/>
                <w:snapToGrid w:val="0"/>
                <w:color w:val="FF0000"/>
                <w:spacing w:val="-2"/>
                <w:kern w:val="0"/>
                <w:sz w:val="21"/>
                <w:szCs w:val="21"/>
                <w:highlight w:val="none"/>
                <w:lang w:val="en-US" w:eastAsia="en-US" w:bidi="ar-SA"/>
              </w:rPr>
              <w:t>时处理和清运，防止二次污染，记录污泥产生、</w:t>
            </w:r>
            <w:r>
              <w:rPr>
                <w:rFonts w:hint="default" w:ascii="Times New Roman" w:hAnsi="Times New Roman" w:eastAsia="宋体" w:cs="Times New Roman"/>
                <w:snapToGrid w:val="0"/>
                <w:color w:val="FF0000"/>
                <w:spacing w:val="4"/>
                <w:kern w:val="0"/>
                <w:sz w:val="21"/>
                <w:szCs w:val="21"/>
                <w:highlight w:val="none"/>
                <w:lang w:val="en-US" w:eastAsia="en-US" w:bidi="ar-SA"/>
              </w:rPr>
              <w:t>处置及出厂总量，污泥处理处置情况应全程跟</w:t>
            </w:r>
            <w:r>
              <w:rPr>
                <w:rFonts w:hint="default" w:ascii="Times New Roman" w:hAnsi="Times New Roman" w:eastAsia="宋体" w:cs="Times New Roman"/>
                <w:snapToGrid w:val="0"/>
                <w:color w:val="FF0000"/>
                <w:spacing w:val="-5"/>
                <w:kern w:val="0"/>
                <w:sz w:val="21"/>
                <w:szCs w:val="21"/>
                <w:highlight w:val="none"/>
                <w:lang w:val="en-US" w:eastAsia="en-US" w:bidi="ar-SA"/>
              </w:rPr>
              <w:t>踪，并严格执行污泥转移联单制度。污泥暂存间地面应采取防雨、防渗漏措施，排水设施应采取防渗措施。采用符合国家规定的废物处置方法处</w:t>
            </w:r>
            <w:r>
              <w:rPr>
                <w:rFonts w:hint="default" w:ascii="Times New Roman" w:hAnsi="Times New Roman" w:eastAsia="宋体" w:cs="Times New Roman"/>
                <w:snapToGrid w:val="0"/>
                <w:color w:val="FF0000"/>
                <w:spacing w:val="-3"/>
                <w:kern w:val="0"/>
                <w:sz w:val="21"/>
                <w:szCs w:val="21"/>
                <w:highlight w:val="none"/>
                <w:lang w:val="en-US" w:eastAsia="en-US" w:bidi="ar-SA"/>
              </w:rPr>
              <w:t>置废物：一般固体废物按照GB18599相关规定</w:t>
            </w:r>
            <w:r>
              <w:rPr>
                <w:rFonts w:hint="default" w:ascii="Times New Roman" w:hAnsi="Times New Roman" w:eastAsia="宋体" w:cs="Times New Roman"/>
                <w:snapToGrid w:val="0"/>
                <w:color w:val="FF0000"/>
                <w:spacing w:val="-2"/>
                <w:kern w:val="0"/>
                <w:sz w:val="21"/>
                <w:szCs w:val="21"/>
                <w:highlight w:val="none"/>
                <w:lang w:val="en-US" w:eastAsia="en-US" w:bidi="ar-SA"/>
              </w:rPr>
              <w:t>执行；危险废物按照GB18597相关规定执行。</w:t>
            </w:r>
          </w:p>
        </w:tc>
        <w:tc>
          <w:tcPr>
            <w:tcW w:w="63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7"/>
                <w:kern w:val="0"/>
                <w:sz w:val="21"/>
                <w:szCs w:val="21"/>
                <w:highlight w:val="none"/>
                <w:lang w:val="en-US" w:eastAsia="en-US" w:bidi="ar-SA"/>
              </w:rPr>
            </w:pPr>
            <w:r>
              <w:rPr>
                <w:rFonts w:hint="default" w:ascii="Times New Roman" w:hAnsi="Times New Roman" w:eastAsia="宋体" w:cs="Times New Roman"/>
                <w:snapToGrid w:val="0"/>
                <w:color w:val="FF0000"/>
                <w:spacing w:val="7"/>
                <w:kern w:val="0"/>
                <w:sz w:val="21"/>
                <w:szCs w:val="21"/>
                <w:highlight w:val="none"/>
                <w:lang w:val="en-US" w:eastAsia="en-US" w:bidi="ar-SA"/>
              </w:rPr>
              <w:t>应保持污泥处理设施稳定运行，产生的污</w:t>
            </w:r>
            <w:r>
              <w:rPr>
                <w:rFonts w:hint="default" w:ascii="Times New Roman" w:hAnsi="Times New Roman" w:eastAsia="宋体" w:cs="Times New Roman"/>
                <w:snapToGrid w:val="0"/>
                <w:color w:val="FF0000"/>
                <w:spacing w:val="31"/>
                <w:kern w:val="0"/>
                <w:sz w:val="21"/>
                <w:szCs w:val="21"/>
                <w:highlight w:val="none"/>
                <w:lang w:val="en-US" w:eastAsia="en-US" w:bidi="ar-SA"/>
              </w:rPr>
              <w:t>泥应及时处理和清</w:t>
            </w:r>
            <w:r>
              <w:rPr>
                <w:rFonts w:hint="default" w:ascii="Times New Roman" w:hAnsi="Times New Roman" w:eastAsia="宋体" w:cs="Times New Roman"/>
                <w:snapToGrid w:val="0"/>
                <w:color w:val="FF0000"/>
                <w:spacing w:val="8"/>
                <w:kern w:val="0"/>
                <w:sz w:val="21"/>
                <w:szCs w:val="21"/>
                <w:highlight w:val="none"/>
                <w:lang w:val="en-US" w:eastAsia="en-US" w:bidi="ar-SA"/>
              </w:rPr>
              <w:t>运，记录污泥产生、</w:t>
            </w:r>
            <w:r>
              <w:rPr>
                <w:rFonts w:hint="default" w:ascii="Times New Roman" w:hAnsi="Times New Roman" w:eastAsia="宋体" w:cs="Times New Roman"/>
                <w:snapToGrid w:val="0"/>
                <w:color w:val="FF0000"/>
                <w:spacing w:val="7"/>
                <w:kern w:val="0"/>
                <w:sz w:val="21"/>
                <w:szCs w:val="21"/>
                <w:highlight w:val="none"/>
                <w:lang w:val="en-US" w:eastAsia="en-US" w:bidi="ar-SA"/>
              </w:rPr>
              <w:t>处置及出厂总量，污泥处理处置情况应全</w:t>
            </w:r>
            <w:r>
              <w:rPr>
                <w:rFonts w:hint="default" w:ascii="Times New Roman" w:hAnsi="Times New Roman" w:eastAsia="宋体" w:cs="Times New Roman"/>
                <w:snapToGrid w:val="0"/>
                <w:color w:val="FF0000"/>
                <w:spacing w:val="8"/>
                <w:kern w:val="0"/>
                <w:sz w:val="21"/>
                <w:szCs w:val="21"/>
                <w:highlight w:val="none"/>
                <w:lang w:val="en-US" w:eastAsia="en-US" w:bidi="ar-SA"/>
              </w:rPr>
              <w:t>程跟踪。采用符合国</w:t>
            </w:r>
            <w:r>
              <w:rPr>
                <w:rFonts w:hint="default" w:ascii="Times New Roman" w:hAnsi="Times New Roman" w:eastAsia="宋体" w:cs="Times New Roman"/>
                <w:snapToGrid w:val="0"/>
                <w:color w:val="FF0000"/>
                <w:spacing w:val="7"/>
                <w:kern w:val="0"/>
                <w:sz w:val="21"/>
                <w:szCs w:val="21"/>
                <w:highlight w:val="none"/>
                <w:lang w:val="en-US" w:eastAsia="en-US" w:bidi="ar-SA"/>
              </w:rPr>
              <w:t>家规定的废物处置方法处置废物：一般固</w:t>
            </w:r>
            <w:r>
              <w:rPr>
                <w:rFonts w:hint="default" w:ascii="Times New Roman" w:hAnsi="Times New Roman" w:eastAsia="宋体" w:cs="Times New Roman"/>
                <w:snapToGrid w:val="0"/>
                <w:color w:val="FF0000"/>
                <w:spacing w:val="-3"/>
                <w:kern w:val="0"/>
                <w:sz w:val="21"/>
                <w:szCs w:val="21"/>
                <w:highlight w:val="none"/>
                <w:lang w:val="en-US" w:eastAsia="en-US" w:bidi="ar-SA"/>
              </w:rPr>
              <w:t>体废物按照GB18599</w:t>
            </w:r>
            <w:r>
              <w:rPr>
                <w:rFonts w:hint="default" w:ascii="Times New Roman" w:hAnsi="Times New Roman" w:eastAsia="宋体" w:cs="Times New Roman"/>
                <w:snapToGrid w:val="0"/>
                <w:color w:val="FF0000"/>
                <w:spacing w:val="7"/>
                <w:kern w:val="0"/>
                <w:sz w:val="21"/>
                <w:szCs w:val="21"/>
                <w:highlight w:val="none"/>
                <w:lang w:val="en-US" w:eastAsia="en-US" w:bidi="ar-SA"/>
              </w:rPr>
              <w:t>相关规定执行；危险</w:t>
            </w:r>
            <w:r>
              <w:rPr>
                <w:rFonts w:hint="default" w:ascii="Times New Roman" w:hAnsi="Times New Roman" w:eastAsia="宋体" w:cs="Times New Roman"/>
                <w:snapToGrid w:val="0"/>
                <w:color w:val="FF0000"/>
                <w:spacing w:val="-1"/>
                <w:kern w:val="0"/>
                <w:sz w:val="21"/>
                <w:szCs w:val="21"/>
                <w:highlight w:val="none"/>
                <w:lang w:val="en-US" w:eastAsia="en-US" w:bidi="ar-SA"/>
              </w:rPr>
              <w:t>废物按照GB18597相</w:t>
            </w:r>
            <w:r>
              <w:rPr>
                <w:rFonts w:hint="default" w:ascii="Times New Roman" w:hAnsi="Times New Roman" w:eastAsia="宋体" w:cs="Times New Roman"/>
                <w:snapToGrid w:val="0"/>
                <w:color w:val="FF0000"/>
                <w:spacing w:val="-2"/>
                <w:kern w:val="0"/>
                <w:sz w:val="21"/>
                <w:szCs w:val="21"/>
                <w:highlight w:val="none"/>
                <w:lang w:val="en-US" w:eastAsia="en-US" w:bidi="ar-SA"/>
              </w:rPr>
              <w:t>关规定执行。</w:t>
            </w:r>
          </w:p>
        </w:tc>
        <w:tc>
          <w:tcPr>
            <w:tcW w:w="7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7"/>
                <w:kern w:val="0"/>
                <w:sz w:val="21"/>
                <w:szCs w:val="21"/>
                <w:highlight w:val="none"/>
                <w:lang w:val="en-US" w:eastAsia="en-US" w:bidi="ar-SA"/>
              </w:rPr>
            </w:pPr>
            <w:r>
              <w:rPr>
                <w:rFonts w:hint="eastAsia" w:ascii="Times New Roman" w:hAnsi="Times New Roman" w:cs="Times New Roman"/>
                <w:snapToGrid w:val="0"/>
                <w:color w:val="FF0000"/>
                <w:spacing w:val="-5"/>
                <w:kern w:val="0"/>
                <w:sz w:val="21"/>
                <w:szCs w:val="21"/>
                <w:highlight w:val="none"/>
                <w:lang w:val="en-US" w:eastAsia="zh-CN" w:bidi="ar-SA"/>
              </w:rPr>
              <w:t>本项目</w:t>
            </w:r>
            <w:r>
              <w:rPr>
                <w:rFonts w:hint="default" w:ascii="Times New Roman" w:hAnsi="Times New Roman" w:eastAsia="宋体" w:cs="Times New Roman"/>
                <w:snapToGrid w:val="0"/>
                <w:color w:val="FF0000"/>
                <w:spacing w:val="-5"/>
                <w:kern w:val="0"/>
                <w:sz w:val="21"/>
                <w:szCs w:val="21"/>
                <w:highlight w:val="none"/>
                <w:lang w:val="en-US" w:eastAsia="en-US" w:bidi="ar-SA"/>
              </w:rPr>
              <w:t>保持污泥处理设施稳定运行，产生的污泥应及</w:t>
            </w:r>
            <w:r>
              <w:rPr>
                <w:rFonts w:hint="default" w:ascii="Times New Roman" w:hAnsi="Times New Roman" w:eastAsia="宋体" w:cs="Times New Roman"/>
                <w:snapToGrid w:val="0"/>
                <w:color w:val="FF0000"/>
                <w:spacing w:val="-2"/>
                <w:kern w:val="0"/>
                <w:sz w:val="21"/>
                <w:szCs w:val="21"/>
                <w:highlight w:val="none"/>
                <w:lang w:val="en-US" w:eastAsia="en-US" w:bidi="ar-SA"/>
              </w:rPr>
              <w:t>时处理和清运，防止二次污染，记录污泥产生、</w:t>
            </w:r>
            <w:r>
              <w:rPr>
                <w:rFonts w:hint="default" w:ascii="Times New Roman" w:hAnsi="Times New Roman" w:eastAsia="宋体" w:cs="Times New Roman"/>
                <w:snapToGrid w:val="0"/>
                <w:color w:val="FF0000"/>
                <w:spacing w:val="4"/>
                <w:kern w:val="0"/>
                <w:sz w:val="21"/>
                <w:szCs w:val="21"/>
                <w:highlight w:val="none"/>
                <w:lang w:val="en-US" w:eastAsia="en-US" w:bidi="ar-SA"/>
              </w:rPr>
              <w:t>处置及出厂总量，污泥处理处置情况应全程跟</w:t>
            </w:r>
            <w:r>
              <w:rPr>
                <w:rFonts w:hint="default" w:ascii="Times New Roman" w:hAnsi="Times New Roman" w:eastAsia="宋体" w:cs="Times New Roman"/>
                <w:snapToGrid w:val="0"/>
                <w:color w:val="FF0000"/>
                <w:spacing w:val="-5"/>
                <w:kern w:val="0"/>
                <w:sz w:val="21"/>
                <w:szCs w:val="21"/>
                <w:highlight w:val="none"/>
                <w:lang w:val="en-US" w:eastAsia="en-US" w:bidi="ar-SA"/>
              </w:rPr>
              <w:t>踪，并严格执行污泥转移联单制度。污泥暂存间地面应采取防雨、防渗漏措施，排水设施应采取防渗措施。采用符合国家规定的废物处置方法处</w:t>
            </w:r>
            <w:r>
              <w:rPr>
                <w:rFonts w:hint="default" w:ascii="Times New Roman" w:hAnsi="Times New Roman" w:eastAsia="宋体" w:cs="Times New Roman"/>
                <w:snapToGrid w:val="0"/>
                <w:color w:val="FF0000"/>
                <w:spacing w:val="-3"/>
                <w:kern w:val="0"/>
                <w:sz w:val="21"/>
                <w:szCs w:val="21"/>
                <w:highlight w:val="none"/>
                <w:lang w:val="en-US" w:eastAsia="en-US" w:bidi="ar-SA"/>
              </w:rPr>
              <w:t>置废物：一般固体废物按照GB18599相关规定</w:t>
            </w:r>
            <w:r>
              <w:rPr>
                <w:rFonts w:hint="default" w:ascii="Times New Roman" w:hAnsi="Times New Roman" w:eastAsia="宋体" w:cs="Times New Roman"/>
                <w:snapToGrid w:val="0"/>
                <w:color w:val="FF0000"/>
                <w:spacing w:val="-2"/>
                <w:kern w:val="0"/>
                <w:sz w:val="21"/>
                <w:szCs w:val="21"/>
                <w:highlight w:val="none"/>
                <w:lang w:val="en-US" w:eastAsia="en-US" w:bidi="ar-SA"/>
              </w:rPr>
              <w:t>执行；危险废物按照GB18597相关规定执行。</w:t>
            </w:r>
          </w:p>
        </w:tc>
        <w:tc>
          <w:tcPr>
            <w:tcW w:w="5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388" w:firstLineChars="200"/>
              <w:jc w:val="center"/>
              <w:textAlignment w:val="baseline"/>
              <w:rPr>
                <w:rFonts w:hint="default" w:ascii="Times New Roman" w:hAnsi="Times New Roman" w:eastAsia="宋体" w:cs="Times New Roman"/>
                <w:snapToGrid w:val="0"/>
                <w:color w:val="FF0000"/>
                <w:spacing w:val="7"/>
                <w:kern w:val="0"/>
                <w:sz w:val="21"/>
                <w:szCs w:val="21"/>
                <w:highlight w:val="none"/>
                <w:lang w:val="en-US" w:eastAsia="en-US" w:bidi="ar-SA"/>
              </w:rPr>
            </w:pPr>
            <w:r>
              <w:rPr>
                <w:rFonts w:hint="default" w:ascii="Times New Roman" w:hAnsi="Times New Roman" w:eastAsia="宋体" w:cs="Times New Roman"/>
                <w:snapToGrid w:val="0"/>
                <w:color w:val="FF0000"/>
                <w:spacing w:val="-8"/>
                <w:kern w:val="0"/>
                <w:sz w:val="21"/>
                <w:szCs w:val="21"/>
                <w:highlight w:val="none"/>
                <w:lang w:eastAsia="en-US"/>
              </w:rPr>
              <w:t>Ⅱ</w:t>
            </w:r>
            <w:r>
              <w:rPr>
                <w:rFonts w:hint="default" w:ascii="Times New Roman" w:hAnsi="Times New Roman" w:eastAsia="宋体" w:cs="Times New Roman"/>
                <w:snapToGrid w:val="0"/>
                <w:color w:val="FF0000"/>
                <w:spacing w:val="-2"/>
                <w:kern w:val="0"/>
                <w:sz w:val="21"/>
                <w:szCs w:val="21"/>
                <w:highlight w:val="none"/>
                <w:lang w:val="en-US" w:eastAsia="en-US" w:bidi="ar-SA"/>
              </w:rPr>
              <w:t>级基准值</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6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16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21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6</w:t>
            </w:r>
          </w:p>
        </w:tc>
        <w:tc>
          <w:tcPr>
            <w:tcW w:w="910" w:type="pct"/>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2"/>
                <w:kern w:val="0"/>
                <w:sz w:val="21"/>
                <w:szCs w:val="21"/>
                <w:highlight w:val="none"/>
                <w:lang w:eastAsia="en-US"/>
              </w:rPr>
              <w:t>环境应急预案</w:t>
            </w:r>
          </w:p>
        </w:tc>
        <w:tc>
          <w:tcPr>
            <w:tcW w:w="183"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0.06</w:t>
            </w:r>
          </w:p>
        </w:tc>
        <w:tc>
          <w:tcPr>
            <w:tcW w:w="1917" w:type="pct"/>
            <w:gridSpan w:val="4"/>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kern w:val="0"/>
                <w:sz w:val="21"/>
                <w:szCs w:val="21"/>
                <w:highlight w:val="none"/>
                <w:lang w:eastAsia="en-US"/>
              </w:rPr>
              <w:t>建立</w:t>
            </w:r>
            <w:r>
              <w:rPr>
                <w:rFonts w:hint="default" w:ascii="Times New Roman" w:hAnsi="Times New Roman" w:eastAsia="宋体" w:cs="Times New Roman"/>
                <w:b/>
                <w:bCs/>
                <w:snapToGrid w:val="0"/>
                <w:color w:val="FF0000"/>
                <w:kern w:val="0"/>
                <w:sz w:val="21"/>
                <w:szCs w:val="21"/>
                <w:highlight w:val="none"/>
                <w:lang w:eastAsia="en-US"/>
              </w:rPr>
              <w:t>、</w:t>
            </w:r>
            <w:r>
              <w:rPr>
                <w:rFonts w:hint="default" w:ascii="Times New Roman" w:hAnsi="Times New Roman" w:eastAsia="宋体" w:cs="Times New Roman"/>
                <w:snapToGrid w:val="0"/>
                <w:color w:val="FF0000"/>
                <w:kern w:val="0"/>
                <w:sz w:val="21"/>
                <w:szCs w:val="21"/>
                <w:highlight w:val="none"/>
                <w:lang w:eastAsia="en-US"/>
              </w:rPr>
              <w:t>制定环境突发性事件应急预案（预案要通过相应环保部门备案）</w:t>
            </w:r>
            <w:r>
              <w:rPr>
                <w:rFonts w:hint="default" w:ascii="Times New Roman" w:hAnsi="Times New Roman" w:eastAsia="宋体" w:cs="Times New Roman"/>
                <w:snapToGrid w:val="0"/>
                <w:color w:val="FF0000"/>
                <w:spacing w:val="-2"/>
                <w:kern w:val="0"/>
                <w:sz w:val="21"/>
                <w:szCs w:val="21"/>
                <w:highlight w:val="none"/>
                <w:lang w:eastAsia="en-US"/>
              </w:rPr>
              <w:t>并定期演练。</w:t>
            </w:r>
          </w:p>
        </w:tc>
        <w:tc>
          <w:tcPr>
            <w:tcW w:w="7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kern w:val="0"/>
                <w:sz w:val="21"/>
                <w:szCs w:val="21"/>
                <w:highlight w:val="none"/>
                <w:lang w:eastAsia="en-US"/>
              </w:rPr>
              <w:t>建立</w:t>
            </w:r>
            <w:r>
              <w:rPr>
                <w:rFonts w:hint="default" w:ascii="Times New Roman" w:hAnsi="Times New Roman" w:eastAsia="宋体" w:cs="Times New Roman"/>
                <w:b/>
                <w:bCs/>
                <w:snapToGrid w:val="0"/>
                <w:color w:val="FF0000"/>
                <w:kern w:val="0"/>
                <w:sz w:val="21"/>
                <w:szCs w:val="21"/>
                <w:highlight w:val="none"/>
                <w:lang w:eastAsia="en-US"/>
              </w:rPr>
              <w:t>、</w:t>
            </w:r>
            <w:r>
              <w:rPr>
                <w:rFonts w:hint="default" w:ascii="Times New Roman" w:hAnsi="Times New Roman" w:eastAsia="宋体" w:cs="Times New Roman"/>
                <w:snapToGrid w:val="0"/>
                <w:color w:val="FF0000"/>
                <w:kern w:val="0"/>
                <w:sz w:val="21"/>
                <w:szCs w:val="21"/>
                <w:highlight w:val="none"/>
                <w:lang w:eastAsia="en-US"/>
              </w:rPr>
              <w:t>制定环境突发性事件应急预案（预案要通过相应环保部门备案）</w:t>
            </w:r>
            <w:r>
              <w:rPr>
                <w:rFonts w:hint="default" w:ascii="Times New Roman" w:hAnsi="Times New Roman" w:eastAsia="宋体" w:cs="Times New Roman"/>
                <w:snapToGrid w:val="0"/>
                <w:color w:val="FF0000"/>
                <w:spacing w:val="-2"/>
                <w:kern w:val="0"/>
                <w:sz w:val="21"/>
                <w:szCs w:val="21"/>
                <w:highlight w:val="none"/>
                <w:lang w:eastAsia="en-US"/>
              </w:rPr>
              <w:t>并定期演练。</w:t>
            </w:r>
          </w:p>
        </w:tc>
        <w:tc>
          <w:tcPr>
            <w:tcW w:w="5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8"/>
                <w:kern w:val="0"/>
                <w:sz w:val="21"/>
                <w:szCs w:val="21"/>
                <w:highlight w:val="none"/>
                <w:lang w:eastAsia="en-US"/>
              </w:rPr>
              <w:t>Ⅱ</w:t>
            </w:r>
            <w:r>
              <w:rPr>
                <w:rFonts w:hint="default" w:ascii="Times New Roman" w:hAnsi="Times New Roman" w:eastAsia="宋体" w:cs="Times New Roman"/>
                <w:snapToGrid w:val="0"/>
                <w:color w:val="FF0000"/>
                <w:spacing w:val="-2"/>
                <w:kern w:val="0"/>
                <w:sz w:val="21"/>
                <w:szCs w:val="21"/>
                <w:highlight w:val="none"/>
                <w:lang w:val="en-US" w:eastAsia="en-US" w:bidi="ar-SA"/>
              </w:rPr>
              <w:t>级基准值</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26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16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21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7</w:t>
            </w:r>
          </w:p>
        </w:tc>
        <w:tc>
          <w:tcPr>
            <w:tcW w:w="910" w:type="pct"/>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2"/>
                <w:kern w:val="0"/>
                <w:sz w:val="21"/>
                <w:szCs w:val="21"/>
                <w:highlight w:val="none"/>
                <w:lang w:eastAsia="en-US"/>
              </w:rPr>
              <w:t>环境信息公开</w:t>
            </w:r>
          </w:p>
        </w:tc>
        <w:tc>
          <w:tcPr>
            <w:tcW w:w="183"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0.04</w:t>
            </w:r>
          </w:p>
        </w:tc>
        <w:tc>
          <w:tcPr>
            <w:tcW w:w="1917" w:type="pct"/>
            <w:gridSpan w:val="4"/>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1"/>
                <w:kern w:val="0"/>
                <w:sz w:val="21"/>
                <w:szCs w:val="21"/>
                <w:highlight w:val="none"/>
                <w:lang w:eastAsia="en-US"/>
              </w:rPr>
              <w:t>按照《企业事业单位环境信息公开办法》，公开相关环境信息。</w:t>
            </w:r>
          </w:p>
        </w:tc>
        <w:tc>
          <w:tcPr>
            <w:tcW w:w="7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1"/>
                <w:kern w:val="0"/>
                <w:sz w:val="21"/>
                <w:szCs w:val="21"/>
                <w:highlight w:val="none"/>
                <w:lang w:eastAsia="en-US"/>
              </w:rPr>
            </w:pPr>
            <w:r>
              <w:rPr>
                <w:rFonts w:hint="default" w:ascii="Times New Roman" w:hAnsi="Times New Roman" w:eastAsia="宋体" w:cs="Times New Roman"/>
                <w:snapToGrid w:val="0"/>
                <w:color w:val="FF0000"/>
                <w:spacing w:val="-1"/>
                <w:kern w:val="0"/>
                <w:sz w:val="21"/>
                <w:szCs w:val="21"/>
                <w:highlight w:val="none"/>
                <w:lang w:eastAsia="en-US"/>
              </w:rPr>
              <w:t>按照《企业事业单位环境信息公开办法》，公开相关环境信息。</w:t>
            </w:r>
          </w:p>
        </w:tc>
        <w:tc>
          <w:tcPr>
            <w:tcW w:w="5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spacing w:val="-1"/>
                <w:kern w:val="0"/>
                <w:sz w:val="21"/>
                <w:szCs w:val="21"/>
                <w:highlight w:val="none"/>
                <w:lang w:eastAsia="en-US"/>
              </w:rPr>
            </w:pPr>
            <w:r>
              <w:rPr>
                <w:rFonts w:hint="default" w:ascii="Times New Roman" w:hAnsi="Times New Roman" w:eastAsia="宋体" w:cs="Times New Roman"/>
                <w:snapToGrid w:val="0"/>
                <w:color w:val="FF0000"/>
                <w:spacing w:val="-8"/>
                <w:kern w:val="0"/>
                <w:sz w:val="21"/>
                <w:szCs w:val="21"/>
                <w:highlight w:val="none"/>
                <w:lang w:eastAsia="en-US"/>
              </w:rPr>
              <w:t>Ⅱ</w:t>
            </w:r>
            <w:r>
              <w:rPr>
                <w:rFonts w:hint="default" w:ascii="Times New Roman" w:hAnsi="Times New Roman" w:eastAsia="宋体" w:cs="Times New Roman"/>
                <w:snapToGrid w:val="0"/>
                <w:color w:val="FF0000"/>
                <w:spacing w:val="-2"/>
                <w:kern w:val="0"/>
                <w:sz w:val="21"/>
                <w:szCs w:val="21"/>
                <w:highlight w:val="none"/>
                <w:lang w:val="en-US" w:eastAsia="en-US" w:bidi="ar-SA"/>
              </w:rPr>
              <w:t>级基准值</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1182" w:hRule="atLeast"/>
        </w:trPr>
        <w:tc>
          <w:tcPr>
            <w:tcW w:w="269"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166"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Fonts w:hint="default" w:ascii="Times New Roman" w:hAnsi="Times New Roman" w:eastAsia="宋体" w:cs="Times New Roman"/>
                <w:snapToGrid w:val="0"/>
                <w:color w:val="FF0000"/>
                <w:kern w:val="0"/>
                <w:sz w:val="21"/>
                <w:szCs w:val="21"/>
                <w:highlight w:val="none"/>
                <w:lang w:eastAsia="en-US"/>
              </w:rPr>
            </w:pPr>
          </w:p>
        </w:tc>
        <w:tc>
          <w:tcPr>
            <w:tcW w:w="216"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kern w:val="0"/>
                <w:sz w:val="21"/>
                <w:szCs w:val="21"/>
                <w:highlight w:val="none"/>
                <w:lang w:val="en-US" w:eastAsia="en-US" w:bidi="ar-SA"/>
              </w:rPr>
              <w:t>8</w:t>
            </w:r>
          </w:p>
        </w:tc>
        <w:tc>
          <w:tcPr>
            <w:tcW w:w="910" w:type="pct"/>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2"/>
                <w:kern w:val="0"/>
                <w:sz w:val="21"/>
                <w:szCs w:val="21"/>
                <w:highlight w:val="none"/>
                <w:lang w:eastAsia="en-US"/>
              </w:rPr>
              <w:t>劳动安全卫生指标</w:t>
            </w:r>
          </w:p>
        </w:tc>
        <w:tc>
          <w:tcPr>
            <w:tcW w:w="183" w:type="pct"/>
            <w:gridSpan w:val="2"/>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val="en-US" w:eastAsia="en-US" w:bidi="ar-SA"/>
              </w:rPr>
            </w:pPr>
            <w:r>
              <w:rPr>
                <w:rFonts w:hint="default" w:ascii="Times New Roman" w:hAnsi="Times New Roman" w:eastAsia="宋体" w:cs="Times New Roman"/>
                <w:snapToGrid w:val="0"/>
                <w:color w:val="FF0000"/>
                <w:spacing w:val="-2"/>
                <w:kern w:val="0"/>
                <w:sz w:val="21"/>
                <w:szCs w:val="21"/>
                <w:highlight w:val="none"/>
                <w:lang w:val="en-US" w:eastAsia="en-US" w:bidi="ar-SA"/>
              </w:rPr>
              <w:t>0.02</w:t>
            </w:r>
          </w:p>
        </w:tc>
        <w:tc>
          <w:tcPr>
            <w:tcW w:w="647"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1"/>
                <w:kern w:val="0"/>
                <w:sz w:val="21"/>
                <w:szCs w:val="21"/>
                <w:highlight w:val="none"/>
                <w:lang w:eastAsia="en-US"/>
              </w:rPr>
              <w:t>建立职业健康安全管理体系</w:t>
            </w:r>
          </w:p>
        </w:tc>
        <w:tc>
          <w:tcPr>
            <w:tcW w:w="1269" w:type="pct"/>
            <w:gridSpan w:val="3"/>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kern w:val="0"/>
                <w:sz w:val="21"/>
                <w:szCs w:val="21"/>
                <w:highlight w:val="none"/>
                <w:lang w:eastAsia="en-US"/>
              </w:rPr>
              <w:t>建立安全生产管理相关规定，与污水污泥有直接接触的员工配备口罩手套等劳保用</w:t>
            </w:r>
            <w:r>
              <w:rPr>
                <w:rFonts w:hint="default" w:ascii="Times New Roman" w:hAnsi="Times New Roman" w:eastAsia="宋体" w:cs="Times New Roman"/>
                <w:snapToGrid w:val="0"/>
                <w:color w:val="FF0000"/>
                <w:spacing w:val="-4"/>
                <w:kern w:val="0"/>
                <w:sz w:val="21"/>
                <w:szCs w:val="21"/>
                <w:highlight w:val="none"/>
                <w:lang w:eastAsia="en-US"/>
              </w:rPr>
              <w:t>品。</w:t>
            </w:r>
          </w:p>
        </w:tc>
        <w:tc>
          <w:tcPr>
            <w:tcW w:w="782"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1"/>
                <w:kern w:val="0"/>
                <w:sz w:val="21"/>
                <w:szCs w:val="21"/>
                <w:highlight w:val="none"/>
                <w:lang w:eastAsia="en-US"/>
              </w:rPr>
              <w:t>建立职业健康安全管理体系</w:t>
            </w:r>
          </w:p>
        </w:tc>
        <w:tc>
          <w:tcPr>
            <w:tcW w:w="554" w:type="pc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snapToGrid w:val="0"/>
                <w:color w:val="FF0000"/>
                <w:kern w:val="0"/>
                <w:sz w:val="21"/>
                <w:szCs w:val="21"/>
                <w:highlight w:val="none"/>
                <w:lang w:eastAsia="en-US"/>
              </w:rPr>
            </w:pPr>
            <w:r>
              <w:rPr>
                <w:rFonts w:hint="default" w:ascii="Times New Roman" w:hAnsi="Times New Roman" w:eastAsia="宋体" w:cs="Times New Roman"/>
                <w:snapToGrid w:val="0"/>
                <w:color w:val="FF0000"/>
                <w:spacing w:val="-8"/>
                <w:kern w:val="0"/>
                <w:sz w:val="21"/>
                <w:szCs w:val="21"/>
                <w:highlight w:val="none"/>
                <w:lang w:eastAsia="en-US"/>
              </w:rPr>
              <w:t>Ⅱ</w:t>
            </w:r>
            <w:r>
              <w:rPr>
                <w:rFonts w:hint="default" w:ascii="Times New Roman" w:hAnsi="Times New Roman" w:eastAsia="宋体" w:cs="Times New Roman"/>
                <w:snapToGrid w:val="0"/>
                <w:color w:val="FF0000"/>
                <w:spacing w:val="-2"/>
                <w:kern w:val="0"/>
                <w:sz w:val="21"/>
                <w:szCs w:val="21"/>
                <w:highlight w:val="none"/>
                <w:lang w:val="en-US" w:eastAsia="en-US" w:bidi="ar-SA"/>
              </w:rPr>
              <w:t>级基准值</w:t>
            </w:r>
          </w:p>
        </w:tc>
      </w:tr>
    </w:tbl>
    <w:p>
      <w:pPr>
        <w:bidi w:val="0"/>
        <w:rPr>
          <w:rFonts w:hint="eastAsia"/>
          <w:color w:val="FF0000"/>
          <w:highlight w:val="none"/>
          <w:lang w:eastAsia="zh-CN"/>
        </w:rPr>
      </w:pPr>
      <w:r>
        <w:rPr>
          <w:rFonts w:hint="eastAsia"/>
          <w:color w:val="FF0000"/>
          <w:highlight w:val="none"/>
          <w:lang w:eastAsia="zh-CN"/>
        </w:rPr>
        <w:t>将</w:t>
      </w:r>
      <w:r>
        <w:rPr>
          <w:rFonts w:hint="eastAsia"/>
          <w:color w:val="FF0000"/>
          <w:highlight w:val="none"/>
          <w:lang w:val="en-US" w:eastAsia="zh-CN"/>
        </w:rPr>
        <w:t>本项目</w:t>
      </w:r>
      <w:r>
        <w:rPr>
          <w:rFonts w:hint="eastAsia"/>
          <w:color w:val="FF0000"/>
          <w:highlight w:val="none"/>
          <w:lang w:eastAsia="zh-CN"/>
        </w:rPr>
        <w:t>相关指标与Ⅱ级限定性指标进行对比，全部符合要求后，再将企业相关指标与Ⅱ级基准值进行逐项对比，计算综合评价指数得分</w:t>
      </w:r>
      <w:r>
        <w:rPr>
          <w:rFonts w:hint="eastAsia"/>
          <w:color w:val="FF0000"/>
          <w:highlight w:val="none"/>
          <w:lang w:val="en-US" w:eastAsia="zh-CN"/>
        </w:rPr>
        <w:t>86.08，当综合指数得分</w:t>
      </w:r>
      <w:r>
        <w:rPr>
          <w:rFonts w:hint="eastAsia"/>
          <w:color w:val="FF0000"/>
          <w:highlight w:val="none"/>
          <w:vertAlign w:val="baseline"/>
          <w:lang w:val="en-US" w:eastAsia="zh-CN"/>
        </w:rPr>
        <w:t>Y</w:t>
      </w:r>
      <w:r>
        <w:rPr>
          <w:rFonts w:hint="eastAsia"/>
          <w:color w:val="FF0000"/>
          <w:highlight w:val="none"/>
          <w:vertAlign w:val="subscript"/>
          <w:lang w:val="en-US" w:eastAsia="zh-CN"/>
        </w:rPr>
        <w:t>II</w:t>
      </w:r>
      <w:r>
        <w:rPr>
          <w:rFonts w:hint="eastAsia"/>
          <w:color w:val="FF0000"/>
          <w:highlight w:val="none"/>
          <w:lang w:val="en-US" w:eastAsia="zh-CN"/>
        </w:rPr>
        <w:t>≥85时，可判定企业清洁生产水平为Ⅱ级</w:t>
      </w:r>
      <w:r>
        <w:rPr>
          <w:rFonts w:hint="eastAsia"/>
          <w:color w:val="FF0000"/>
          <w:highlight w:val="none"/>
          <w:lang w:eastAsia="zh-CN"/>
        </w:rPr>
        <w:t>（国内清洁生产先进水平）。</w:t>
      </w:r>
    </w:p>
    <w:p>
      <w:pPr>
        <w:bidi w:val="0"/>
        <w:rPr>
          <w:rFonts w:hint="eastAsia"/>
          <w:color w:val="auto"/>
          <w:highlight w:val="none"/>
          <w:lang w:eastAsia="zh-CN"/>
        </w:rPr>
        <w:sectPr>
          <w:pgSz w:w="16838" w:h="11906" w:orient="landscape"/>
          <w:pgMar w:top="1304" w:right="1440" w:bottom="1304" w:left="1440" w:header="851" w:footer="992" w:gutter="0"/>
          <w:pgBorders>
            <w:top w:val="none" w:sz="0" w:space="0"/>
            <w:left w:val="none" w:sz="0" w:space="0"/>
            <w:bottom w:val="none" w:sz="0" w:space="0"/>
            <w:right w:val="none" w:sz="0" w:space="0"/>
          </w:pgBorders>
          <w:pgNumType w:fmt="numberInDash"/>
          <w:cols w:space="0" w:num="1"/>
          <w:docGrid w:type="lines" w:linePitch="312" w:charSpace="0"/>
        </w:sectPr>
      </w:pPr>
    </w:p>
    <w:p>
      <w:pPr>
        <w:pStyle w:val="5"/>
        <w:bidi w:val="0"/>
        <w:rPr>
          <w:rFonts w:hint="default"/>
          <w:color w:val="auto"/>
          <w:highlight w:val="none"/>
          <w:lang w:val="en-US" w:eastAsia="zh-CN"/>
        </w:rPr>
      </w:pPr>
      <w:r>
        <w:rPr>
          <w:rFonts w:hint="eastAsia"/>
          <w:color w:val="auto"/>
          <w:highlight w:val="none"/>
          <w:lang w:val="en-US" w:eastAsia="zh-CN"/>
        </w:rPr>
        <w:t>清洁生产结论及建议</w:t>
      </w:r>
    </w:p>
    <w:p>
      <w:pPr>
        <w:bidi w:val="0"/>
        <w:rPr>
          <w:rFonts w:hint="eastAsia"/>
          <w:color w:val="auto"/>
          <w:highlight w:val="none"/>
          <w:lang w:eastAsia="zh-CN"/>
        </w:rPr>
      </w:pPr>
      <w:r>
        <w:rPr>
          <w:rFonts w:hint="eastAsia"/>
          <w:color w:val="auto"/>
          <w:highlight w:val="none"/>
          <w:lang w:eastAsia="zh-CN"/>
        </w:rPr>
        <w:t>本项目在工艺和设备的选择、能耗的降低、污染物排放控制和废物利用等方面符合清洁生产的要求。同时建议：</w:t>
      </w:r>
    </w:p>
    <w:p>
      <w:pPr>
        <w:bidi w:val="0"/>
        <w:rPr>
          <w:rFonts w:hint="eastAsia"/>
          <w:color w:val="auto"/>
          <w:highlight w:val="none"/>
          <w:lang w:eastAsia="zh-CN"/>
        </w:rPr>
      </w:pPr>
      <w:r>
        <w:rPr>
          <w:rFonts w:hint="eastAsia"/>
          <w:color w:val="auto"/>
          <w:highlight w:val="none"/>
          <w:lang w:eastAsia="zh-CN"/>
        </w:rPr>
        <w:t>（1）控制新鲜用水量，在减少废水排放总量的同时，降低能耗和水耗。</w:t>
      </w:r>
    </w:p>
    <w:p>
      <w:pPr>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）严格岗位责任制，加强生产管理，避免不必要的停车、失控造成的污染和损失，定期进行清洁生产方面的宣传教育。</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pPr>
        <w:pStyle w:val="3"/>
        <w:rPr>
          <w:rFonts w:hint="default" w:ascii="Times New Roman" w:hAnsi="Times New Roman" w:cs="Times New Roman"/>
          <w:color w:val="auto"/>
          <w:highlight w:val="none"/>
        </w:rPr>
      </w:pPr>
      <w:bookmarkStart w:id="113" w:name="_Toc21625"/>
      <w:r>
        <w:rPr>
          <w:rFonts w:hint="default" w:ascii="Times New Roman" w:hAnsi="Times New Roman" w:cs="Times New Roman"/>
          <w:color w:val="auto"/>
          <w:highlight w:val="none"/>
        </w:rPr>
        <w:t>区域环境概况</w:t>
      </w:r>
      <w:bookmarkEnd w:id="68"/>
      <w:bookmarkEnd w:id="113"/>
    </w:p>
    <w:p>
      <w:pPr>
        <w:pStyle w:val="4"/>
        <w:bidi w:val="0"/>
        <w:rPr>
          <w:rFonts w:hint="default"/>
          <w:color w:val="auto"/>
          <w:highlight w:val="none"/>
        </w:rPr>
      </w:pPr>
      <w:bookmarkStart w:id="114" w:name="_Toc19509"/>
      <w:bookmarkStart w:id="115" w:name="_Toc25508"/>
      <w:r>
        <w:rPr>
          <w:rFonts w:hint="default"/>
          <w:color w:val="auto"/>
          <w:highlight w:val="none"/>
        </w:rPr>
        <w:t>自然环境概况</w:t>
      </w:r>
      <w:bookmarkEnd w:id="114"/>
      <w:bookmarkEnd w:id="115"/>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地理位置概况</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昌吉市是昌吉回族自治州首府，位于天山北坡中段，准噶尔盆地南缘。地理位置介于北纬43°06′30″~45°20′00″，东经86°24′33″~87°37′00″之间。东部隔头屯河与新疆维吾尔自治区首府乌鲁木齐市米东区接壤；西界红沟与呼图壁县相连；南屏天山，以天山山地的阿斯克达坂山脊与巴音郭楞蒙古自治州和静县为界，北抵沙漠，以古尔班通古特沙漠与塔城地区的和布赛尔县、阿勒泰地区的福海县相接。南北长260km，东西宽约31km，面积8215k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昌吉国家农业科技园区位于天山北部昌吉市中部平原区，场地地处天山北坡，南屏天山，北临沙漠，是乌昌绿洲的重要组成部分。园区位于新疆昌吉州首府所在地昌吉市，东距乌鲁木齐国际机场18公里，距乌鲁木齐28公里，312国道、第二座欧亚大陆桥、乌奎高速公路和“北三”高速穿境而过，交通便捷。</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地形、地貌、地质</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昌吉市位于头屯河和三屯河冲洪积平原的中上部，地貌类型大体分为南部山地、中部平原、北部沙漠三大部分，整个地势呈南高北低阶梯之势，南北高差4000多米。南部山地为天山山区，中部为冲击平原，北部沙漠属古尔班通古特沙漠一部分，沙丘为固定和半固定型，丘间地势平坦。地形坡降在乌伊公路以南约1.0-1.3%，在乌伊公路以北约6.4%。境内最高峰天格尔峰，海拔4562m。根据地貌成因类型将该区域划分为侵蚀剥蚀构造地貌和侵蚀堆积地貌两种。</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侵蚀剥蚀构造地貌：分布在南部海拔950-1150m的地山丘陵区，由第三系及第四系下更新统组成，岩性为泥岩、砂岩、砂砾岩及钙质胶结的冰水沉积砂砾岩。山体呈长恒状，与地层走向一致。由于山体的隆起，不断遭受奉化剥蚀和侵蚀，形成枝状分布的水沟谷，沟谷断面呈V型和箱型，山顶呈浑圆桩，相对高差几十米到几百米，岩层较破碎。</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侵蚀堆积地貌：广布在该区域内，主要为头屯河与三屯河冲洪积扇组成，扇体由厚达几百米到千米以上的第四纪松散堆积物构成。现分为三个亚区：</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（1）山前倾斜平原</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三屯河冲洪积扇与头屯河西部冲洪积扇组成，地形向北微倾，坡降7-13%，地形总体呈波状起伏。地表被两河扇形水系、冲沟侵蚀切割，切割深度在扇顶部达百米以上，向北切割深度逐渐变小。冲洪积扇上部岩性单一，为粗颗粒的砂砾石等，中部至下部沉积物颗粒逐渐变细并出现双层或多层结构的岩层。</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（2）河谷及阶地</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分布在头屯河、三屯河现代河谷及其两侧的阶地范围内。组成岩性为卵石、砾石、砂砾石、砂层等，结构松散、透水性好。三屯河山口处发育有六级基座阶地，切割深度136m，中部切割深度5-7m，下部切割深度0.5-1m。上部河谷宽100-150m，中部河床宽350-600m，并有河漫滩发育，下部在乌伊公路附近河道呈掌状散流。在山口附近发育的六级河流阶地的高差分别为1.5m、7.5m、34.5m、36.5m、56m、阶面宽度由上部向下部逐渐加宽，平均宽200-300m。阶地级数向下游方向逐渐减少，至乌伊公路附近仅有二级阶地发育，为内叠堆积阶地。</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头屯河扇顶部西岸发育有六级河流基座阶地。各级阶地的垂直高度分别为2m、20m、32m、34m、39m，河床切割深度达127m，上部河谷宽度200-300m。河流中部有三至四级堆积阶地，并有河漫滩发育，切割深度25-35m，河谷宽600-1100m。至乌伊公路附近河谷宽600-700m，仅有二级堆积阶地发育，切割深度3-5m。</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（3）山扇间洼地</w:t>
      </w:r>
    </w:p>
    <w:p>
      <w:pPr>
        <w:ind w:firstLine="480"/>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昌吉市位于头屯河与三屯河冲洪积扇之间，洼地最低处与冲洪积扇的轴部高差20-30m，在平面上呈椭圆形沿南北方向展布，面积41.3km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，组成岩性为砂砾土，厚0.5-1.5m，下伏上更新统冲洪积砂砾石及砂层。</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（4）工程地质</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昌吉市境内出露地层呈多样。出露于最南端的三屯河上游至乌鲁木齐冰达坂以北为元古界。上古生界地层发育较为齐全，组成高山区的主要地层，从东到西都有分布。古生界—中生界出露于昌吉河等地。中生界二迭系仅在昌吉河左岸出露，属玛纳斯地层小区。侏罗系主要分布于昌吉河、三屯河和头屯河。白垩系分布气候于三屯河一带，新生界在昌吉范围内分布较为广泛，主要分布于山前及准噶尔盆地南缘和准噶尔盆地内。</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昌吉市所处I级大地构造单元，为天山—兴安地槽系，Ⅱ级构造单元为北天山地槽系，其中又可分为北天山优地槽褶皱带及准噶尔地块和中天山隆起三个亚Ⅱ级构造单元。中天山隆起带未分出III级构造单元。北天山优地槽褶皱带，可分出依连哈比尔尕复背斜、博罗霍洛复背斜两个III级构造单元。准格尔地块可分为乌鲁木齐山前坳陷和准格尔盆地新生带掩盖区两个III级构造单元。</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农业园区属山前断陷区的一部分，受天山北麓区域大断裂和古牧地、呼图壁及其间的隐伏隆起构造控制。市区地层均为第四系松散堆积物构成，其特点是分布范围广、沉积厚度大。砂砾石层为本区的主要持力层，各类土体允许承载力最小为100K</w:t>
      </w:r>
      <w:r>
        <w:rPr>
          <w:rFonts w:hint="eastAsia" w:cs="Times New Roman"/>
          <w:color w:val="auto"/>
          <w:highlight w:val="none"/>
          <w:lang w:eastAsia="zh-CN"/>
        </w:rPr>
        <w:t>Pa</w:t>
      </w:r>
      <w:r>
        <w:rPr>
          <w:rFonts w:hint="default" w:ascii="Times New Roman" w:hAnsi="Times New Roman" w:cs="Times New Roman"/>
          <w:color w:val="auto"/>
          <w:highlight w:val="none"/>
        </w:rPr>
        <w:t>，一般为200~300K</w:t>
      </w:r>
      <w:r>
        <w:rPr>
          <w:rFonts w:hint="eastAsia" w:cs="Times New Roman"/>
          <w:color w:val="auto"/>
          <w:highlight w:val="none"/>
          <w:lang w:eastAsia="zh-CN"/>
        </w:rPr>
        <w:t>Pa</w:t>
      </w:r>
      <w:r>
        <w:rPr>
          <w:rFonts w:hint="default" w:ascii="Times New Roman" w:hAnsi="Times New Roman" w:cs="Times New Roman"/>
          <w:color w:val="auto"/>
          <w:highlight w:val="none"/>
        </w:rPr>
        <w:t>，最大可达800K</w:t>
      </w:r>
      <w:r>
        <w:rPr>
          <w:rFonts w:hint="eastAsia" w:cs="Times New Roman"/>
          <w:color w:val="auto"/>
          <w:highlight w:val="none"/>
          <w:lang w:eastAsia="zh-CN"/>
        </w:rPr>
        <w:t>Pa</w:t>
      </w:r>
      <w:r>
        <w:rPr>
          <w:rFonts w:hint="default" w:ascii="Times New Roman" w:hAnsi="Times New Roman" w:cs="Times New Roman"/>
          <w:color w:val="auto"/>
          <w:highlight w:val="none"/>
        </w:rPr>
        <w:t>以上，地下水对混凝土无侵蚀性。</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根据项目区《岩土工程勘察报告》，</w:t>
      </w:r>
      <w:r>
        <w:rPr>
          <w:rFonts w:hint="eastAsia" w:cs="Times New Roman"/>
          <w:color w:val="auto"/>
          <w:highlight w:val="none"/>
          <w:lang w:eastAsia="zh-CN"/>
        </w:rPr>
        <w:t>本项目</w:t>
      </w:r>
      <w:r>
        <w:rPr>
          <w:rFonts w:hint="default" w:ascii="Times New Roman" w:hAnsi="Times New Roman" w:cs="Times New Roman"/>
          <w:color w:val="auto"/>
          <w:highlight w:val="none"/>
        </w:rPr>
        <w:t>地质条件如下：</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第①层填土，土层薄，松，干，含杂物，位于标准冻深内，不可作为天然地基。</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第②层粉土，土层厚，稍密-中密，湿，力学性质较好，可作为天然地基。</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第③层细砂，为揭穿，土层厚一般，中密，稍湿，力学性质较好，可作为天然地基。</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本项目区场区内地形平坦，无其他不良工程地质形象。</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气候、气象特征</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昌吉市处于中纬度欧亚大陆腹地，属于温带大陆性气候。根据不同的地貌区，呈现出南部山区、中部平原、北部沙漠三种气候区，昌吉市处于中部平原，而中部平原光热充足，降水稀少，蒸发较大，冬季寒冷漫长，夏季炎热干燥，年（日）气温差较大，春季多大风，升温快且不稳定，秋季降温迅速，冷空气活动频繁，春秋不明显，寒冷干燥多变。常年主导风向为西南风（SW）。</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年日照时数为2700h，太阳年辐射总量为133.6kcal/m2；</w:t>
      </w:r>
      <w:r>
        <w:rPr>
          <w:rFonts w:hint="eastAsia" w:cs="Times New Roman"/>
          <w:color w:val="auto"/>
          <w:highlight w:val="none"/>
          <w:lang w:eastAsia="zh-CN"/>
        </w:rPr>
        <w:t>热量</w:t>
      </w:r>
      <w:r>
        <w:rPr>
          <w:rFonts w:hint="default" w:ascii="Times New Roman" w:hAnsi="Times New Roman" w:cs="Times New Roman"/>
          <w:color w:val="auto"/>
          <w:highlight w:val="none"/>
        </w:rPr>
        <w:t>条件也较为充足，年≥10℃积温为3450℃，其中年平均气温6.8℃，1月份平均气温为-15.6℃，7月份平均气温为24.5℃；年平均降水量为190mm，夏季降水量明显多于冬季；年无霜期为175天。</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水文地质</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农业园区周围广阔的山前倾斜平原，由第四系巨厚的松散堆积物构成，厚度达600~1300米，由南向北逐渐变薄，其中埋藏着丰富的潜水和承压水。</w:t>
      </w:r>
    </w:p>
    <w:p>
      <w:pPr>
        <w:widowControl/>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农业园区地质构造属天山褶皱带的山前凹陷区，乌鲁木齐沉降带的中段，区内有两条隐伏的断裂带，不同程度的影响着地下水的补给、径流和排泄条件。一条位于天山山前，近东西走向，由于天山区基岩与第四系堆积物的接触关系，在此处造成地下潜水位的落差在150米以上，另一条位于乌伊公路附近，由北向西走向，自城区通过，地表无明显特征；该断裂带以北2-3公里</w:t>
      </w:r>
      <w:r>
        <w:rPr>
          <w:rFonts w:hint="eastAsia" w:cs="Times New Roman"/>
          <w:color w:val="auto"/>
          <w:highlight w:val="none"/>
          <w:lang w:eastAsia="zh-CN"/>
        </w:rPr>
        <w:t>即是</w:t>
      </w:r>
      <w:r>
        <w:rPr>
          <w:rFonts w:hint="default" w:ascii="Times New Roman" w:hAnsi="Times New Roman" w:cs="Times New Roman"/>
          <w:color w:val="auto"/>
          <w:highlight w:val="none"/>
        </w:rPr>
        <w:t>地下水的溢出带，子冲洪积扇扇顶向扇缘水文地质分带明显；南部为单一结构巨厚的卵砾石、砂砾石潜水含水层，埋深约100~150米左右；北部为多层结构的上层混合水、承压含水层，地下水埋深逐渐变浅。头屯河紧贴核心区东侧穿过，其年均可利用径流量为4.35亿立方米。头屯河自南向北傍依昌吉市，是昌吉市人民生活和工农业用水的主要水源，其主要靠大气降水和高山冰融水补给，水质较好。但是头屯河存在着季节水量分配不均的问题。</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地震设防烈度</w:t>
      </w:r>
    </w:p>
    <w:p>
      <w:pPr>
        <w:widowControl/>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根据新疆维吾尔自治区地震烈度区划图划分，该地区的地震设防烈度为7度。</w:t>
      </w:r>
    </w:p>
    <w:p>
      <w:pPr>
        <w:pStyle w:val="4"/>
        <w:bidi w:val="0"/>
        <w:rPr>
          <w:rFonts w:hint="default"/>
          <w:color w:val="auto"/>
          <w:highlight w:val="none"/>
        </w:rPr>
      </w:pPr>
      <w:bookmarkStart w:id="116" w:name="_Toc24929"/>
      <w:bookmarkStart w:id="117" w:name="_Toc20912"/>
      <w:r>
        <w:rPr>
          <w:rFonts w:hint="eastAsia" w:hAnsi="宋体"/>
          <w:color w:val="auto"/>
          <w:sz w:val="24"/>
          <w:highlight w:val="none"/>
        </w:rPr>
        <w:t>新疆昌吉国家农业科技园区高新农业产业园</w:t>
      </w:r>
      <w:r>
        <w:rPr>
          <w:rFonts w:hint="default"/>
          <w:color w:val="auto"/>
          <w:highlight w:val="none"/>
        </w:rPr>
        <w:t>概况</w:t>
      </w:r>
      <w:bookmarkEnd w:id="116"/>
      <w:bookmarkEnd w:id="117"/>
    </w:p>
    <w:p>
      <w:pPr>
        <w:spacing w:line="360" w:lineRule="auto"/>
        <w:ind w:firstLine="480" w:firstLineChars="200"/>
        <w:rPr>
          <w:color w:val="auto"/>
          <w:sz w:val="24"/>
          <w:highlight w:val="none"/>
        </w:rPr>
      </w:pPr>
      <w:r>
        <w:rPr>
          <w:rFonts w:hint="eastAsia" w:hAnsi="宋体"/>
          <w:color w:val="auto"/>
          <w:sz w:val="24"/>
          <w:highlight w:val="none"/>
        </w:rPr>
        <w:t>为进一步明确高新农业产业园的产业发展定位和总体空间布局，为园区启动建设提供依据和支撑，昌吉国家农业科技园区管委会特委托中国建筑设计研究院城镇规划设计研究院编制了《新疆昌吉国家农业科技园区高新农业产业园总体规划</w:t>
      </w:r>
      <w:r>
        <w:rPr>
          <w:rFonts w:hint="eastAsia" w:hAnsi="宋体"/>
          <w:color w:val="auto"/>
          <w:sz w:val="24"/>
          <w:highlight w:val="none"/>
          <w:lang w:eastAsia="zh-CN"/>
        </w:rPr>
        <w:t>（</w:t>
      </w:r>
      <w:r>
        <w:rPr>
          <w:rFonts w:hint="eastAsia" w:hAnsi="宋体"/>
          <w:color w:val="auto"/>
          <w:sz w:val="24"/>
          <w:highlight w:val="none"/>
        </w:rPr>
        <w:t>2011—2030)》</w:t>
      </w:r>
      <w:r>
        <w:rPr>
          <w:rFonts w:hint="eastAsia" w:hAnsi="宋体"/>
          <w:color w:val="auto"/>
          <w:sz w:val="24"/>
          <w:highlight w:val="none"/>
          <w:lang w:val="en-US" w:eastAsia="zh-CN"/>
        </w:rPr>
        <w:t>并取得了新疆维吾尔自治区环境保护厅出具的《关于新疆昌吉国家农业科技园区高新农业产业园总体规划（2011-2030）环境影响报告书的审查意见》（新环函〔2014〕1245号）</w:t>
      </w:r>
      <w:r>
        <w:rPr>
          <w:rFonts w:hint="eastAsia" w:hAnsi="宋体"/>
          <w:color w:val="auto"/>
          <w:sz w:val="24"/>
          <w:highlight w:val="none"/>
        </w:rPr>
        <w:t>。</w:t>
      </w:r>
    </w:p>
    <w:p>
      <w:pPr>
        <w:pStyle w:val="5"/>
        <w:bidi w:val="0"/>
        <w:rPr>
          <w:rFonts w:hint="default"/>
          <w:color w:val="auto"/>
          <w:highlight w:val="none"/>
        </w:rPr>
      </w:pPr>
      <w:r>
        <w:rPr>
          <w:rFonts w:hint="default"/>
          <w:color w:val="auto"/>
          <w:highlight w:val="none"/>
        </w:rPr>
        <w:t>规划范围</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规划用地范围为牛圈子示范区南区，用地边界为：西至昌吉市界，南至昌吉市榆树沟镇曙光村北界、规划三北高速公路北侧控制线，东至牛圈子示范区行政边界，北至规划500西延干渠以北1.8km处，总用地面积56.16k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w:t>
      </w:r>
    </w:p>
    <w:p>
      <w:pPr>
        <w:pStyle w:val="5"/>
        <w:bidi w:val="0"/>
        <w:rPr>
          <w:rFonts w:hint="default"/>
          <w:color w:val="auto"/>
          <w:highlight w:val="none"/>
        </w:rPr>
      </w:pPr>
      <w:r>
        <w:rPr>
          <w:rFonts w:hint="default"/>
          <w:color w:val="auto"/>
          <w:highlight w:val="none"/>
        </w:rPr>
        <w:t>规划期限</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高新农业产业园用地面积较大，为实现分期滚动发展，本规划将规划期限分为近、中、远期。近期为2011—2015年，落实昌吉农业科技园区十二五发展目标；中期至2020年，与土地利用规划相协调：远期至2030年，与昌吉市总体规划相对接。</w:t>
      </w:r>
    </w:p>
    <w:p>
      <w:pPr>
        <w:pStyle w:val="5"/>
        <w:bidi w:val="0"/>
        <w:rPr>
          <w:rFonts w:hint="default"/>
          <w:color w:val="auto"/>
          <w:highlight w:val="none"/>
        </w:rPr>
      </w:pPr>
      <w:r>
        <w:rPr>
          <w:rFonts w:hint="default"/>
          <w:color w:val="auto"/>
          <w:highlight w:val="none"/>
        </w:rPr>
        <w:t>园区发展定位</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结合新疆昌吉州城镇体系规划、昌吉州十二五发展规划对农业园区发展提出的要求，确定高新农业产业园的发展定位为：</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面向中亚的国际性农贸出口加工基地，自治区现代农牧业装备制造基地，自治区现代农业高新技术产业示范基地，昌吉州新型工业化带动农业现代化的示范基地，昌吉州生态循环示范园区。</w:t>
      </w:r>
    </w:p>
    <w:p>
      <w:pPr>
        <w:pStyle w:val="5"/>
        <w:bidi w:val="0"/>
        <w:rPr>
          <w:rFonts w:hint="default"/>
          <w:color w:val="auto"/>
          <w:highlight w:val="none"/>
        </w:rPr>
      </w:pPr>
      <w:r>
        <w:rPr>
          <w:rFonts w:hint="default"/>
          <w:color w:val="auto"/>
          <w:highlight w:val="none"/>
        </w:rPr>
        <w:t>园区发展目标</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以循环经济和生态科技工业理论为指导，以农贸出口加工、农业现代装备制造、高新技术等产业为主导，多渠道融资投资，引进先进技术和生态生产技术，建设和提高现代绿色生产能力，力争在“十二五”期间，将园区建设成为在西北地区处于领先水平的、在全国有特色的、以农业高新技术为主的生态低碳园区。</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具体目标包括：</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（1）面向中亚地区的国际性农贸出口加工和物流基地</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利用新疆独特的自然和农牧业资源，以中亚地区市场为主体，积极拓展西亚、南亚市场，构建国际性的农贸出口加工和物流转用平台，吸引国内、外大型农牧业生产加工和物流运输企业进驻园区，发展壮大外向型农牧业经济，助推农牧业跨越式发展。</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（2）自治区农牧业科技研发和转化服务示范基地</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充分利用国家农业科技园区平台优势和全国援疆的时代契机，综合使用税收、人才、土地、金融等政策手段，吸引疆内、外农牧业高端科技研发资源向高新农业产业园区集聚，将园区建设成为自治区最重要的农牧业科技研发和转化基地，服务带动全疆农牧业实现转型发展。</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（3）北疆现代农牧业配套装备制造基地</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以农牧业现代化为目标，依托良好的农牧业基础和农业科技资源，积极发展农牧业生产加工、机械制造、农牧业节水节能设备制造、农牧业生物技术、环保农资等产业，将高新农业产业园区建设成为北疆地区最重要的现代农牧业装备制造基地。</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（4）昌吉州新型工业化带动农业现代化的示范基地</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推动农牧业现代化发展，走“以城带乡、以工促农”的路子，充分发展农产品加工、农业机械制造等相关工业产业，并通过市场、政策等多途径建立工业带动农业发展的长期有效机制．将高新农业产业园建设成为自治州新型工业化带动农业现代化的示范基地。</w:t>
      </w:r>
    </w:p>
    <w:p>
      <w:pPr>
        <w:pStyle w:val="5"/>
        <w:bidi w:val="0"/>
        <w:rPr>
          <w:rFonts w:hint="default"/>
          <w:color w:val="auto"/>
          <w:highlight w:val="none"/>
        </w:rPr>
      </w:pPr>
      <w:r>
        <w:rPr>
          <w:rFonts w:hint="default"/>
          <w:color w:val="auto"/>
          <w:highlight w:val="none"/>
        </w:rPr>
        <w:t>园区产业发展定位</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昌吉高新农业产业园进行产业定位通过使用波特五力分析模型、钻石体系定位模型、供应链定位模型与分析模型等，对行业进入壁垒、产业资源匹配度、产业链进入环节定位、区位商等进行分析。综合考量园区吸引力、产业经济社会效益，提出昌吉高新农业产业园产业定位为：</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以特色农副产品加工、环保农资产业为基础，以现代农机装备、生物科技产业、节水灌溉设备为核心，以特色农资商贸物流为补充，节能环保、新能源、新材料为延伸的现代新型涉农产业集群示范基地。</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供水现状及规划</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（1）规划原则</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①水量预测适度安全原则</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用水量的预测对于供水系统的建设起着至关重要的作用，直接影响供水系统的建设规划。因此水量的预测应结合高新农业产业园的发展情况，采用合理的指标和依据，同时考虑适度安全的原则。</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②系统建设适度超前的原则</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随着高新农业产业园的发展建设，未来用水量存在一定的不确定性，所以在规划给水系统时，应本着适度超前的原则，保证供水安全性。除了考虑合理安排建设周期外，应加强给水系统建设的前期投入，确保供水系统的安全保证能力。</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③整体性原则</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给水工程规划应对高新农业产业园水资源利用进行统一规划，结合近远期发展状况，提高规划的可操作性。</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（2）水源规划</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高新农业产业园内无地表水水源，地下水正处于严重超采状况，为满足高新农业产业园用水需求，需在周边地区引入地表水水源。高新农业产业园周边地表水水源主要为三屯河分水、努尔加水库水源和500干渠水源。</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①三屯河分水</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高新农业产业园位于三屯河牛圈子湖灌区，此区域本可供给园区地表水量约为2937万m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/a，但由于位于三屯河上游努尔加水库的修建，三屯河水源将不再供给本区域。故此水源不可用。</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②努尔加水库</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根据昌吉市总体规划，在新疆维吾尔自治区昌吉州境内三屯河流域三屯河上游修建努尔加水库，工程地点距昌吉市36km，库容6873万m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，规划供水量302万m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/d，其中向昌吉市供水量为5273万m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/a，约145万m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/d。水库预计2013完工，考虑到相关引水设施建设，无法满足高新农业产业园十二五时期建设需求。</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努尔加水库供水虽有余量，但自努尔加水库引水到规划区，距离约50km，引水管道建设代价较大，此外，随着昌吉市发展及其需水量增加，努尔加水库对高新农业产业园内的供水并无十足保障。目前水库水资源分配方案尚未敲定，有望经过协调向高新农业产业园分配一定水量，因此努尔加水库可作为高新农业产业园的备用水源。</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③500干渠</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500引水西干渠目前建设至距离规划区东边界10km，分配给昌吉市的水资源指标为1亿m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/a，但昌吉市每年实际用水仅为300—400万m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，兵团用水约2000-3000万m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。因此，500西延干渠向高新农业产业园供水，水量上是有保证的。但500引水干渠全程采用明渠建设，为防止因结冰损坏水渠，每年仅在5—10月农业用水期放水，待建的老龙河水库库容仅为500万m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规划区内冬季的工业用水无法得到保证；若要保障用水，需建设引水管道从距离约60km处的500水库引水至规划区，造价较大。因此，扩建老龙河水库冬季向高新农业产业园供水是保证高新农业产业园用水量的可行之举。</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合分析，确定高新农业产业园水源主要为500干渠水源，引水至老龙河水库，冬季向高新农业产业园内供水。此外，将努尔加水库作为备用水源，若努尔加水库仍有余量，则输水至高新农业产业园规划水厂，处理后向高新农业产业园供水。同时，高新农业产业园内地下水水质较好，将来可在允许开采范围内补给高新农业产业园用水。</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（3）用水量预测</w:t>
      </w:r>
    </w:p>
    <w:p>
      <w:pPr>
        <w:ind w:firstLine="480"/>
        <w:rPr>
          <w:rFonts w:hint="default" w:ascii="Times New Roman" w:hAnsi="Times New Roman" w:cs="Times New Roman"/>
          <w:color w:val="auto"/>
          <w:spacing w:val="-6"/>
          <w:sz w:val="24"/>
          <w:highlight w:val="none"/>
        </w:rPr>
      </w:pPr>
      <w:r>
        <w:rPr>
          <w:rFonts w:hint="default" w:ascii="Times New Roman" w:hAnsi="Times New Roman" w:cs="Times New Roman"/>
          <w:color w:val="auto"/>
          <w:spacing w:val="-6"/>
          <w:sz w:val="24"/>
          <w:highlight w:val="none"/>
        </w:rPr>
        <w:t>由于高新农业产业园以工业用地为主，人口较少，用城市单位人口综合用水量指标法预测的用水量是不准确的，故本规划采用分类指标法对高新农业产业园的用水量进行预测。</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根据《城市给水工程规划规范》（GB5082—98）中各种用地用水指标，对规划区的用水量进行预测，具体结果如下表所示。</w:t>
      </w:r>
    </w:p>
    <w:p>
      <w:pPr>
        <w:spacing w:line="460" w:lineRule="exact"/>
        <w:ind w:firstLine="480" w:firstLineChars="0"/>
        <w:jc w:val="center"/>
        <w:rPr>
          <w:rFonts w:hint="default" w:ascii="Times New Roman" w:hAnsi="Times New Roman" w:eastAsia="黑体" w:cs="Times New Roman"/>
          <w:b/>
          <w:color w:val="auto"/>
          <w:sz w:val="21"/>
          <w:szCs w:val="20"/>
          <w:highlight w:val="none"/>
        </w:rPr>
      </w:pPr>
      <w:r>
        <w:rPr>
          <w:rFonts w:hint="default" w:ascii="Times New Roman" w:hAnsi="Times New Roman" w:eastAsia="黑体" w:cs="Times New Roman"/>
          <w:b w:val="0"/>
          <w:bCs/>
          <w:color w:val="auto"/>
          <w:sz w:val="24"/>
          <w:szCs w:val="24"/>
          <w:highlight w:val="none"/>
        </w:rPr>
        <w:t>表4.2-1园区需水量预测表</w:t>
      </w:r>
    </w:p>
    <w:tbl>
      <w:tblPr>
        <w:tblStyle w:val="33"/>
        <w:tblW w:w="4998"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3170"/>
        <w:gridCol w:w="3170"/>
        <w:gridCol w:w="317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用地类型</w:t>
            </w:r>
          </w:p>
        </w:tc>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用地面积（hm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p>
        </w:tc>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需水量（m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/d）</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居住用地</w:t>
            </w:r>
          </w:p>
        </w:tc>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262.82</w:t>
            </w:r>
          </w:p>
        </w:tc>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21025.6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行政办公用地</w:t>
            </w:r>
          </w:p>
        </w:tc>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17.70</w:t>
            </w:r>
          </w:p>
        </w:tc>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1062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文化设施用地</w:t>
            </w:r>
          </w:p>
        </w:tc>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11.78</w:t>
            </w:r>
          </w:p>
        </w:tc>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1178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教育科研用地</w:t>
            </w:r>
          </w:p>
        </w:tc>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62.37</w:t>
            </w:r>
          </w:p>
        </w:tc>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7484.4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体育用地</w:t>
            </w:r>
          </w:p>
        </w:tc>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6.72</w:t>
            </w:r>
          </w:p>
        </w:tc>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672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医疗卫生用地</w:t>
            </w:r>
          </w:p>
        </w:tc>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3.14</w:t>
            </w:r>
          </w:p>
        </w:tc>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408.2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商业</w:t>
            </w:r>
          </w:p>
        </w:tc>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64.68</w:t>
            </w:r>
          </w:p>
        </w:tc>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4527.6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二类用地</w:t>
            </w:r>
          </w:p>
        </w:tc>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1096.61</w:t>
            </w:r>
          </w:p>
        </w:tc>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164491.5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三类用地</w:t>
            </w:r>
          </w:p>
        </w:tc>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621.69</w:t>
            </w:r>
          </w:p>
        </w:tc>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155422.5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仓储</w:t>
            </w:r>
          </w:p>
        </w:tc>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335.00</w:t>
            </w:r>
          </w:p>
        </w:tc>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8375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道路交通</w:t>
            </w:r>
          </w:p>
        </w:tc>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514.94</w:t>
            </w:r>
          </w:p>
        </w:tc>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10298.8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公用设施</w:t>
            </w:r>
          </w:p>
        </w:tc>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73.56</w:t>
            </w:r>
          </w:p>
        </w:tc>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3678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绿地广场</w:t>
            </w:r>
          </w:p>
        </w:tc>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696.08</w:t>
            </w:r>
          </w:p>
        </w:tc>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6960.8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小计</w:t>
            </w:r>
          </w:p>
        </w:tc>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3767.09</w:t>
            </w:r>
          </w:p>
        </w:tc>
        <w:tc>
          <w:tcPr>
            <w:tcW w:w="1666" w:type="pct"/>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385584.4</w:t>
            </w:r>
          </w:p>
        </w:tc>
      </w:tr>
    </w:tbl>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经上述计算，得出农业园远期总用水量为385万t/d。其中工业用水量为32.0万t/d。</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（4）水资源平衡</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规划区的总需水量为38.5万t/d。</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地下水可开采量为2万t/d，老龙河水库供给量为386万t/d，努尔加水库供给量为5万t/d，再生水补给量为8万t/d。</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综上所述，规划区的供水能够满足规划区的用水需求，规划区的水资源基本平衡。</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（5）给水系统规划</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规划扩建老龙河水库，远期总库容约7000万m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规划在园区南部设置一座水厂，规模为70000m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/d，水源为地下水和努尔加水库，水厂占地约4hm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。该水厂供水以生活和公共设施用水为主。</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在老龙河水库建设完成之前，规划水厂暂时开采地下水供给高新农业产业园。由于高新农业产业园地下水已过量开采，为保护地下水资源，远期考虑减少地下水的开采量。</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规划在园区中部500干渠以南设置一座水厂，规模为24万m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/d，水源来自老龙河水库，水厂占地约12hm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。该水厂供水以工业用水为主。</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高新农业产业园给水管网敷设以环状为主，枝状为辅，管道沿道路敷设，一般敷设在非机动车道、人行道或绿化带下面。最不利点服务水头生活区按28m设计，工业区按10m设计。规划区内的绿地、道路的浇洒用水由再生水解决，以减少新鲜用水量。</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管道在路口处设阀门，室外消火栓布置间距不大于120m，距机动车道边线不超过2m。</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根据地形及管道敷设情况，在管道高点处布置放气井，低点处布置排泥井。</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红线宽度50m及以上的路段双侧布置给水管道。</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（6）节水规划</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新疆是一个缺水地区，随着高新农业产业园的建设和发展，会导致用水量的增长，水源的短缺会制约其发展速度，为此建议采取以下措施，缓解供水矛盾。</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①工业节水</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——大力推广先进的节水技术，提高水的重复利用率，循环用水，根据工业不同用途对水质的要求，对水实行多级使用、一水多用。</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——采用高效换热技术和设备。优先考虑物料换热节水技术，优化换热流程和换热器组合；其次考虑空气冷却技术；第三考虑采用高效环保节水型冷却塔和其他冷却构筑物。</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——推广逆流漂洗、喷淋洗涤、汽水冲洗、气雾喷洗、高压水洗、振荡水洗、高效转盘等节水技术和设备。采用节水装备及清洗技术。发展环保洗涤技术，推广可以减少用水的各类水洗助剂和相关化学品。</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——对于现代化大型化工企业的循环冷却水系统，提高设计浓缩倍数对于充分利用水资源、节约用水、节约药剂、降低处理成本有很大的经济效果。使用循环水较使用直流水具有显著的节水减排效果。</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——推广蒸汽冷凝水回收再利用技术。优化企业蒸汽冷凝水回收网络，发展闭式回收系统。推广蒸汽冷凝水的回收设备和装置。冷凝水回收再利用控制在≥65％。</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——建立节约用水管理制度；按规定周期进行水平衡测试：企业厂区内生活用水与生产用水计量分开。</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②生活节水</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——推广使用节水器具，如节水型水箱、节水龙头、节水马桶等。</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——衣物集中洗涤，减少洗衣次数；小件、少量衣物提倡手洗：洗涤剂投放适量。</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——一水多用：洗脸水用后可以洗脚，然后冲厕：淘米水、煮过面条的水，用来洗碗筷，去油又干净，也可以洗菜。</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——养成良好的节水习惯，减少水资源的浪费。</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③再生水资源</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再生水资源的利用具有保证率高、成本低、距离用户较近等优点，是目前解决城市缺水问题的有效途径之一，所以本规划考虑发展再生水。</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对污水处理厂部分尾水进行深度处理后，达到相关标准后，补给区域内绿化、道路浇洒、辅助工业用水等低质用水，有效做到分质供水，节约水资源。</w:t>
      </w:r>
    </w:p>
    <w:p>
      <w:pPr>
        <w:pStyle w:val="5"/>
        <w:rPr>
          <w:rFonts w:hint="default" w:ascii="Times New Roman" w:hAnsi="Times New Roman" w:cs="Times New Roman"/>
          <w:bCs/>
          <w:color w:val="auto"/>
          <w:szCs w:val="28"/>
          <w:highlight w:val="none"/>
        </w:rPr>
      </w:pPr>
      <w:r>
        <w:rPr>
          <w:rFonts w:hint="default" w:ascii="Times New Roman" w:hAnsi="Times New Roman" w:cs="Times New Roman"/>
          <w:bCs/>
          <w:color w:val="auto"/>
          <w:szCs w:val="28"/>
          <w:highlight w:val="none"/>
        </w:rPr>
        <w:t>排水工程规划</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（1）规划原则</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w:t>
      </w:r>
      <w:r>
        <w:rPr>
          <w:rFonts w:hint="eastAsia" w:cs="Times New Roman"/>
          <w:color w:val="auto"/>
          <w:highlight w:val="none"/>
          <w:lang w:eastAsia="zh-CN"/>
        </w:rPr>
        <w:t>分步实施</w:t>
      </w:r>
      <w:r>
        <w:rPr>
          <w:rFonts w:hint="default" w:ascii="Times New Roman" w:hAnsi="Times New Roman" w:cs="Times New Roman"/>
          <w:color w:val="auto"/>
          <w:highlight w:val="none"/>
        </w:rPr>
        <w:t>，近远结合，适度超前的原则；</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②根据地形及路网设计合理划分排水区域、布置排水管道，力求达到节省工程造价，节省能耗、运行管理简单；</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③与管线综合等专业设计相协调，注重环境保护。</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（2）污水量预测</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工业区应大力推进循环用水系统、串联用水系统和回用水系统，发展外排废水回用和“零排放”技术。工业区产生的污水应在厂区内部进行预处理，达到污水综合排放标准和污水排入下水道标准等相关标准后，才允许排入市政污水管网。本次规划工业区排放的污水量不高于用水量的40％，则工业区的污水量约为11.2万t/d。</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生活区的污水量按照用水量的80％计算，则生活区的污水量约为3.8万t/d。</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综上，规划区总的污水量为15.0万t/d。</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（3）污水系统规划</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①污水处理厂</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规划在高新农业产业园西北部建设一座污水处理厂，规模为15万t/d，占地18公hm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可根据区域发展分期建设。在此建设污水处理厂，一是考虑结合地势因素，充分利用地势高差，减少管道埋深：二是考虑高新农业产业园主导风向，污水厂设置处于主导风向下风向位置，可以减少对环境的污染。</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②排水管网</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鉴于本地雨水量少，不单独建设雨水管网，排水管网采取雨污合流制。</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红线宽度50m及以上的路段双侧布置排水管道。</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污水干管主要沿南北方向敷设。</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再生水工程规划</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（1）规划原则</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为充分利用污水资源、削减水污染负荷，促进水的循环利用，本次规划考虑远期将污水再生处理，回用于道路广场浇洒、绿化、部分公建用水、工业辅助用水、部分仓储及混合用地用水。</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（2）再生水量预测</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水量按照远期污水处理量的55％计算，约为8万t/d。</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（3）再生水系统规划</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新建再生水厂一座，位于污水处理厂附近，规划再生水处理设施与污水处理厂同步建设。回用于道路广场浇洒、绿化、工业辅助用水、部分公建用水、部分仓储及混合用地用水。</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在城市主要道路敷设再生水管道，为了便于工业用水，其他管网主要布局在工业区。</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再生水管网敷设以环状为主，枝状为辅，管道沿道路敷设，一般敷设在非机动车道、人行道或绿化带下面。当敷设在机动车道下时，应尽量避开主干道。</w:t>
      </w:r>
    </w:p>
    <w:p>
      <w:pPr>
        <w:ind w:firstLine="480"/>
        <w:rPr>
          <w:rFonts w:hint="default" w:ascii="Times New Roman" w:hAnsi="Times New Roman" w:cs="Times New Roman"/>
          <w:color w:val="auto"/>
          <w:highlight w:val="none"/>
        </w:rPr>
      </w:pPr>
    </w:p>
    <w:p>
      <w:pPr>
        <w:ind w:firstLine="480"/>
        <w:rPr>
          <w:rFonts w:hint="default" w:ascii="Times New Roman" w:hAnsi="Times New Roman" w:cs="Times New Roman"/>
          <w:color w:val="auto"/>
          <w:highlight w:val="none"/>
        </w:rPr>
        <w:sectPr>
          <w:pgSz w:w="11906" w:h="16838"/>
          <w:pgMar w:top="1440" w:right="1304" w:bottom="1440" w:left="1304" w:header="851" w:footer="992" w:gutter="0"/>
          <w:pgBorders>
            <w:top w:val="none" w:sz="0" w:space="0"/>
            <w:left w:val="none" w:sz="0" w:space="0"/>
            <w:bottom w:val="none" w:sz="0" w:space="0"/>
            <w:right w:val="none" w:sz="0" w:space="0"/>
          </w:pgBorders>
          <w:pgNumType w:fmt="numberInDash"/>
          <w:cols w:space="0" w:num="1"/>
          <w:docGrid w:type="lines" w:linePitch="312" w:charSpace="0"/>
        </w:sectPr>
      </w:pPr>
    </w:p>
    <w:p>
      <w:pPr>
        <w:pStyle w:val="4"/>
        <w:bidi w:val="0"/>
        <w:rPr>
          <w:rFonts w:hint="default"/>
          <w:color w:val="auto"/>
          <w:highlight w:val="none"/>
        </w:rPr>
      </w:pPr>
      <w:bookmarkStart w:id="118" w:name="_Toc20190"/>
      <w:bookmarkStart w:id="119" w:name="_Toc796"/>
      <w:r>
        <w:rPr>
          <w:rFonts w:hint="default"/>
          <w:color w:val="auto"/>
          <w:highlight w:val="none"/>
        </w:rPr>
        <w:t>区域环境现状调查与评价</w:t>
      </w:r>
      <w:bookmarkEnd w:id="118"/>
      <w:bookmarkEnd w:id="119"/>
    </w:p>
    <w:p>
      <w:pPr>
        <w:pStyle w:val="5"/>
        <w:rPr>
          <w:rFonts w:hint="default" w:ascii="Times New Roman" w:hAnsi="Times New Roman" w:cs="Times New Roman"/>
          <w:color w:val="auto"/>
          <w:highlight w:val="none"/>
        </w:rPr>
      </w:pPr>
      <w:bookmarkStart w:id="120" w:name="_Toc27750"/>
      <w:r>
        <w:rPr>
          <w:rFonts w:hint="default" w:ascii="Times New Roman" w:hAnsi="Times New Roman" w:cs="Times New Roman"/>
          <w:color w:val="auto"/>
          <w:highlight w:val="none"/>
        </w:rPr>
        <w:t>环境空气质量现状评价</w:t>
      </w:r>
      <w:bookmarkEnd w:id="120"/>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常规因子环境空气质量现状评价</w:t>
      </w:r>
    </w:p>
    <w:p>
      <w:pPr>
        <w:adjustRightInd w:val="0"/>
        <w:snapToGrid w:val="0"/>
        <w:ind w:firstLine="480"/>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0"/>
          <w:highlight w:val="none"/>
        </w:rPr>
        <w:t>根据《环境影响评价技术导则大气环境》（HJ2.2-2018），大气基本因子可直接采用国家或地方生态环保主管部门公开发布的评价基准年环境质量公告或环境质量报告中的数据或结论。本环评根据导则要求，选取2022年，选取位于昌吉市的昌吉州环境空气自动监测站，2022年的监测数据，作为本项目环境空气现状评价基本污染物SO</w:t>
      </w:r>
      <w:r>
        <w:rPr>
          <w:rFonts w:hint="default" w:ascii="Times New Roman" w:hAnsi="Times New Roman" w:cs="Times New Roman"/>
          <w:color w:val="auto"/>
          <w:kern w:val="0"/>
          <w:szCs w:val="20"/>
          <w:highlight w:val="none"/>
          <w:vertAlign w:val="subscript"/>
        </w:rPr>
        <w:t>2</w:t>
      </w:r>
      <w:r>
        <w:rPr>
          <w:rFonts w:hint="default" w:ascii="Times New Roman" w:hAnsi="Times New Roman" w:cs="Times New Roman"/>
          <w:color w:val="auto"/>
          <w:kern w:val="0"/>
          <w:szCs w:val="20"/>
          <w:highlight w:val="none"/>
        </w:rPr>
        <w:t>、NO</w:t>
      </w:r>
      <w:r>
        <w:rPr>
          <w:rFonts w:hint="default" w:ascii="Times New Roman" w:hAnsi="Times New Roman" w:cs="Times New Roman"/>
          <w:color w:val="auto"/>
          <w:kern w:val="0"/>
          <w:szCs w:val="20"/>
          <w:highlight w:val="none"/>
          <w:vertAlign w:val="subscript"/>
        </w:rPr>
        <w:t>2</w:t>
      </w:r>
      <w:r>
        <w:rPr>
          <w:rFonts w:hint="default" w:ascii="Times New Roman" w:hAnsi="Times New Roman" w:cs="Times New Roman"/>
          <w:color w:val="auto"/>
          <w:kern w:val="0"/>
          <w:szCs w:val="20"/>
          <w:highlight w:val="none"/>
        </w:rPr>
        <w:t>、PM</w:t>
      </w:r>
      <w:r>
        <w:rPr>
          <w:rFonts w:hint="default" w:ascii="Times New Roman" w:hAnsi="Times New Roman" w:cs="Times New Roman"/>
          <w:color w:val="auto"/>
          <w:kern w:val="0"/>
          <w:szCs w:val="20"/>
          <w:highlight w:val="none"/>
          <w:vertAlign w:val="subscript"/>
        </w:rPr>
        <w:t>10</w:t>
      </w:r>
      <w:r>
        <w:rPr>
          <w:rFonts w:hint="default" w:ascii="Times New Roman" w:hAnsi="Times New Roman" w:cs="Times New Roman"/>
          <w:color w:val="auto"/>
          <w:kern w:val="0"/>
          <w:szCs w:val="20"/>
          <w:highlight w:val="none"/>
        </w:rPr>
        <w:t>、PM</w:t>
      </w:r>
      <w:r>
        <w:rPr>
          <w:rFonts w:hint="default" w:ascii="Times New Roman" w:hAnsi="Times New Roman" w:cs="Times New Roman"/>
          <w:color w:val="auto"/>
          <w:kern w:val="0"/>
          <w:szCs w:val="20"/>
          <w:highlight w:val="none"/>
          <w:vertAlign w:val="subscript"/>
        </w:rPr>
        <w:t>2.5</w:t>
      </w:r>
      <w:r>
        <w:rPr>
          <w:rFonts w:hint="default" w:ascii="Times New Roman" w:hAnsi="Times New Roman" w:cs="Times New Roman"/>
          <w:color w:val="auto"/>
          <w:kern w:val="0"/>
          <w:szCs w:val="20"/>
          <w:highlight w:val="none"/>
        </w:rPr>
        <w:t>、CO和O</w:t>
      </w:r>
      <w:r>
        <w:rPr>
          <w:rFonts w:hint="default" w:ascii="Times New Roman" w:hAnsi="Times New Roman" w:cs="Times New Roman"/>
          <w:color w:val="auto"/>
          <w:kern w:val="0"/>
          <w:szCs w:val="20"/>
          <w:highlight w:val="none"/>
          <w:vertAlign w:val="subscript"/>
        </w:rPr>
        <w:t>3</w:t>
      </w:r>
      <w:r>
        <w:rPr>
          <w:rFonts w:hint="default" w:ascii="Times New Roman" w:hAnsi="Times New Roman" w:cs="Times New Roman"/>
          <w:color w:val="auto"/>
          <w:kern w:val="0"/>
          <w:szCs w:val="20"/>
          <w:highlight w:val="none"/>
        </w:rPr>
        <w:t>的数据来源</w:t>
      </w:r>
      <w:r>
        <w:rPr>
          <w:rFonts w:hint="eastAsia" w:cs="Times New Roman"/>
          <w:color w:val="auto"/>
          <w:kern w:val="0"/>
          <w:szCs w:val="20"/>
          <w:highlight w:val="none"/>
          <w:lang w:eastAsia="zh-CN"/>
        </w:rPr>
        <w:t>，</w:t>
      </w:r>
      <w:r>
        <w:rPr>
          <w:rFonts w:hint="eastAsia" w:cs="Times New Roman"/>
          <w:color w:val="auto"/>
          <w:kern w:val="0"/>
          <w:szCs w:val="20"/>
          <w:highlight w:val="none"/>
          <w:lang w:val="en-US" w:eastAsia="zh-CN"/>
        </w:rPr>
        <w:t>详见下表</w:t>
      </w:r>
      <w:r>
        <w:rPr>
          <w:rFonts w:hint="default" w:ascii="Times New Roman" w:hAnsi="Times New Roman" w:cs="Times New Roman"/>
          <w:color w:val="auto"/>
          <w:kern w:val="0"/>
          <w:szCs w:val="20"/>
          <w:highlight w:val="none"/>
        </w:rPr>
        <w:t>。</w:t>
      </w:r>
    </w:p>
    <w:p>
      <w:pPr>
        <w:spacing w:line="240" w:lineRule="auto"/>
        <w:ind w:firstLine="480"/>
        <w:jc w:val="center"/>
        <w:rPr>
          <w:rFonts w:hint="default" w:ascii="Times New Roman" w:hAnsi="Times New Roman" w:eastAsia="黑体" w:cs="Times New Roman"/>
          <w:color w:val="auto"/>
          <w:szCs w:val="40"/>
          <w:highlight w:val="none"/>
        </w:rPr>
      </w:pPr>
      <w:r>
        <w:rPr>
          <w:rFonts w:hint="default" w:ascii="Times New Roman" w:hAnsi="Times New Roman" w:eastAsia="黑体" w:cs="Times New Roman"/>
          <w:color w:val="auto"/>
          <w:kern w:val="0"/>
          <w:highlight w:val="none"/>
          <w:lang w:val="zh-CN" w:bidi="zh-CN"/>
        </w:rPr>
        <w:t>表</w:t>
      </w:r>
      <w:r>
        <w:rPr>
          <w:rFonts w:hint="default" w:ascii="Times New Roman" w:hAnsi="Times New Roman" w:eastAsia="黑体" w:cs="Times New Roman"/>
          <w:color w:val="auto"/>
          <w:kern w:val="0"/>
          <w:highlight w:val="none"/>
          <w:lang w:bidi="zh-CN"/>
        </w:rPr>
        <w:t>4.3-1环境空气常规因子现状监测及评价结果</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83"/>
        <w:gridCol w:w="2861"/>
        <w:gridCol w:w="1403"/>
        <w:gridCol w:w="1424"/>
        <w:gridCol w:w="1248"/>
        <w:gridCol w:w="14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27" w:type="pc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1533" w:type="pc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年度评价指标</w:t>
            </w:r>
          </w:p>
        </w:tc>
        <w:tc>
          <w:tcPr>
            <w:tcW w:w="752" w:type="pc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现状浓度</w:t>
            </w:r>
          </w:p>
          <w:p>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eastAsia="黑体" w:cs="Times New Roman"/>
                <w:color w:val="auto"/>
                <w:highlight w:val="none"/>
              </w:rPr>
              <w:t>µ</w:t>
            </w:r>
            <w:r>
              <w:rPr>
                <w:rFonts w:hint="default" w:ascii="Times New Roman" w:hAnsi="Times New Roman" w:eastAsia="黑体" w:cs="Times New Roman"/>
                <w:color w:val="auto"/>
                <w:szCs w:val="40"/>
                <w:highlight w:val="none"/>
              </w:rPr>
              <w:t>g/m</w:t>
            </w:r>
            <w:r>
              <w:rPr>
                <w:rFonts w:hint="default" w:ascii="Times New Roman" w:hAnsi="Times New Roman" w:eastAsia="黑体" w:cs="Times New Roman"/>
                <w:color w:val="auto"/>
                <w:szCs w:val="40"/>
                <w:highlight w:val="none"/>
                <w:vertAlign w:val="superscript"/>
              </w:rPr>
              <w:t>3</w:t>
            </w:r>
          </w:p>
        </w:tc>
        <w:tc>
          <w:tcPr>
            <w:tcW w:w="763" w:type="pc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标准值</w:t>
            </w:r>
          </w:p>
          <w:p>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eastAsia="黑体" w:cs="Times New Roman"/>
                <w:color w:val="auto"/>
                <w:highlight w:val="none"/>
              </w:rPr>
              <w:t>µ</w:t>
            </w:r>
            <w:r>
              <w:rPr>
                <w:rFonts w:hint="default" w:ascii="Times New Roman" w:hAnsi="Times New Roman" w:eastAsia="黑体" w:cs="Times New Roman"/>
                <w:color w:val="auto"/>
                <w:szCs w:val="40"/>
                <w:highlight w:val="none"/>
              </w:rPr>
              <w:t>g/m</w:t>
            </w:r>
            <w:r>
              <w:rPr>
                <w:rFonts w:hint="default" w:ascii="Times New Roman" w:hAnsi="Times New Roman" w:eastAsia="黑体" w:cs="Times New Roman"/>
                <w:color w:val="auto"/>
                <w:szCs w:val="40"/>
                <w:highlight w:val="none"/>
                <w:vertAlign w:val="superscript"/>
              </w:rPr>
              <w:t>3</w:t>
            </w:r>
          </w:p>
        </w:tc>
        <w:tc>
          <w:tcPr>
            <w:tcW w:w="669" w:type="pc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占标率</w:t>
            </w:r>
          </w:p>
          <w:p>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w:t>
            </w:r>
          </w:p>
        </w:tc>
        <w:tc>
          <w:tcPr>
            <w:tcW w:w="753" w:type="pc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27"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p>
        </w:tc>
        <w:tc>
          <w:tcPr>
            <w:tcW w:w="153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年平均质量浓度</w:t>
            </w:r>
          </w:p>
        </w:tc>
        <w:tc>
          <w:tcPr>
            <w:tcW w:w="752" w:type="pct"/>
            <w:tcBorders>
              <w:tl2br w:val="nil"/>
              <w:tr2bl w:val="nil"/>
            </w:tcBorders>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76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669" w:type="pct"/>
            <w:tcBorders>
              <w:tl2br w:val="nil"/>
              <w:tr2bl w:val="nil"/>
            </w:tcBorders>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11.6</w:t>
            </w:r>
          </w:p>
        </w:tc>
        <w:tc>
          <w:tcPr>
            <w:tcW w:w="75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27"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2</w:t>
            </w:r>
          </w:p>
        </w:tc>
        <w:tc>
          <w:tcPr>
            <w:tcW w:w="153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年平均质量浓度</w:t>
            </w:r>
          </w:p>
        </w:tc>
        <w:tc>
          <w:tcPr>
            <w:tcW w:w="752" w:type="pct"/>
            <w:tcBorders>
              <w:tl2br w:val="nil"/>
              <w:tr2bl w:val="nil"/>
            </w:tcBorders>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3</w:t>
            </w:r>
            <w:r>
              <w:rPr>
                <w:rFonts w:hint="default" w:ascii="Times New Roman" w:hAnsi="Times New Roman" w:cs="Times New Roman"/>
                <w:color w:val="auto"/>
                <w:sz w:val="21"/>
                <w:szCs w:val="21"/>
                <w:highlight w:val="none"/>
              </w:rPr>
              <w:t>2</w:t>
            </w:r>
          </w:p>
        </w:tc>
        <w:tc>
          <w:tcPr>
            <w:tcW w:w="76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w:t>
            </w:r>
          </w:p>
        </w:tc>
        <w:tc>
          <w:tcPr>
            <w:tcW w:w="669" w:type="pct"/>
            <w:tcBorders>
              <w:tl2br w:val="nil"/>
              <w:tr2bl w:val="nil"/>
            </w:tcBorders>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80</w:t>
            </w:r>
          </w:p>
        </w:tc>
        <w:tc>
          <w:tcPr>
            <w:tcW w:w="75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27"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10</w:t>
            </w:r>
          </w:p>
        </w:tc>
        <w:tc>
          <w:tcPr>
            <w:tcW w:w="153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年平均质量浓度</w:t>
            </w:r>
          </w:p>
        </w:tc>
        <w:tc>
          <w:tcPr>
            <w:tcW w:w="752" w:type="pct"/>
            <w:tcBorders>
              <w:tl2br w:val="nil"/>
              <w:tr2bl w:val="nil"/>
            </w:tcBorders>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81</w:t>
            </w:r>
          </w:p>
        </w:tc>
        <w:tc>
          <w:tcPr>
            <w:tcW w:w="76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w:t>
            </w:r>
          </w:p>
        </w:tc>
        <w:tc>
          <w:tcPr>
            <w:tcW w:w="669" w:type="pct"/>
            <w:tcBorders>
              <w:tl2br w:val="nil"/>
              <w:tr2bl w:val="nil"/>
            </w:tcBorders>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11</w:t>
            </w:r>
            <w:r>
              <w:rPr>
                <w:rFonts w:hint="default" w:ascii="Times New Roman" w:hAnsi="Times New Roman" w:cs="Times New Roman"/>
                <w:color w:val="auto"/>
                <w:sz w:val="21"/>
                <w:szCs w:val="21"/>
                <w:highlight w:val="none"/>
              </w:rPr>
              <w:t>4</w:t>
            </w:r>
          </w:p>
        </w:tc>
        <w:tc>
          <w:tcPr>
            <w:tcW w:w="75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27"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2.5</w:t>
            </w:r>
          </w:p>
        </w:tc>
        <w:tc>
          <w:tcPr>
            <w:tcW w:w="153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年平均质量浓度</w:t>
            </w:r>
          </w:p>
        </w:tc>
        <w:tc>
          <w:tcPr>
            <w:tcW w:w="752" w:type="pct"/>
            <w:tcBorders>
              <w:tl2br w:val="nil"/>
              <w:tr2bl w:val="nil"/>
            </w:tcBorders>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c>
          <w:tcPr>
            <w:tcW w:w="76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w:t>
            </w:r>
          </w:p>
        </w:tc>
        <w:tc>
          <w:tcPr>
            <w:tcW w:w="669" w:type="pct"/>
            <w:tcBorders>
              <w:tl2br w:val="nil"/>
              <w:tr2bl w:val="nil"/>
            </w:tcBorders>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142.00</w:t>
            </w:r>
          </w:p>
        </w:tc>
        <w:tc>
          <w:tcPr>
            <w:tcW w:w="75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27"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w:t>
            </w:r>
          </w:p>
        </w:tc>
        <w:tc>
          <w:tcPr>
            <w:tcW w:w="153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日平均95百分位数</w:t>
            </w:r>
          </w:p>
        </w:tc>
        <w:tc>
          <w:tcPr>
            <w:tcW w:w="752" w:type="pct"/>
            <w:tcBorders>
              <w:tl2br w:val="nil"/>
              <w:tr2bl w:val="nil"/>
            </w:tcBorders>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2800</w:t>
            </w:r>
          </w:p>
        </w:tc>
        <w:tc>
          <w:tcPr>
            <w:tcW w:w="76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4000</w:t>
            </w:r>
          </w:p>
        </w:tc>
        <w:tc>
          <w:tcPr>
            <w:tcW w:w="669" w:type="pct"/>
            <w:tcBorders>
              <w:tl2br w:val="nil"/>
              <w:tr2bl w:val="nil"/>
            </w:tcBorders>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70.00</w:t>
            </w:r>
          </w:p>
        </w:tc>
        <w:tc>
          <w:tcPr>
            <w:tcW w:w="75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27"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rPr>
              <w:t>3</w:t>
            </w:r>
          </w:p>
        </w:tc>
        <w:tc>
          <w:tcPr>
            <w:tcW w:w="153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8h最大平均第90百分位数</w:t>
            </w:r>
          </w:p>
        </w:tc>
        <w:tc>
          <w:tcPr>
            <w:tcW w:w="752" w:type="pct"/>
            <w:tcBorders>
              <w:tl2br w:val="nil"/>
              <w:tr2bl w:val="nil"/>
            </w:tcBorders>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9</w:t>
            </w:r>
            <w:r>
              <w:rPr>
                <w:rFonts w:hint="default" w:ascii="Times New Roman" w:hAnsi="Times New Roman" w:cs="Times New Roman"/>
                <w:color w:val="auto"/>
                <w:sz w:val="21"/>
                <w:szCs w:val="21"/>
                <w:highlight w:val="none"/>
              </w:rPr>
              <w:t>2</w:t>
            </w:r>
          </w:p>
        </w:tc>
        <w:tc>
          <w:tcPr>
            <w:tcW w:w="76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160</w:t>
            </w:r>
          </w:p>
        </w:tc>
        <w:tc>
          <w:tcPr>
            <w:tcW w:w="669" w:type="pct"/>
            <w:tcBorders>
              <w:tl2br w:val="nil"/>
              <w:tr2bl w:val="nil"/>
            </w:tcBorders>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57</w:t>
            </w:r>
            <w:r>
              <w:rPr>
                <w:rFonts w:hint="default" w:ascii="Times New Roman" w:hAnsi="Times New Roman" w:cs="Times New Roman"/>
                <w:color w:val="auto"/>
                <w:sz w:val="21"/>
                <w:szCs w:val="21"/>
                <w:highlight w:val="none"/>
              </w:rPr>
              <w:t>.5</w:t>
            </w:r>
          </w:p>
        </w:tc>
        <w:tc>
          <w:tcPr>
            <w:tcW w:w="75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bl>
    <w:p>
      <w:pPr>
        <w:widowControl/>
        <w:ind w:firstLine="480"/>
        <w:jc w:val="left"/>
        <w:rPr>
          <w:rFonts w:hint="default" w:ascii="Times New Roman" w:hAnsi="Times New Roman" w:cs="Times New Roman"/>
          <w:color w:val="auto"/>
          <w:kern w:val="0"/>
          <w:highlight w:val="none"/>
          <w:lang w:bidi="zh-CN"/>
        </w:rPr>
      </w:pPr>
      <w:r>
        <w:rPr>
          <w:rFonts w:hint="default" w:ascii="Times New Roman" w:hAnsi="Times New Roman" w:cs="Times New Roman"/>
          <w:color w:val="auto"/>
          <w:kern w:val="0"/>
          <w:highlight w:val="none"/>
        </w:rPr>
        <w:t>由上表可知，</w:t>
      </w:r>
      <w:r>
        <w:rPr>
          <w:rFonts w:hint="default" w:ascii="Times New Roman" w:hAnsi="Times New Roman" w:cs="Times New Roman"/>
          <w:color w:val="auto"/>
          <w:kern w:val="0"/>
          <w:highlight w:val="none"/>
          <w:lang w:bidi="ar"/>
        </w:rPr>
        <w:t>本项目所在区域SO</w:t>
      </w:r>
      <w:r>
        <w:rPr>
          <w:rFonts w:hint="default" w:ascii="Times New Roman" w:hAnsi="Times New Roman" w:cs="Times New Roman"/>
          <w:color w:val="auto"/>
          <w:kern w:val="0"/>
          <w:highlight w:val="none"/>
          <w:vertAlign w:val="subscript"/>
          <w:lang w:bidi="ar"/>
        </w:rPr>
        <w:t>2</w:t>
      </w:r>
      <w:r>
        <w:rPr>
          <w:rFonts w:hint="default" w:ascii="Times New Roman" w:hAnsi="Times New Roman" w:cs="Times New Roman"/>
          <w:color w:val="auto"/>
          <w:kern w:val="0"/>
          <w:highlight w:val="none"/>
          <w:lang w:bidi="ar"/>
        </w:rPr>
        <w:t>、NO</w:t>
      </w:r>
      <w:r>
        <w:rPr>
          <w:rFonts w:hint="default" w:ascii="Times New Roman" w:hAnsi="Times New Roman" w:cs="Times New Roman"/>
          <w:color w:val="auto"/>
          <w:kern w:val="0"/>
          <w:highlight w:val="none"/>
          <w:vertAlign w:val="subscript"/>
          <w:lang w:bidi="ar"/>
        </w:rPr>
        <w:t>2</w:t>
      </w:r>
      <w:r>
        <w:rPr>
          <w:rFonts w:hint="default" w:ascii="Times New Roman" w:hAnsi="Times New Roman" w:cs="Times New Roman"/>
          <w:color w:val="auto"/>
          <w:kern w:val="0"/>
          <w:highlight w:val="none"/>
          <w:lang w:bidi="ar"/>
        </w:rPr>
        <w:t>、CO、O</w:t>
      </w:r>
      <w:r>
        <w:rPr>
          <w:rFonts w:hint="default" w:ascii="Times New Roman" w:hAnsi="Times New Roman" w:cs="Times New Roman"/>
          <w:color w:val="auto"/>
          <w:kern w:val="0"/>
          <w:highlight w:val="none"/>
          <w:vertAlign w:val="subscript"/>
          <w:lang w:bidi="ar"/>
        </w:rPr>
        <w:t>3</w:t>
      </w:r>
      <w:r>
        <w:rPr>
          <w:rFonts w:hint="default" w:ascii="Times New Roman" w:hAnsi="Times New Roman" w:cs="Times New Roman"/>
          <w:color w:val="auto"/>
          <w:kern w:val="0"/>
          <w:highlight w:val="none"/>
          <w:lang w:bidi="ar"/>
        </w:rPr>
        <w:t>的年评价指标为达标；颗粒物PM</w:t>
      </w:r>
      <w:r>
        <w:rPr>
          <w:rFonts w:hint="default" w:ascii="Times New Roman" w:hAnsi="Times New Roman" w:cs="Times New Roman"/>
          <w:color w:val="auto"/>
          <w:kern w:val="0"/>
          <w:highlight w:val="none"/>
          <w:vertAlign w:val="subscript"/>
          <w:lang w:bidi="ar"/>
        </w:rPr>
        <w:t>2.5</w:t>
      </w:r>
      <w:r>
        <w:rPr>
          <w:rFonts w:hint="default" w:ascii="Times New Roman" w:hAnsi="Times New Roman" w:cs="Times New Roman"/>
          <w:color w:val="auto"/>
          <w:kern w:val="0"/>
          <w:highlight w:val="none"/>
          <w:lang w:bidi="ar"/>
        </w:rPr>
        <w:t>、PM</w:t>
      </w:r>
      <w:r>
        <w:rPr>
          <w:rFonts w:hint="default" w:ascii="Times New Roman" w:hAnsi="Times New Roman" w:cs="Times New Roman"/>
          <w:color w:val="auto"/>
          <w:kern w:val="0"/>
          <w:highlight w:val="none"/>
          <w:vertAlign w:val="subscript"/>
          <w:lang w:bidi="ar"/>
        </w:rPr>
        <w:t>10</w:t>
      </w:r>
      <w:r>
        <w:rPr>
          <w:rFonts w:hint="default" w:ascii="Times New Roman" w:hAnsi="Times New Roman" w:cs="Times New Roman"/>
          <w:color w:val="auto"/>
          <w:kern w:val="0"/>
          <w:highlight w:val="none"/>
          <w:lang w:bidi="ar"/>
        </w:rPr>
        <w:t>的年评价指标均为超标，因此本项目区域为不达标区。</w:t>
      </w:r>
      <w:r>
        <w:rPr>
          <w:rFonts w:hint="default" w:ascii="Times New Roman" w:hAnsi="Times New Roman" w:cs="Times New Roman"/>
          <w:color w:val="auto"/>
          <w:kern w:val="0"/>
          <w:highlight w:val="none"/>
          <w:lang w:bidi="zh-CN"/>
        </w:rPr>
        <w:t>PM</w:t>
      </w:r>
      <w:r>
        <w:rPr>
          <w:rFonts w:hint="default" w:ascii="Times New Roman" w:hAnsi="Times New Roman" w:cs="Times New Roman"/>
          <w:color w:val="auto"/>
          <w:kern w:val="0"/>
          <w:highlight w:val="none"/>
          <w:vertAlign w:val="subscript"/>
          <w:lang w:bidi="zh-CN"/>
        </w:rPr>
        <w:t>2.5</w:t>
      </w:r>
      <w:r>
        <w:rPr>
          <w:rFonts w:hint="default" w:ascii="Times New Roman" w:hAnsi="Times New Roman" w:cs="Times New Roman"/>
          <w:color w:val="auto"/>
          <w:kern w:val="0"/>
          <w:highlight w:val="none"/>
          <w:lang w:bidi="zh-CN"/>
        </w:rPr>
        <w:t>、PM</w:t>
      </w:r>
      <w:r>
        <w:rPr>
          <w:rFonts w:hint="default" w:ascii="Times New Roman" w:hAnsi="Times New Roman" w:cs="Times New Roman"/>
          <w:color w:val="auto"/>
          <w:kern w:val="0"/>
          <w:highlight w:val="none"/>
          <w:vertAlign w:val="subscript"/>
          <w:lang w:bidi="zh-CN"/>
        </w:rPr>
        <w:t>10</w:t>
      </w:r>
      <w:r>
        <w:rPr>
          <w:rFonts w:hint="default" w:ascii="Times New Roman" w:hAnsi="Times New Roman" w:cs="Times New Roman"/>
          <w:color w:val="auto"/>
          <w:kern w:val="0"/>
          <w:highlight w:val="none"/>
          <w:lang w:bidi="zh-CN"/>
        </w:rPr>
        <w:t>受沙尘天气影响导致超标。</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特征因子环境空气质量现状评价</w:t>
      </w:r>
    </w:p>
    <w:p>
      <w:pPr>
        <w:widowControl/>
        <w:ind w:firstLine="480"/>
        <w:jc w:val="left"/>
        <w:rPr>
          <w:rFonts w:hint="default" w:ascii="Times New Roman" w:hAnsi="Times New Roman" w:eastAsia="PingFangSC-Regular" w:cs="Times New Roman"/>
          <w:color w:val="auto"/>
          <w:kern w:val="0"/>
          <w:highlight w:val="none"/>
        </w:rPr>
      </w:pPr>
      <w:r>
        <w:rPr>
          <w:rFonts w:hint="default" w:ascii="Times New Roman" w:hAnsi="Times New Roman" w:cs="Times New Roman"/>
          <w:color w:val="auto"/>
          <w:highlight w:val="none"/>
        </w:rPr>
        <w:t>本项目于2024年4月委托</w:t>
      </w:r>
      <w:r>
        <w:rPr>
          <w:rFonts w:hint="default" w:ascii="Times New Roman" w:hAnsi="Times New Roman" w:cs="Times New Roman"/>
          <w:color w:val="auto"/>
          <w:kern w:val="0"/>
          <w:highlight w:val="none"/>
        </w:rPr>
        <w:t>新疆天蓝蓝环保技术服务有限公司</w:t>
      </w:r>
      <w:r>
        <w:rPr>
          <w:rFonts w:hint="default" w:ascii="Times New Roman" w:hAnsi="Times New Roman" w:eastAsia="PingFangSC-Regular" w:cs="Times New Roman"/>
          <w:color w:val="auto"/>
          <w:kern w:val="0"/>
          <w:highlight w:val="none"/>
        </w:rPr>
        <w:t>对拟建项目厂界范围内进行了现状监测。</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（1）监测内容</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本项目特征因子监测内容详见下表。</w:t>
      </w:r>
    </w:p>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rPr>
        <w:t>表4.3-2检测内容一览表</w:t>
      </w:r>
    </w:p>
    <w:tbl>
      <w:tblPr>
        <w:tblStyle w:val="57"/>
        <w:tblW w:w="9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2987"/>
        <w:gridCol w:w="3162"/>
        <w:gridCol w:w="18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276"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样品类别</w:t>
            </w:r>
          </w:p>
        </w:tc>
        <w:tc>
          <w:tcPr>
            <w:tcW w:w="298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检测点位</w:t>
            </w:r>
          </w:p>
        </w:tc>
        <w:tc>
          <w:tcPr>
            <w:tcW w:w="3162"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检测项</w:t>
            </w:r>
          </w:p>
        </w:tc>
        <w:tc>
          <w:tcPr>
            <w:tcW w:w="1889"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检测频次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276" w:type="dxa"/>
            <w:vMerge w:val="restart"/>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环境空气</w:t>
            </w:r>
          </w:p>
        </w:tc>
        <w:tc>
          <w:tcPr>
            <w:tcW w:w="298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Q1场界范围内监测点</w:t>
            </w:r>
          </w:p>
        </w:tc>
        <w:tc>
          <w:tcPr>
            <w:tcW w:w="3162"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氨（小时值）、硫化氢（小时值）</w:t>
            </w:r>
          </w:p>
        </w:tc>
        <w:tc>
          <w:tcPr>
            <w:tcW w:w="1889"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1次/天，连续7天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276" w:type="dxa"/>
            <w:vMerge w:val="continue"/>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p>
        </w:tc>
        <w:tc>
          <w:tcPr>
            <w:tcW w:w="2987"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Q2</w:t>
            </w:r>
            <w:r>
              <w:rPr>
                <w:rFonts w:hint="default" w:ascii="Times New Roman" w:hAnsi="Times New Roman" w:cs="Times New Roman"/>
                <w:color w:val="auto"/>
                <w:szCs w:val="21"/>
                <w:highlight w:val="none"/>
              </w:rPr>
              <w:t>厂址下风向</w:t>
            </w:r>
          </w:p>
        </w:tc>
        <w:tc>
          <w:tcPr>
            <w:tcW w:w="3162"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氨（小时值）、硫化氢（小时值）</w:t>
            </w:r>
          </w:p>
        </w:tc>
        <w:tc>
          <w:tcPr>
            <w:tcW w:w="1889" w:type="dxa"/>
            <w:tcBorders>
              <w:tl2br w:val="nil"/>
              <w:tr2bl w:val="nil"/>
            </w:tcBorders>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1次/天，连续7天</w:t>
            </w:r>
          </w:p>
        </w:tc>
      </w:tr>
    </w:tbl>
    <w:p>
      <w:pPr>
        <w:ind w:firstLine="480"/>
        <w:rPr>
          <w:rFonts w:hint="default" w:ascii="Times New Roman" w:hAnsi="Times New Roman" w:cs="Times New Roman"/>
          <w:color w:val="auto"/>
          <w:highlight w:val="none"/>
        </w:rPr>
      </w:pPr>
      <w:bookmarkStart w:id="121" w:name="_Ref86686976"/>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2</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评价标准</w:t>
      </w:r>
    </w:p>
    <w:p>
      <w:pPr>
        <w:ind w:firstLine="48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rPr>
        <w:t>氨、硫化氢执行《环境影响评价技术导则大气环境》（HJ2.2—2018）附录D浓度限值，评价所用标准值</w:t>
      </w:r>
      <w:r>
        <w:rPr>
          <w:rFonts w:hint="eastAsia" w:cs="Times New Roman"/>
          <w:color w:val="auto"/>
          <w:highlight w:val="none"/>
          <w:lang w:eastAsia="zh-CN"/>
        </w:rPr>
        <w:t>，</w:t>
      </w:r>
      <w:r>
        <w:rPr>
          <w:rFonts w:hint="eastAsia" w:ascii="Times New Roman" w:hAnsi="Times New Roman" w:cs="Times New Roman"/>
          <w:color w:val="auto"/>
          <w:highlight w:val="none"/>
        </w:rPr>
        <w:t>见</w:t>
      </w:r>
      <w:r>
        <w:rPr>
          <w:rFonts w:hint="eastAsia" w:cs="Times New Roman"/>
          <w:color w:val="auto"/>
          <w:highlight w:val="none"/>
          <w:lang w:val="en-US" w:eastAsia="zh-CN"/>
        </w:rPr>
        <w:t>下表</w:t>
      </w:r>
      <w:r>
        <w:rPr>
          <w:rFonts w:hint="eastAsia" w:ascii="Times New Roman" w:hAnsi="Times New Roman" w:cs="Times New Roman"/>
          <w:color w:val="auto"/>
          <w:highlight w:val="none"/>
          <w:lang w:val="en-US" w:eastAsia="zh-CN"/>
        </w:rPr>
        <w:t>。</w:t>
      </w:r>
    </w:p>
    <w:p>
      <w:pPr>
        <w:pStyle w:val="70"/>
        <w:rPr>
          <w:rFonts w:hint="eastAsia" w:ascii="Times New Roman" w:hAnsi="Times New Roman" w:cs="Times New Roman"/>
          <w:color w:val="auto"/>
          <w:highlight w:val="none"/>
        </w:rPr>
      </w:pPr>
    </w:p>
    <w:p>
      <w:pPr>
        <w:pStyle w:val="70"/>
        <w:rPr>
          <w:rFonts w:hint="default" w:ascii="Times New Roman" w:hAnsi="Times New Roman" w:cs="Times New Roman"/>
          <w:color w:val="auto"/>
          <w:highlight w:val="none"/>
        </w:rPr>
      </w:pPr>
      <w:r>
        <w:rPr>
          <w:rFonts w:hint="eastAsia" w:ascii="Times New Roman" w:hAnsi="Times New Roman" w:cs="Times New Roman"/>
          <w:color w:val="auto"/>
          <w:highlight w:val="none"/>
        </w:rPr>
        <w:t>表</w:t>
      </w:r>
      <w:bookmarkEnd w:id="121"/>
      <w:r>
        <w:rPr>
          <w:rFonts w:hint="eastAsia" w:ascii="Times New Roman" w:hAnsi="Times New Roman" w:cs="Times New Roman"/>
          <w:color w:val="auto"/>
          <w:highlight w:val="none"/>
          <w:lang w:val="en-US" w:eastAsia="zh-CN"/>
        </w:rPr>
        <w:t>4.3-3</w:t>
      </w:r>
      <w:r>
        <w:rPr>
          <w:rFonts w:hint="eastAsia" w:ascii="Times New Roman" w:hAnsi="Times New Roman" w:cs="Times New Roman"/>
          <w:color w:val="auto"/>
          <w:highlight w:val="none"/>
        </w:rPr>
        <w:t>大气环境质量现状评价所用标准值一览表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19"/>
        <w:gridCol w:w="1619"/>
        <w:gridCol w:w="1733"/>
        <w:gridCol w:w="4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25" w:type="dxa"/>
            <w:tcBorders>
              <w:tl2br w:val="nil"/>
              <w:tr2bl w:val="nil"/>
            </w:tcBorders>
            <w:vAlign w:val="center"/>
          </w:tcPr>
          <w:p>
            <w:pPr>
              <w:pStyle w:val="104"/>
              <w:rPr>
                <w:color w:val="auto"/>
                <w:highlight w:val="none"/>
              </w:rPr>
            </w:pPr>
            <w:r>
              <w:rPr>
                <w:rFonts w:hint="eastAsia"/>
                <w:color w:val="auto"/>
                <w:highlight w:val="none"/>
              </w:rPr>
              <w:t>污染物</w:t>
            </w:r>
          </w:p>
        </w:tc>
        <w:tc>
          <w:tcPr>
            <w:tcW w:w="1445" w:type="dxa"/>
            <w:tcBorders>
              <w:tl2br w:val="nil"/>
              <w:tr2bl w:val="nil"/>
            </w:tcBorders>
            <w:vAlign w:val="center"/>
          </w:tcPr>
          <w:p>
            <w:pPr>
              <w:pStyle w:val="104"/>
              <w:rPr>
                <w:color w:val="auto"/>
                <w:highlight w:val="none"/>
              </w:rPr>
            </w:pPr>
            <w:r>
              <w:rPr>
                <w:rFonts w:hint="eastAsia"/>
                <w:color w:val="auto"/>
                <w:highlight w:val="none"/>
              </w:rPr>
              <w:t>取值时间</w:t>
            </w:r>
          </w:p>
        </w:tc>
        <w:tc>
          <w:tcPr>
            <w:tcW w:w="1548" w:type="dxa"/>
            <w:tcBorders>
              <w:tl2br w:val="nil"/>
              <w:tr2bl w:val="nil"/>
            </w:tcBorders>
            <w:vAlign w:val="center"/>
          </w:tcPr>
          <w:p>
            <w:pPr>
              <w:pStyle w:val="104"/>
              <w:rPr>
                <w:color w:val="auto"/>
                <w:highlight w:val="none"/>
              </w:rPr>
            </w:pPr>
            <w:r>
              <w:rPr>
                <w:rFonts w:hint="eastAsia"/>
                <w:color w:val="auto"/>
                <w:highlight w:val="none"/>
              </w:rPr>
              <w:t>浓度限值</w:t>
            </w:r>
          </w:p>
        </w:tc>
        <w:tc>
          <w:tcPr>
            <w:tcW w:w="3694" w:type="dxa"/>
            <w:tcBorders>
              <w:tl2br w:val="nil"/>
              <w:tr2bl w:val="nil"/>
            </w:tcBorders>
            <w:vAlign w:val="center"/>
          </w:tcPr>
          <w:p>
            <w:pPr>
              <w:pStyle w:val="104"/>
              <w:rPr>
                <w:color w:val="auto"/>
                <w:highlight w:val="none"/>
              </w:rPr>
            </w:pPr>
            <w:r>
              <w:rPr>
                <w:rFonts w:hint="eastAsia"/>
                <w:color w:val="auto"/>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25" w:type="dxa"/>
            <w:tcBorders>
              <w:tl2br w:val="nil"/>
              <w:tr2bl w:val="nil"/>
            </w:tcBorders>
            <w:vAlign w:val="center"/>
          </w:tcPr>
          <w:p>
            <w:pPr>
              <w:pStyle w:val="104"/>
              <w:rPr>
                <w:color w:val="auto"/>
                <w:highlight w:val="none"/>
              </w:rPr>
            </w:pPr>
            <w:r>
              <w:rPr>
                <w:rFonts w:hint="eastAsia"/>
                <w:color w:val="auto"/>
                <w:highlight w:val="none"/>
              </w:rPr>
              <w:t>氨</w:t>
            </w:r>
          </w:p>
        </w:tc>
        <w:tc>
          <w:tcPr>
            <w:tcW w:w="1445" w:type="dxa"/>
            <w:tcBorders>
              <w:tl2br w:val="nil"/>
              <w:tr2bl w:val="nil"/>
            </w:tcBorders>
            <w:vAlign w:val="center"/>
          </w:tcPr>
          <w:p>
            <w:pPr>
              <w:pStyle w:val="104"/>
              <w:rPr>
                <w:color w:val="auto"/>
                <w:highlight w:val="none"/>
              </w:rPr>
            </w:pPr>
            <w:r>
              <w:rPr>
                <w:rFonts w:hint="eastAsia"/>
                <w:color w:val="auto"/>
                <w:highlight w:val="none"/>
              </w:rPr>
              <w:t>1小时平均</w:t>
            </w:r>
          </w:p>
        </w:tc>
        <w:tc>
          <w:tcPr>
            <w:tcW w:w="1548" w:type="dxa"/>
            <w:tcBorders>
              <w:tl2br w:val="nil"/>
              <w:tr2bl w:val="nil"/>
            </w:tcBorders>
            <w:vAlign w:val="center"/>
          </w:tcPr>
          <w:p>
            <w:pPr>
              <w:pStyle w:val="104"/>
              <w:rPr>
                <w:color w:val="auto"/>
                <w:highlight w:val="none"/>
              </w:rPr>
            </w:pPr>
            <w:r>
              <w:rPr>
                <w:color w:val="auto"/>
                <w:highlight w:val="none"/>
              </w:rPr>
              <w:t>0.2mg/m</w:t>
            </w:r>
            <w:r>
              <w:rPr>
                <w:color w:val="auto"/>
                <w:highlight w:val="none"/>
                <w:vertAlign w:val="superscript"/>
              </w:rPr>
              <w:t>3</w:t>
            </w:r>
          </w:p>
        </w:tc>
        <w:tc>
          <w:tcPr>
            <w:tcW w:w="3694" w:type="dxa"/>
            <w:tcBorders>
              <w:tl2br w:val="nil"/>
              <w:tr2bl w:val="nil"/>
            </w:tcBorders>
            <w:vAlign w:val="center"/>
          </w:tcPr>
          <w:p>
            <w:pPr>
              <w:pStyle w:val="104"/>
              <w:rPr>
                <w:color w:val="auto"/>
                <w:highlight w:val="none"/>
              </w:rPr>
            </w:pPr>
            <w:r>
              <w:rPr>
                <w:color w:val="auto"/>
                <w:highlight w:val="none"/>
              </w:rPr>
              <w:t>HJ2.2—2018附录D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25" w:type="dxa"/>
            <w:tcBorders>
              <w:tl2br w:val="nil"/>
              <w:tr2bl w:val="nil"/>
            </w:tcBorders>
            <w:vAlign w:val="center"/>
          </w:tcPr>
          <w:p>
            <w:pPr>
              <w:pStyle w:val="104"/>
              <w:rPr>
                <w:color w:val="auto"/>
                <w:highlight w:val="none"/>
              </w:rPr>
            </w:pPr>
            <w:r>
              <w:rPr>
                <w:rFonts w:hint="eastAsia"/>
                <w:color w:val="auto"/>
                <w:highlight w:val="none"/>
              </w:rPr>
              <w:t>硫化氢</w:t>
            </w:r>
          </w:p>
        </w:tc>
        <w:tc>
          <w:tcPr>
            <w:tcW w:w="1445" w:type="dxa"/>
            <w:tcBorders>
              <w:tl2br w:val="nil"/>
              <w:tr2bl w:val="nil"/>
            </w:tcBorders>
            <w:vAlign w:val="center"/>
          </w:tcPr>
          <w:p>
            <w:pPr>
              <w:pStyle w:val="104"/>
              <w:rPr>
                <w:color w:val="auto"/>
                <w:highlight w:val="none"/>
              </w:rPr>
            </w:pPr>
            <w:r>
              <w:rPr>
                <w:rFonts w:hint="eastAsia"/>
                <w:color w:val="auto"/>
                <w:highlight w:val="none"/>
              </w:rPr>
              <w:t>1小时平均</w:t>
            </w:r>
          </w:p>
        </w:tc>
        <w:tc>
          <w:tcPr>
            <w:tcW w:w="1548" w:type="dxa"/>
            <w:tcBorders>
              <w:tl2br w:val="nil"/>
              <w:tr2bl w:val="nil"/>
            </w:tcBorders>
            <w:vAlign w:val="center"/>
          </w:tcPr>
          <w:p>
            <w:pPr>
              <w:pStyle w:val="104"/>
              <w:rPr>
                <w:color w:val="auto"/>
                <w:highlight w:val="none"/>
              </w:rPr>
            </w:pPr>
            <w:r>
              <w:rPr>
                <w:color w:val="auto"/>
                <w:highlight w:val="none"/>
              </w:rPr>
              <w:t>0.01mg/m</w:t>
            </w:r>
            <w:r>
              <w:rPr>
                <w:color w:val="auto"/>
                <w:highlight w:val="none"/>
                <w:vertAlign w:val="superscript"/>
              </w:rPr>
              <w:t>3</w:t>
            </w:r>
          </w:p>
        </w:tc>
        <w:tc>
          <w:tcPr>
            <w:tcW w:w="3694" w:type="dxa"/>
            <w:tcBorders>
              <w:tl2br w:val="nil"/>
              <w:tr2bl w:val="nil"/>
            </w:tcBorders>
            <w:vAlign w:val="center"/>
          </w:tcPr>
          <w:p>
            <w:pPr>
              <w:pStyle w:val="104"/>
              <w:rPr>
                <w:color w:val="auto"/>
                <w:highlight w:val="none"/>
              </w:rPr>
            </w:pPr>
            <w:r>
              <w:rPr>
                <w:color w:val="auto"/>
                <w:highlight w:val="none"/>
              </w:rPr>
              <w:t>HJ2.2—2018附录D</w:t>
            </w:r>
          </w:p>
        </w:tc>
      </w:tr>
    </w:tbl>
    <w:p>
      <w:pPr>
        <w:ind w:firstLine="480"/>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3</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评价方法</w:t>
      </w:r>
    </w:p>
    <w:p>
      <w:pPr>
        <w:ind w:firstLine="480"/>
        <w:rPr>
          <w:color w:val="auto"/>
          <w:highlight w:val="none"/>
        </w:rPr>
      </w:pPr>
      <w:r>
        <w:rPr>
          <w:rFonts w:hint="eastAsia"/>
          <w:color w:val="auto"/>
          <w:highlight w:val="none"/>
        </w:rPr>
        <w:t>评价方法：基本污染物按照《环境空气质量评价技术规范（试行）》HJ663-2013中各评价项目的年评价指标进行判定。年评价指标中的年均浓度和相应百分位数24h平均或8h平均质量浓度满足GB3095中浓度限值要求的即为达标。对于超标的污染物，计算其超标倍数和超标率。</w:t>
      </w:r>
    </w:p>
    <w:p>
      <w:pPr>
        <w:ind w:firstLine="480"/>
        <w:rPr>
          <w:color w:val="auto"/>
          <w:highlight w:val="none"/>
        </w:rPr>
      </w:pPr>
      <w:r>
        <w:rPr>
          <w:rFonts w:hint="eastAsia"/>
          <w:color w:val="auto"/>
          <w:highlight w:val="none"/>
        </w:rPr>
        <w:t>补充监测的特征污染物氨、硫化氢采用单因子污染指数法，其单项参数i在第j点的标准指数为：</w:t>
      </w:r>
    </w:p>
    <w:p>
      <w:pPr>
        <w:ind w:firstLine="480"/>
        <w:rPr>
          <w:color w:val="auto"/>
          <w:highlight w:val="none"/>
        </w:rPr>
      </w:pPr>
      <w:r>
        <w:rPr>
          <w:color w:val="auto"/>
          <w:highlight w:val="none"/>
        </w:rPr>
        <w:drawing>
          <wp:inline distT="0" distB="0" distL="0" distR="0">
            <wp:extent cx="1078865" cy="274320"/>
            <wp:effectExtent l="0" t="0" r="6985" b="1270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078865" cy="274320"/>
                    </a:xfrm>
                    <a:prstGeom prst="rect">
                      <a:avLst/>
                    </a:prstGeom>
                    <a:noFill/>
                  </pic:spPr>
                </pic:pic>
              </a:graphicData>
            </a:graphic>
          </wp:inline>
        </w:drawing>
      </w:r>
    </w:p>
    <w:p>
      <w:pPr>
        <w:ind w:firstLine="480"/>
        <w:rPr>
          <w:color w:val="auto"/>
          <w:highlight w:val="none"/>
        </w:rPr>
      </w:pPr>
      <w:r>
        <w:rPr>
          <w:rFonts w:hint="eastAsia"/>
          <w:color w:val="auto"/>
          <w:highlight w:val="none"/>
        </w:rPr>
        <w:t>式中：S</w:t>
      </w:r>
      <w:r>
        <w:rPr>
          <w:rFonts w:hint="eastAsia"/>
          <w:color w:val="auto"/>
          <w:highlight w:val="none"/>
          <w:vertAlign w:val="subscript"/>
        </w:rPr>
        <w:t>i,j</w:t>
      </w:r>
      <w:r>
        <w:rPr>
          <w:rFonts w:hint="eastAsia"/>
          <w:color w:val="auto"/>
          <w:highlight w:val="none"/>
        </w:rPr>
        <w:t>——单项标准指数；</w:t>
      </w:r>
    </w:p>
    <w:p>
      <w:pPr>
        <w:ind w:firstLine="480"/>
        <w:rPr>
          <w:color w:val="auto"/>
          <w:highlight w:val="none"/>
        </w:rPr>
      </w:pPr>
      <w:r>
        <w:rPr>
          <w:rFonts w:hint="eastAsia"/>
          <w:color w:val="auto"/>
          <w:highlight w:val="none"/>
        </w:rPr>
        <w:t>C</w:t>
      </w:r>
      <w:r>
        <w:rPr>
          <w:rFonts w:hint="eastAsia"/>
          <w:color w:val="auto"/>
          <w:highlight w:val="none"/>
          <w:vertAlign w:val="subscript"/>
        </w:rPr>
        <w:t>i,j</w:t>
      </w:r>
      <w:r>
        <w:rPr>
          <w:rFonts w:hint="eastAsia"/>
          <w:color w:val="auto"/>
          <w:highlight w:val="none"/>
        </w:rPr>
        <w:t>——实测值；</w:t>
      </w:r>
    </w:p>
    <w:p>
      <w:pPr>
        <w:ind w:firstLine="480"/>
        <w:rPr>
          <w:color w:val="auto"/>
          <w:highlight w:val="none"/>
        </w:rPr>
      </w:pPr>
      <w:r>
        <w:rPr>
          <w:rFonts w:hint="eastAsia"/>
          <w:color w:val="auto"/>
          <w:highlight w:val="none"/>
        </w:rPr>
        <w:t>C</w:t>
      </w:r>
      <w:r>
        <w:rPr>
          <w:rFonts w:hint="eastAsia"/>
          <w:color w:val="auto"/>
          <w:highlight w:val="none"/>
          <w:vertAlign w:val="subscript"/>
        </w:rPr>
        <w:t>s,j</w:t>
      </w:r>
      <w:r>
        <w:rPr>
          <w:rFonts w:hint="eastAsia"/>
          <w:color w:val="auto"/>
          <w:highlight w:val="none"/>
        </w:rPr>
        <w:t>——项目评价标准。</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（2）监测结果</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本项目环境空气特征因子监测结果详见下表。</w:t>
      </w:r>
    </w:p>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rPr>
        <w:t>表4.3-</w:t>
      </w:r>
      <w:r>
        <w:rPr>
          <w:rFonts w:hint="eastAsia" w:cs="Times New Roman"/>
          <w:color w:val="auto"/>
          <w:highlight w:val="none"/>
          <w:lang w:val="en-US" w:eastAsia="zh-CN"/>
        </w:rPr>
        <w:t>4</w:t>
      </w:r>
      <w:r>
        <w:rPr>
          <w:rFonts w:hint="default" w:ascii="Times New Roman" w:hAnsi="Times New Roman" w:cs="Times New Roman"/>
          <w:color w:val="auto"/>
          <w:highlight w:val="none"/>
        </w:rPr>
        <w:t>环境空气检测结果</w:t>
      </w:r>
      <w:r>
        <w:rPr>
          <w:color w:val="auto"/>
          <w:highlight w:val="none"/>
        </w:rPr>
        <w:t>mg/m</w:t>
      </w:r>
      <w:r>
        <w:rPr>
          <w:color w:val="auto"/>
          <w:highlight w:val="none"/>
          <w:vertAlign w:val="superscript"/>
        </w:rPr>
        <w:t>3</w:t>
      </w:r>
    </w:p>
    <w:tbl>
      <w:tblPr>
        <w:tblStyle w:val="33"/>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
        <w:gridCol w:w="1548"/>
        <w:gridCol w:w="1774"/>
        <w:gridCol w:w="1976"/>
        <w:gridCol w:w="1426"/>
        <w:gridCol w:w="901"/>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 w:type="pct"/>
            <w:vMerge w:val="restart"/>
            <w:tcBorders>
              <w:tl2br w:val="nil"/>
              <w:tr2bl w:val="nil"/>
            </w:tcBorders>
            <w:vAlign w:val="center"/>
          </w:tcPr>
          <w:p>
            <w:pPr>
              <w:kinsoku w:val="0"/>
              <w:overflowPunct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814" w:type="pct"/>
            <w:vMerge w:val="restart"/>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监测点位</w:t>
            </w:r>
          </w:p>
        </w:tc>
        <w:tc>
          <w:tcPr>
            <w:tcW w:w="933" w:type="pct"/>
            <w:vMerge w:val="restart"/>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2978" w:type="pct"/>
            <w:gridSpan w:val="4"/>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 w:type="pct"/>
            <w:vMerge w:val="continue"/>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p>
        </w:tc>
        <w:tc>
          <w:tcPr>
            <w:tcW w:w="814" w:type="pct"/>
            <w:vMerge w:val="continue"/>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p>
        </w:tc>
        <w:tc>
          <w:tcPr>
            <w:tcW w:w="933" w:type="pct"/>
            <w:vMerge w:val="continue"/>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p>
        </w:tc>
        <w:tc>
          <w:tcPr>
            <w:tcW w:w="1039" w:type="pct"/>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浓度范围</w:t>
            </w:r>
          </w:p>
        </w:tc>
        <w:tc>
          <w:tcPr>
            <w:tcW w:w="750" w:type="pct"/>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污染指数</w:t>
            </w:r>
          </w:p>
        </w:tc>
        <w:tc>
          <w:tcPr>
            <w:tcW w:w="474" w:type="pct"/>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超标率%</w:t>
            </w:r>
          </w:p>
        </w:tc>
        <w:tc>
          <w:tcPr>
            <w:tcW w:w="713" w:type="pct"/>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color w:val="auto"/>
                <w:spacing w:val="-12"/>
                <w:sz w:val="21"/>
                <w:szCs w:val="21"/>
                <w:highlight w:val="none"/>
              </w:rPr>
            </w:pPr>
            <w:r>
              <w:rPr>
                <w:rFonts w:hint="default" w:ascii="Times New Roman" w:hAnsi="Times New Roman" w:cs="Times New Roman"/>
                <w:color w:val="auto"/>
                <w:spacing w:val="-12"/>
                <w:sz w:val="21"/>
                <w:szCs w:val="21"/>
                <w:highlight w:val="none"/>
              </w:rPr>
              <w:t>最大超标</w:t>
            </w:r>
          </w:p>
          <w:p>
            <w:pPr>
              <w:kinsoku w:val="0"/>
              <w:overflowPunct w:val="0"/>
              <w:spacing w:line="240" w:lineRule="auto"/>
              <w:ind w:firstLine="0" w:firstLineChars="0"/>
              <w:jc w:val="center"/>
              <w:rPr>
                <w:rFonts w:hint="default" w:ascii="Times New Roman" w:hAnsi="Times New Roman" w:cs="Times New Roman"/>
                <w:color w:val="auto"/>
                <w:spacing w:val="-12"/>
                <w:sz w:val="21"/>
                <w:szCs w:val="21"/>
                <w:highlight w:val="none"/>
              </w:rPr>
            </w:pPr>
            <w:r>
              <w:rPr>
                <w:rFonts w:hint="default" w:ascii="Times New Roman" w:hAnsi="Times New Roman" w:cs="Times New Roman"/>
                <w:color w:val="auto"/>
                <w:spacing w:val="-12"/>
                <w:sz w:val="21"/>
                <w:szCs w:val="21"/>
                <w:highlight w:val="none"/>
              </w:rPr>
              <w:t>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 w:type="pct"/>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814" w:type="pct"/>
            <w:vMerge w:val="restart"/>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项目区下风向</w:t>
            </w:r>
          </w:p>
        </w:tc>
        <w:tc>
          <w:tcPr>
            <w:tcW w:w="933" w:type="pct"/>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氨</w:t>
            </w:r>
          </w:p>
        </w:tc>
        <w:tc>
          <w:tcPr>
            <w:tcW w:w="1039"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0.04-0.07</w:t>
            </w:r>
          </w:p>
        </w:tc>
        <w:tc>
          <w:tcPr>
            <w:tcW w:w="750" w:type="pct"/>
            <w:tcBorders>
              <w:tl2br w:val="nil"/>
              <w:tr2bl w:val="nil"/>
            </w:tcBorders>
            <w:vAlign w:val="center"/>
          </w:tcPr>
          <w:p>
            <w:pPr>
              <w:kinsoku w:val="0"/>
              <w:overflowPunct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0.35</w:t>
            </w:r>
          </w:p>
        </w:tc>
        <w:tc>
          <w:tcPr>
            <w:tcW w:w="901" w:type="dxa"/>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360" w:type="dxa"/>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 w:type="pct"/>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814" w:type="pct"/>
            <w:vMerge w:val="continue"/>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bCs/>
                <w:color w:val="auto"/>
                <w:sz w:val="21"/>
                <w:szCs w:val="21"/>
                <w:highlight w:val="none"/>
              </w:rPr>
            </w:pPr>
          </w:p>
        </w:tc>
        <w:tc>
          <w:tcPr>
            <w:tcW w:w="933" w:type="pct"/>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硫化氢</w:t>
            </w:r>
          </w:p>
        </w:tc>
        <w:tc>
          <w:tcPr>
            <w:tcW w:w="1039"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0.004-0.006</w:t>
            </w:r>
          </w:p>
        </w:tc>
        <w:tc>
          <w:tcPr>
            <w:tcW w:w="750" w:type="pct"/>
            <w:tcBorders>
              <w:tl2br w:val="nil"/>
              <w:tr2bl w:val="nil"/>
            </w:tcBorders>
            <w:vAlign w:val="center"/>
          </w:tcPr>
          <w:p>
            <w:pPr>
              <w:kinsoku w:val="0"/>
              <w:overflowPunct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w:t>
            </w:r>
          </w:p>
        </w:tc>
        <w:tc>
          <w:tcPr>
            <w:tcW w:w="901" w:type="dxa"/>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360" w:type="dxa"/>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 w:type="pct"/>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814" w:type="pct"/>
            <w:vMerge w:val="continue"/>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bCs/>
                <w:color w:val="auto"/>
                <w:sz w:val="21"/>
                <w:szCs w:val="21"/>
                <w:highlight w:val="none"/>
              </w:rPr>
            </w:pPr>
          </w:p>
        </w:tc>
        <w:tc>
          <w:tcPr>
            <w:tcW w:w="933" w:type="pct"/>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臭气浓度</w:t>
            </w:r>
          </w:p>
        </w:tc>
        <w:tc>
          <w:tcPr>
            <w:tcW w:w="1039"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rPr>
              <w:t>&lt;10</w:t>
            </w:r>
          </w:p>
        </w:tc>
        <w:tc>
          <w:tcPr>
            <w:tcW w:w="750" w:type="pct"/>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901" w:type="dxa"/>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360" w:type="dxa"/>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73" w:type="pct"/>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814" w:type="pct"/>
            <w:vMerge w:val="restart"/>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项目区</w:t>
            </w:r>
          </w:p>
        </w:tc>
        <w:tc>
          <w:tcPr>
            <w:tcW w:w="933" w:type="pct"/>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氨</w:t>
            </w:r>
          </w:p>
        </w:tc>
        <w:tc>
          <w:tcPr>
            <w:tcW w:w="1039" w:type="pct"/>
            <w:tcBorders>
              <w:tl2br w:val="nil"/>
              <w:tr2bl w:val="nil"/>
            </w:tcBorders>
            <w:vAlign w:val="center"/>
          </w:tcPr>
          <w:p>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0.10-0.12</w:t>
            </w:r>
          </w:p>
        </w:tc>
        <w:tc>
          <w:tcPr>
            <w:tcW w:w="750" w:type="pct"/>
            <w:tcBorders>
              <w:tl2br w:val="nil"/>
              <w:tr2bl w:val="nil"/>
            </w:tcBorders>
            <w:vAlign w:val="center"/>
          </w:tcPr>
          <w:p>
            <w:pPr>
              <w:kinsoku w:val="0"/>
              <w:overflowPunct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w:t>
            </w:r>
          </w:p>
        </w:tc>
        <w:tc>
          <w:tcPr>
            <w:tcW w:w="474" w:type="pct"/>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713" w:type="pct"/>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 w:type="pct"/>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814" w:type="pct"/>
            <w:vMerge w:val="continue"/>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bCs/>
                <w:color w:val="auto"/>
                <w:sz w:val="21"/>
                <w:szCs w:val="21"/>
                <w:highlight w:val="none"/>
              </w:rPr>
            </w:pPr>
          </w:p>
        </w:tc>
        <w:tc>
          <w:tcPr>
            <w:tcW w:w="933" w:type="pct"/>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硫化氢</w:t>
            </w:r>
          </w:p>
        </w:tc>
        <w:tc>
          <w:tcPr>
            <w:tcW w:w="1039" w:type="pct"/>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0.006-0.008</w:t>
            </w:r>
          </w:p>
        </w:tc>
        <w:tc>
          <w:tcPr>
            <w:tcW w:w="750" w:type="pct"/>
            <w:tcBorders>
              <w:tl2br w:val="nil"/>
              <w:tr2bl w:val="nil"/>
            </w:tcBorders>
            <w:vAlign w:val="center"/>
          </w:tcPr>
          <w:p>
            <w:pPr>
              <w:kinsoku w:val="0"/>
              <w:overflowPunct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0.8</w:t>
            </w:r>
          </w:p>
        </w:tc>
        <w:tc>
          <w:tcPr>
            <w:tcW w:w="474" w:type="pct"/>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713" w:type="pct"/>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 w:type="pct"/>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814" w:type="pct"/>
            <w:vMerge w:val="continue"/>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bCs/>
                <w:color w:val="auto"/>
                <w:sz w:val="21"/>
                <w:szCs w:val="21"/>
                <w:highlight w:val="none"/>
              </w:rPr>
            </w:pPr>
          </w:p>
        </w:tc>
        <w:tc>
          <w:tcPr>
            <w:tcW w:w="933" w:type="pct"/>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臭气浓度</w:t>
            </w:r>
          </w:p>
        </w:tc>
        <w:tc>
          <w:tcPr>
            <w:tcW w:w="1039" w:type="pct"/>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11-12</w:t>
            </w:r>
          </w:p>
        </w:tc>
        <w:tc>
          <w:tcPr>
            <w:tcW w:w="750" w:type="pct"/>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474" w:type="pct"/>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713" w:type="pct"/>
            <w:tcBorders>
              <w:tl2br w:val="nil"/>
              <w:tr2bl w:val="nil"/>
            </w:tcBorders>
            <w:vAlign w:val="center"/>
          </w:tcPr>
          <w:p>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bl>
    <w:p>
      <w:pPr>
        <w:ind w:firstLine="480"/>
        <w:jc w:val="lef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根据检测结果可知，项目区域内，氨、硫化氢监测浓度满足《</w:t>
      </w:r>
      <w:r>
        <w:rPr>
          <w:rFonts w:hint="default" w:ascii="Times New Roman" w:hAnsi="Times New Roman" w:cs="Times New Roman" w:eastAsiaTheme="minorEastAsia"/>
          <w:color w:val="auto"/>
          <w:highlight w:val="none"/>
          <w:lang w:eastAsia="zh-CN"/>
        </w:rPr>
        <w:t>环境影响评价技术导则大气环境</w:t>
      </w:r>
      <w:r>
        <w:rPr>
          <w:rFonts w:hint="default" w:ascii="Times New Roman" w:hAnsi="Times New Roman" w:cs="Times New Roman" w:eastAsiaTheme="minorEastAsia"/>
          <w:color w:val="auto"/>
          <w:highlight w:val="none"/>
        </w:rPr>
        <w:t>》（HJ2.2-2018）附录D表D.1中浓度限值，项目区域环境空气质量良好。</w:t>
      </w:r>
    </w:p>
    <w:p>
      <w:pPr>
        <w:pStyle w:val="5"/>
        <w:rPr>
          <w:rFonts w:hint="default" w:ascii="Times New Roman" w:hAnsi="Times New Roman" w:cs="Times New Roman"/>
          <w:color w:val="auto"/>
          <w:highlight w:val="none"/>
        </w:rPr>
      </w:pPr>
      <w:bookmarkStart w:id="122" w:name="_Toc29454"/>
      <w:r>
        <w:rPr>
          <w:rFonts w:hint="default" w:ascii="Times New Roman" w:hAnsi="Times New Roman" w:cs="Times New Roman"/>
          <w:color w:val="auto"/>
          <w:highlight w:val="none"/>
        </w:rPr>
        <w:t>地下水质量现状</w:t>
      </w:r>
      <w:bookmarkEnd w:id="122"/>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监测断面与监测因子</w:t>
      </w:r>
    </w:p>
    <w:p>
      <w:pPr>
        <w:ind w:firstLine="480"/>
        <w:jc w:val="left"/>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为了解项目所在区域地下水环境的现状情况，本次环评委托新疆天蓝蓝环保技术服务有限公司对项目区地下水进行监测，监测时间为2024年4月9日。项目监测点位图见附图4-1。本次地下水</w:t>
      </w:r>
      <w:r>
        <w:rPr>
          <w:rFonts w:hint="eastAsia" w:cs="Times New Roman" w:eastAsiaTheme="minorEastAsia"/>
          <w:color w:val="auto"/>
          <w:highlight w:val="none"/>
          <w:lang w:val="en-US" w:eastAsia="zh-CN"/>
        </w:rPr>
        <w:t>水位</w:t>
      </w:r>
      <w:r>
        <w:rPr>
          <w:rFonts w:hint="default" w:ascii="Times New Roman" w:hAnsi="Times New Roman" w:cs="Times New Roman" w:eastAsiaTheme="minorEastAsia"/>
          <w:color w:val="auto"/>
          <w:highlight w:val="none"/>
        </w:rPr>
        <w:t>分析资料主要来自</w:t>
      </w:r>
      <w:r>
        <w:rPr>
          <w:rFonts w:hint="eastAsia" w:cs="Times New Roman" w:eastAsiaTheme="minorEastAsia"/>
          <w:color w:val="auto"/>
          <w:highlight w:val="none"/>
          <w:lang w:eastAsia="zh-CN"/>
        </w:rPr>
        <w:t>《昌吉市水资源调查评价报告》</w:t>
      </w:r>
      <w:r>
        <w:rPr>
          <w:rFonts w:hint="eastAsia" w:cs="Times New Roman" w:eastAsiaTheme="minorEastAsia"/>
          <w:color w:val="auto"/>
          <w:highlight w:val="none"/>
          <w:lang w:val="en-US" w:eastAsia="zh-CN"/>
        </w:rPr>
        <w:t>中</w:t>
      </w:r>
      <w:r>
        <w:rPr>
          <w:rFonts w:hint="default" w:ascii="Times New Roman" w:hAnsi="Times New Roman" w:cs="Times New Roman" w:eastAsiaTheme="minorEastAsia"/>
          <w:color w:val="auto"/>
          <w:highlight w:val="none"/>
        </w:rPr>
        <w:t>昌吉州水利局提供的地下水监测井动态监测资料。</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监测布点</w:t>
      </w:r>
    </w:p>
    <w:p>
      <w:pPr>
        <w:rPr>
          <w:rFonts w:hint="default" w:ascii="Times New Roman" w:hAnsi="Times New Roman" w:cs="Times New Roman"/>
          <w:color w:val="auto"/>
          <w:highlight w:val="none"/>
        </w:rPr>
      </w:pPr>
      <w:r>
        <w:rPr>
          <w:rFonts w:hint="eastAsia" w:cs="Times New Roman"/>
          <w:color w:val="auto"/>
          <w:highlight w:val="none"/>
          <w:lang w:val="en-US" w:eastAsia="zh-CN"/>
        </w:rPr>
        <w:t>本项目5个地下水监测点均为在5km范围内，地下水为</w:t>
      </w:r>
      <w:r>
        <w:rPr>
          <w:rFonts w:hint="default" w:ascii="Times New Roman" w:hAnsi="Times New Roman" w:cs="Times New Roman"/>
          <w:color w:val="auto"/>
          <w:highlight w:val="none"/>
        </w:rPr>
        <w:t>单一结构巨厚的卵砾石、砂砾石潜水含水层，埋深约100~</w:t>
      </w:r>
      <w:r>
        <w:rPr>
          <w:rFonts w:hint="eastAsia" w:cs="Times New Roman"/>
          <w:color w:val="auto"/>
          <w:highlight w:val="none"/>
          <w:lang w:val="en-US" w:eastAsia="zh-CN"/>
        </w:rPr>
        <w:t>400</w:t>
      </w:r>
      <w:r>
        <w:rPr>
          <w:rFonts w:hint="default" w:ascii="Times New Roman" w:hAnsi="Times New Roman" w:cs="Times New Roman"/>
          <w:color w:val="auto"/>
          <w:highlight w:val="none"/>
        </w:rPr>
        <w:t>米左右</w:t>
      </w:r>
      <w:r>
        <w:rPr>
          <w:rFonts w:hint="eastAsia" w:cs="Times New Roman"/>
          <w:color w:val="auto"/>
          <w:highlight w:val="none"/>
          <w:lang w:eastAsia="zh-CN"/>
        </w:rPr>
        <w:t>，</w:t>
      </w:r>
      <w:r>
        <w:rPr>
          <w:rFonts w:hint="eastAsia" w:cs="Times New Roman"/>
          <w:color w:val="auto"/>
          <w:highlight w:val="none"/>
          <w:lang w:val="en-US" w:eastAsia="zh-CN"/>
        </w:rPr>
        <w:t>故</w:t>
      </w:r>
      <w:r>
        <w:rPr>
          <w:rFonts w:hint="eastAsia" w:cs="Times New Roman"/>
          <w:color w:val="auto"/>
          <w:highlight w:val="none"/>
          <w:lang w:eastAsia="zh-CN"/>
        </w:rPr>
        <w:t>地下水监测井</w:t>
      </w:r>
      <w:r>
        <w:rPr>
          <w:rFonts w:hint="eastAsia" w:cs="Times New Roman"/>
          <w:color w:val="auto"/>
          <w:highlight w:val="none"/>
          <w:lang w:val="en-US" w:eastAsia="zh-CN"/>
        </w:rPr>
        <w:t>布点</w:t>
      </w:r>
      <w:r>
        <w:rPr>
          <w:rFonts w:hint="eastAsia" w:cs="Times New Roman"/>
          <w:color w:val="auto"/>
          <w:highlight w:val="none"/>
          <w:lang w:eastAsia="zh-CN"/>
        </w:rPr>
        <w:t>合理。</w:t>
      </w:r>
    </w:p>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rPr>
        <w:t>表4.3-</w:t>
      </w:r>
      <w:r>
        <w:rPr>
          <w:rFonts w:hint="eastAsia" w:cs="Times New Roman"/>
          <w:color w:val="auto"/>
          <w:highlight w:val="none"/>
          <w:lang w:val="en-US" w:eastAsia="zh-CN"/>
        </w:rPr>
        <w:t>5</w:t>
      </w:r>
      <w:r>
        <w:rPr>
          <w:rFonts w:hint="default" w:ascii="Times New Roman" w:hAnsi="Times New Roman" w:cs="Times New Roman"/>
          <w:color w:val="auto"/>
          <w:highlight w:val="none"/>
        </w:rPr>
        <w:t>地下水现状监测点位与监测因子</w:t>
      </w:r>
    </w:p>
    <w:tbl>
      <w:tblPr>
        <w:tblStyle w:val="33"/>
        <w:tblW w:w="513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05"/>
        <w:gridCol w:w="1545"/>
        <w:gridCol w:w="1514"/>
        <w:gridCol w:w="1833"/>
        <w:gridCol w:w="1833"/>
        <w:gridCol w:w="18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2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采样点位</w:t>
            </w:r>
          </w:p>
        </w:tc>
        <w:tc>
          <w:tcPr>
            <w:tcW w:w="806"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上游1#榆树沟镇牧业村水源井</w:t>
            </w:r>
          </w:p>
        </w:tc>
        <w:tc>
          <w:tcPr>
            <w:tcW w:w="790"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项目西侧</w:t>
            </w:r>
          </w:p>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第七种鸡场</w:t>
            </w:r>
          </w:p>
        </w:tc>
        <w:tc>
          <w:tcPr>
            <w:tcW w:w="957"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下游1#（1#水源地）</w:t>
            </w:r>
          </w:p>
        </w:tc>
        <w:tc>
          <w:tcPr>
            <w:tcW w:w="957"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下游2#（2#水源地）</w:t>
            </w:r>
          </w:p>
        </w:tc>
        <w:tc>
          <w:tcPr>
            <w:tcW w:w="963"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下游3#（3#水源地）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24" w:type="pct"/>
            <w:vMerge w:val="restar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坐标信息</w:t>
            </w:r>
          </w:p>
        </w:tc>
        <w:tc>
          <w:tcPr>
            <w:tcW w:w="806"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790"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957"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957"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963"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24"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806"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790"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957"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957"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963"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2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rPr>
              <w:t>采样深度m</w:t>
            </w:r>
          </w:p>
        </w:tc>
        <w:tc>
          <w:tcPr>
            <w:tcW w:w="806"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79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957"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957"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96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2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井深m</w:t>
            </w:r>
          </w:p>
        </w:tc>
        <w:tc>
          <w:tcPr>
            <w:tcW w:w="806"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790"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957"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957"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963"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2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color w:val="auto"/>
                <w:sz w:val="21"/>
                <w:szCs w:val="21"/>
                <w:highlight w:val="none"/>
              </w:rPr>
              <w:t>水位m</w:t>
            </w:r>
          </w:p>
        </w:tc>
        <w:tc>
          <w:tcPr>
            <w:tcW w:w="806"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790"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957"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957"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96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2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水温</w:t>
            </w:r>
            <w:r>
              <w:rPr>
                <w:rFonts w:hint="default" w:ascii="Times New Roman" w:hAnsi="Times New Roman" w:cs="Times New Roman"/>
                <w:color w:val="auto"/>
                <w:sz w:val="21"/>
                <w:szCs w:val="21"/>
                <w:highlight w:val="none"/>
              </w:rPr>
              <w:t>℃</w:t>
            </w:r>
          </w:p>
        </w:tc>
        <w:tc>
          <w:tcPr>
            <w:tcW w:w="806"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790"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957"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957"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963"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24" w:type="pct"/>
            <w:tcBorders>
              <w:tl2br w:val="nil"/>
              <w:tr2bl w:val="nil"/>
            </w:tcBorders>
            <w:vAlign w:val="center"/>
          </w:tcPr>
          <w:p>
            <w:pPr>
              <w:spacing w:line="240" w:lineRule="auto"/>
              <w:ind w:firstLine="0" w:firstLineChars="0"/>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距离</w:t>
            </w:r>
          </w:p>
        </w:tc>
        <w:tc>
          <w:tcPr>
            <w:tcW w:w="806"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p>
        </w:tc>
        <w:tc>
          <w:tcPr>
            <w:tcW w:w="790"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p>
        </w:tc>
        <w:tc>
          <w:tcPr>
            <w:tcW w:w="957"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p>
        </w:tc>
        <w:tc>
          <w:tcPr>
            <w:tcW w:w="957"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p>
        </w:tc>
        <w:tc>
          <w:tcPr>
            <w:tcW w:w="963"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24" w:type="pct"/>
            <w:tcBorders>
              <w:tl2br w:val="nil"/>
              <w:tr2bl w:val="nil"/>
            </w:tcBorders>
            <w:vAlign w:val="center"/>
          </w:tcPr>
          <w:p>
            <w:pPr>
              <w:spacing w:line="240" w:lineRule="auto"/>
              <w:ind w:firstLine="0" w:firstLineChars="0"/>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地下水类型</w:t>
            </w:r>
          </w:p>
        </w:tc>
        <w:tc>
          <w:tcPr>
            <w:tcW w:w="806" w:type="pct"/>
            <w:tcBorders>
              <w:tl2br w:val="nil"/>
              <w:tr2bl w:val="nil"/>
            </w:tcBorders>
            <w:vAlign w:val="center"/>
          </w:tcPr>
          <w:p>
            <w:pPr>
              <w:spacing w:line="240" w:lineRule="auto"/>
              <w:ind w:firstLine="0" w:firstLineChars="0"/>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潜水层、含水层</w:t>
            </w:r>
          </w:p>
        </w:tc>
        <w:tc>
          <w:tcPr>
            <w:tcW w:w="790" w:type="pct"/>
            <w:tcBorders>
              <w:tl2br w:val="nil"/>
              <w:tr2bl w:val="nil"/>
            </w:tcBorders>
            <w:vAlign w:val="center"/>
          </w:tcPr>
          <w:p>
            <w:pPr>
              <w:spacing w:line="240" w:lineRule="auto"/>
              <w:ind w:firstLine="0" w:firstLineChars="0"/>
              <w:jc w:val="center"/>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潜水层、含水层</w:t>
            </w:r>
          </w:p>
        </w:tc>
        <w:tc>
          <w:tcPr>
            <w:tcW w:w="957" w:type="pct"/>
            <w:tcBorders>
              <w:tl2br w:val="nil"/>
              <w:tr2bl w:val="nil"/>
            </w:tcBorders>
            <w:vAlign w:val="center"/>
          </w:tcPr>
          <w:p>
            <w:pPr>
              <w:spacing w:line="240" w:lineRule="auto"/>
              <w:ind w:firstLine="0" w:firstLineChars="0"/>
              <w:jc w:val="center"/>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潜水层、含水层</w:t>
            </w:r>
          </w:p>
        </w:tc>
        <w:tc>
          <w:tcPr>
            <w:tcW w:w="957" w:type="pct"/>
            <w:tcBorders>
              <w:tl2br w:val="nil"/>
              <w:tr2bl w:val="nil"/>
            </w:tcBorders>
            <w:vAlign w:val="center"/>
          </w:tcPr>
          <w:p>
            <w:pPr>
              <w:spacing w:line="240" w:lineRule="auto"/>
              <w:ind w:firstLine="0" w:firstLineChars="0"/>
              <w:jc w:val="center"/>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潜水层、含水层</w:t>
            </w:r>
          </w:p>
        </w:tc>
        <w:tc>
          <w:tcPr>
            <w:tcW w:w="963" w:type="pct"/>
            <w:tcBorders>
              <w:tl2br w:val="nil"/>
              <w:tr2bl w:val="nil"/>
            </w:tcBorders>
            <w:vAlign w:val="center"/>
          </w:tcPr>
          <w:p>
            <w:pPr>
              <w:spacing w:line="240" w:lineRule="auto"/>
              <w:ind w:firstLine="0" w:firstLineChars="0"/>
              <w:jc w:val="center"/>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潜水层、含水层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2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lang w:bidi="ar"/>
              </w:rPr>
              <w:t>监测因子</w:t>
            </w:r>
          </w:p>
        </w:tc>
        <w:tc>
          <w:tcPr>
            <w:tcW w:w="4475" w:type="pct"/>
            <w:gridSpan w:val="5"/>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lang w:bidi="ar"/>
              </w:rPr>
              <w:t>水位、pH、总硬度、耗氧量、氨氮、硝酸盐、亚硝酸盐、铁、锰、铜、锌、汞、镉、铬（六价）、砷、铅、Ca</w:t>
            </w:r>
            <w:r>
              <w:rPr>
                <w:rFonts w:hint="default" w:ascii="Times New Roman" w:hAnsi="Times New Roman" w:cs="Times New Roman"/>
                <w:color w:val="auto"/>
                <w:sz w:val="21"/>
                <w:szCs w:val="21"/>
                <w:highlight w:val="none"/>
                <w:vertAlign w:val="superscript"/>
                <w:lang w:bidi="ar"/>
              </w:rPr>
              <w:t>2+</w:t>
            </w:r>
            <w:r>
              <w:rPr>
                <w:rFonts w:hint="default" w:ascii="Times New Roman" w:hAnsi="Times New Roman" w:cs="Times New Roman"/>
                <w:color w:val="auto"/>
                <w:sz w:val="21"/>
                <w:szCs w:val="21"/>
                <w:highlight w:val="none"/>
                <w:lang w:bidi="ar"/>
              </w:rPr>
              <w:t>、Mg</w:t>
            </w:r>
            <w:r>
              <w:rPr>
                <w:rFonts w:hint="default" w:ascii="Times New Roman" w:hAnsi="Times New Roman" w:cs="Times New Roman"/>
                <w:color w:val="auto"/>
                <w:sz w:val="21"/>
                <w:szCs w:val="21"/>
                <w:highlight w:val="none"/>
                <w:vertAlign w:val="superscript"/>
                <w:lang w:bidi="ar"/>
              </w:rPr>
              <w:t>2+</w:t>
            </w:r>
            <w:r>
              <w:rPr>
                <w:rFonts w:hint="default" w:ascii="Times New Roman" w:hAnsi="Times New Roman" w:cs="Times New Roman"/>
                <w:color w:val="auto"/>
                <w:sz w:val="21"/>
                <w:szCs w:val="21"/>
                <w:highlight w:val="none"/>
                <w:lang w:bidi="ar"/>
              </w:rPr>
              <w:t>、K</w:t>
            </w:r>
            <w:r>
              <w:rPr>
                <w:rFonts w:hint="default" w:ascii="Times New Roman" w:hAnsi="Times New Roman" w:cs="Times New Roman"/>
                <w:color w:val="auto"/>
                <w:sz w:val="21"/>
                <w:szCs w:val="21"/>
                <w:highlight w:val="none"/>
                <w:vertAlign w:val="superscript"/>
                <w:lang w:bidi="ar"/>
              </w:rPr>
              <w:t>+</w:t>
            </w:r>
            <w:r>
              <w:rPr>
                <w:rFonts w:hint="default" w:ascii="Times New Roman" w:hAnsi="Times New Roman" w:cs="Times New Roman"/>
                <w:color w:val="auto"/>
                <w:sz w:val="21"/>
                <w:szCs w:val="21"/>
                <w:highlight w:val="none"/>
                <w:lang w:bidi="ar"/>
              </w:rPr>
              <w:t>、Na</w:t>
            </w:r>
            <w:r>
              <w:rPr>
                <w:rFonts w:hint="default" w:ascii="Times New Roman" w:hAnsi="Times New Roman" w:cs="Times New Roman"/>
                <w:color w:val="auto"/>
                <w:sz w:val="21"/>
                <w:szCs w:val="21"/>
                <w:highlight w:val="none"/>
                <w:vertAlign w:val="superscript"/>
                <w:lang w:bidi="ar"/>
              </w:rPr>
              <w:t>+</w:t>
            </w:r>
            <w:r>
              <w:rPr>
                <w:rFonts w:hint="default" w:ascii="Times New Roman" w:hAnsi="Times New Roman" w:cs="Times New Roman"/>
                <w:color w:val="auto"/>
                <w:sz w:val="21"/>
                <w:szCs w:val="21"/>
                <w:highlight w:val="none"/>
                <w:lang w:bidi="ar"/>
              </w:rPr>
              <w:t>、CO</w:t>
            </w:r>
            <w:r>
              <w:rPr>
                <w:rFonts w:hint="default" w:ascii="Times New Roman" w:hAnsi="Times New Roman" w:cs="Times New Roman"/>
                <w:color w:val="auto"/>
                <w:sz w:val="21"/>
                <w:szCs w:val="21"/>
                <w:highlight w:val="none"/>
                <w:vertAlign w:val="subscript"/>
                <w:lang w:bidi="ar"/>
              </w:rPr>
              <w:t>3</w:t>
            </w:r>
            <w:r>
              <w:rPr>
                <w:rFonts w:hint="default" w:ascii="Times New Roman" w:hAnsi="Times New Roman" w:cs="Times New Roman"/>
                <w:color w:val="auto"/>
                <w:sz w:val="21"/>
                <w:szCs w:val="21"/>
                <w:highlight w:val="none"/>
                <w:vertAlign w:val="superscript"/>
                <w:lang w:bidi="ar"/>
              </w:rPr>
              <w:t>2-</w:t>
            </w:r>
            <w:r>
              <w:rPr>
                <w:rFonts w:hint="default" w:ascii="Times New Roman" w:hAnsi="Times New Roman" w:cs="Times New Roman"/>
                <w:color w:val="auto"/>
                <w:sz w:val="21"/>
                <w:szCs w:val="21"/>
                <w:highlight w:val="none"/>
                <w:lang w:bidi="ar"/>
              </w:rPr>
              <w:t>、HCO</w:t>
            </w:r>
            <w:r>
              <w:rPr>
                <w:rFonts w:hint="default" w:ascii="Times New Roman" w:hAnsi="Times New Roman" w:cs="Times New Roman"/>
                <w:color w:val="auto"/>
                <w:sz w:val="21"/>
                <w:szCs w:val="21"/>
                <w:highlight w:val="none"/>
                <w:vertAlign w:val="superscript"/>
                <w:lang w:bidi="ar"/>
              </w:rPr>
              <w:t>3-</w:t>
            </w:r>
            <w:r>
              <w:rPr>
                <w:rFonts w:hint="default" w:ascii="Times New Roman" w:hAnsi="Times New Roman" w:cs="Times New Roman"/>
                <w:color w:val="auto"/>
                <w:sz w:val="21"/>
                <w:szCs w:val="21"/>
                <w:highlight w:val="none"/>
                <w:lang w:bidi="ar"/>
              </w:rPr>
              <w:t>、氯化物、硫酸盐、氟化物、挥发性酚类、溶解性总固体、总大肠菌群</w:t>
            </w:r>
          </w:p>
        </w:tc>
      </w:tr>
    </w:tbl>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评价方法与标准</w:t>
      </w:r>
    </w:p>
    <w:p>
      <w:pPr>
        <w:widowControl/>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采用《地下水质量标准》（GB/T14848-2017）中的Ⅲ类标准进行评价。</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地下水水质现状评价采用标准指数法，以地下水实测值和评价标准相比，计算各项污染物的污染指数。</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①对于评价标准为定值的水质因子，其标准指数计算公式：</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Pi=Ci/Coi×100%</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式中：Pi——第i个水质因子的标准指数，无量纲；</w:t>
      </w:r>
    </w:p>
    <w:p>
      <w:pPr>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Ci——第i个水质因子的监测浓度，毫克/升；</w:t>
      </w:r>
    </w:p>
    <w:p>
      <w:pPr>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Csi——第i个水质因子的标准浓度，毫克/升。</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②对于评价标准为区间值的水质因子（如pH值），其标准指数计算公式：</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pHi≤7.0时；P</w:t>
      </w:r>
      <w:r>
        <w:rPr>
          <w:rFonts w:hint="default" w:ascii="Times New Roman" w:hAnsi="Times New Roman" w:cs="Times New Roman"/>
          <w:color w:val="auto"/>
          <w:highlight w:val="none"/>
          <w:vertAlign w:val="subscript"/>
        </w:rPr>
        <w:t>pH</w:t>
      </w:r>
      <w:r>
        <w:rPr>
          <w:rFonts w:hint="default" w:ascii="Times New Roman" w:hAnsi="Times New Roman" w:cs="Times New Roman"/>
          <w:color w:val="auto"/>
          <w:highlight w:val="none"/>
        </w:rPr>
        <w:t>=（7.0-pHi）/（7.0-pH</w:t>
      </w:r>
      <w:r>
        <w:rPr>
          <w:rFonts w:hint="default" w:ascii="Times New Roman" w:hAnsi="Times New Roman" w:cs="Times New Roman"/>
          <w:color w:val="auto"/>
          <w:highlight w:val="none"/>
          <w:vertAlign w:val="subscript"/>
        </w:rPr>
        <w:t>sd</w:t>
      </w:r>
      <w:r>
        <w:rPr>
          <w:rFonts w:hint="default" w:ascii="Times New Roman" w:hAnsi="Times New Roman" w:cs="Times New Roman"/>
          <w:color w:val="auto"/>
          <w:highlight w:val="none"/>
        </w:rPr>
        <w:t>）</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pHi&gt;7.0时；P</w:t>
      </w:r>
      <w:r>
        <w:rPr>
          <w:rFonts w:hint="default" w:ascii="Times New Roman" w:hAnsi="Times New Roman" w:cs="Times New Roman"/>
          <w:color w:val="auto"/>
          <w:highlight w:val="none"/>
          <w:vertAlign w:val="subscript"/>
        </w:rPr>
        <w:t>pH</w:t>
      </w:r>
      <w:r>
        <w:rPr>
          <w:rFonts w:hint="default" w:ascii="Times New Roman" w:hAnsi="Times New Roman" w:cs="Times New Roman"/>
          <w:color w:val="auto"/>
          <w:highlight w:val="none"/>
        </w:rPr>
        <w:t>=（pHi-7.0）/（pH</w:t>
      </w:r>
      <w:r>
        <w:rPr>
          <w:rFonts w:hint="default" w:ascii="Times New Roman" w:hAnsi="Times New Roman" w:cs="Times New Roman"/>
          <w:color w:val="auto"/>
          <w:highlight w:val="none"/>
          <w:vertAlign w:val="subscript"/>
        </w:rPr>
        <w:t>su</w:t>
      </w:r>
      <w:r>
        <w:rPr>
          <w:rFonts w:hint="default" w:ascii="Times New Roman" w:hAnsi="Times New Roman" w:cs="Times New Roman"/>
          <w:color w:val="auto"/>
          <w:highlight w:val="none"/>
        </w:rPr>
        <w:t>-7.0）</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式中：P</w:t>
      </w:r>
      <w:r>
        <w:rPr>
          <w:rFonts w:hint="default" w:ascii="Times New Roman" w:hAnsi="Times New Roman" w:cs="Times New Roman"/>
          <w:color w:val="auto"/>
          <w:highlight w:val="none"/>
          <w:vertAlign w:val="subscript"/>
        </w:rPr>
        <w:t>pH</w:t>
      </w:r>
      <w:r>
        <w:rPr>
          <w:rFonts w:hint="default" w:ascii="Times New Roman" w:hAnsi="Times New Roman" w:cs="Times New Roman"/>
          <w:color w:val="auto"/>
          <w:highlight w:val="none"/>
        </w:rPr>
        <w:t>—i监测点的pH评价指数；</w:t>
      </w:r>
    </w:p>
    <w:p>
      <w:pPr>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pHi—i监测点的水样pH监测值；</w:t>
      </w:r>
    </w:p>
    <w:p>
      <w:pPr>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pH</w:t>
      </w:r>
      <w:r>
        <w:rPr>
          <w:rFonts w:hint="default" w:ascii="Times New Roman" w:hAnsi="Times New Roman" w:cs="Times New Roman"/>
          <w:color w:val="auto"/>
          <w:highlight w:val="none"/>
          <w:vertAlign w:val="subscript"/>
        </w:rPr>
        <w:t>sd</w:t>
      </w:r>
      <w:r>
        <w:rPr>
          <w:rFonts w:hint="default" w:ascii="Times New Roman" w:hAnsi="Times New Roman" w:cs="Times New Roman"/>
          <w:color w:val="auto"/>
          <w:highlight w:val="none"/>
        </w:rPr>
        <w:t>—评价标准值的下限值；</w:t>
      </w:r>
    </w:p>
    <w:p>
      <w:pPr>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pH</w:t>
      </w:r>
      <w:r>
        <w:rPr>
          <w:rFonts w:hint="default" w:ascii="Times New Roman" w:hAnsi="Times New Roman" w:cs="Times New Roman"/>
          <w:color w:val="auto"/>
          <w:highlight w:val="none"/>
          <w:vertAlign w:val="subscript"/>
        </w:rPr>
        <w:t>su</w:t>
      </w:r>
      <w:r>
        <w:rPr>
          <w:rFonts w:hint="default" w:ascii="Times New Roman" w:hAnsi="Times New Roman" w:cs="Times New Roman"/>
          <w:color w:val="auto"/>
          <w:highlight w:val="none"/>
        </w:rPr>
        <w:t>—评价标准值的上限值。</w:t>
      </w:r>
    </w:p>
    <w:p>
      <w:pPr>
        <w:widowControl/>
        <w:ind w:firstLine="480"/>
        <w:jc w:val="left"/>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评价时，水质参数的标准指数＞1，表明该水质参数已超标，水质参数的标准指数越大，表明该水质参数超标越严重。</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监测结果与评价</w:t>
      </w:r>
    </w:p>
    <w:p>
      <w:pPr>
        <w:ind w:firstLine="480"/>
        <w:rPr>
          <w:rFonts w:hint="default" w:ascii="Times New Roman" w:hAnsi="Times New Roman" w:cs="Times New Roman"/>
          <w:color w:val="auto"/>
          <w:highlight w:val="none"/>
        </w:rPr>
        <w:sectPr>
          <w:pgSz w:w="11906" w:h="16838"/>
          <w:pgMar w:top="1440" w:right="1304" w:bottom="1440" w:left="1304" w:header="851" w:footer="992" w:gutter="0"/>
          <w:pgBorders>
            <w:top w:val="none" w:sz="0" w:space="0"/>
            <w:left w:val="none" w:sz="0" w:space="0"/>
            <w:bottom w:val="none" w:sz="0" w:space="0"/>
            <w:right w:val="none" w:sz="0" w:space="0"/>
          </w:pgBorders>
          <w:pgNumType w:fmt="numberInDash"/>
          <w:cols w:space="0" w:num="1"/>
          <w:docGrid w:type="lines" w:linePitch="312" w:charSpace="0"/>
        </w:sectPr>
      </w:pPr>
    </w:p>
    <w:p>
      <w:pPr>
        <w:pStyle w:val="2"/>
        <w:numPr>
          <w:ilvl w:val="3"/>
          <w:numId w:val="0"/>
        </w:numPr>
        <w:ind w:leftChars="0"/>
        <w:jc w:val="center"/>
        <w:rPr>
          <w:rFonts w:hint="default" w:ascii="Times New Roman" w:hAnsi="Times New Roman" w:eastAsia="宋体" w:cs="Times New Roman"/>
          <w:color w:val="0000FF"/>
          <w:highlight w:val="none"/>
          <w:lang w:val="en-US" w:eastAsia="zh-CN"/>
        </w:rPr>
      </w:pPr>
      <w:r>
        <w:rPr>
          <w:rFonts w:hint="default" w:ascii="Times New Roman" w:hAnsi="Times New Roman" w:cs="Times New Roman"/>
          <w:color w:val="0000FF"/>
          <w:highlight w:val="none"/>
        </w:rPr>
        <w:t>表4.3</w:t>
      </w:r>
      <w:r>
        <w:rPr>
          <w:rFonts w:hint="eastAsia" w:cs="Times New Roman"/>
          <w:color w:val="0000FF"/>
          <w:highlight w:val="none"/>
          <w:lang w:val="en-US" w:eastAsia="zh-CN"/>
        </w:rPr>
        <w:t>-6</w:t>
      </w:r>
      <w:r>
        <w:rPr>
          <w:rFonts w:hint="default" w:ascii="Times New Roman" w:hAnsi="Times New Roman" w:cs="Times New Roman"/>
          <w:color w:val="0000FF"/>
          <w:highlight w:val="none"/>
        </w:rPr>
        <w:t>地下水</w:t>
      </w:r>
      <w:r>
        <w:rPr>
          <w:rFonts w:hint="eastAsia" w:cs="Times New Roman"/>
          <w:color w:val="0000FF"/>
          <w:highlight w:val="none"/>
          <w:lang w:val="en-US" w:eastAsia="zh-CN"/>
        </w:rPr>
        <w:t>水位监测点位及水位监测</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52"/>
        <w:gridCol w:w="1590"/>
        <w:gridCol w:w="1565"/>
        <w:gridCol w:w="1590"/>
        <w:gridCol w:w="1590"/>
        <w:gridCol w:w="1316"/>
        <w:gridCol w:w="1108"/>
        <w:gridCol w:w="941"/>
        <w:gridCol w:w="980"/>
        <w:gridCol w:w="1422"/>
        <w:gridCol w:w="14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62"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FF"/>
                <w:sz w:val="21"/>
                <w:szCs w:val="21"/>
                <w:highlight w:val="none"/>
              </w:rPr>
            </w:pPr>
            <w:r>
              <w:rPr>
                <w:rFonts w:hint="default" w:ascii="Times New Roman" w:hAnsi="Times New Roman" w:cs="Times New Roman" w:eastAsiaTheme="minorEastAsia"/>
                <w:color w:val="0000FF"/>
                <w:sz w:val="21"/>
                <w:szCs w:val="21"/>
                <w:highlight w:val="none"/>
              </w:rPr>
              <w:t>采样点位</w:t>
            </w:r>
          </w:p>
        </w:tc>
        <w:tc>
          <w:tcPr>
            <w:tcW w:w="56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FF"/>
                <w:sz w:val="21"/>
                <w:szCs w:val="21"/>
                <w:highlight w:val="none"/>
              </w:rPr>
            </w:pPr>
            <w:r>
              <w:rPr>
                <w:rFonts w:hint="default" w:ascii="Times New Roman" w:hAnsi="Times New Roman" w:cs="Times New Roman" w:eastAsiaTheme="minorEastAsia"/>
                <w:color w:val="0000FF"/>
                <w:sz w:val="21"/>
                <w:szCs w:val="21"/>
                <w:highlight w:val="none"/>
              </w:rPr>
              <w:t>上游1#榆树沟镇牧业村水源井</w:t>
            </w:r>
          </w:p>
        </w:tc>
        <w:tc>
          <w:tcPr>
            <w:tcW w:w="559"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FF"/>
                <w:sz w:val="21"/>
                <w:szCs w:val="21"/>
                <w:highlight w:val="none"/>
              </w:rPr>
            </w:pPr>
            <w:r>
              <w:rPr>
                <w:rFonts w:hint="default" w:ascii="Times New Roman" w:hAnsi="Times New Roman" w:cs="Times New Roman" w:eastAsiaTheme="minorEastAsia"/>
                <w:color w:val="0000FF"/>
                <w:sz w:val="21"/>
                <w:szCs w:val="21"/>
                <w:highlight w:val="none"/>
              </w:rPr>
              <w:t>项目西侧</w:t>
            </w:r>
          </w:p>
          <w:p>
            <w:pPr>
              <w:spacing w:line="240" w:lineRule="auto"/>
              <w:ind w:firstLine="0" w:firstLineChars="0"/>
              <w:jc w:val="center"/>
              <w:rPr>
                <w:rFonts w:hint="default" w:ascii="Times New Roman" w:hAnsi="Times New Roman" w:cs="Times New Roman" w:eastAsiaTheme="minorEastAsia"/>
                <w:color w:val="0000FF"/>
                <w:sz w:val="21"/>
                <w:szCs w:val="21"/>
                <w:highlight w:val="none"/>
              </w:rPr>
            </w:pPr>
            <w:r>
              <w:rPr>
                <w:rFonts w:hint="default" w:ascii="Times New Roman" w:hAnsi="Times New Roman" w:cs="Times New Roman" w:eastAsiaTheme="minorEastAsia"/>
                <w:color w:val="0000FF"/>
                <w:sz w:val="21"/>
                <w:szCs w:val="21"/>
                <w:highlight w:val="none"/>
              </w:rPr>
              <w:t>第七种鸡场</w:t>
            </w:r>
          </w:p>
        </w:tc>
        <w:tc>
          <w:tcPr>
            <w:tcW w:w="56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FF"/>
                <w:sz w:val="21"/>
                <w:szCs w:val="21"/>
                <w:highlight w:val="none"/>
              </w:rPr>
            </w:pPr>
            <w:r>
              <w:rPr>
                <w:rFonts w:hint="default" w:ascii="Times New Roman" w:hAnsi="Times New Roman" w:cs="Times New Roman" w:eastAsiaTheme="minorEastAsia"/>
                <w:color w:val="0000FF"/>
                <w:sz w:val="21"/>
                <w:szCs w:val="21"/>
                <w:highlight w:val="none"/>
              </w:rPr>
              <w:t>下游1#（1#水源地）</w:t>
            </w:r>
          </w:p>
        </w:tc>
        <w:tc>
          <w:tcPr>
            <w:tcW w:w="56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FF"/>
                <w:sz w:val="21"/>
                <w:szCs w:val="21"/>
                <w:highlight w:val="none"/>
              </w:rPr>
            </w:pPr>
            <w:r>
              <w:rPr>
                <w:rFonts w:hint="default" w:ascii="Times New Roman" w:hAnsi="Times New Roman" w:cs="Times New Roman" w:eastAsiaTheme="minorEastAsia"/>
                <w:color w:val="0000FF"/>
                <w:sz w:val="21"/>
                <w:szCs w:val="21"/>
                <w:highlight w:val="none"/>
              </w:rPr>
              <w:t>下游2#（2#水源地）</w:t>
            </w:r>
          </w:p>
        </w:tc>
        <w:tc>
          <w:tcPr>
            <w:tcW w:w="470"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FF"/>
                <w:sz w:val="21"/>
                <w:szCs w:val="21"/>
                <w:highlight w:val="none"/>
              </w:rPr>
            </w:pPr>
            <w:r>
              <w:rPr>
                <w:rFonts w:hint="default" w:ascii="Times New Roman" w:hAnsi="Times New Roman" w:cs="Times New Roman" w:eastAsiaTheme="minorEastAsia"/>
                <w:color w:val="0000FF"/>
                <w:sz w:val="21"/>
                <w:szCs w:val="21"/>
                <w:highlight w:val="none"/>
              </w:rPr>
              <w:t>下游3#（3#水源地）</w:t>
            </w:r>
          </w:p>
        </w:tc>
        <w:tc>
          <w:tcPr>
            <w:tcW w:w="396"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FF"/>
                <w:kern w:val="0"/>
                <w:sz w:val="21"/>
                <w:szCs w:val="21"/>
                <w:highlight w:val="none"/>
              </w:rPr>
            </w:pPr>
            <w:r>
              <w:rPr>
                <w:rFonts w:hint="default" w:ascii="Times New Roman" w:hAnsi="Times New Roman" w:cs="Times New Roman"/>
                <w:color w:val="0000FF"/>
                <w:kern w:val="0"/>
                <w:sz w:val="21"/>
                <w:szCs w:val="21"/>
                <w:highlight w:val="none"/>
              </w:rPr>
              <w:t>庙尔沟乡阿克旗村</w:t>
            </w:r>
          </w:p>
        </w:tc>
        <w:tc>
          <w:tcPr>
            <w:tcW w:w="336"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FF"/>
                <w:kern w:val="0"/>
                <w:sz w:val="21"/>
                <w:szCs w:val="21"/>
                <w:highlight w:val="none"/>
              </w:rPr>
            </w:pPr>
            <w:r>
              <w:rPr>
                <w:rFonts w:hint="default" w:ascii="Times New Roman" w:hAnsi="Times New Roman" w:cs="Times New Roman"/>
                <w:color w:val="0000FF"/>
                <w:kern w:val="0"/>
                <w:sz w:val="21"/>
                <w:szCs w:val="21"/>
                <w:highlight w:val="none"/>
              </w:rPr>
              <w:t>榆树沟镇榆树沟村二队</w:t>
            </w:r>
          </w:p>
        </w:tc>
        <w:tc>
          <w:tcPr>
            <w:tcW w:w="350"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FF"/>
                <w:kern w:val="0"/>
                <w:sz w:val="21"/>
                <w:szCs w:val="21"/>
                <w:highlight w:val="none"/>
              </w:rPr>
            </w:pPr>
            <w:r>
              <w:rPr>
                <w:rFonts w:hint="default" w:ascii="Times New Roman" w:hAnsi="Times New Roman" w:cs="Times New Roman"/>
                <w:color w:val="0000FF"/>
                <w:kern w:val="0"/>
                <w:sz w:val="21"/>
                <w:szCs w:val="21"/>
                <w:highlight w:val="none"/>
              </w:rPr>
              <w:t>榆树沟镇曙光三队</w:t>
            </w:r>
          </w:p>
        </w:tc>
        <w:tc>
          <w:tcPr>
            <w:tcW w:w="508"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FF"/>
                <w:kern w:val="0"/>
                <w:sz w:val="21"/>
                <w:szCs w:val="21"/>
                <w:highlight w:val="none"/>
                <w:lang w:val="en-US" w:eastAsia="zh-CN"/>
              </w:rPr>
            </w:pPr>
            <w:r>
              <w:rPr>
                <w:rFonts w:hint="default" w:ascii="Times New Roman" w:hAnsi="Times New Roman" w:cs="Times New Roman"/>
                <w:color w:val="0000FF"/>
                <w:kern w:val="0"/>
                <w:sz w:val="21"/>
                <w:szCs w:val="21"/>
                <w:highlight w:val="none"/>
              </w:rPr>
              <w:t>大西渠新渠村文化活动中心</w:t>
            </w:r>
          </w:p>
        </w:tc>
        <w:tc>
          <w:tcPr>
            <w:tcW w:w="510"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FF"/>
                <w:kern w:val="0"/>
                <w:sz w:val="21"/>
                <w:szCs w:val="21"/>
                <w:highlight w:val="none"/>
                <w:lang w:val="en-US" w:eastAsia="zh-CN"/>
              </w:rPr>
            </w:pPr>
            <w:r>
              <w:rPr>
                <w:rFonts w:hint="default" w:ascii="Times New Roman" w:hAnsi="Times New Roman" w:cs="Times New Roman"/>
                <w:color w:val="0000FF"/>
                <w:kern w:val="0"/>
                <w:sz w:val="21"/>
                <w:szCs w:val="21"/>
                <w:highlight w:val="none"/>
              </w:rPr>
              <w:t>二六工镇齐心四队″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62" w:type="pct"/>
            <w:vMerge w:val="restar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FF"/>
                <w:sz w:val="21"/>
                <w:szCs w:val="21"/>
                <w:highlight w:val="none"/>
              </w:rPr>
            </w:pPr>
            <w:r>
              <w:rPr>
                <w:rFonts w:hint="default" w:ascii="Times New Roman" w:hAnsi="Times New Roman" w:cs="Times New Roman" w:eastAsiaTheme="minorEastAsia"/>
                <w:color w:val="0000FF"/>
                <w:sz w:val="21"/>
                <w:szCs w:val="21"/>
                <w:highlight w:val="none"/>
              </w:rPr>
              <w:t>坐标信息</w:t>
            </w:r>
          </w:p>
        </w:tc>
        <w:tc>
          <w:tcPr>
            <w:tcW w:w="56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FF"/>
                <w:sz w:val="21"/>
                <w:szCs w:val="21"/>
                <w:highlight w:val="none"/>
              </w:rPr>
            </w:pPr>
          </w:p>
        </w:tc>
        <w:tc>
          <w:tcPr>
            <w:tcW w:w="559"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FF"/>
                <w:sz w:val="21"/>
                <w:szCs w:val="21"/>
                <w:highlight w:val="none"/>
              </w:rPr>
            </w:pPr>
          </w:p>
        </w:tc>
        <w:tc>
          <w:tcPr>
            <w:tcW w:w="56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FF"/>
                <w:sz w:val="21"/>
                <w:szCs w:val="21"/>
                <w:highlight w:val="none"/>
              </w:rPr>
            </w:pPr>
          </w:p>
        </w:tc>
        <w:tc>
          <w:tcPr>
            <w:tcW w:w="56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FF"/>
                <w:sz w:val="21"/>
                <w:szCs w:val="21"/>
                <w:highlight w:val="none"/>
              </w:rPr>
            </w:pPr>
          </w:p>
        </w:tc>
        <w:tc>
          <w:tcPr>
            <w:tcW w:w="470"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FF"/>
                <w:sz w:val="21"/>
                <w:szCs w:val="21"/>
                <w:highlight w:val="none"/>
              </w:rPr>
            </w:pPr>
          </w:p>
        </w:tc>
        <w:tc>
          <w:tcPr>
            <w:tcW w:w="396"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FF"/>
                <w:kern w:val="0"/>
                <w:sz w:val="21"/>
                <w:szCs w:val="21"/>
                <w:highlight w:val="none"/>
              </w:rPr>
            </w:pPr>
          </w:p>
        </w:tc>
        <w:tc>
          <w:tcPr>
            <w:tcW w:w="336"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FF"/>
                <w:kern w:val="0"/>
                <w:sz w:val="21"/>
                <w:szCs w:val="21"/>
                <w:highlight w:val="none"/>
                <w:lang w:val="en-US" w:eastAsia="zh-CN"/>
              </w:rPr>
            </w:pPr>
          </w:p>
        </w:tc>
        <w:tc>
          <w:tcPr>
            <w:tcW w:w="350"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FF"/>
                <w:kern w:val="0"/>
                <w:sz w:val="21"/>
                <w:szCs w:val="21"/>
                <w:highlight w:val="none"/>
                <w:lang w:val="en-US" w:eastAsia="zh-CN"/>
              </w:rPr>
            </w:pPr>
          </w:p>
        </w:tc>
        <w:tc>
          <w:tcPr>
            <w:tcW w:w="508"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FF"/>
                <w:kern w:val="0"/>
                <w:sz w:val="21"/>
                <w:szCs w:val="21"/>
                <w:highlight w:val="none"/>
                <w:lang w:val="en-US" w:eastAsia="zh-CN"/>
              </w:rPr>
            </w:pPr>
          </w:p>
        </w:tc>
        <w:tc>
          <w:tcPr>
            <w:tcW w:w="510"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FF"/>
                <w:kern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62"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FF"/>
                <w:sz w:val="21"/>
                <w:szCs w:val="21"/>
                <w:highlight w:val="none"/>
              </w:rPr>
            </w:pPr>
          </w:p>
        </w:tc>
        <w:tc>
          <w:tcPr>
            <w:tcW w:w="56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FF"/>
                <w:sz w:val="21"/>
                <w:szCs w:val="21"/>
                <w:highlight w:val="none"/>
              </w:rPr>
            </w:pPr>
          </w:p>
        </w:tc>
        <w:tc>
          <w:tcPr>
            <w:tcW w:w="559"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FF"/>
                <w:sz w:val="21"/>
                <w:szCs w:val="21"/>
                <w:highlight w:val="none"/>
              </w:rPr>
            </w:pPr>
          </w:p>
        </w:tc>
        <w:tc>
          <w:tcPr>
            <w:tcW w:w="56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FF"/>
                <w:sz w:val="21"/>
                <w:szCs w:val="21"/>
                <w:highlight w:val="none"/>
              </w:rPr>
            </w:pPr>
          </w:p>
        </w:tc>
        <w:tc>
          <w:tcPr>
            <w:tcW w:w="56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FF"/>
                <w:sz w:val="21"/>
                <w:szCs w:val="21"/>
                <w:highlight w:val="none"/>
              </w:rPr>
            </w:pPr>
          </w:p>
        </w:tc>
        <w:tc>
          <w:tcPr>
            <w:tcW w:w="470"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FF"/>
                <w:sz w:val="21"/>
                <w:szCs w:val="21"/>
                <w:highlight w:val="none"/>
              </w:rPr>
            </w:pPr>
          </w:p>
        </w:tc>
        <w:tc>
          <w:tcPr>
            <w:tcW w:w="396"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FF"/>
                <w:kern w:val="0"/>
                <w:sz w:val="21"/>
                <w:szCs w:val="21"/>
                <w:highlight w:val="none"/>
              </w:rPr>
            </w:pPr>
          </w:p>
        </w:tc>
        <w:tc>
          <w:tcPr>
            <w:tcW w:w="336"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FF"/>
                <w:kern w:val="0"/>
                <w:sz w:val="21"/>
                <w:szCs w:val="21"/>
                <w:highlight w:val="none"/>
              </w:rPr>
            </w:pPr>
          </w:p>
        </w:tc>
        <w:tc>
          <w:tcPr>
            <w:tcW w:w="350"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FF"/>
                <w:kern w:val="0"/>
                <w:sz w:val="21"/>
                <w:szCs w:val="21"/>
                <w:highlight w:val="none"/>
              </w:rPr>
            </w:pPr>
          </w:p>
        </w:tc>
        <w:tc>
          <w:tcPr>
            <w:tcW w:w="508"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FF"/>
                <w:kern w:val="0"/>
                <w:sz w:val="21"/>
                <w:szCs w:val="21"/>
                <w:highlight w:val="none"/>
              </w:rPr>
            </w:pPr>
          </w:p>
        </w:tc>
        <w:tc>
          <w:tcPr>
            <w:tcW w:w="510"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FF"/>
                <w:ker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62"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eastAsiaTheme="minorEastAsia"/>
                <w:color w:val="0000FF"/>
                <w:sz w:val="21"/>
                <w:szCs w:val="21"/>
                <w:highlight w:val="none"/>
              </w:rPr>
              <w:t>水位m</w:t>
            </w:r>
          </w:p>
        </w:tc>
        <w:tc>
          <w:tcPr>
            <w:tcW w:w="568"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FF"/>
                <w:sz w:val="21"/>
                <w:szCs w:val="21"/>
                <w:highlight w:val="none"/>
              </w:rPr>
            </w:pPr>
          </w:p>
        </w:tc>
        <w:tc>
          <w:tcPr>
            <w:tcW w:w="559"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FF"/>
                <w:sz w:val="21"/>
                <w:szCs w:val="21"/>
                <w:highlight w:val="none"/>
              </w:rPr>
            </w:pPr>
          </w:p>
        </w:tc>
        <w:tc>
          <w:tcPr>
            <w:tcW w:w="568"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FF"/>
                <w:sz w:val="21"/>
                <w:szCs w:val="21"/>
                <w:highlight w:val="none"/>
              </w:rPr>
            </w:pPr>
          </w:p>
        </w:tc>
        <w:tc>
          <w:tcPr>
            <w:tcW w:w="568"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FF"/>
                <w:sz w:val="21"/>
                <w:szCs w:val="21"/>
                <w:highlight w:val="none"/>
              </w:rPr>
            </w:pPr>
          </w:p>
        </w:tc>
        <w:tc>
          <w:tcPr>
            <w:tcW w:w="470"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FF"/>
                <w:sz w:val="21"/>
                <w:szCs w:val="21"/>
                <w:highlight w:val="none"/>
              </w:rPr>
            </w:pPr>
          </w:p>
        </w:tc>
        <w:tc>
          <w:tcPr>
            <w:tcW w:w="396"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FF"/>
                <w:kern w:val="0"/>
                <w:sz w:val="21"/>
                <w:szCs w:val="21"/>
                <w:highlight w:val="none"/>
              </w:rPr>
            </w:pPr>
          </w:p>
        </w:tc>
        <w:tc>
          <w:tcPr>
            <w:tcW w:w="336"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FF"/>
                <w:kern w:val="0"/>
                <w:sz w:val="21"/>
                <w:szCs w:val="21"/>
                <w:highlight w:val="none"/>
              </w:rPr>
            </w:pPr>
          </w:p>
        </w:tc>
        <w:tc>
          <w:tcPr>
            <w:tcW w:w="350" w:type="pct"/>
            <w:tcBorders>
              <w:tl2br w:val="nil"/>
              <w:tr2bl w:val="nil"/>
            </w:tcBorders>
            <w:vAlign w:val="center"/>
          </w:tcPr>
          <w:p>
            <w:pPr>
              <w:spacing w:line="240" w:lineRule="auto"/>
              <w:ind w:firstLine="0" w:firstLineChars="0"/>
              <w:jc w:val="center"/>
              <w:rPr>
                <w:rFonts w:hint="eastAsia" w:ascii="Times New Roman" w:hAnsi="Times New Roman" w:cs="Times New Roman"/>
                <w:color w:val="0000FF"/>
                <w:kern w:val="0"/>
                <w:sz w:val="21"/>
                <w:szCs w:val="21"/>
                <w:highlight w:val="none"/>
                <w:lang w:val="en-US" w:eastAsia="zh-CN"/>
              </w:rPr>
            </w:pPr>
          </w:p>
        </w:tc>
        <w:tc>
          <w:tcPr>
            <w:tcW w:w="508"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FF"/>
                <w:kern w:val="0"/>
                <w:sz w:val="21"/>
                <w:szCs w:val="21"/>
                <w:highlight w:val="none"/>
              </w:rPr>
            </w:pPr>
          </w:p>
        </w:tc>
        <w:tc>
          <w:tcPr>
            <w:tcW w:w="510"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FF"/>
                <w:ker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62" w:type="pct"/>
            <w:tcBorders>
              <w:tl2br w:val="nil"/>
              <w:tr2bl w:val="nil"/>
            </w:tcBorders>
            <w:vAlign w:val="center"/>
          </w:tcPr>
          <w:p>
            <w:pPr>
              <w:spacing w:line="240" w:lineRule="auto"/>
              <w:ind w:firstLine="0" w:firstLineChars="0"/>
              <w:jc w:val="center"/>
              <w:rPr>
                <w:rFonts w:hint="eastAsia" w:ascii="Times New Roman" w:hAnsi="Times New Roman" w:cs="Times New Roman" w:eastAsiaTheme="minorEastAsia"/>
                <w:color w:val="0000FF"/>
                <w:sz w:val="21"/>
                <w:szCs w:val="21"/>
                <w:highlight w:val="none"/>
                <w:lang w:val="en-US" w:eastAsia="zh-CN"/>
              </w:rPr>
            </w:pPr>
            <w:r>
              <w:rPr>
                <w:rFonts w:hint="eastAsia" w:cs="Times New Roman" w:eastAsiaTheme="minorEastAsia"/>
                <w:color w:val="0000FF"/>
                <w:sz w:val="21"/>
                <w:szCs w:val="21"/>
                <w:highlight w:val="none"/>
                <w:lang w:val="en-US" w:eastAsia="zh-CN"/>
              </w:rPr>
              <w:t>距离</w:t>
            </w:r>
          </w:p>
        </w:tc>
        <w:tc>
          <w:tcPr>
            <w:tcW w:w="56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FF"/>
                <w:sz w:val="21"/>
                <w:szCs w:val="21"/>
                <w:highlight w:val="none"/>
                <w:lang w:val="en-US" w:eastAsia="zh-CN"/>
              </w:rPr>
            </w:pPr>
          </w:p>
        </w:tc>
        <w:tc>
          <w:tcPr>
            <w:tcW w:w="559"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FF"/>
                <w:sz w:val="21"/>
                <w:szCs w:val="21"/>
                <w:highlight w:val="none"/>
                <w:lang w:val="en-US" w:eastAsia="zh-CN"/>
              </w:rPr>
            </w:pPr>
          </w:p>
        </w:tc>
        <w:tc>
          <w:tcPr>
            <w:tcW w:w="56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FF"/>
                <w:sz w:val="21"/>
                <w:szCs w:val="21"/>
                <w:highlight w:val="none"/>
                <w:lang w:val="en-US" w:eastAsia="zh-CN"/>
              </w:rPr>
            </w:pPr>
          </w:p>
        </w:tc>
        <w:tc>
          <w:tcPr>
            <w:tcW w:w="56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FF"/>
                <w:sz w:val="21"/>
                <w:szCs w:val="21"/>
                <w:highlight w:val="none"/>
                <w:lang w:val="en-US" w:eastAsia="zh-CN"/>
              </w:rPr>
            </w:pPr>
          </w:p>
        </w:tc>
        <w:tc>
          <w:tcPr>
            <w:tcW w:w="470"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0000FF"/>
                <w:sz w:val="21"/>
                <w:szCs w:val="21"/>
                <w:highlight w:val="none"/>
                <w:lang w:val="en-US" w:eastAsia="zh-CN"/>
              </w:rPr>
            </w:pPr>
          </w:p>
        </w:tc>
        <w:tc>
          <w:tcPr>
            <w:tcW w:w="396"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FF"/>
                <w:kern w:val="0"/>
                <w:sz w:val="21"/>
                <w:szCs w:val="21"/>
                <w:highlight w:val="none"/>
                <w:lang w:val="en-US" w:eastAsia="zh-CN"/>
              </w:rPr>
            </w:pPr>
          </w:p>
        </w:tc>
        <w:tc>
          <w:tcPr>
            <w:tcW w:w="336"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FF"/>
                <w:kern w:val="0"/>
                <w:sz w:val="21"/>
                <w:szCs w:val="21"/>
                <w:highlight w:val="none"/>
                <w:lang w:val="en-US" w:eastAsia="zh-CN"/>
              </w:rPr>
            </w:pPr>
          </w:p>
        </w:tc>
        <w:tc>
          <w:tcPr>
            <w:tcW w:w="350"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FF"/>
                <w:kern w:val="0"/>
                <w:sz w:val="21"/>
                <w:szCs w:val="21"/>
                <w:highlight w:val="none"/>
                <w:lang w:val="en-US" w:eastAsia="zh-CN"/>
              </w:rPr>
            </w:pPr>
          </w:p>
        </w:tc>
        <w:tc>
          <w:tcPr>
            <w:tcW w:w="508"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FF"/>
                <w:kern w:val="0"/>
                <w:sz w:val="21"/>
                <w:szCs w:val="21"/>
                <w:highlight w:val="none"/>
                <w:lang w:val="en-US" w:eastAsia="zh-CN"/>
              </w:rPr>
            </w:pPr>
          </w:p>
        </w:tc>
        <w:tc>
          <w:tcPr>
            <w:tcW w:w="510" w:type="pct"/>
            <w:tcBorders>
              <w:tl2br w:val="nil"/>
              <w:tr2bl w:val="nil"/>
            </w:tcBorders>
            <w:vAlign w:val="center"/>
          </w:tcPr>
          <w:p>
            <w:pPr>
              <w:spacing w:line="240" w:lineRule="auto"/>
              <w:ind w:firstLine="0" w:firstLineChars="0"/>
              <w:jc w:val="center"/>
              <w:rPr>
                <w:rFonts w:hint="default" w:ascii="Times New Roman" w:hAnsi="Times New Roman" w:cs="Times New Roman"/>
                <w:color w:val="0000FF"/>
                <w:kern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162" w:type="pct"/>
            <w:tcBorders>
              <w:tl2br w:val="nil"/>
              <w:tr2bl w:val="nil"/>
            </w:tcBorders>
            <w:vAlign w:val="center"/>
          </w:tcPr>
          <w:p>
            <w:pPr>
              <w:spacing w:line="240" w:lineRule="auto"/>
              <w:ind w:firstLine="0" w:firstLineChars="0"/>
              <w:jc w:val="center"/>
              <w:rPr>
                <w:rFonts w:hint="default" w:cs="Times New Roman" w:eastAsiaTheme="minorEastAsia"/>
                <w:color w:val="0000FF"/>
                <w:sz w:val="21"/>
                <w:szCs w:val="21"/>
                <w:highlight w:val="none"/>
                <w:lang w:val="en-US" w:eastAsia="zh-CN"/>
              </w:rPr>
            </w:pPr>
            <w:r>
              <w:rPr>
                <w:rFonts w:hint="eastAsia" w:cs="Times New Roman" w:eastAsiaTheme="minorEastAsia"/>
                <w:color w:val="0000FF"/>
                <w:sz w:val="21"/>
                <w:szCs w:val="21"/>
                <w:highlight w:val="none"/>
                <w:lang w:val="en-US" w:eastAsia="zh-CN"/>
              </w:rPr>
              <w:t>地下水类型</w:t>
            </w:r>
          </w:p>
        </w:tc>
        <w:tc>
          <w:tcPr>
            <w:tcW w:w="568" w:type="pct"/>
            <w:tcBorders>
              <w:tl2br w:val="nil"/>
              <w:tr2bl w:val="nil"/>
            </w:tcBorders>
            <w:vAlign w:val="center"/>
          </w:tcPr>
          <w:p>
            <w:pPr>
              <w:spacing w:line="240" w:lineRule="auto"/>
              <w:ind w:firstLine="0" w:firstLineChars="0"/>
              <w:jc w:val="center"/>
              <w:rPr>
                <w:rFonts w:hint="default" w:cs="Times New Roman" w:eastAsiaTheme="minorEastAsia"/>
                <w:color w:val="0000FF"/>
                <w:sz w:val="21"/>
                <w:szCs w:val="21"/>
                <w:highlight w:val="none"/>
                <w:lang w:val="en-US" w:eastAsia="zh-CN"/>
              </w:rPr>
            </w:pPr>
            <w:r>
              <w:rPr>
                <w:rFonts w:hint="eastAsia" w:cs="Times New Roman" w:eastAsiaTheme="minorEastAsia"/>
                <w:color w:val="0000FF"/>
                <w:sz w:val="21"/>
                <w:szCs w:val="21"/>
                <w:highlight w:val="none"/>
                <w:lang w:val="en-US" w:eastAsia="zh-CN"/>
              </w:rPr>
              <w:t>潜水层、含水层</w:t>
            </w:r>
          </w:p>
        </w:tc>
        <w:tc>
          <w:tcPr>
            <w:tcW w:w="559" w:type="pct"/>
            <w:tcBorders>
              <w:tl2br w:val="nil"/>
              <w:tr2bl w:val="nil"/>
            </w:tcBorders>
            <w:vAlign w:val="center"/>
          </w:tcPr>
          <w:p>
            <w:pPr>
              <w:spacing w:line="240" w:lineRule="auto"/>
              <w:ind w:firstLine="0" w:firstLineChars="0"/>
              <w:jc w:val="center"/>
              <w:rPr>
                <w:rFonts w:hint="eastAsia" w:cs="Times New Roman" w:eastAsiaTheme="minorEastAsia"/>
                <w:color w:val="0000FF"/>
                <w:sz w:val="21"/>
                <w:szCs w:val="21"/>
                <w:highlight w:val="none"/>
                <w:lang w:val="en-US" w:eastAsia="zh-CN"/>
              </w:rPr>
            </w:pPr>
            <w:r>
              <w:rPr>
                <w:rFonts w:hint="eastAsia" w:cs="Times New Roman" w:eastAsiaTheme="minorEastAsia"/>
                <w:color w:val="0000FF"/>
                <w:sz w:val="21"/>
                <w:szCs w:val="21"/>
                <w:highlight w:val="none"/>
                <w:lang w:val="en-US" w:eastAsia="zh-CN"/>
              </w:rPr>
              <w:t>潜水层、含水层</w:t>
            </w:r>
          </w:p>
        </w:tc>
        <w:tc>
          <w:tcPr>
            <w:tcW w:w="568" w:type="pct"/>
            <w:tcBorders>
              <w:tl2br w:val="nil"/>
              <w:tr2bl w:val="nil"/>
            </w:tcBorders>
            <w:vAlign w:val="center"/>
          </w:tcPr>
          <w:p>
            <w:pPr>
              <w:spacing w:line="240" w:lineRule="auto"/>
              <w:ind w:firstLine="0" w:firstLineChars="0"/>
              <w:jc w:val="center"/>
              <w:rPr>
                <w:rFonts w:hint="eastAsia" w:cs="Times New Roman" w:eastAsiaTheme="minorEastAsia"/>
                <w:color w:val="0000FF"/>
                <w:sz w:val="21"/>
                <w:szCs w:val="21"/>
                <w:highlight w:val="none"/>
                <w:lang w:val="en-US" w:eastAsia="zh-CN"/>
              </w:rPr>
            </w:pPr>
            <w:r>
              <w:rPr>
                <w:rFonts w:hint="eastAsia" w:cs="Times New Roman" w:eastAsiaTheme="minorEastAsia"/>
                <w:color w:val="0000FF"/>
                <w:sz w:val="21"/>
                <w:szCs w:val="21"/>
                <w:highlight w:val="none"/>
                <w:lang w:val="en-US" w:eastAsia="zh-CN"/>
              </w:rPr>
              <w:t>潜水层、含水层</w:t>
            </w:r>
          </w:p>
        </w:tc>
        <w:tc>
          <w:tcPr>
            <w:tcW w:w="568" w:type="pct"/>
            <w:tcBorders>
              <w:tl2br w:val="nil"/>
              <w:tr2bl w:val="nil"/>
            </w:tcBorders>
            <w:vAlign w:val="center"/>
          </w:tcPr>
          <w:p>
            <w:pPr>
              <w:spacing w:line="240" w:lineRule="auto"/>
              <w:ind w:firstLine="0" w:firstLineChars="0"/>
              <w:jc w:val="center"/>
              <w:rPr>
                <w:rFonts w:hint="eastAsia" w:cs="Times New Roman" w:eastAsiaTheme="minorEastAsia"/>
                <w:color w:val="0000FF"/>
                <w:sz w:val="21"/>
                <w:szCs w:val="21"/>
                <w:highlight w:val="none"/>
                <w:lang w:val="en-US" w:eastAsia="zh-CN"/>
              </w:rPr>
            </w:pPr>
            <w:r>
              <w:rPr>
                <w:rFonts w:hint="eastAsia" w:cs="Times New Roman" w:eastAsiaTheme="minorEastAsia"/>
                <w:color w:val="0000FF"/>
                <w:sz w:val="21"/>
                <w:szCs w:val="21"/>
                <w:highlight w:val="none"/>
                <w:lang w:val="en-US" w:eastAsia="zh-CN"/>
              </w:rPr>
              <w:t>潜水层、含水层</w:t>
            </w:r>
          </w:p>
        </w:tc>
        <w:tc>
          <w:tcPr>
            <w:tcW w:w="470" w:type="pct"/>
            <w:tcBorders>
              <w:tl2br w:val="nil"/>
              <w:tr2bl w:val="nil"/>
            </w:tcBorders>
            <w:vAlign w:val="center"/>
          </w:tcPr>
          <w:p>
            <w:pPr>
              <w:spacing w:line="240" w:lineRule="auto"/>
              <w:ind w:firstLine="0" w:firstLineChars="0"/>
              <w:jc w:val="center"/>
              <w:rPr>
                <w:rFonts w:hint="eastAsia" w:cs="Times New Roman" w:eastAsiaTheme="minorEastAsia"/>
                <w:color w:val="0000FF"/>
                <w:sz w:val="21"/>
                <w:szCs w:val="21"/>
                <w:highlight w:val="none"/>
                <w:lang w:val="en-US" w:eastAsia="zh-CN"/>
              </w:rPr>
            </w:pPr>
            <w:r>
              <w:rPr>
                <w:rFonts w:hint="eastAsia" w:cs="Times New Roman" w:eastAsiaTheme="minorEastAsia"/>
                <w:color w:val="0000FF"/>
                <w:sz w:val="21"/>
                <w:szCs w:val="21"/>
                <w:highlight w:val="none"/>
                <w:lang w:val="en-US" w:eastAsia="zh-CN"/>
              </w:rPr>
              <w:t>潜水层、含水层</w:t>
            </w:r>
          </w:p>
        </w:tc>
        <w:tc>
          <w:tcPr>
            <w:tcW w:w="396" w:type="pct"/>
            <w:tcBorders>
              <w:tl2br w:val="nil"/>
              <w:tr2bl w:val="nil"/>
            </w:tcBorders>
            <w:vAlign w:val="center"/>
          </w:tcPr>
          <w:p>
            <w:pPr>
              <w:spacing w:line="240" w:lineRule="auto"/>
              <w:ind w:left="0" w:leftChars="0" w:firstLine="0" w:firstLineChars="0"/>
              <w:jc w:val="both"/>
              <w:rPr>
                <w:rFonts w:hint="eastAsia" w:cs="Times New Roman" w:eastAsiaTheme="minorEastAsia"/>
                <w:color w:val="0000FF"/>
                <w:sz w:val="21"/>
                <w:szCs w:val="21"/>
                <w:highlight w:val="none"/>
                <w:lang w:val="en-US" w:eastAsia="zh-CN"/>
              </w:rPr>
            </w:pPr>
            <w:r>
              <w:rPr>
                <w:rFonts w:hint="eastAsia" w:cs="Times New Roman" w:eastAsiaTheme="minorEastAsia"/>
                <w:color w:val="0000FF"/>
                <w:sz w:val="21"/>
                <w:szCs w:val="21"/>
                <w:highlight w:val="none"/>
                <w:lang w:val="en-US" w:eastAsia="zh-CN"/>
              </w:rPr>
              <w:t>潜水层、含水层</w:t>
            </w:r>
          </w:p>
        </w:tc>
        <w:tc>
          <w:tcPr>
            <w:tcW w:w="336" w:type="pct"/>
            <w:tcBorders>
              <w:tl2br w:val="nil"/>
              <w:tr2bl w:val="nil"/>
            </w:tcBorders>
            <w:vAlign w:val="center"/>
          </w:tcPr>
          <w:p>
            <w:pPr>
              <w:spacing w:line="240" w:lineRule="auto"/>
              <w:ind w:firstLine="0" w:firstLineChars="0"/>
              <w:jc w:val="center"/>
              <w:rPr>
                <w:rFonts w:hint="eastAsia" w:ascii="Times New Roman" w:hAnsi="Times New Roman" w:cs="Times New Roman" w:eastAsiaTheme="minorEastAsia"/>
                <w:color w:val="0000FF"/>
                <w:sz w:val="21"/>
                <w:szCs w:val="21"/>
                <w:highlight w:val="none"/>
                <w:lang w:val="en-US" w:eastAsia="zh-CN"/>
              </w:rPr>
            </w:pPr>
            <w:r>
              <w:rPr>
                <w:rFonts w:hint="eastAsia" w:ascii="Times New Roman" w:hAnsi="Times New Roman" w:cs="Times New Roman" w:eastAsiaTheme="minorEastAsia"/>
                <w:color w:val="0000FF"/>
                <w:sz w:val="21"/>
                <w:szCs w:val="21"/>
                <w:highlight w:val="none"/>
                <w:lang w:val="en-US" w:eastAsia="zh-CN"/>
              </w:rPr>
              <w:t>潜水层、含水层</w:t>
            </w:r>
          </w:p>
        </w:tc>
        <w:tc>
          <w:tcPr>
            <w:tcW w:w="350" w:type="pct"/>
            <w:tcBorders>
              <w:tl2br w:val="nil"/>
              <w:tr2bl w:val="nil"/>
            </w:tcBorders>
            <w:vAlign w:val="center"/>
          </w:tcPr>
          <w:p>
            <w:pPr>
              <w:spacing w:line="240" w:lineRule="auto"/>
              <w:ind w:firstLine="0" w:firstLineChars="0"/>
              <w:jc w:val="center"/>
              <w:rPr>
                <w:rFonts w:hint="eastAsia" w:ascii="Times New Roman" w:hAnsi="Times New Roman" w:cs="Times New Roman" w:eastAsiaTheme="minorEastAsia"/>
                <w:color w:val="0000FF"/>
                <w:sz w:val="21"/>
                <w:szCs w:val="21"/>
                <w:highlight w:val="none"/>
                <w:lang w:val="en-US" w:eastAsia="zh-CN"/>
              </w:rPr>
            </w:pPr>
            <w:r>
              <w:rPr>
                <w:rFonts w:hint="eastAsia" w:ascii="Times New Roman" w:hAnsi="Times New Roman" w:cs="Times New Roman" w:eastAsiaTheme="minorEastAsia"/>
                <w:color w:val="0000FF"/>
                <w:sz w:val="21"/>
                <w:szCs w:val="21"/>
                <w:highlight w:val="none"/>
                <w:lang w:val="en-US" w:eastAsia="zh-CN"/>
              </w:rPr>
              <w:t>潜水层、含水层</w:t>
            </w:r>
          </w:p>
        </w:tc>
        <w:tc>
          <w:tcPr>
            <w:tcW w:w="508" w:type="pct"/>
            <w:tcBorders>
              <w:tl2br w:val="nil"/>
              <w:tr2bl w:val="nil"/>
            </w:tcBorders>
            <w:vAlign w:val="center"/>
          </w:tcPr>
          <w:p>
            <w:pPr>
              <w:spacing w:line="240" w:lineRule="auto"/>
              <w:ind w:firstLine="0" w:firstLineChars="0"/>
              <w:jc w:val="center"/>
              <w:rPr>
                <w:rFonts w:hint="eastAsia" w:ascii="Times New Roman" w:hAnsi="Times New Roman" w:cs="Times New Roman" w:eastAsiaTheme="minorEastAsia"/>
                <w:color w:val="0000FF"/>
                <w:sz w:val="21"/>
                <w:szCs w:val="21"/>
                <w:highlight w:val="none"/>
                <w:lang w:val="en-US" w:eastAsia="zh-CN"/>
              </w:rPr>
            </w:pPr>
            <w:r>
              <w:rPr>
                <w:rFonts w:hint="eastAsia" w:ascii="Times New Roman" w:hAnsi="Times New Roman" w:cs="Times New Roman" w:eastAsiaTheme="minorEastAsia"/>
                <w:color w:val="0000FF"/>
                <w:sz w:val="21"/>
                <w:szCs w:val="21"/>
                <w:highlight w:val="none"/>
                <w:lang w:val="en-US" w:eastAsia="zh-CN"/>
              </w:rPr>
              <w:t>潜水层、含水层</w:t>
            </w:r>
          </w:p>
        </w:tc>
        <w:tc>
          <w:tcPr>
            <w:tcW w:w="510" w:type="pct"/>
            <w:tcBorders>
              <w:tl2br w:val="nil"/>
              <w:tr2bl w:val="nil"/>
            </w:tcBorders>
            <w:vAlign w:val="center"/>
          </w:tcPr>
          <w:p>
            <w:pPr>
              <w:spacing w:line="240" w:lineRule="auto"/>
              <w:ind w:firstLine="0" w:firstLineChars="0"/>
              <w:jc w:val="center"/>
              <w:rPr>
                <w:rFonts w:hint="eastAsia" w:ascii="Times New Roman" w:hAnsi="Times New Roman" w:cs="Times New Roman" w:eastAsiaTheme="minorEastAsia"/>
                <w:color w:val="0000FF"/>
                <w:sz w:val="21"/>
                <w:szCs w:val="21"/>
                <w:highlight w:val="none"/>
                <w:lang w:val="en-US" w:eastAsia="zh-CN"/>
              </w:rPr>
            </w:pPr>
            <w:r>
              <w:rPr>
                <w:rFonts w:hint="eastAsia" w:ascii="Times New Roman" w:hAnsi="Times New Roman" w:cs="Times New Roman" w:eastAsiaTheme="minorEastAsia"/>
                <w:color w:val="0000FF"/>
                <w:sz w:val="21"/>
                <w:szCs w:val="21"/>
                <w:highlight w:val="none"/>
                <w:lang w:val="en-US" w:eastAsia="zh-CN"/>
              </w:rPr>
              <w:t>潜水层、含水层</w:t>
            </w:r>
          </w:p>
        </w:tc>
      </w:tr>
    </w:tbl>
    <w:p>
      <w:pPr>
        <w:pStyle w:val="70"/>
        <w:rPr>
          <w:rFonts w:hint="eastAsia" w:ascii="黑体" w:hAnsi="黑体" w:eastAsia="黑体" w:cs="黑体"/>
          <w:b w:val="0"/>
          <w:bCs w:val="0"/>
          <w:color w:val="auto"/>
          <w:highlight w:val="none"/>
        </w:rPr>
      </w:pPr>
    </w:p>
    <w:p>
      <w:pPr>
        <w:pStyle w:val="70"/>
        <w:rPr>
          <w:rFonts w:hint="eastAsia" w:ascii="黑体" w:hAnsi="黑体" w:eastAsia="黑体" w:cs="黑体"/>
          <w:b w:val="0"/>
          <w:bCs w:val="0"/>
          <w:color w:val="auto"/>
          <w:highlight w:val="none"/>
        </w:rPr>
      </w:pPr>
      <w:r>
        <w:rPr>
          <w:rFonts w:hint="eastAsia" w:ascii="黑体" w:hAnsi="黑体" w:eastAsia="黑体" w:cs="黑体"/>
          <w:b w:val="0"/>
          <w:bCs w:val="0"/>
          <w:color w:val="auto"/>
          <w:highlight w:val="none"/>
        </w:rPr>
        <w:t>表4.3-</w:t>
      </w:r>
      <w:r>
        <w:rPr>
          <w:rFonts w:hint="eastAsia" w:ascii="黑体" w:hAnsi="黑体" w:eastAsia="黑体" w:cs="黑体"/>
          <w:b w:val="0"/>
          <w:bCs w:val="0"/>
          <w:color w:val="auto"/>
          <w:highlight w:val="none"/>
          <w:lang w:val="en-US" w:eastAsia="zh-CN"/>
        </w:rPr>
        <w:t>6</w:t>
      </w:r>
      <w:r>
        <w:rPr>
          <w:rFonts w:hint="eastAsia" w:ascii="黑体" w:hAnsi="黑体" w:eastAsia="黑体" w:cs="黑体"/>
          <w:b w:val="0"/>
          <w:bCs w:val="0"/>
          <w:color w:val="auto"/>
          <w:highlight w:val="none"/>
        </w:rPr>
        <w:t>地下水现状监测数据（单位：mg/L，pH无量纲）</w:t>
      </w:r>
    </w:p>
    <w:tbl>
      <w:tblPr>
        <w:tblStyle w:val="33"/>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298"/>
        <w:gridCol w:w="907"/>
        <w:gridCol w:w="1009"/>
        <w:gridCol w:w="1205"/>
        <w:gridCol w:w="899"/>
        <w:gridCol w:w="1314"/>
        <w:gridCol w:w="898"/>
        <w:gridCol w:w="1314"/>
        <w:gridCol w:w="898"/>
        <w:gridCol w:w="1314"/>
        <w:gridCol w:w="898"/>
        <w:gridCol w:w="1314"/>
        <w:gridCol w:w="89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检测项目</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单位</w:t>
            </w:r>
          </w:p>
        </w:tc>
        <w:tc>
          <w:tcPr>
            <w:tcW w:w="4221" w:type="pct"/>
            <w:gridSpan w:val="11"/>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检测结果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08" w:hRule="atLeast"/>
        </w:trPr>
        <w:tc>
          <w:tcPr>
            <w:tcW w:w="778" w:type="pct"/>
            <w:gridSpan w:val="2"/>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采样点位</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上游</w:t>
            </w:r>
            <w:r>
              <w:rPr>
                <w:rStyle w:val="100"/>
                <w:rFonts w:hint="default" w:ascii="Times New Roman" w:hAnsi="Times New Roman" w:cs="Times New Roman"/>
                <w:color w:val="auto"/>
                <w:highlight w:val="none"/>
                <w:lang w:bidi="ar"/>
              </w:rPr>
              <w:t>1#</w:t>
            </w:r>
            <w:r>
              <w:rPr>
                <w:rFonts w:hint="default" w:ascii="Times New Roman" w:hAnsi="Times New Roman" w:cs="Times New Roman"/>
                <w:color w:val="auto"/>
                <w:kern w:val="0"/>
                <w:sz w:val="21"/>
                <w:szCs w:val="21"/>
                <w:highlight w:val="none"/>
                <w:lang w:bidi="ar"/>
              </w:rPr>
              <w:t>榆树沟镇牧业村水源井</w:t>
            </w:r>
          </w:p>
        </w:tc>
        <w:tc>
          <w:tcPr>
            <w:tcW w:w="425"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标准指数</w:t>
            </w: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项目西侧</w:t>
            </w:r>
          </w:p>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第七种鸡场</w:t>
            </w: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标准指数</w:t>
            </w: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下游</w:t>
            </w:r>
            <w:r>
              <w:rPr>
                <w:rStyle w:val="100"/>
                <w:rFonts w:hint="default" w:ascii="Times New Roman" w:hAnsi="Times New Roman" w:cs="Times New Roman"/>
                <w:color w:val="auto"/>
                <w:highlight w:val="none"/>
                <w:lang w:bidi="ar"/>
              </w:rPr>
              <w:t>1#</w:t>
            </w:r>
            <w:r>
              <w:rPr>
                <w:rFonts w:hint="default" w:ascii="Times New Roman" w:hAnsi="Times New Roman" w:cs="Times New Roman"/>
                <w:color w:val="auto"/>
                <w:kern w:val="0"/>
                <w:sz w:val="21"/>
                <w:szCs w:val="21"/>
                <w:highlight w:val="none"/>
                <w:lang w:bidi="ar"/>
              </w:rPr>
              <w:t>（</w:t>
            </w:r>
            <w:r>
              <w:rPr>
                <w:rStyle w:val="100"/>
                <w:rFonts w:hint="default" w:ascii="Times New Roman" w:hAnsi="Times New Roman" w:cs="Times New Roman"/>
                <w:color w:val="auto"/>
                <w:highlight w:val="none"/>
                <w:lang w:bidi="ar"/>
              </w:rPr>
              <w:t>1#</w:t>
            </w:r>
            <w:r>
              <w:rPr>
                <w:rFonts w:hint="default" w:ascii="Times New Roman" w:hAnsi="Times New Roman" w:cs="Times New Roman"/>
                <w:color w:val="auto"/>
                <w:kern w:val="0"/>
                <w:sz w:val="21"/>
                <w:szCs w:val="21"/>
                <w:highlight w:val="none"/>
                <w:lang w:bidi="ar"/>
              </w:rPr>
              <w:t>水源地）</w:t>
            </w: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标准指数</w:t>
            </w: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下游</w:t>
            </w:r>
            <w:r>
              <w:rPr>
                <w:rStyle w:val="100"/>
                <w:rFonts w:hint="default" w:ascii="Times New Roman" w:hAnsi="Times New Roman" w:cs="Times New Roman"/>
                <w:color w:val="auto"/>
                <w:highlight w:val="none"/>
                <w:lang w:bidi="ar"/>
              </w:rPr>
              <w:t>2#</w:t>
            </w:r>
            <w:r>
              <w:rPr>
                <w:rFonts w:hint="default" w:ascii="Times New Roman" w:hAnsi="Times New Roman" w:cs="Times New Roman"/>
                <w:color w:val="auto"/>
                <w:kern w:val="0"/>
                <w:sz w:val="21"/>
                <w:szCs w:val="21"/>
                <w:highlight w:val="none"/>
                <w:lang w:bidi="ar"/>
              </w:rPr>
              <w:t>（</w:t>
            </w:r>
            <w:r>
              <w:rPr>
                <w:rStyle w:val="100"/>
                <w:rFonts w:hint="default" w:ascii="Times New Roman" w:hAnsi="Times New Roman" w:cs="Times New Roman"/>
                <w:color w:val="auto"/>
                <w:highlight w:val="none"/>
                <w:lang w:bidi="ar"/>
              </w:rPr>
              <w:t>2#</w:t>
            </w:r>
            <w:r>
              <w:rPr>
                <w:rFonts w:hint="default" w:ascii="Times New Roman" w:hAnsi="Times New Roman" w:cs="Times New Roman"/>
                <w:color w:val="auto"/>
                <w:kern w:val="0"/>
                <w:sz w:val="21"/>
                <w:szCs w:val="21"/>
                <w:highlight w:val="none"/>
                <w:lang w:bidi="ar"/>
              </w:rPr>
              <w:t>水源地）</w:t>
            </w: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标准指数</w:t>
            </w: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下游</w:t>
            </w:r>
            <w:r>
              <w:rPr>
                <w:rStyle w:val="100"/>
                <w:rFonts w:hint="default" w:ascii="Times New Roman" w:hAnsi="Times New Roman" w:cs="Times New Roman"/>
                <w:color w:val="auto"/>
                <w:highlight w:val="none"/>
                <w:lang w:bidi="ar"/>
              </w:rPr>
              <w:t>3#</w:t>
            </w:r>
            <w:r>
              <w:rPr>
                <w:rFonts w:hint="default" w:ascii="Times New Roman" w:hAnsi="Times New Roman" w:cs="Times New Roman"/>
                <w:color w:val="auto"/>
                <w:kern w:val="0"/>
                <w:sz w:val="21"/>
                <w:szCs w:val="21"/>
                <w:highlight w:val="none"/>
                <w:lang w:bidi="ar"/>
              </w:rPr>
              <w:t>（</w:t>
            </w:r>
            <w:r>
              <w:rPr>
                <w:rStyle w:val="100"/>
                <w:rFonts w:hint="default" w:ascii="Times New Roman" w:hAnsi="Times New Roman" w:cs="Times New Roman"/>
                <w:color w:val="auto"/>
                <w:highlight w:val="none"/>
                <w:lang w:bidi="ar"/>
              </w:rPr>
              <w:t>3#</w:t>
            </w:r>
            <w:r>
              <w:rPr>
                <w:rFonts w:hint="default" w:ascii="Times New Roman" w:hAnsi="Times New Roman" w:cs="Times New Roman"/>
                <w:color w:val="auto"/>
                <w:kern w:val="0"/>
                <w:sz w:val="21"/>
                <w:szCs w:val="21"/>
                <w:highlight w:val="none"/>
                <w:lang w:bidi="ar"/>
              </w:rPr>
              <w:t>水源地）</w:t>
            </w: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标准指数</w:t>
            </w:r>
          </w:p>
        </w:tc>
        <w:tc>
          <w:tcPr>
            <w:tcW w:w="314"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pH</w:t>
            </w:r>
            <w:r>
              <w:rPr>
                <w:rStyle w:val="101"/>
                <w:rFonts w:hint="default" w:ascii="Times New Roman" w:hAnsi="Times New Roman" w:cs="Times New Roman"/>
                <w:color w:val="auto"/>
                <w:highlight w:val="none"/>
                <w:lang w:bidi="ar"/>
              </w:rPr>
              <w:t>值</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无量纲</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7.2</w:t>
            </w:r>
          </w:p>
        </w:tc>
        <w:tc>
          <w:tcPr>
            <w:tcW w:w="425" w:type="pct"/>
            <w:tcBorders>
              <w:tl2br w:val="nil"/>
              <w:tr2bl w:val="nil"/>
            </w:tcBorders>
            <w:shd w:val="clear" w:color="auto" w:fill="92D050"/>
            <w:vAlign w:val="center"/>
          </w:tcPr>
          <w:p>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0.1333</w:t>
            </w: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7.2</w:t>
            </w:r>
          </w:p>
        </w:tc>
        <w:tc>
          <w:tcPr>
            <w:tcW w:w="464" w:type="pct"/>
            <w:tcBorders>
              <w:tl2br w:val="nil"/>
              <w:tr2bl w:val="nil"/>
            </w:tcBorders>
            <w:shd w:val="clear" w:color="auto" w:fill="92D050"/>
            <w:vAlign w:val="center"/>
          </w:tcPr>
          <w:p>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0.1333</w:t>
            </w: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7.1</w:t>
            </w:r>
          </w:p>
        </w:tc>
        <w:tc>
          <w:tcPr>
            <w:tcW w:w="464" w:type="pct"/>
            <w:tcBorders>
              <w:tl2br w:val="nil"/>
              <w:tr2bl w:val="nil"/>
            </w:tcBorders>
            <w:shd w:val="clear" w:color="auto" w:fill="92D050"/>
            <w:vAlign w:val="center"/>
          </w:tcPr>
          <w:p>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0.10667</w:t>
            </w: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7.2</w:t>
            </w:r>
          </w:p>
        </w:tc>
        <w:tc>
          <w:tcPr>
            <w:tcW w:w="464" w:type="pct"/>
            <w:tcBorders>
              <w:tl2br w:val="nil"/>
              <w:tr2bl w:val="nil"/>
            </w:tcBorders>
            <w:shd w:val="clear" w:color="auto" w:fill="92D050"/>
            <w:vAlign w:val="center"/>
          </w:tcPr>
          <w:p>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0.1333</w:t>
            </w: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7.2</w:t>
            </w:r>
          </w:p>
        </w:tc>
        <w:tc>
          <w:tcPr>
            <w:tcW w:w="464" w:type="pct"/>
            <w:tcBorders>
              <w:tl2br w:val="nil"/>
              <w:tr2bl w:val="nil"/>
            </w:tcBorders>
            <w:shd w:val="clear" w:color="auto" w:fill="92D050"/>
            <w:vAlign w:val="center"/>
          </w:tcPr>
          <w:p>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0.1333</w:t>
            </w:r>
          </w:p>
        </w:tc>
        <w:tc>
          <w:tcPr>
            <w:tcW w:w="314"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6.5-8.5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7"/>
                <w:kern w:val="0"/>
                <w:sz w:val="21"/>
                <w:szCs w:val="21"/>
                <w:highlight w:val="none"/>
                <w:lang w:bidi="ar"/>
              </w:rPr>
              <w:t>氨氮（以N计）</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mg/L</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25"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4"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7"/>
                <w:kern w:val="0"/>
                <w:sz w:val="21"/>
                <w:szCs w:val="21"/>
                <w:highlight w:val="none"/>
                <w:lang w:bidi="ar"/>
              </w:rPr>
              <w:t>挥发性酚类（以苯酚计）</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mg/L</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25"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4"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亚硝酸盐（以N</w:t>
            </w:r>
            <w:r>
              <w:rPr>
                <w:rStyle w:val="101"/>
                <w:rFonts w:hint="default" w:ascii="Times New Roman" w:hAnsi="Times New Roman" w:cs="Times New Roman"/>
                <w:color w:val="auto"/>
                <w:highlight w:val="none"/>
                <w:lang w:bidi="ar"/>
              </w:rPr>
              <w:t>计）</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mg/L</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25"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4"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硝酸盐（以N</w:t>
            </w:r>
            <w:r>
              <w:rPr>
                <w:rStyle w:val="101"/>
                <w:rFonts w:hint="default" w:ascii="Times New Roman" w:hAnsi="Times New Roman" w:cs="Times New Roman"/>
                <w:color w:val="auto"/>
                <w:highlight w:val="none"/>
                <w:lang w:bidi="ar"/>
              </w:rPr>
              <w:t>计）</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mg/L</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25"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4"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镍</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mg/L</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25"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4"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总硬度（以CaCO</w:t>
            </w:r>
            <w:r>
              <w:rPr>
                <w:rStyle w:val="102"/>
                <w:rFonts w:hint="default" w:ascii="Times New Roman" w:hAnsi="Times New Roman" w:cs="Times New Roman"/>
                <w:color w:val="auto"/>
                <w:highlight w:val="none"/>
                <w:lang w:bidi="ar"/>
              </w:rPr>
              <w:t>3</w:t>
            </w:r>
            <w:r>
              <w:rPr>
                <w:rStyle w:val="101"/>
                <w:rFonts w:hint="default" w:ascii="Times New Roman" w:hAnsi="Times New Roman" w:cs="Times New Roman"/>
                <w:color w:val="auto"/>
                <w:highlight w:val="none"/>
                <w:lang w:bidi="ar"/>
              </w:rPr>
              <w:t>计）</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mg/L</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25"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4"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氰化物</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mg/L</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25"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4"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5"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7"/>
                <w:kern w:val="0"/>
                <w:sz w:val="21"/>
                <w:szCs w:val="21"/>
                <w:highlight w:val="none"/>
                <w:lang w:bidi="ar"/>
              </w:rPr>
              <w:t>溶解性总固体</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mg/L</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25"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4"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石油类</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mg/L</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25"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4"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总大肠菌群</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MPN/</w:t>
            </w:r>
          </w:p>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100mL</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25"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4"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菌落总数</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7"/>
                <w:kern w:val="0"/>
                <w:sz w:val="21"/>
                <w:szCs w:val="21"/>
                <w:highlight w:val="none"/>
                <w:lang w:bidi="ar"/>
              </w:rPr>
              <w:t>CFU/mL</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25"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4"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氟化物</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mg/L</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25"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4"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汞</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mg/L</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25"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4"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砷</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mg/L</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25"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4"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硫酸盐</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mg/L</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25"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4"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铬（</w:t>
            </w:r>
            <w:r>
              <w:rPr>
                <w:rStyle w:val="101"/>
                <w:rFonts w:hint="default" w:ascii="Times New Roman" w:hAnsi="Times New Roman" w:cs="Times New Roman"/>
                <w:color w:val="auto"/>
                <w:highlight w:val="none"/>
                <w:lang w:bidi="ar"/>
              </w:rPr>
              <w:t>六价）</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mg/L</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25"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4"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铜</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mg/L</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25"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4"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锌</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mg/L</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25"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4"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铅</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mg/L</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25"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4"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镉</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mg/L</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25"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4"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铁</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mg/L</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25"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4"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锰</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mg/L</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25"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4"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85"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钾</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mg/L</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25"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4"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钠</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mg/L</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25"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4"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钙</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mg/L</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25"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4"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镁</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mg/L</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25"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4"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铝</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mg/L</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p>
        </w:tc>
        <w:tc>
          <w:tcPr>
            <w:tcW w:w="425"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p>
        </w:tc>
        <w:tc>
          <w:tcPr>
            <w:tcW w:w="314"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硫化物</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mg/L</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p>
        </w:tc>
        <w:tc>
          <w:tcPr>
            <w:tcW w:w="425"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p>
        </w:tc>
        <w:tc>
          <w:tcPr>
            <w:tcW w:w="314"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highlight w:val="none"/>
                <w:lang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氯化物</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mg/L</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25"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4"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碳酸盐</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mg/L</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25"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4"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58"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重碳酸盐</w:t>
            </w:r>
          </w:p>
        </w:tc>
        <w:tc>
          <w:tcPr>
            <w:tcW w:w="320"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mg/L</w:t>
            </w:r>
          </w:p>
        </w:tc>
        <w:tc>
          <w:tcPr>
            <w:tcW w:w="356"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25"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7" w:type="pc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464" w:type="pct"/>
            <w:tcBorders>
              <w:tl2br w:val="nil"/>
              <w:tr2bl w:val="nil"/>
            </w:tcBorders>
            <w:shd w:val="clear" w:color="auto" w:fill="92D050"/>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p>
        </w:tc>
        <w:tc>
          <w:tcPr>
            <w:tcW w:w="314" w:type="pct"/>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r>
    </w:tbl>
    <w:p>
      <w:pPr>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由表可知，各监测点位各项指标均达到《地下水质量标准》（GB/T14848-2017）中的Ⅲ类标准。</w:t>
      </w:r>
    </w:p>
    <w:p>
      <w:pPr>
        <w:pStyle w:val="18"/>
        <w:rPr>
          <w:rFonts w:hint="default" w:ascii="Times New Roman" w:hAnsi="Times New Roman" w:cs="Times New Roman"/>
          <w:color w:val="auto"/>
          <w:highlight w:val="none"/>
        </w:rPr>
        <w:sectPr>
          <w:pgSz w:w="16838" w:h="11906" w:orient="landscape"/>
          <w:pgMar w:top="1304" w:right="1440" w:bottom="1304" w:left="1440" w:header="851" w:footer="992" w:gutter="0"/>
          <w:pgBorders>
            <w:top w:val="none" w:sz="0" w:space="0"/>
            <w:left w:val="none" w:sz="0" w:space="0"/>
            <w:bottom w:val="none" w:sz="0" w:space="0"/>
            <w:right w:val="none" w:sz="0" w:space="0"/>
          </w:pgBorders>
          <w:pgNumType w:fmt="numberInDash"/>
          <w:cols w:space="0" w:num="1"/>
          <w:docGrid w:type="lines" w:linePitch="312" w:charSpace="0"/>
        </w:sectPr>
      </w:pPr>
    </w:p>
    <w:p>
      <w:pPr>
        <w:pStyle w:val="5"/>
        <w:rPr>
          <w:rFonts w:hint="default" w:ascii="Times New Roman" w:hAnsi="Times New Roman" w:cs="Times New Roman"/>
          <w:color w:val="auto"/>
          <w:highlight w:val="none"/>
        </w:rPr>
      </w:pPr>
      <w:bookmarkStart w:id="123" w:name="_Toc6760"/>
      <w:r>
        <w:rPr>
          <w:rFonts w:hint="default" w:ascii="Times New Roman" w:hAnsi="Times New Roman" w:cs="Times New Roman"/>
          <w:color w:val="auto"/>
          <w:highlight w:val="none"/>
        </w:rPr>
        <w:t>声环境质量现状</w:t>
      </w:r>
      <w:bookmarkEnd w:id="123"/>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监测点位</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本次评价委托新疆天蓝蓝环保技术服务有限公司对本项目厂界声环境现状进行了监测。监测共设4个声环境采样点，见表4.3-6。</w:t>
      </w:r>
    </w:p>
    <w:p>
      <w:pPr>
        <w:spacing w:line="240" w:lineRule="auto"/>
        <w:ind w:firstLine="422"/>
        <w:jc w:val="center"/>
        <w:rPr>
          <w:rFonts w:hint="default" w:ascii="Times New Roman" w:hAnsi="Times New Roman" w:cs="Times New Roman"/>
          <w:b/>
          <w:color w:val="auto"/>
          <w:sz w:val="21"/>
          <w:szCs w:val="21"/>
          <w:highlight w:val="none"/>
        </w:rPr>
      </w:pPr>
      <w:r>
        <w:rPr>
          <w:rFonts w:hint="eastAsia" w:ascii="黑体" w:hAnsi="黑体" w:eastAsia="黑体" w:cs="黑体"/>
          <w:b w:val="0"/>
          <w:bCs/>
          <w:color w:val="auto"/>
          <w:sz w:val="24"/>
          <w:szCs w:val="24"/>
          <w:highlight w:val="none"/>
        </w:rPr>
        <w:t>表4.3-</w:t>
      </w:r>
      <w:r>
        <w:rPr>
          <w:rFonts w:hint="eastAsia" w:ascii="黑体" w:hAnsi="黑体" w:eastAsia="黑体" w:cs="黑体"/>
          <w:b w:val="0"/>
          <w:bCs/>
          <w:color w:val="auto"/>
          <w:sz w:val="24"/>
          <w:szCs w:val="24"/>
          <w:highlight w:val="none"/>
          <w:lang w:val="en-US" w:eastAsia="zh-CN"/>
        </w:rPr>
        <w:t>7</w:t>
      </w:r>
      <w:r>
        <w:rPr>
          <w:rFonts w:hint="eastAsia" w:ascii="黑体" w:hAnsi="黑体" w:eastAsia="黑体" w:cs="黑体"/>
          <w:b w:val="0"/>
          <w:bCs/>
          <w:color w:val="auto"/>
          <w:sz w:val="24"/>
          <w:szCs w:val="24"/>
          <w:highlight w:val="none"/>
        </w:rPr>
        <w:t>声环境监测点布设情况一览表</w:t>
      </w:r>
    </w:p>
    <w:tbl>
      <w:tblPr>
        <w:tblStyle w:val="33"/>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97"/>
        <w:gridCol w:w="3710"/>
        <w:gridCol w:w="34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13" w:type="pct"/>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监测点名称</w:t>
            </w:r>
          </w:p>
        </w:tc>
        <w:tc>
          <w:tcPr>
            <w:tcW w:w="2158" w:type="pct"/>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监测点位置</w:t>
            </w:r>
          </w:p>
        </w:tc>
        <w:tc>
          <w:tcPr>
            <w:tcW w:w="2028" w:type="pct"/>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监测频次及监测因子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13" w:type="pct"/>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N1</w:t>
            </w:r>
          </w:p>
        </w:tc>
        <w:tc>
          <w:tcPr>
            <w:tcW w:w="2158" w:type="pct"/>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场界东侧</w:t>
            </w:r>
          </w:p>
        </w:tc>
        <w:tc>
          <w:tcPr>
            <w:tcW w:w="2028" w:type="pct"/>
            <w:vMerge w:val="restart"/>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连续监测2天，昼夜各监测一次；监测因子为Leq(A)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13" w:type="pct"/>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N2</w:t>
            </w:r>
          </w:p>
        </w:tc>
        <w:tc>
          <w:tcPr>
            <w:tcW w:w="2158" w:type="pct"/>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场界南侧</w:t>
            </w:r>
          </w:p>
        </w:tc>
        <w:tc>
          <w:tcPr>
            <w:tcW w:w="2028" w:type="pct"/>
            <w:vMerge w:val="continue"/>
            <w:tcBorders>
              <w:tl2br w:val="nil"/>
              <w:tr2bl w:val="nil"/>
            </w:tcBorders>
            <w:vAlign w:val="center"/>
          </w:tcPr>
          <w:p>
            <w:pPr>
              <w:pStyle w:val="49"/>
              <w:rPr>
                <w:rFonts w:hint="default" w:ascii="Times New Roman" w:hAnsi="Times New Roman" w:cs="Times New Roman"/>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13" w:type="pct"/>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N3</w:t>
            </w:r>
          </w:p>
        </w:tc>
        <w:tc>
          <w:tcPr>
            <w:tcW w:w="2158" w:type="pct"/>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场界西侧</w:t>
            </w:r>
          </w:p>
        </w:tc>
        <w:tc>
          <w:tcPr>
            <w:tcW w:w="2028" w:type="pct"/>
            <w:vMerge w:val="continue"/>
            <w:tcBorders>
              <w:tl2br w:val="nil"/>
              <w:tr2bl w:val="nil"/>
            </w:tcBorders>
            <w:vAlign w:val="center"/>
          </w:tcPr>
          <w:p>
            <w:pPr>
              <w:pStyle w:val="49"/>
              <w:rPr>
                <w:rFonts w:hint="default" w:ascii="Times New Roman" w:hAnsi="Times New Roman" w:cs="Times New Roman"/>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13" w:type="pct"/>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N4</w:t>
            </w:r>
          </w:p>
        </w:tc>
        <w:tc>
          <w:tcPr>
            <w:tcW w:w="2158" w:type="pct"/>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场界北侧</w:t>
            </w:r>
          </w:p>
        </w:tc>
        <w:tc>
          <w:tcPr>
            <w:tcW w:w="2028" w:type="pct"/>
            <w:vMerge w:val="continue"/>
            <w:tcBorders>
              <w:tl2br w:val="nil"/>
              <w:tr2bl w:val="nil"/>
            </w:tcBorders>
            <w:vAlign w:val="center"/>
          </w:tcPr>
          <w:p>
            <w:pPr>
              <w:pStyle w:val="49"/>
              <w:rPr>
                <w:rFonts w:hint="default" w:ascii="Times New Roman" w:hAnsi="Times New Roman" w:cs="Times New Roman"/>
                <w:color w:val="auto"/>
                <w:highlight w:val="none"/>
              </w:rPr>
            </w:pPr>
          </w:p>
        </w:tc>
      </w:tr>
    </w:tbl>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监测内容与频次</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监测等效连续A声级；2024年4月9日分昼夜两个时段，监测一天。</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评价标准</w:t>
      </w:r>
    </w:p>
    <w:p>
      <w:pPr>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评价标准采用《声环境质量标准》GB3096-2008中的</w:t>
      </w:r>
      <w:r>
        <w:rPr>
          <w:rFonts w:hint="default" w:ascii="Times New Roman" w:hAnsi="Times New Roman" w:cs="Times New Roman"/>
          <w:color w:val="auto"/>
          <w:spacing w:val="4"/>
          <w:highlight w:val="none"/>
        </w:rPr>
        <w:t>3类标准。</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监测结果与评价</w:t>
      </w:r>
    </w:p>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rPr>
        <w:t>表4.3-</w:t>
      </w:r>
      <w:r>
        <w:rPr>
          <w:rFonts w:hint="eastAsia" w:cs="Times New Roman"/>
          <w:color w:val="auto"/>
          <w:highlight w:val="none"/>
          <w:lang w:val="en-US" w:eastAsia="zh-CN"/>
        </w:rPr>
        <w:t>8</w:t>
      </w:r>
      <w:r>
        <w:rPr>
          <w:rFonts w:hint="default" w:ascii="Times New Roman" w:hAnsi="Times New Roman" w:cs="Times New Roman"/>
          <w:color w:val="auto"/>
          <w:highlight w:val="none"/>
        </w:rPr>
        <w:t>噪声监测结果</w:t>
      </w:r>
    </w:p>
    <w:tbl>
      <w:tblPr>
        <w:tblStyle w:val="57"/>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777"/>
        <w:gridCol w:w="1395"/>
        <w:gridCol w:w="1398"/>
        <w:gridCol w:w="1398"/>
        <w:gridCol w:w="14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1655" w:type="pct"/>
            <w:vMerge w:val="restart"/>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检测点位</w:t>
            </w:r>
          </w:p>
        </w:tc>
        <w:tc>
          <w:tcPr>
            <w:tcW w:w="1664" w:type="pct"/>
            <w:gridSpan w:val="2"/>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检测结果</w:t>
            </w:r>
          </w:p>
        </w:tc>
        <w:tc>
          <w:tcPr>
            <w:tcW w:w="1679" w:type="pct"/>
            <w:gridSpan w:val="2"/>
            <w:vMerge w:val="restart"/>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655" w:type="pct"/>
            <w:vMerge w:val="continue"/>
            <w:tcBorders>
              <w:tl2br w:val="nil"/>
              <w:tr2bl w:val="nil"/>
            </w:tcBorders>
            <w:vAlign w:val="center"/>
          </w:tcPr>
          <w:p>
            <w:pPr>
              <w:pStyle w:val="49"/>
              <w:rPr>
                <w:rFonts w:hint="default" w:ascii="Times New Roman" w:hAnsi="Times New Roman" w:cs="Times New Roman"/>
                <w:color w:val="auto"/>
                <w:highlight w:val="none"/>
              </w:rPr>
            </w:pPr>
          </w:p>
        </w:tc>
        <w:tc>
          <w:tcPr>
            <w:tcW w:w="1664" w:type="pct"/>
            <w:gridSpan w:val="2"/>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2024.4.09</w:t>
            </w:r>
          </w:p>
        </w:tc>
        <w:tc>
          <w:tcPr>
            <w:tcW w:w="1679" w:type="pct"/>
            <w:gridSpan w:val="2"/>
            <w:vMerge w:val="continue"/>
            <w:tcBorders>
              <w:tl2br w:val="nil"/>
              <w:tr2bl w:val="nil"/>
            </w:tcBorders>
            <w:vAlign w:val="center"/>
          </w:tcPr>
          <w:p>
            <w:pPr>
              <w:pStyle w:val="49"/>
              <w:rPr>
                <w:rFonts w:hint="default" w:ascii="Times New Roman" w:hAnsi="Times New Roman" w:cs="Times New Roman"/>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655" w:type="pct"/>
            <w:vMerge w:val="continue"/>
            <w:tcBorders>
              <w:tl2br w:val="nil"/>
              <w:tr2bl w:val="nil"/>
            </w:tcBorders>
            <w:vAlign w:val="center"/>
          </w:tcPr>
          <w:p>
            <w:pPr>
              <w:pStyle w:val="49"/>
              <w:rPr>
                <w:rFonts w:hint="default" w:ascii="Times New Roman" w:hAnsi="Times New Roman" w:cs="Times New Roman"/>
                <w:color w:val="auto"/>
                <w:highlight w:val="none"/>
              </w:rPr>
            </w:pPr>
          </w:p>
        </w:tc>
        <w:tc>
          <w:tcPr>
            <w:tcW w:w="831" w:type="pct"/>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昼间</w:t>
            </w:r>
          </w:p>
        </w:tc>
        <w:tc>
          <w:tcPr>
            <w:tcW w:w="833" w:type="pct"/>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夜间</w:t>
            </w:r>
          </w:p>
        </w:tc>
        <w:tc>
          <w:tcPr>
            <w:tcW w:w="833" w:type="pct"/>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昼间</w:t>
            </w:r>
          </w:p>
        </w:tc>
        <w:tc>
          <w:tcPr>
            <w:tcW w:w="846" w:type="pct"/>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1655" w:type="pct"/>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N1场界东侧</w:t>
            </w:r>
          </w:p>
        </w:tc>
        <w:tc>
          <w:tcPr>
            <w:tcW w:w="831" w:type="pct"/>
            <w:tcBorders>
              <w:tl2br w:val="nil"/>
              <w:tr2bl w:val="nil"/>
            </w:tcBorders>
            <w:vAlign w:val="center"/>
          </w:tcPr>
          <w:p>
            <w:pPr>
              <w:ind w:firstLine="420"/>
              <w:jc w:val="center"/>
              <w:rPr>
                <w:rFonts w:hint="default" w:ascii="Times New Roman" w:hAnsi="Times New Roman" w:cs="Times New Roman"/>
                <w:color w:val="auto"/>
                <w:highlight w:val="none"/>
              </w:rPr>
            </w:pPr>
            <w:r>
              <w:rPr>
                <w:rFonts w:hint="default" w:ascii="Times New Roman" w:hAnsi="Times New Roman" w:cs="Times New Roman" w:eastAsiaTheme="minorEastAsia"/>
                <w:color w:val="auto"/>
                <w:sz w:val="21"/>
                <w:szCs w:val="21"/>
                <w:highlight w:val="none"/>
              </w:rPr>
              <w:t>38.3</w:t>
            </w:r>
          </w:p>
        </w:tc>
        <w:tc>
          <w:tcPr>
            <w:tcW w:w="833" w:type="pct"/>
            <w:tcBorders>
              <w:tl2br w:val="nil"/>
              <w:tr2bl w:val="nil"/>
            </w:tcBorders>
            <w:vAlign w:val="center"/>
          </w:tcPr>
          <w:p>
            <w:pPr>
              <w:ind w:firstLine="420"/>
              <w:jc w:val="center"/>
              <w:rPr>
                <w:rFonts w:hint="default" w:ascii="Times New Roman" w:hAnsi="Times New Roman" w:cs="Times New Roman"/>
                <w:color w:val="auto"/>
                <w:highlight w:val="none"/>
              </w:rPr>
            </w:pPr>
            <w:r>
              <w:rPr>
                <w:rFonts w:hint="default" w:ascii="Times New Roman" w:hAnsi="Times New Roman" w:cs="Times New Roman" w:eastAsiaTheme="minorEastAsia"/>
                <w:color w:val="auto"/>
                <w:sz w:val="21"/>
                <w:szCs w:val="21"/>
                <w:highlight w:val="none"/>
              </w:rPr>
              <w:t>37.3</w:t>
            </w:r>
          </w:p>
        </w:tc>
        <w:tc>
          <w:tcPr>
            <w:tcW w:w="833" w:type="pct"/>
            <w:vMerge w:val="restart"/>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65</w:t>
            </w:r>
          </w:p>
        </w:tc>
        <w:tc>
          <w:tcPr>
            <w:tcW w:w="846" w:type="pct"/>
            <w:vMerge w:val="restart"/>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1655" w:type="pct"/>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N2场界南侧</w:t>
            </w:r>
          </w:p>
        </w:tc>
        <w:tc>
          <w:tcPr>
            <w:tcW w:w="831" w:type="pct"/>
            <w:tcBorders>
              <w:tl2br w:val="nil"/>
              <w:tr2bl w:val="nil"/>
            </w:tcBorders>
            <w:vAlign w:val="center"/>
          </w:tcPr>
          <w:p>
            <w:pPr>
              <w:ind w:firstLine="420"/>
              <w:jc w:val="center"/>
              <w:rPr>
                <w:rFonts w:hint="default" w:ascii="Times New Roman" w:hAnsi="Times New Roman" w:cs="Times New Roman"/>
                <w:color w:val="auto"/>
                <w:highlight w:val="none"/>
              </w:rPr>
            </w:pPr>
            <w:r>
              <w:rPr>
                <w:rFonts w:hint="default" w:ascii="Times New Roman" w:hAnsi="Times New Roman" w:cs="Times New Roman" w:eastAsiaTheme="minorEastAsia"/>
                <w:color w:val="auto"/>
                <w:sz w:val="21"/>
                <w:szCs w:val="21"/>
                <w:highlight w:val="none"/>
              </w:rPr>
              <w:t>39.8</w:t>
            </w:r>
          </w:p>
        </w:tc>
        <w:tc>
          <w:tcPr>
            <w:tcW w:w="833" w:type="pct"/>
            <w:tcBorders>
              <w:tl2br w:val="nil"/>
              <w:tr2bl w:val="nil"/>
            </w:tcBorders>
            <w:vAlign w:val="center"/>
          </w:tcPr>
          <w:p>
            <w:pPr>
              <w:ind w:firstLine="420"/>
              <w:jc w:val="center"/>
              <w:rPr>
                <w:rFonts w:hint="default" w:ascii="Times New Roman" w:hAnsi="Times New Roman" w:cs="Times New Roman"/>
                <w:color w:val="auto"/>
                <w:highlight w:val="none"/>
              </w:rPr>
            </w:pPr>
            <w:r>
              <w:rPr>
                <w:rFonts w:hint="default" w:ascii="Times New Roman" w:hAnsi="Times New Roman" w:cs="Times New Roman" w:eastAsiaTheme="minorEastAsia"/>
                <w:color w:val="auto"/>
                <w:sz w:val="21"/>
                <w:szCs w:val="21"/>
                <w:highlight w:val="none"/>
              </w:rPr>
              <w:t>38.4</w:t>
            </w:r>
          </w:p>
        </w:tc>
        <w:tc>
          <w:tcPr>
            <w:tcW w:w="833" w:type="pct"/>
            <w:vMerge w:val="continue"/>
            <w:tcBorders>
              <w:tl2br w:val="nil"/>
              <w:tr2bl w:val="nil"/>
            </w:tcBorders>
            <w:vAlign w:val="center"/>
          </w:tcPr>
          <w:p>
            <w:pPr>
              <w:pStyle w:val="49"/>
              <w:rPr>
                <w:rFonts w:hint="default" w:ascii="Times New Roman" w:hAnsi="Times New Roman" w:cs="Times New Roman"/>
                <w:color w:val="auto"/>
                <w:highlight w:val="none"/>
              </w:rPr>
            </w:pPr>
          </w:p>
        </w:tc>
        <w:tc>
          <w:tcPr>
            <w:tcW w:w="846" w:type="pct"/>
            <w:vMerge w:val="continue"/>
            <w:tcBorders>
              <w:tl2br w:val="nil"/>
              <w:tr2bl w:val="nil"/>
            </w:tcBorders>
            <w:vAlign w:val="center"/>
          </w:tcPr>
          <w:p>
            <w:pPr>
              <w:pStyle w:val="49"/>
              <w:rPr>
                <w:rFonts w:hint="default" w:ascii="Times New Roman" w:hAnsi="Times New Roman" w:cs="Times New Roman"/>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1655" w:type="pct"/>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N3场界西侧</w:t>
            </w:r>
          </w:p>
        </w:tc>
        <w:tc>
          <w:tcPr>
            <w:tcW w:w="831" w:type="pct"/>
            <w:tcBorders>
              <w:tl2br w:val="nil"/>
              <w:tr2bl w:val="nil"/>
            </w:tcBorders>
            <w:vAlign w:val="center"/>
          </w:tcPr>
          <w:p>
            <w:pPr>
              <w:ind w:firstLine="420"/>
              <w:jc w:val="center"/>
              <w:rPr>
                <w:rFonts w:hint="default" w:ascii="Times New Roman" w:hAnsi="Times New Roman" w:cs="Times New Roman"/>
                <w:color w:val="auto"/>
                <w:highlight w:val="none"/>
              </w:rPr>
            </w:pPr>
            <w:r>
              <w:rPr>
                <w:rFonts w:hint="default" w:ascii="Times New Roman" w:hAnsi="Times New Roman" w:cs="Times New Roman" w:eastAsiaTheme="minorEastAsia"/>
                <w:color w:val="auto"/>
                <w:sz w:val="21"/>
                <w:szCs w:val="21"/>
                <w:highlight w:val="none"/>
              </w:rPr>
              <w:t>41.7</w:t>
            </w:r>
          </w:p>
        </w:tc>
        <w:tc>
          <w:tcPr>
            <w:tcW w:w="833" w:type="pct"/>
            <w:tcBorders>
              <w:tl2br w:val="nil"/>
              <w:tr2bl w:val="nil"/>
            </w:tcBorders>
            <w:vAlign w:val="center"/>
          </w:tcPr>
          <w:p>
            <w:pPr>
              <w:ind w:firstLine="420"/>
              <w:jc w:val="center"/>
              <w:rPr>
                <w:rFonts w:hint="default" w:ascii="Times New Roman" w:hAnsi="Times New Roman" w:cs="Times New Roman"/>
                <w:color w:val="auto"/>
                <w:highlight w:val="none"/>
              </w:rPr>
            </w:pPr>
            <w:r>
              <w:rPr>
                <w:rFonts w:hint="default" w:ascii="Times New Roman" w:hAnsi="Times New Roman" w:cs="Times New Roman" w:eastAsiaTheme="minorEastAsia"/>
                <w:color w:val="auto"/>
                <w:sz w:val="21"/>
                <w:szCs w:val="21"/>
                <w:highlight w:val="none"/>
              </w:rPr>
              <w:t>40.3</w:t>
            </w:r>
          </w:p>
        </w:tc>
        <w:tc>
          <w:tcPr>
            <w:tcW w:w="833" w:type="pct"/>
            <w:vMerge w:val="continue"/>
            <w:tcBorders>
              <w:tl2br w:val="nil"/>
              <w:tr2bl w:val="nil"/>
            </w:tcBorders>
            <w:vAlign w:val="center"/>
          </w:tcPr>
          <w:p>
            <w:pPr>
              <w:pStyle w:val="49"/>
              <w:rPr>
                <w:rFonts w:hint="default" w:ascii="Times New Roman" w:hAnsi="Times New Roman" w:cs="Times New Roman"/>
                <w:color w:val="auto"/>
                <w:highlight w:val="none"/>
              </w:rPr>
            </w:pPr>
          </w:p>
        </w:tc>
        <w:tc>
          <w:tcPr>
            <w:tcW w:w="846" w:type="pct"/>
            <w:vMerge w:val="continue"/>
            <w:tcBorders>
              <w:tl2br w:val="nil"/>
              <w:tr2bl w:val="nil"/>
            </w:tcBorders>
            <w:vAlign w:val="center"/>
          </w:tcPr>
          <w:p>
            <w:pPr>
              <w:pStyle w:val="49"/>
              <w:rPr>
                <w:rFonts w:hint="default" w:ascii="Times New Roman" w:hAnsi="Times New Roman" w:cs="Times New Roman"/>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1655" w:type="pct"/>
            <w:tcBorders>
              <w:tl2br w:val="nil"/>
              <w:tr2bl w:val="nil"/>
            </w:tcBorders>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N4场界北侧</w:t>
            </w:r>
          </w:p>
        </w:tc>
        <w:tc>
          <w:tcPr>
            <w:tcW w:w="831" w:type="pct"/>
            <w:tcBorders>
              <w:tl2br w:val="nil"/>
              <w:tr2bl w:val="nil"/>
            </w:tcBorders>
            <w:vAlign w:val="center"/>
          </w:tcPr>
          <w:p>
            <w:pPr>
              <w:ind w:firstLine="420"/>
              <w:jc w:val="center"/>
              <w:rPr>
                <w:rFonts w:hint="default" w:ascii="Times New Roman" w:hAnsi="Times New Roman" w:cs="Times New Roman"/>
                <w:color w:val="auto"/>
                <w:highlight w:val="none"/>
              </w:rPr>
            </w:pPr>
            <w:r>
              <w:rPr>
                <w:rFonts w:hint="default" w:ascii="Times New Roman" w:hAnsi="Times New Roman" w:cs="Times New Roman" w:eastAsiaTheme="minorEastAsia"/>
                <w:color w:val="auto"/>
                <w:sz w:val="21"/>
                <w:szCs w:val="21"/>
                <w:highlight w:val="none"/>
              </w:rPr>
              <w:t>44.0</w:t>
            </w:r>
          </w:p>
        </w:tc>
        <w:tc>
          <w:tcPr>
            <w:tcW w:w="833" w:type="pct"/>
            <w:tcBorders>
              <w:tl2br w:val="nil"/>
              <w:tr2bl w:val="nil"/>
            </w:tcBorders>
            <w:vAlign w:val="center"/>
          </w:tcPr>
          <w:p>
            <w:pPr>
              <w:ind w:firstLine="420"/>
              <w:jc w:val="center"/>
              <w:rPr>
                <w:rFonts w:hint="default" w:ascii="Times New Roman" w:hAnsi="Times New Roman" w:cs="Times New Roman"/>
                <w:color w:val="auto"/>
                <w:highlight w:val="none"/>
              </w:rPr>
            </w:pPr>
            <w:r>
              <w:rPr>
                <w:rFonts w:hint="default" w:ascii="Times New Roman" w:hAnsi="Times New Roman" w:cs="Times New Roman" w:eastAsiaTheme="minorEastAsia"/>
                <w:color w:val="auto"/>
                <w:sz w:val="21"/>
                <w:szCs w:val="21"/>
                <w:highlight w:val="none"/>
              </w:rPr>
              <w:t>38.6</w:t>
            </w:r>
          </w:p>
        </w:tc>
        <w:tc>
          <w:tcPr>
            <w:tcW w:w="833" w:type="pct"/>
            <w:vMerge w:val="continue"/>
            <w:tcBorders>
              <w:tl2br w:val="nil"/>
              <w:tr2bl w:val="nil"/>
            </w:tcBorders>
            <w:vAlign w:val="center"/>
          </w:tcPr>
          <w:p>
            <w:pPr>
              <w:pStyle w:val="49"/>
              <w:rPr>
                <w:rFonts w:hint="default" w:ascii="Times New Roman" w:hAnsi="Times New Roman" w:cs="Times New Roman"/>
                <w:color w:val="auto"/>
                <w:highlight w:val="none"/>
              </w:rPr>
            </w:pPr>
          </w:p>
        </w:tc>
        <w:tc>
          <w:tcPr>
            <w:tcW w:w="846" w:type="pct"/>
            <w:vMerge w:val="continue"/>
            <w:tcBorders>
              <w:tl2br w:val="nil"/>
              <w:tr2bl w:val="nil"/>
            </w:tcBorders>
            <w:vAlign w:val="center"/>
          </w:tcPr>
          <w:p>
            <w:pPr>
              <w:pStyle w:val="49"/>
              <w:rPr>
                <w:rFonts w:hint="default" w:ascii="Times New Roman" w:hAnsi="Times New Roman" w:cs="Times New Roman"/>
                <w:color w:val="auto"/>
                <w:highlight w:val="none"/>
              </w:rPr>
            </w:pPr>
          </w:p>
        </w:tc>
      </w:tr>
    </w:tbl>
    <w:p>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由表可见，项目区</w:t>
      </w:r>
      <w:r>
        <w:rPr>
          <w:rFonts w:hint="default" w:ascii="Times New Roman" w:hAnsi="Times New Roman" w:cs="Times New Roman"/>
          <w:color w:val="auto"/>
          <w:szCs w:val="28"/>
          <w:highlight w:val="none"/>
        </w:rPr>
        <w:t>声环境质量达到《声环境质量标准》（GB3096-2008）3类标准要求。</w:t>
      </w:r>
    </w:p>
    <w:p>
      <w:pPr>
        <w:pStyle w:val="5"/>
        <w:rPr>
          <w:rFonts w:hint="default" w:ascii="Times New Roman" w:hAnsi="Times New Roman" w:cs="Times New Roman"/>
          <w:color w:val="auto"/>
          <w:highlight w:val="none"/>
        </w:rPr>
      </w:pPr>
      <w:bookmarkStart w:id="124" w:name="_Toc17546"/>
      <w:r>
        <w:rPr>
          <w:rFonts w:hint="default" w:ascii="Times New Roman" w:hAnsi="Times New Roman" w:cs="Times New Roman"/>
          <w:color w:val="auto"/>
          <w:highlight w:val="none"/>
        </w:rPr>
        <w:t>土壤环境质量现状</w:t>
      </w:r>
      <w:bookmarkEnd w:id="124"/>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监测内容</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本次土壤现状为建设单位委托新疆天蓝蓝环保技术服务有限公司对项目区土壤进行监测，监测时间为2024年4月9日。</w:t>
      </w:r>
    </w:p>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rPr>
        <w:t>表4.3-</w:t>
      </w:r>
      <w:r>
        <w:rPr>
          <w:rFonts w:hint="eastAsia" w:cs="Times New Roman"/>
          <w:color w:val="auto"/>
          <w:highlight w:val="none"/>
          <w:lang w:val="en-US" w:eastAsia="zh-CN"/>
        </w:rPr>
        <w:t>9</w:t>
      </w:r>
      <w:r>
        <w:rPr>
          <w:rFonts w:hint="default" w:ascii="Times New Roman" w:hAnsi="Times New Roman" w:cs="Times New Roman"/>
          <w:color w:val="auto"/>
          <w:highlight w:val="none"/>
        </w:rPr>
        <w:t>土壤监测内容一览表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852"/>
        <w:gridCol w:w="3043"/>
        <w:gridCol w:w="717"/>
        <w:gridCol w:w="3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vAlign w:val="center"/>
          </w:tcPr>
          <w:p>
            <w:pPr>
              <w:spacing w:line="240" w:lineRule="auto"/>
              <w:ind w:firstLine="0" w:firstLineChars="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序号</w:t>
            </w:r>
          </w:p>
        </w:tc>
        <w:tc>
          <w:tcPr>
            <w:tcW w:w="826" w:type="pct"/>
            <w:vAlign w:val="center"/>
          </w:tcPr>
          <w:p>
            <w:pPr>
              <w:spacing w:line="240" w:lineRule="auto"/>
              <w:ind w:firstLine="0" w:firstLineChars="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监测点名称</w:t>
            </w:r>
          </w:p>
        </w:tc>
        <w:tc>
          <w:tcPr>
            <w:tcW w:w="818" w:type="pct"/>
            <w:vAlign w:val="center"/>
          </w:tcPr>
          <w:p>
            <w:pPr>
              <w:spacing w:line="240" w:lineRule="auto"/>
              <w:ind w:firstLine="0" w:firstLineChars="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坐标</w:t>
            </w:r>
          </w:p>
        </w:tc>
        <w:tc>
          <w:tcPr>
            <w:tcW w:w="687" w:type="pct"/>
            <w:vAlign w:val="center"/>
          </w:tcPr>
          <w:p>
            <w:pPr>
              <w:spacing w:line="240" w:lineRule="auto"/>
              <w:ind w:firstLine="0" w:firstLineChars="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采样层位</w:t>
            </w:r>
          </w:p>
        </w:tc>
        <w:tc>
          <w:tcPr>
            <w:tcW w:w="2292" w:type="pct"/>
            <w:vAlign w:val="center"/>
          </w:tcPr>
          <w:p>
            <w:pPr>
              <w:spacing w:line="240" w:lineRule="auto"/>
              <w:ind w:firstLine="0" w:firstLineChars="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vAlign w:val="center"/>
          </w:tcPr>
          <w:p>
            <w:pPr>
              <w:spacing w:line="240" w:lineRule="auto"/>
              <w:ind w:firstLine="0" w:firstLineChars="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T1</w:t>
            </w:r>
          </w:p>
        </w:tc>
        <w:tc>
          <w:tcPr>
            <w:tcW w:w="826" w:type="pct"/>
            <w:vAlign w:val="center"/>
          </w:tcPr>
          <w:p>
            <w:pPr>
              <w:spacing w:line="240" w:lineRule="auto"/>
              <w:ind w:firstLine="0" w:firstLineChars="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项目厂界范围内（表层样：0.2m）</w:t>
            </w:r>
          </w:p>
        </w:tc>
        <w:tc>
          <w:tcPr>
            <w:tcW w:w="818" w:type="pct"/>
            <w:vAlign w:val="center"/>
          </w:tcPr>
          <w:p>
            <w:pPr>
              <w:spacing w:line="240" w:lineRule="auto"/>
              <w:ind w:firstLine="0" w:firstLineChars="0"/>
              <w:jc w:val="center"/>
              <w:rPr>
                <w:rFonts w:hint="default" w:ascii="Times New Roman" w:hAnsi="Times New Roman" w:cs="Times New Roman"/>
                <w:color w:val="auto"/>
                <w:sz w:val="21"/>
                <w:szCs w:val="18"/>
                <w:highlight w:val="none"/>
              </w:rPr>
            </w:pPr>
            <w:r>
              <w:rPr>
                <w:rFonts w:hint="default" w:ascii="Times New Roman" w:hAnsi="Times New Roman" w:cs="Times New Roman" w:eastAsiaTheme="minorEastAsia"/>
                <w:color w:val="auto"/>
                <w:sz w:val="21"/>
                <w:szCs w:val="21"/>
                <w:highlight w:val="none"/>
              </w:rPr>
              <w:t>E:87°06′05.351″N:44°12′28.572″</w:t>
            </w:r>
          </w:p>
        </w:tc>
        <w:tc>
          <w:tcPr>
            <w:tcW w:w="687" w:type="pct"/>
            <w:vAlign w:val="center"/>
          </w:tcPr>
          <w:p>
            <w:pPr>
              <w:spacing w:line="240" w:lineRule="auto"/>
              <w:ind w:firstLine="0" w:firstLineChars="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表层样</w:t>
            </w:r>
          </w:p>
        </w:tc>
        <w:tc>
          <w:tcPr>
            <w:tcW w:w="2292" w:type="pct"/>
            <w:vMerge w:val="restart"/>
            <w:vAlign w:val="center"/>
          </w:tcPr>
          <w:p>
            <w:pPr>
              <w:spacing w:line="240" w:lineRule="auto"/>
              <w:ind w:firstLine="0" w:firstLineChars="0"/>
              <w:jc w:val="center"/>
              <w:rPr>
                <w:rFonts w:hint="default" w:ascii="Times New Roman" w:hAnsi="Times New Roman" w:cs="Times New Roman"/>
                <w:color w:val="auto"/>
                <w:sz w:val="21"/>
                <w:szCs w:val="18"/>
                <w:highlight w:val="none"/>
              </w:rPr>
            </w:pPr>
            <w:r>
              <w:rPr>
                <w:rFonts w:hint="default" w:ascii="Times New Roman" w:hAnsi="Times New Roman" w:cs="Times New Roman"/>
                <w:bCs/>
                <w:color w:val="auto"/>
                <w:sz w:val="21"/>
                <w:szCs w:val="18"/>
                <w:highlight w:val="none"/>
              </w:rPr>
              <w:t>镉、汞、砷、铅、六价铬、铜、镍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 w:type="pct"/>
            <w:vAlign w:val="center"/>
          </w:tcPr>
          <w:p>
            <w:pPr>
              <w:spacing w:line="240" w:lineRule="auto"/>
              <w:ind w:firstLine="0" w:firstLineChars="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T2</w:t>
            </w:r>
          </w:p>
        </w:tc>
        <w:tc>
          <w:tcPr>
            <w:tcW w:w="826" w:type="pct"/>
            <w:vAlign w:val="center"/>
          </w:tcPr>
          <w:p>
            <w:pPr>
              <w:spacing w:line="240" w:lineRule="auto"/>
              <w:ind w:firstLine="0" w:firstLineChars="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项目厂界范围内</w:t>
            </w:r>
          </w:p>
        </w:tc>
        <w:tc>
          <w:tcPr>
            <w:tcW w:w="818" w:type="pct"/>
            <w:vAlign w:val="center"/>
          </w:tcPr>
          <w:p>
            <w:pPr>
              <w:spacing w:line="240" w:lineRule="auto"/>
              <w:ind w:firstLine="0" w:firstLineChars="0"/>
              <w:jc w:val="center"/>
              <w:rPr>
                <w:rFonts w:hint="default" w:ascii="Times New Roman" w:hAnsi="Times New Roman" w:cs="Times New Roman"/>
                <w:color w:val="auto"/>
                <w:sz w:val="21"/>
                <w:szCs w:val="18"/>
                <w:highlight w:val="none"/>
              </w:rPr>
            </w:pPr>
            <w:r>
              <w:rPr>
                <w:rFonts w:hint="default" w:ascii="Times New Roman" w:hAnsi="Times New Roman" w:cs="Times New Roman" w:eastAsiaTheme="minorEastAsia"/>
                <w:color w:val="auto"/>
                <w:sz w:val="21"/>
                <w:szCs w:val="21"/>
                <w:highlight w:val="none"/>
              </w:rPr>
              <w:t>E:87°06′02.916″N:44°12′27.105″</w:t>
            </w:r>
          </w:p>
        </w:tc>
        <w:tc>
          <w:tcPr>
            <w:tcW w:w="687" w:type="pct"/>
            <w:vAlign w:val="center"/>
          </w:tcPr>
          <w:p>
            <w:pPr>
              <w:spacing w:line="240" w:lineRule="auto"/>
              <w:ind w:firstLine="0" w:firstLineChars="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柱状样</w:t>
            </w:r>
          </w:p>
        </w:tc>
        <w:tc>
          <w:tcPr>
            <w:tcW w:w="2292" w:type="pct"/>
            <w:vMerge w:val="continue"/>
            <w:vAlign w:val="center"/>
          </w:tcPr>
          <w:p>
            <w:pPr>
              <w:spacing w:line="240" w:lineRule="auto"/>
              <w:ind w:firstLine="0" w:firstLineChars="0"/>
              <w:jc w:val="center"/>
              <w:rPr>
                <w:rFonts w:hint="default" w:ascii="Times New Roman" w:hAnsi="Times New Roman" w:cs="Times New Roman"/>
                <w:color w:val="auto"/>
                <w:sz w:val="21"/>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375" w:type="pct"/>
            <w:vAlign w:val="center"/>
          </w:tcPr>
          <w:p>
            <w:pPr>
              <w:spacing w:line="240" w:lineRule="auto"/>
              <w:ind w:firstLine="0" w:firstLineChars="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T3</w:t>
            </w:r>
          </w:p>
        </w:tc>
        <w:tc>
          <w:tcPr>
            <w:tcW w:w="826" w:type="pct"/>
            <w:vAlign w:val="center"/>
          </w:tcPr>
          <w:p>
            <w:pPr>
              <w:spacing w:line="240" w:lineRule="auto"/>
              <w:ind w:firstLine="0" w:firstLineChars="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项目厂界范围内\</w:t>
            </w:r>
          </w:p>
        </w:tc>
        <w:tc>
          <w:tcPr>
            <w:tcW w:w="818" w:type="pct"/>
            <w:vAlign w:val="center"/>
          </w:tcPr>
          <w:p>
            <w:pPr>
              <w:spacing w:line="240" w:lineRule="auto"/>
              <w:ind w:firstLine="0" w:firstLineChars="0"/>
              <w:jc w:val="center"/>
              <w:rPr>
                <w:rFonts w:hint="default" w:ascii="Times New Roman" w:hAnsi="Times New Roman" w:cs="Times New Roman"/>
                <w:color w:val="auto"/>
                <w:sz w:val="21"/>
                <w:szCs w:val="18"/>
                <w:highlight w:val="none"/>
              </w:rPr>
            </w:pPr>
            <w:r>
              <w:rPr>
                <w:rFonts w:hint="default" w:ascii="Times New Roman" w:hAnsi="Times New Roman" w:cs="Times New Roman" w:eastAsiaTheme="minorEastAsia"/>
                <w:color w:val="auto"/>
                <w:sz w:val="21"/>
                <w:szCs w:val="21"/>
                <w:highlight w:val="none"/>
              </w:rPr>
              <w:t>E:87°06′07.593″N:44°12′27.105″</w:t>
            </w:r>
          </w:p>
        </w:tc>
        <w:tc>
          <w:tcPr>
            <w:tcW w:w="687" w:type="pct"/>
            <w:vAlign w:val="center"/>
          </w:tcPr>
          <w:p>
            <w:pPr>
              <w:spacing w:line="240" w:lineRule="auto"/>
              <w:ind w:firstLine="0" w:firstLineChars="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柱状样</w:t>
            </w:r>
          </w:p>
        </w:tc>
        <w:tc>
          <w:tcPr>
            <w:tcW w:w="2292" w:type="pct"/>
            <w:vMerge w:val="continue"/>
            <w:vAlign w:val="center"/>
          </w:tcPr>
          <w:p>
            <w:pPr>
              <w:spacing w:line="240" w:lineRule="auto"/>
              <w:ind w:firstLine="0" w:firstLineChars="0"/>
              <w:jc w:val="center"/>
              <w:rPr>
                <w:rFonts w:hint="default" w:ascii="Times New Roman" w:hAnsi="Times New Roman" w:cs="Times New Roman"/>
                <w:color w:val="auto"/>
                <w:sz w:val="21"/>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375" w:type="pct"/>
            <w:vAlign w:val="center"/>
          </w:tcPr>
          <w:p>
            <w:pPr>
              <w:spacing w:line="240" w:lineRule="auto"/>
              <w:ind w:firstLine="0" w:firstLineChars="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T4</w:t>
            </w:r>
          </w:p>
        </w:tc>
        <w:tc>
          <w:tcPr>
            <w:tcW w:w="826" w:type="pct"/>
            <w:vAlign w:val="center"/>
          </w:tcPr>
          <w:p>
            <w:pPr>
              <w:spacing w:line="240" w:lineRule="auto"/>
              <w:ind w:firstLine="0" w:firstLineChars="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项目厂界范围内</w:t>
            </w:r>
          </w:p>
        </w:tc>
        <w:tc>
          <w:tcPr>
            <w:tcW w:w="818" w:type="pct"/>
            <w:vAlign w:val="center"/>
          </w:tcPr>
          <w:p>
            <w:pPr>
              <w:spacing w:line="240" w:lineRule="auto"/>
              <w:ind w:firstLine="0" w:firstLineChars="0"/>
              <w:jc w:val="center"/>
              <w:rPr>
                <w:rFonts w:hint="default" w:ascii="Times New Roman" w:hAnsi="Times New Roman" w:cs="Times New Roman"/>
                <w:color w:val="auto"/>
                <w:sz w:val="21"/>
                <w:szCs w:val="18"/>
                <w:highlight w:val="none"/>
              </w:rPr>
            </w:pPr>
            <w:r>
              <w:rPr>
                <w:rFonts w:hint="default" w:ascii="Times New Roman" w:hAnsi="Times New Roman" w:cs="Times New Roman" w:eastAsiaTheme="minorEastAsia"/>
                <w:color w:val="auto"/>
                <w:sz w:val="21"/>
                <w:szCs w:val="21"/>
                <w:highlight w:val="none"/>
              </w:rPr>
              <w:t>E:87°06′06.008″N:44°12′26.441″</w:t>
            </w:r>
          </w:p>
        </w:tc>
        <w:tc>
          <w:tcPr>
            <w:tcW w:w="687" w:type="pct"/>
            <w:vAlign w:val="center"/>
          </w:tcPr>
          <w:p>
            <w:pPr>
              <w:spacing w:line="240" w:lineRule="auto"/>
              <w:ind w:firstLine="0" w:firstLineChars="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表层样</w:t>
            </w:r>
          </w:p>
        </w:tc>
        <w:tc>
          <w:tcPr>
            <w:tcW w:w="2292" w:type="pct"/>
            <w:vMerge w:val="restart"/>
            <w:vAlign w:val="center"/>
          </w:tcPr>
          <w:p>
            <w:pPr>
              <w:spacing w:line="240" w:lineRule="auto"/>
              <w:ind w:firstLine="0" w:firstLineChars="0"/>
              <w:jc w:val="center"/>
              <w:rPr>
                <w:rFonts w:hint="default" w:ascii="Times New Roman" w:hAnsi="Times New Roman" w:cs="Times New Roman"/>
                <w:color w:val="auto"/>
                <w:sz w:val="21"/>
                <w:szCs w:val="18"/>
                <w:highlight w:val="none"/>
              </w:rPr>
            </w:pPr>
            <w:r>
              <w:rPr>
                <w:rFonts w:hint="default" w:ascii="Times New Roman" w:hAnsi="Times New Roman" w:cs="Times New Roman"/>
                <w:bCs/>
                <w:color w:val="auto"/>
                <w:sz w:val="21"/>
                <w:szCs w:val="18"/>
                <w:highlight w:val="none"/>
              </w:rPr>
              <w:t>镉、汞、砷、铅、六价铬、铜、镍、四氯化碳、氯仿、氯甲烷、1</w:t>
            </w:r>
            <w:r>
              <w:rPr>
                <w:rFonts w:hint="eastAsia" w:cs="Times New Roman"/>
                <w:bCs/>
                <w:color w:val="auto"/>
                <w:sz w:val="21"/>
                <w:szCs w:val="18"/>
                <w:highlight w:val="none"/>
                <w:lang w:eastAsia="zh-CN"/>
              </w:rPr>
              <w:t>，</w:t>
            </w:r>
            <w:r>
              <w:rPr>
                <w:rFonts w:hint="default" w:ascii="Times New Roman" w:hAnsi="Times New Roman" w:cs="Times New Roman"/>
                <w:bCs/>
                <w:color w:val="auto"/>
                <w:sz w:val="21"/>
                <w:szCs w:val="18"/>
                <w:highlight w:val="none"/>
              </w:rPr>
              <w:t>1-二氯乙烷、1</w:t>
            </w:r>
            <w:r>
              <w:rPr>
                <w:rFonts w:hint="eastAsia" w:cs="Times New Roman"/>
                <w:bCs/>
                <w:color w:val="auto"/>
                <w:sz w:val="21"/>
                <w:szCs w:val="18"/>
                <w:highlight w:val="none"/>
                <w:lang w:eastAsia="zh-CN"/>
              </w:rPr>
              <w:t>，</w:t>
            </w:r>
            <w:r>
              <w:rPr>
                <w:rFonts w:hint="default" w:ascii="Times New Roman" w:hAnsi="Times New Roman" w:cs="Times New Roman"/>
                <w:bCs/>
                <w:color w:val="auto"/>
                <w:sz w:val="21"/>
                <w:szCs w:val="18"/>
                <w:highlight w:val="none"/>
              </w:rPr>
              <w:t>2-二氯乙烷、1</w:t>
            </w:r>
            <w:r>
              <w:rPr>
                <w:rFonts w:hint="eastAsia" w:cs="Times New Roman"/>
                <w:bCs/>
                <w:color w:val="auto"/>
                <w:sz w:val="21"/>
                <w:szCs w:val="18"/>
                <w:highlight w:val="none"/>
                <w:lang w:eastAsia="zh-CN"/>
              </w:rPr>
              <w:t>，</w:t>
            </w:r>
            <w:r>
              <w:rPr>
                <w:rFonts w:hint="default" w:ascii="Times New Roman" w:hAnsi="Times New Roman" w:cs="Times New Roman"/>
                <w:bCs/>
                <w:color w:val="auto"/>
                <w:sz w:val="21"/>
                <w:szCs w:val="18"/>
                <w:highlight w:val="none"/>
              </w:rPr>
              <w:t>1-二氯乙烯、顺-1</w:t>
            </w:r>
            <w:r>
              <w:rPr>
                <w:rFonts w:hint="eastAsia" w:cs="Times New Roman"/>
                <w:bCs/>
                <w:color w:val="auto"/>
                <w:sz w:val="21"/>
                <w:szCs w:val="18"/>
                <w:highlight w:val="none"/>
                <w:lang w:eastAsia="zh-CN"/>
              </w:rPr>
              <w:t>，</w:t>
            </w:r>
            <w:r>
              <w:rPr>
                <w:rFonts w:hint="default" w:ascii="Times New Roman" w:hAnsi="Times New Roman" w:cs="Times New Roman"/>
                <w:bCs/>
                <w:color w:val="auto"/>
                <w:sz w:val="21"/>
                <w:szCs w:val="18"/>
                <w:highlight w:val="none"/>
              </w:rPr>
              <w:t>2-二氯乙烯、反-1</w:t>
            </w:r>
            <w:r>
              <w:rPr>
                <w:rFonts w:hint="eastAsia" w:cs="Times New Roman"/>
                <w:bCs/>
                <w:color w:val="auto"/>
                <w:sz w:val="21"/>
                <w:szCs w:val="18"/>
                <w:highlight w:val="none"/>
                <w:lang w:eastAsia="zh-CN"/>
              </w:rPr>
              <w:t>，</w:t>
            </w:r>
            <w:r>
              <w:rPr>
                <w:rFonts w:hint="default" w:ascii="Times New Roman" w:hAnsi="Times New Roman" w:cs="Times New Roman"/>
                <w:bCs/>
                <w:color w:val="auto"/>
                <w:sz w:val="21"/>
                <w:szCs w:val="18"/>
                <w:highlight w:val="none"/>
              </w:rPr>
              <w:t>2-二氯乙烯、二氯甲烷、1，2-二氯丙烷、1</w:t>
            </w:r>
            <w:r>
              <w:rPr>
                <w:rFonts w:hint="eastAsia" w:cs="Times New Roman"/>
                <w:bCs/>
                <w:color w:val="auto"/>
                <w:sz w:val="21"/>
                <w:szCs w:val="18"/>
                <w:highlight w:val="none"/>
                <w:lang w:eastAsia="zh-CN"/>
              </w:rPr>
              <w:t>，</w:t>
            </w:r>
            <w:r>
              <w:rPr>
                <w:rFonts w:hint="default" w:ascii="Times New Roman" w:hAnsi="Times New Roman" w:cs="Times New Roman"/>
                <w:bCs/>
                <w:color w:val="auto"/>
                <w:sz w:val="21"/>
                <w:szCs w:val="18"/>
                <w:highlight w:val="none"/>
              </w:rPr>
              <w:t>1</w:t>
            </w:r>
            <w:r>
              <w:rPr>
                <w:rFonts w:hint="eastAsia" w:cs="Times New Roman"/>
                <w:bCs/>
                <w:color w:val="auto"/>
                <w:sz w:val="21"/>
                <w:szCs w:val="18"/>
                <w:highlight w:val="none"/>
                <w:lang w:eastAsia="zh-CN"/>
              </w:rPr>
              <w:t>，</w:t>
            </w:r>
            <w:r>
              <w:rPr>
                <w:rFonts w:hint="default" w:ascii="Times New Roman" w:hAnsi="Times New Roman" w:cs="Times New Roman"/>
                <w:bCs/>
                <w:color w:val="auto"/>
                <w:sz w:val="21"/>
                <w:szCs w:val="18"/>
                <w:highlight w:val="none"/>
              </w:rPr>
              <w:t>1</w:t>
            </w:r>
            <w:r>
              <w:rPr>
                <w:rFonts w:hint="eastAsia" w:cs="Times New Roman"/>
                <w:bCs/>
                <w:color w:val="auto"/>
                <w:sz w:val="21"/>
                <w:szCs w:val="18"/>
                <w:highlight w:val="none"/>
                <w:lang w:eastAsia="zh-CN"/>
              </w:rPr>
              <w:t>，</w:t>
            </w:r>
            <w:r>
              <w:rPr>
                <w:rFonts w:hint="default" w:ascii="Times New Roman" w:hAnsi="Times New Roman" w:cs="Times New Roman"/>
                <w:bCs/>
                <w:color w:val="auto"/>
                <w:sz w:val="21"/>
                <w:szCs w:val="18"/>
                <w:highlight w:val="none"/>
              </w:rPr>
              <w:t>2-四氯乙烷、1</w:t>
            </w:r>
            <w:r>
              <w:rPr>
                <w:rFonts w:hint="eastAsia" w:cs="Times New Roman"/>
                <w:bCs/>
                <w:color w:val="auto"/>
                <w:sz w:val="21"/>
                <w:szCs w:val="18"/>
                <w:highlight w:val="none"/>
                <w:lang w:eastAsia="zh-CN"/>
              </w:rPr>
              <w:t>，</w:t>
            </w:r>
            <w:r>
              <w:rPr>
                <w:rFonts w:hint="default" w:ascii="Times New Roman" w:hAnsi="Times New Roman" w:cs="Times New Roman"/>
                <w:bCs/>
                <w:color w:val="auto"/>
                <w:sz w:val="21"/>
                <w:szCs w:val="18"/>
                <w:highlight w:val="none"/>
              </w:rPr>
              <w:t>1</w:t>
            </w:r>
            <w:r>
              <w:rPr>
                <w:rFonts w:hint="eastAsia" w:cs="Times New Roman"/>
                <w:bCs/>
                <w:color w:val="auto"/>
                <w:sz w:val="21"/>
                <w:szCs w:val="18"/>
                <w:highlight w:val="none"/>
                <w:lang w:eastAsia="zh-CN"/>
              </w:rPr>
              <w:t>，</w:t>
            </w:r>
            <w:r>
              <w:rPr>
                <w:rFonts w:hint="default" w:ascii="Times New Roman" w:hAnsi="Times New Roman" w:cs="Times New Roman"/>
                <w:bCs/>
                <w:color w:val="auto"/>
                <w:sz w:val="21"/>
                <w:szCs w:val="18"/>
                <w:highlight w:val="none"/>
              </w:rPr>
              <w:t>2，2-四氯乙烷、四氯乙烯、1</w:t>
            </w:r>
            <w:r>
              <w:rPr>
                <w:rFonts w:hint="eastAsia" w:cs="Times New Roman"/>
                <w:bCs/>
                <w:color w:val="auto"/>
                <w:sz w:val="21"/>
                <w:szCs w:val="18"/>
                <w:highlight w:val="none"/>
                <w:lang w:eastAsia="zh-CN"/>
              </w:rPr>
              <w:t>，</w:t>
            </w:r>
            <w:r>
              <w:rPr>
                <w:rFonts w:hint="default" w:ascii="Times New Roman" w:hAnsi="Times New Roman" w:cs="Times New Roman"/>
                <w:bCs/>
                <w:color w:val="auto"/>
                <w:sz w:val="21"/>
                <w:szCs w:val="18"/>
                <w:highlight w:val="none"/>
              </w:rPr>
              <w:t>1</w:t>
            </w:r>
            <w:r>
              <w:rPr>
                <w:rFonts w:hint="eastAsia" w:cs="Times New Roman"/>
                <w:bCs/>
                <w:color w:val="auto"/>
                <w:sz w:val="21"/>
                <w:szCs w:val="18"/>
                <w:highlight w:val="none"/>
                <w:lang w:eastAsia="zh-CN"/>
              </w:rPr>
              <w:t>，</w:t>
            </w:r>
            <w:r>
              <w:rPr>
                <w:rFonts w:hint="default" w:ascii="Times New Roman" w:hAnsi="Times New Roman" w:cs="Times New Roman"/>
                <w:bCs/>
                <w:color w:val="auto"/>
                <w:sz w:val="21"/>
                <w:szCs w:val="18"/>
                <w:highlight w:val="none"/>
              </w:rPr>
              <w:t>1-三氯乙烷、1</w:t>
            </w:r>
            <w:r>
              <w:rPr>
                <w:rFonts w:hint="eastAsia" w:cs="Times New Roman"/>
                <w:bCs/>
                <w:color w:val="auto"/>
                <w:sz w:val="21"/>
                <w:szCs w:val="18"/>
                <w:highlight w:val="none"/>
                <w:lang w:eastAsia="zh-CN"/>
              </w:rPr>
              <w:t>，</w:t>
            </w:r>
            <w:r>
              <w:rPr>
                <w:rFonts w:hint="default" w:ascii="Times New Roman" w:hAnsi="Times New Roman" w:cs="Times New Roman"/>
                <w:bCs/>
                <w:color w:val="auto"/>
                <w:sz w:val="21"/>
                <w:szCs w:val="18"/>
                <w:highlight w:val="none"/>
              </w:rPr>
              <w:t>1</w:t>
            </w:r>
            <w:r>
              <w:rPr>
                <w:rFonts w:hint="eastAsia" w:cs="Times New Roman"/>
                <w:bCs/>
                <w:color w:val="auto"/>
                <w:sz w:val="21"/>
                <w:szCs w:val="18"/>
                <w:highlight w:val="none"/>
                <w:lang w:eastAsia="zh-CN"/>
              </w:rPr>
              <w:t>，</w:t>
            </w:r>
            <w:r>
              <w:rPr>
                <w:rFonts w:hint="default" w:ascii="Times New Roman" w:hAnsi="Times New Roman" w:cs="Times New Roman"/>
                <w:bCs/>
                <w:color w:val="auto"/>
                <w:sz w:val="21"/>
                <w:szCs w:val="18"/>
                <w:highlight w:val="none"/>
              </w:rPr>
              <w:t>2-三氯乙烷、三氯乙烯、1</w:t>
            </w:r>
            <w:r>
              <w:rPr>
                <w:rFonts w:hint="eastAsia" w:cs="Times New Roman"/>
                <w:bCs/>
                <w:color w:val="auto"/>
                <w:sz w:val="21"/>
                <w:szCs w:val="18"/>
                <w:highlight w:val="none"/>
                <w:lang w:eastAsia="zh-CN"/>
              </w:rPr>
              <w:t>，</w:t>
            </w:r>
            <w:r>
              <w:rPr>
                <w:rFonts w:hint="default" w:ascii="Times New Roman" w:hAnsi="Times New Roman" w:cs="Times New Roman"/>
                <w:bCs/>
                <w:color w:val="auto"/>
                <w:sz w:val="21"/>
                <w:szCs w:val="18"/>
                <w:highlight w:val="none"/>
              </w:rPr>
              <w:t>2</w:t>
            </w:r>
            <w:r>
              <w:rPr>
                <w:rFonts w:hint="eastAsia" w:cs="Times New Roman"/>
                <w:bCs/>
                <w:color w:val="auto"/>
                <w:sz w:val="21"/>
                <w:szCs w:val="18"/>
                <w:highlight w:val="none"/>
                <w:lang w:eastAsia="zh-CN"/>
              </w:rPr>
              <w:t>，</w:t>
            </w:r>
            <w:r>
              <w:rPr>
                <w:rFonts w:hint="default" w:ascii="Times New Roman" w:hAnsi="Times New Roman" w:cs="Times New Roman"/>
                <w:bCs/>
                <w:color w:val="auto"/>
                <w:sz w:val="21"/>
                <w:szCs w:val="18"/>
                <w:highlight w:val="none"/>
              </w:rPr>
              <w:t>3-三氯丙烷、氯乙烯、苯、氯苯、1</w:t>
            </w:r>
            <w:r>
              <w:rPr>
                <w:rFonts w:hint="eastAsia" w:cs="Times New Roman"/>
                <w:bCs/>
                <w:color w:val="auto"/>
                <w:sz w:val="21"/>
                <w:szCs w:val="18"/>
                <w:highlight w:val="none"/>
                <w:lang w:eastAsia="zh-CN"/>
              </w:rPr>
              <w:t>，</w:t>
            </w:r>
            <w:r>
              <w:rPr>
                <w:rFonts w:hint="default" w:ascii="Times New Roman" w:hAnsi="Times New Roman" w:cs="Times New Roman"/>
                <w:bCs/>
                <w:color w:val="auto"/>
                <w:sz w:val="21"/>
                <w:szCs w:val="18"/>
                <w:highlight w:val="none"/>
              </w:rPr>
              <w:t>2-二氯苯、1</w:t>
            </w:r>
            <w:r>
              <w:rPr>
                <w:rFonts w:hint="eastAsia" w:cs="Times New Roman"/>
                <w:bCs/>
                <w:color w:val="auto"/>
                <w:sz w:val="21"/>
                <w:szCs w:val="18"/>
                <w:highlight w:val="none"/>
                <w:lang w:eastAsia="zh-CN"/>
              </w:rPr>
              <w:t>，</w:t>
            </w:r>
            <w:r>
              <w:rPr>
                <w:rFonts w:hint="default" w:ascii="Times New Roman" w:hAnsi="Times New Roman" w:cs="Times New Roman"/>
                <w:bCs/>
                <w:color w:val="auto"/>
                <w:sz w:val="21"/>
                <w:szCs w:val="18"/>
                <w:highlight w:val="none"/>
              </w:rPr>
              <w:t>4-二氯苯、乙苯、苯乙烯、甲苯、间二甲苯+对二甲苯、邻二甲苯、硝基苯、苯胺、2-氯苯酚、苯并〔a〕蒽、苯并〔a〕芘、苯并〔b〕荧蒽、苯并〔k〕荧蒽、䓛、二苯并〔a，h〕蒽、茚并〔1</w:t>
            </w:r>
            <w:r>
              <w:rPr>
                <w:rFonts w:hint="eastAsia" w:cs="Times New Roman"/>
                <w:bCs/>
                <w:color w:val="auto"/>
                <w:sz w:val="21"/>
                <w:szCs w:val="18"/>
                <w:highlight w:val="none"/>
                <w:lang w:eastAsia="zh-CN"/>
              </w:rPr>
              <w:t>，</w:t>
            </w:r>
            <w:r>
              <w:rPr>
                <w:rFonts w:hint="default" w:ascii="Times New Roman" w:hAnsi="Times New Roman" w:cs="Times New Roman"/>
                <w:bCs/>
                <w:color w:val="auto"/>
                <w:sz w:val="21"/>
                <w:szCs w:val="18"/>
                <w:highlight w:val="none"/>
              </w:rPr>
              <w:t>2</w:t>
            </w:r>
            <w:r>
              <w:rPr>
                <w:rFonts w:hint="eastAsia" w:cs="Times New Roman"/>
                <w:bCs/>
                <w:color w:val="auto"/>
                <w:sz w:val="21"/>
                <w:szCs w:val="18"/>
                <w:highlight w:val="none"/>
                <w:lang w:eastAsia="zh-CN"/>
              </w:rPr>
              <w:t>，</w:t>
            </w:r>
            <w:r>
              <w:rPr>
                <w:rFonts w:hint="default" w:ascii="Times New Roman" w:hAnsi="Times New Roman" w:cs="Times New Roman"/>
                <w:bCs/>
                <w:color w:val="auto"/>
                <w:sz w:val="21"/>
                <w:szCs w:val="18"/>
                <w:highlight w:val="none"/>
              </w:rPr>
              <w:t>3-cd〕芘、萘、Ph共45项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375" w:type="pct"/>
            <w:vAlign w:val="center"/>
          </w:tcPr>
          <w:p>
            <w:pPr>
              <w:spacing w:line="240" w:lineRule="auto"/>
              <w:ind w:firstLine="0" w:firstLineChars="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T5</w:t>
            </w:r>
          </w:p>
        </w:tc>
        <w:tc>
          <w:tcPr>
            <w:tcW w:w="826" w:type="pct"/>
            <w:vAlign w:val="center"/>
          </w:tcPr>
          <w:p>
            <w:pPr>
              <w:spacing w:line="240" w:lineRule="auto"/>
              <w:ind w:firstLine="0" w:firstLineChars="0"/>
              <w:jc w:val="center"/>
              <w:rPr>
                <w:rFonts w:hint="eastAsia" w:ascii="Times New Roman" w:hAnsi="Times New Roman" w:eastAsia="宋体" w:cs="Times New Roman"/>
                <w:color w:val="auto"/>
                <w:sz w:val="21"/>
                <w:szCs w:val="18"/>
                <w:highlight w:val="none"/>
                <w:lang w:eastAsia="zh-CN"/>
              </w:rPr>
            </w:pPr>
            <w:r>
              <w:rPr>
                <w:rFonts w:hint="default" w:ascii="Times New Roman" w:hAnsi="Times New Roman" w:cs="Times New Roman"/>
                <w:color w:val="auto"/>
                <w:sz w:val="21"/>
                <w:szCs w:val="18"/>
                <w:highlight w:val="none"/>
              </w:rPr>
              <w:t>项目厂界外西侧</w:t>
            </w:r>
            <w:r>
              <w:rPr>
                <w:rFonts w:hint="eastAsia" w:cs="Times New Roman"/>
                <w:color w:val="auto"/>
                <w:sz w:val="21"/>
                <w:szCs w:val="18"/>
                <w:highlight w:val="none"/>
                <w:lang w:eastAsia="zh-CN"/>
              </w:rPr>
              <w:t>（再生林污灌区）</w:t>
            </w:r>
          </w:p>
        </w:tc>
        <w:tc>
          <w:tcPr>
            <w:tcW w:w="818" w:type="pct"/>
            <w:vAlign w:val="center"/>
          </w:tcPr>
          <w:p>
            <w:pPr>
              <w:spacing w:line="240" w:lineRule="auto"/>
              <w:ind w:firstLine="0" w:firstLineChars="0"/>
              <w:jc w:val="center"/>
              <w:rPr>
                <w:rFonts w:hint="default" w:ascii="Times New Roman" w:hAnsi="Times New Roman" w:cs="Times New Roman"/>
                <w:color w:val="auto"/>
                <w:sz w:val="21"/>
                <w:szCs w:val="18"/>
                <w:highlight w:val="none"/>
              </w:rPr>
            </w:pPr>
            <w:r>
              <w:rPr>
                <w:rFonts w:hint="default" w:ascii="Times New Roman" w:hAnsi="Times New Roman" w:cs="Times New Roman" w:eastAsiaTheme="minorEastAsia"/>
                <w:color w:val="auto"/>
                <w:sz w:val="21"/>
                <w:szCs w:val="21"/>
                <w:highlight w:val="none"/>
              </w:rPr>
              <w:t>E:87°06′00.945″N:44°12′26.386″</w:t>
            </w:r>
          </w:p>
        </w:tc>
        <w:tc>
          <w:tcPr>
            <w:tcW w:w="687" w:type="pct"/>
            <w:vAlign w:val="center"/>
          </w:tcPr>
          <w:p>
            <w:pPr>
              <w:spacing w:line="240" w:lineRule="auto"/>
              <w:ind w:firstLine="0" w:firstLineChars="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表层样</w:t>
            </w:r>
          </w:p>
        </w:tc>
        <w:tc>
          <w:tcPr>
            <w:tcW w:w="2292" w:type="pct"/>
            <w:vMerge w:val="continue"/>
            <w:vAlign w:val="center"/>
          </w:tcPr>
          <w:p>
            <w:pPr>
              <w:spacing w:line="240" w:lineRule="auto"/>
              <w:ind w:firstLine="0" w:firstLineChars="0"/>
              <w:jc w:val="center"/>
              <w:rPr>
                <w:rFonts w:hint="default" w:ascii="Times New Roman" w:hAnsi="Times New Roman" w:cs="Times New Roman"/>
                <w:color w:val="auto"/>
                <w:sz w:val="21"/>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375" w:type="pct"/>
            <w:vAlign w:val="center"/>
          </w:tcPr>
          <w:p>
            <w:pPr>
              <w:spacing w:line="240" w:lineRule="auto"/>
              <w:ind w:firstLine="0" w:firstLineChars="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T6</w:t>
            </w:r>
          </w:p>
        </w:tc>
        <w:tc>
          <w:tcPr>
            <w:tcW w:w="826" w:type="pct"/>
            <w:vAlign w:val="center"/>
          </w:tcPr>
          <w:p>
            <w:pPr>
              <w:spacing w:line="240" w:lineRule="auto"/>
              <w:ind w:firstLine="0" w:firstLineChars="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项目厂界外东侧</w:t>
            </w:r>
          </w:p>
        </w:tc>
        <w:tc>
          <w:tcPr>
            <w:tcW w:w="818" w:type="pct"/>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E:87°06′10.762″N:44°12′24.892″</w:t>
            </w:r>
          </w:p>
        </w:tc>
        <w:tc>
          <w:tcPr>
            <w:tcW w:w="687" w:type="pct"/>
            <w:vAlign w:val="center"/>
          </w:tcPr>
          <w:p>
            <w:pPr>
              <w:spacing w:line="240" w:lineRule="auto"/>
              <w:ind w:firstLine="0" w:firstLineChars="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表层样</w:t>
            </w:r>
          </w:p>
        </w:tc>
        <w:tc>
          <w:tcPr>
            <w:tcW w:w="2292" w:type="pct"/>
            <w:vMerge w:val="continue"/>
            <w:vAlign w:val="center"/>
          </w:tcPr>
          <w:p>
            <w:pPr>
              <w:spacing w:line="240" w:lineRule="auto"/>
              <w:ind w:firstLine="0" w:firstLineChars="0"/>
              <w:jc w:val="center"/>
              <w:rPr>
                <w:rFonts w:hint="default" w:ascii="Times New Roman" w:hAnsi="Times New Roman" w:cs="Times New Roman"/>
                <w:color w:val="auto"/>
                <w:sz w:val="21"/>
                <w:szCs w:val="18"/>
                <w:highlight w:val="none"/>
              </w:rPr>
            </w:pPr>
          </w:p>
        </w:tc>
      </w:tr>
    </w:tbl>
    <w:p>
      <w:pPr>
        <w:bidi w:val="0"/>
        <w:rPr>
          <w:rFonts w:hint="default"/>
        </w:rPr>
      </w:pP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监测结果</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本次评价土壤质量监测结果详见下表。</w:t>
      </w:r>
    </w:p>
    <w:p>
      <w:pPr>
        <w:ind w:firstLine="480"/>
        <w:rPr>
          <w:rFonts w:hint="default" w:ascii="Times New Roman" w:hAnsi="Times New Roman" w:cs="Times New Roman"/>
          <w:color w:val="auto"/>
          <w:highlight w:val="none"/>
        </w:rPr>
        <w:sectPr>
          <w:headerReference r:id="rId17" w:type="default"/>
          <w:footerReference r:id="rId18" w:type="default"/>
          <w:pgSz w:w="11907" w:h="16839"/>
          <w:pgMar w:top="1088" w:right="1757" w:bottom="1398" w:left="1770" w:header="1078" w:footer="1237" w:gutter="0"/>
          <w:pgBorders>
            <w:top w:val="none" w:sz="0" w:space="0"/>
            <w:left w:val="none" w:sz="0" w:space="0"/>
            <w:bottom w:val="none" w:sz="0" w:space="0"/>
            <w:right w:val="none" w:sz="0" w:space="0"/>
          </w:pgBorders>
          <w:pgNumType w:fmt="numberInDash"/>
          <w:cols w:space="720" w:num="1"/>
        </w:sectPr>
      </w:pPr>
    </w:p>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rPr>
        <w:t>表4.3-</w:t>
      </w:r>
      <w:r>
        <w:rPr>
          <w:rFonts w:hint="eastAsia" w:cs="Times New Roman"/>
          <w:color w:val="auto"/>
          <w:highlight w:val="none"/>
          <w:lang w:val="en-US" w:eastAsia="zh-CN"/>
        </w:rPr>
        <w:t>10</w:t>
      </w:r>
      <w:r>
        <w:rPr>
          <w:rFonts w:hint="default" w:ascii="Times New Roman" w:hAnsi="Times New Roman" w:cs="Times New Roman"/>
          <w:color w:val="auto"/>
          <w:highlight w:val="none"/>
        </w:rPr>
        <w:t>土壤监测结果一览表</w:t>
      </w:r>
    </w:p>
    <w:tbl>
      <w:tblPr>
        <w:tblStyle w:val="33"/>
        <w:tblW w:w="505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01"/>
        <w:gridCol w:w="1298"/>
        <w:gridCol w:w="1307"/>
        <w:gridCol w:w="2953"/>
        <w:gridCol w:w="970"/>
        <w:gridCol w:w="970"/>
        <w:gridCol w:w="1002"/>
        <w:gridCol w:w="973"/>
        <w:gridCol w:w="970"/>
        <w:gridCol w:w="1034"/>
        <w:gridCol w:w="882"/>
        <w:gridCol w:w="882"/>
        <w:gridCol w:w="9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08" w:hRule="exact"/>
          <w:jc w:val="center"/>
        </w:trPr>
        <w:tc>
          <w:tcPr>
            <w:tcW w:w="2047" w:type="pct"/>
            <w:gridSpan w:val="4"/>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采样位置</w:t>
            </w:r>
          </w:p>
        </w:tc>
        <w:tc>
          <w:tcPr>
            <w:tcW w:w="1010" w:type="pct"/>
            <w:gridSpan w:val="3"/>
            <w:tcBorders>
              <w:tl2br w:val="nil"/>
              <w:tr2bl w:val="nil"/>
            </w:tcBorders>
            <w:vAlign w:val="center"/>
          </w:tcPr>
          <w:p>
            <w:pPr>
              <w:ind w:left="-120" w:leftChars="-50" w:right="-120" w:rightChars="-50" w:firstLine="48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021" w:type="pct"/>
            <w:gridSpan w:val="3"/>
            <w:tcBorders>
              <w:tl2br w:val="nil"/>
              <w:tr2bl w:val="nil"/>
            </w:tcBorders>
            <w:vAlign w:val="center"/>
          </w:tcPr>
          <w:p>
            <w:pPr>
              <w:ind w:left="-120" w:leftChars="-50" w:right="-120" w:rightChars="-50" w:firstLine="48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919" w:type="pct"/>
            <w:gridSpan w:val="3"/>
            <w:tcBorders>
              <w:tl2br w:val="nil"/>
              <w:tr2bl w:val="nil"/>
            </w:tcBorders>
            <w:vAlign w:val="center"/>
          </w:tcPr>
          <w:p>
            <w:pPr>
              <w:ind w:left="-120" w:leftChars="-50" w:right="-120" w:rightChars="-50" w:firstLine="48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Cs w:val="21"/>
                <w:highlight w:val="none"/>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08" w:hRule="exact"/>
          <w:jc w:val="center"/>
        </w:trPr>
        <w:tc>
          <w:tcPr>
            <w:tcW w:w="2047" w:type="pct"/>
            <w:gridSpan w:val="4"/>
            <w:vMerge w:val="restar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坐标信息</w:t>
            </w:r>
          </w:p>
        </w:tc>
        <w:tc>
          <w:tcPr>
            <w:tcW w:w="1010"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1021"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919"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08" w:hRule="exact"/>
          <w:jc w:val="center"/>
        </w:trPr>
        <w:tc>
          <w:tcPr>
            <w:tcW w:w="2047" w:type="pct"/>
            <w:gridSpan w:val="4"/>
            <w:vMerge w:val="continue"/>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1010"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1021"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p>
        </w:tc>
        <w:tc>
          <w:tcPr>
            <w:tcW w:w="919"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08" w:hRule="exact"/>
          <w:jc w:val="center"/>
        </w:trPr>
        <w:tc>
          <w:tcPr>
            <w:tcW w:w="2047" w:type="pct"/>
            <w:gridSpan w:val="4"/>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样品编号</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TR-1-1</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TR-1-2</w:t>
            </w:r>
          </w:p>
        </w:tc>
        <w:tc>
          <w:tcPr>
            <w:tcW w:w="34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TR-1-3</w:t>
            </w:r>
          </w:p>
        </w:tc>
        <w:tc>
          <w:tcPr>
            <w:tcW w:w="33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TR-2-1</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TR-2-2</w:t>
            </w:r>
          </w:p>
        </w:tc>
        <w:tc>
          <w:tcPr>
            <w:tcW w:w="35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TR-2-3</w:t>
            </w:r>
          </w:p>
        </w:tc>
        <w:tc>
          <w:tcPr>
            <w:tcW w:w="303"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TR-3-1</w:t>
            </w:r>
          </w:p>
        </w:tc>
        <w:tc>
          <w:tcPr>
            <w:tcW w:w="30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eastAsiaTheme="minorEastAsia"/>
                <w:color w:val="auto"/>
                <w:sz w:val="21"/>
                <w:szCs w:val="21"/>
                <w:highlight w:val="none"/>
              </w:rPr>
              <w:t>TR-3-2</w:t>
            </w:r>
          </w:p>
        </w:tc>
        <w:tc>
          <w:tcPr>
            <w:tcW w:w="31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eastAsiaTheme="minorEastAsia"/>
                <w:color w:val="auto"/>
                <w:sz w:val="21"/>
                <w:szCs w:val="21"/>
                <w:highlight w:val="none"/>
              </w:rPr>
              <w:t>TR-3-3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08" w:hRule="exact"/>
          <w:jc w:val="center"/>
        </w:trPr>
        <w:tc>
          <w:tcPr>
            <w:tcW w:w="2047" w:type="pct"/>
            <w:gridSpan w:val="4"/>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采样深度</w:t>
            </w:r>
            <w:r>
              <w:rPr>
                <w:rFonts w:hint="default" w:ascii="Times New Roman" w:hAnsi="Times New Roman" w:cs="Times New Roman"/>
                <w:color w:val="auto"/>
                <w:sz w:val="21"/>
                <w:szCs w:val="21"/>
                <w:highlight w:val="none"/>
              </w:rPr>
              <w:t>m</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0~0.5</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0.5~1.5</w:t>
            </w:r>
          </w:p>
        </w:tc>
        <w:tc>
          <w:tcPr>
            <w:tcW w:w="34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1.5~3.0</w:t>
            </w:r>
          </w:p>
        </w:tc>
        <w:tc>
          <w:tcPr>
            <w:tcW w:w="33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0~0.5</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0.5~1.5</w:t>
            </w:r>
          </w:p>
        </w:tc>
        <w:tc>
          <w:tcPr>
            <w:tcW w:w="35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1.5~3.0</w:t>
            </w:r>
          </w:p>
        </w:tc>
        <w:tc>
          <w:tcPr>
            <w:tcW w:w="303"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0~0.5</w:t>
            </w:r>
          </w:p>
        </w:tc>
        <w:tc>
          <w:tcPr>
            <w:tcW w:w="30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eastAsiaTheme="minorEastAsia"/>
                <w:color w:val="auto"/>
                <w:sz w:val="21"/>
                <w:szCs w:val="21"/>
                <w:highlight w:val="none"/>
              </w:rPr>
              <w:t>0.5~1.5</w:t>
            </w:r>
          </w:p>
        </w:tc>
        <w:tc>
          <w:tcPr>
            <w:tcW w:w="31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eastAsiaTheme="minorEastAsia"/>
                <w:color w:val="auto"/>
                <w:sz w:val="21"/>
                <w:szCs w:val="21"/>
                <w:highlight w:val="none"/>
              </w:rPr>
              <w:t>1.5~3.0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08" w:hRule="exact"/>
          <w:jc w:val="center"/>
        </w:trPr>
        <w:tc>
          <w:tcPr>
            <w:tcW w:w="13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序号</w:t>
            </w:r>
          </w:p>
        </w:tc>
        <w:tc>
          <w:tcPr>
            <w:tcW w:w="446"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检测项目</w:t>
            </w:r>
          </w:p>
        </w:tc>
        <w:tc>
          <w:tcPr>
            <w:tcW w:w="449"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单位</w:t>
            </w:r>
          </w:p>
        </w:tc>
        <w:tc>
          <w:tcPr>
            <w:tcW w:w="1012"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标准</w:t>
            </w:r>
          </w:p>
        </w:tc>
        <w:tc>
          <w:tcPr>
            <w:tcW w:w="2032" w:type="pct"/>
            <w:gridSpan w:val="6"/>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检测结果</w:t>
            </w:r>
          </w:p>
        </w:tc>
        <w:tc>
          <w:tcPr>
            <w:tcW w:w="919" w:type="pct"/>
            <w:gridSpan w:val="3"/>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bCs/>
                <w:color w:val="auto"/>
                <w:sz w:val="21"/>
                <w:szCs w:val="21"/>
                <w:highlight w:val="none"/>
              </w:rPr>
              <w:t>检测结果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08" w:hRule="exact"/>
          <w:jc w:val="center"/>
        </w:trPr>
        <w:tc>
          <w:tcPr>
            <w:tcW w:w="13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w:t>
            </w:r>
          </w:p>
        </w:tc>
        <w:tc>
          <w:tcPr>
            <w:tcW w:w="446"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镉</w:t>
            </w:r>
          </w:p>
        </w:tc>
        <w:tc>
          <w:tcPr>
            <w:tcW w:w="449"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bCs/>
                <w:color w:val="auto"/>
                <w:sz w:val="21"/>
                <w:szCs w:val="21"/>
                <w:highlight w:val="none"/>
              </w:rPr>
              <w:t>mg/kg</w:t>
            </w:r>
          </w:p>
        </w:tc>
        <w:tc>
          <w:tcPr>
            <w:tcW w:w="1012" w:type="pct"/>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kern w:val="0"/>
                <w:sz w:val="21"/>
                <w:szCs w:val="21"/>
                <w:highlight w:val="none"/>
                <w:lang w:bidi="ar"/>
              </w:rPr>
              <w:t>≤65</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0.05</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0.05</w:t>
            </w:r>
          </w:p>
        </w:tc>
        <w:tc>
          <w:tcPr>
            <w:tcW w:w="34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0.05</w:t>
            </w:r>
          </w:p>
        </w:tc>
        <w:tc>
          <w:tcPr>
            <w:tcW w:w="33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0.07</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0.06</w:t>
            </w:r>
          </w:p>
        </w:tc>
        <w:tc>
          <w:tcPr>
            <w:tcW w:w="35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0.08</w:t>
            </w:r>
          </w:p>
        </w:tc>
        <w:tc>
          <w:tcPr>
            <w:tcW w:w="303" w:type="pct"/>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eastAsiaTheme="minorEastAsia"/>
                <w:color w:val="auto"/>
                <w:sz w:val="21"/>
                <w:szCs w:val="21"/>
                <w:highlight w:val="none"/>
              </w:rPr>
              <w:t>0.08</w:t>
            </w:r>
          </w:p>
        </w:tc>
        <w:tc>
          <w:tcPr>
            <w:tcW w:w="30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eastAsiaTheme="minorEastAsia"/>
                <w:color w:val="auto"/>
                <w:sz w:val="21"/>
                <w:szCs w:val="21"/>
                <w:highlight w:val="none"/>
              </w:rPr>
              <w:t>0.07</w:t>
            </w:r>
          </w:p>
        </w:tc>
        <w:tc>
          <w:tcPr>
            <w:tcW w:w="31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eastAsiaTheme="minorEastAsia"/>
                <w:color w:val="auto"/>
                <w:sz w:val="21"/>
                <w:szCs w:val="21"/>
                <w:highlight w:val="none"/>
              </w:rPr>
              <w:t>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08" w:hRule="exact"/>
          <w:jc w:val="center"/>
        </w:trPr>
        <w:tc>
          <w:tcPr>
            <w:tcW w:w="13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w:t>
            </w:r>
          </w:p>
        </w:tc>
        <w:tc>
          <w:tcPr>
            <w:tcW w:w="446"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铅</w:t>
            </w:r>
          </w:p>
        </w:tc>
        <w:tc>
          <w:tcPr>
            <w:tcW w:w="449"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bCs/>
                <w:color w:val="auto"/>
                <w:sz w:val="21"/>
                <w:szCs w:val="21"/>
                <w:highlight w:val="none"/>
              </w:rPr>
              <w:t>mg/kg</w:t>
            </w:r>
          </w:p>
        </w:tc>
        <w:tc>
          <w:tcPr>
            <w:tcW w:w="1012" w:type="pct"/>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kern w:val="0"/>
                <w:sz w:val="21"/>
                <w:szCs w:val="21"/>
                <w:highlight w:val="none"/>
                <w:lang w:bidi="ar"/>
              </w:rPr>
              <w:t>≤800</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14</w:t>
            </w:r>
          </w:p>
        </w:tc>
        <w:tc>
          <w:tcPr>
            <w:tcW w:w="34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15</w:t>
            </w:r>
          </w:p>
        </w:tc>
        <w:tc>
          <w:tcPr>
            <w:tcW w:w="33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11</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17</w:t>
            </w:r>
          </w:p>
        </w:tc>
        <w:tc>
          <w:tcPr>
            <w:tcW w:w="35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18</w:t>
            </w:r>
          </w:p>
        </w:tc>
        <w:tc>
          <w:tcPr>
            <w:tcW w:w="303" w:type="pct"/>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eastAsiaTheme="minorEastAsia"/>
                <w:color w:val="auto"/>
                <w:sz w:val="21"/>
                <w:szCs w:val="21"/>
                <w:highlight w:val="none"/>
              </w:rPr>
              <w:t>11</w:t>
            </w:r>
          </w:p>
        </w:tc>
        <w:tc>
          <w:tcPr>
            <w:tcW w:w="30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eastAsiaTheme="minorEastAsia"/>
                <w:color w:val="auto"/>
                <w:sz w:val="21"/>
                <w:szCs w:val="21"/>
                <w:highlight w:val="none"/>
              </w:rPr>
              <w:t>10</w:t>
            </w:r>
          </w:p>
        </w:tc>
        <w:tc>
          <w:tcPr>
            <w:tcW w:w="31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eastAsiaTheme="minorEastAsia"/>
                <w:color w:val="auto"/>
                <w:sz w:val="21"/>
                <w:szCs w:val="21"/>
                <w:highlight w:val="none"/>
              </w:rPr>
              <w:t>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08" w:hRule="exact"/>
          <w:jc w:val="center"/>
        </w:trPr>
        <w:tc>
          <w:tcPr>
            <w:tcW w:w="13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w:t>
            </w:r>
          </w:p>
        </w:tc>
        <w:tc>
          <w:tcPr>
            <w:tcW w:w="446"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铜</w:t>
            </w:r>
          </w:p>
        </w:tc>
        <w:tc>
          <w:tcPr>
            <w:tcW w:w="449"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bCs/>
                <w:color w:val="auto"/>
                <w:sz w:val="21"/>
                <w:szCs w:val="21"/>
                <w:highlight w:val="none"/>
              </w:rPr>
              <w:t>mg/kg</w:t>
            </w:r>
          </w:p>
        </w:tc>
        <w:tc>
          <w:tcPr>
            <w:tcW w:w="1012" w:type="pct"/>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kern w:val="0"/>
                <w:sz w:val="21"/>
                <w:szCs w:val="21"/>
                <w:highlight w:val="none"/>
                <w:lang w:bidi="ar"/>
              </w:rPr>
              <w:t>≤18000</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22</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17</w:t>
            </w:r>
          </w:p>
        </w:tc>
        <w:tc>
          <w:tcPr>
            <w:tcW w:w="34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16</w:t>
            </w:r>
          </w:p>
        </w:tc>
        <w:tc>
          <w:tcPr>
            <w:tcW w:w="33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11</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27</w:t>
            </w:r>
          </w:p>
        </w:tc>
        <w:tc>
          <w:tcPr>
            <w:tcW w:w="35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24</w:t>
            </w:r>
          </w:p>
        </w:tc>
        <w:tc>
          <w:tcPr>
            <w:tcW w:w="303" w:type="pct"/>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eastAsiaTheme="minorEastAsia"/>
                <w:color w:val="auto"/>
                <w:sz w:val="21"/>
                <w:szCs w:val="21"/>
                <w:highlight w:val="none"/>
              </w:rPr>
              <w:t>16</w:t>
            </w:r>
          </w:p>
        </w:tc>
        <w:tc>
          <w:tcPr>
            <w:tcW w:w="30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eastAsiaTheme="minorEastAsia"/>
                <w:color w:val="auto"/>
                <w:sz w:val="21"/>
                <w:szCs w:val="21"/>
                <w:highlight w:val="none"/>
              </w:rPr>
              <w:t>29</w:t>
            </w:r>
          </w:p>
        </w:tc>
        <w:tc>
          <w:tcPr>
            <w:tcW w:w="31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eastAsiaTheme="minorEastAsia"/>
                <w:color w:val="auto"/>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08" w:hRule="exact"/>
          <w:jc w:val="center"/>
        </w:trPr>
        <w:tc>
          <w:tcPr>
            <w:tcW w:w="13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4</w:t>
            </w:r>
          </w:p>
        </w:tc>
        <w:tc>
          <w:tcPr>
            <w:tcW w:w="446"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镍</w:t>
            </w:r>
          </w:p>
        </w:tc>
        <w:tc>
          <w:tcPr>
            <w:tcW w:w="449"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bCs/>
                <w:color w:val="auto"/>
                <w:sz w:val="21"/>
                <w:szCs w:val="21"/>
                <w:highlight w:val="none"/>
              </w:rPr>
              <w:t>mg/kg</w:t>
            </w:r>
          </w:p>
        </w:tc>
        <w:tc>
          <w:tcPr>
            <w:tcW w:w="1012" w:type="pct"/>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kern w:val="0"/>
                <w:sz w:val="21"/>
                <w:szCs w:val="21"/>
                <w:highlight w:val="none"/>
                <w:lang w:bidi="ar"/>
              </w:rPr>
              <w:t>≤900</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w:t>
            </w:r>
          </w:p>
        </w:tc>
        <w:tc>
          <w:tcPr>
            <w:tcW w:w="34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w:t>
            </w:r>
          </w:p>
        </w:tc>
        <w:tc>
          <w:tcPr>
            <w:tcW w:w="33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w:t>
            </w:r>
          </w:p>
        </w:tc>
        <w:tc>
          <w:tcPr>
            <w:tcW w:w="35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w:t>
            </w:r>
          </w:p>
        </w:tc>
        <w:tc>
          <w:tcPr>
            <w:tcW w:w="303" w:type="pct"/>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14</w:t>
            </w:r>
          </w:p>
        </w:tc>
        <w:tc>
          <w:tcPr>
            <w:tcW w:w="30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rPr>
              <w:t>13</w:t>
            </w:r>
          </w:p>
        </w:tc>
        <w:tc>
          <w:tcPr>
            <w:tcW w:w="31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08" w:hRule="exact"/>
          <w:jc w:val="center"/>
        </w:trPr>
        <w:tc>
          <w:tcPr>
            <w:tcW w:w="13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5</w:t>
            </w:r>
          </w:p>
        </w:tc>
        <w:tc>
          <w:tcPr>
            <w:tcW w:w="446"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砷</w:t>
            </w:r>
          </w:p>
        </w:tc>
        <w:tc>
          <w:tcPr>
            <w:tcW w:w="449"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bCs/>
                <w:color w:val="auto"/>
                <w:sz w:val="21"/>
                <w:szCs w:val="21"/>
                <w:highlight w:val="none"/>
              </w:rPr>
              <w:t>mg/kg</w:t>
            </w:r>
          </w:p>
        </w:tc>
        <w:tc>
          <w:tcPr>
            <w:tcW w:w="1012" w:type="pct"/>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kern w:val="0"/>
                <w:sz w:val="21"/>
                <w:szCs w:val="21"/>
                <w:highlight w:val="none"/>
                <w:lang w:bidi="ar"/>
              </w:rPr>
              <w:t>≤60</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14.2</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12.1</w:t>
            </w:r>
          </w:p>
        </w:tc>
        <w:tc>
          <w:tcPr>
            <w:tcW w:w="34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13.7</w:t>
            </w:r>
          </w:p>
        </w:tc>
        <w:tc>
          <w:tcPr>
            <w:tcW w:w="33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13.3</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12.5</w:t>
            </w:r>
          </w:p>
        </w:tc>
        <w:tc>
          <w:tcPr>
            <w:tcW w:w="35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12.9</w:t>
            </w:r>
          </w:p>
        </w:tc>
        <w:tc>
          <w:tcPr>
            <w:tcW w:w="303" w:type="pct"/>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10.3</w:t>
            </w:r>
          </w:p>
        </w:tc>
        <w:tc>
          <w:tcPr>
            <w:tcW w:w="30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rPr>
              <w:t>11.6</w:t>
            </w:r>
          </w:p>
        </w:tc>
        <w:tc>
          <w:tcPr>
            <w:tcW w:w="31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rPr>
              <w:t>12.1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08" w:hRule="exact"/>
          <w:jc w:val="center"/>
        </w:trPr>
        <w:tc>
          <w:tcPr>
            <w:tcW w:w="13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6</w:t>
            </w:r>
          </w:p>
        </w:tc>
        <w:tc>
          <w:tcPr>
            <w:tcW w:w="446"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汞</w:t>
            </w:r>
          </w:p>
        </w:tc>
        <w:tc>
          <w:tcPr>
            <w:tcW w:w="449"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bCs/>
                <w:color w:val="auto"/>
                <w:sz w:val="21"/>
                <w:szCs w:val="21"/>
                <w:highlight w:val="none"/>
              </w:rPr>
              <w:t>mg/kg</w:t>
            </w:r>
          </w:p>
        </w:tc>
        <w:tc>
          <w:tcPr>
            <w:tcW w:w="1012" w:type="pct"/>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kern w:val="0"/>
                <w:sz w:val="21"/>
                <w:szCs w:val="21"/>
                <w:highlight w:val="none"/>
                <w:lang w:bidi="ar"/>
              </w:rPr>
              <w:t>≤38</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0.029</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0.034</w:t>
            </w:r>
          </w:p>
        </w:tc>
        <w:tc>
          <w:tcPr>
            <w:tcW w:w="34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0.029</w:t>
            </w:r>
          </w:p>
        </w:tc>
        <w:tc>
          <w:tcPr>
            <w:tcW w:w="33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0.056</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0.122</w:t>
            </w:r>
          </w:p>
        </w:tc>
        <w:tc>
          <w:tcPr>
            <w:tcW w:w="35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0.020</w:t>
            </w:r>
          </w:p>
        </w:tc>
        <w:tc>
          <w:tcPr>
            <w:tcW w:w="303" w:type="pct"/>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highlight w:val="none"/>
              </w:rPr>
              <w:t>0.034</w:t>
            </w:r>
          </w:p>
        </w:tc>
        <w:tc>
          <w:tcPr>
            <w:tcW w:w="30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0.032</w:t>
            </w:r>
          </w:p>
        </w:tc>
        <w:tc>
          <w:tcPr>
            <w:tcW w:w="31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0.027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08" w:hRule="exact"/>
          <w:jc w:val="center"/>
        </w:trPr>
        <w:tc>
          <w:tcPr>
            <w:tcW w:w="13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7</w:t>
            </w:r>
          </w:p>
        </w:tc>
        <w:tc>
          <w:tcPr>
            <w:tcW w:w="446"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铬（六价）</w:t>
            </w:r>
          </w:p>
        </w:tc>
        <w:tc>
          <w:tcPr>
            <w:tcW w:w="449"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bCs/>
                <w:color w:val="auto"/>
                <w:sz w:val="21"/>
                <w:szCs w:val="21"/>
                <w:highlight w:val="none"/>
              </w:rPr>
              <w:t>mg/kg</w:t>
            </w:r>
          </w:p>
        </w:tc>
        <w:tc>
          <w:tcPr>
            <w:tcW w:w="1012" w:type="pct"/>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kern w:val="0"/>
                <w:sz w:val="21"/>
                <w:szCs w:val="21"/>
                <w:highlight w:val="none"/>
                <w:lang w:bidi="ar"/>
              </w:rPr>
              <w:t>≤5.7</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&lt;0.5</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&lt;0.5</w:t>
            </w:r>
          </w:p>
        </w:tc>
        <w:tc>
          <w:tcPr>
            <w:tcW w:w="34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&lt;0.5</w:t>
            </w:r>
          </w:p>
        </w:tc>
        <w:tc>
          <w:tcPr>
            <w:tcW w:w="33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&lt;0.5</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&lt;0.5</w:t>
            </w:r>
          </w:p>
        </w:tc>
        <w:tc>
          <w:tcPr>
            <w:tcW w:w="35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&lt;0.5</w:t>
            </w:r>
          </w:p>
        </w:tc>
        <w:tc>
          <w:tcPr>
            <w:tcW w:w="303" w:type="pct"/>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eastAsiaTheme="minorEastAsia"/>
                <w:color w:val="auto"/>
                <w:sz w:val="21"/>
                <w:szCs w:val="21"/>
                <w:highlight w:val="none"/>
              </w:rPr>
              <w:t>&lt;0.5</w:t>
            </w:r>
          </w:p>
        </w:tc>
        <w:tc>
          <w:tcPr>
            <w:tcW w:w="30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eastAsiaTheme="minorEastAsia"/>
                <w:color w:val="auto"/>
                <w:sz w:val="21"/>
                <w:szCs w:val="21"/>
                <w:highlight w:val="none"/>
              </w:rPr>
              <w:t>&lt;0.5</w:t>
            </w:r>
          </w:p>
        </w:tc>
        <w:tc>
          <w:tcPr>
            <w:tcW w:w="31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eastAsiaTheme="minorEastAsia"/>
                <w:color w:val="auto"/>
                <w:sz w:val="21"/>
                <w:szCs w:val="21"/>
                <w:highlight w:val="none"/>
              </w:rPr>
              <w:t>&lt;0.5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08" w:hRule="exact"/>
          <w:jc w:val="center"/>
        </w:trPr>
        <w:tc>
          <w:tcPr>
            <w:tcW w:w="13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8</w:t>
            </w:r>
          </w:p>
        </w:tc>
        <w:tc>
          <w:tcPr>
            <w:tcW w:w="446"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rPr>
              <w:t>pH值</w:t>
            </w:r>
          </w:p>
        </w:tc>
        <w:tc>
          <w:tcPr>
            <w:tcW w:w="449" w:type="pct"/>
            <w:tcBorders>
              <w:tl2br w:val="nil"/>
              <w:tr2bl w:val="nil"/>
            </w:tcBorders>
            <w:vAlign w:val="center"/>
          </w:tcPr>
          <w:p>
            <w:pPr>
              <w:ind w:firstLine="42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rPr>
              <w:t>无量纲</w:t>
            </w:r>
          </w:p>
        </w:tc>
        <w:tc>
          <w:tcPr>
            <w:tcW w:w="1012" w:type="pct"/>
            <w:tcBorders>
              <w:tl2br w:val="nil"/>
              <w:tr2bl w:val="nil"/>
            </w:tcBorders>
            <w:vAlign w:val="center"/>
          </w:tcPr>
          <w:p>
            <w:pPr>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kern w:val="0"/>
                <w:sz w:val="21"/>
                <w:szCs w:val="21"/>
                <w:highlight w:val="none"/>
                <w:lang w:bidi="ar"/>
              </w:rPr>
              <w:t>6-9</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7.1</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7.2</w:t>
            </w:r>
          </w:p>
        </w:tc>
        <w:tc>
          <w:tcPr>
            <w:tcW w:w="34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7.1</w:t>
            </w:r>
          </w:p>
        </w:tc>
        <w:tc>
          <w:tcPr>
            <w:tcW w:w="33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7.1</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7.2</w:t>
            </w:r>
          </w:p>
        </w:tc>
        <w:tc>
          <w:tcPr>
            <w:tcW w:w="35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7.2</w:t>
            </w:r>
          </w:p>
        </w:tc>
        <w:tc>
          <w:tcPr>
            <w:tcW w:w="30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color w:val="auto"/>
                <w:sz w:val="21"/>
                <w:szCs w:val="21"/>
                <w:highlight w:val="none"/>
              </w:rPr>
              <w:t>7.1</w:t>
            </w:r>
          </w:p>
        </w:tc>
        <w:tc>
          <w:tcPr>
            <w:tcW w:w="30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eastAsiaTheme="minorEastAsia"/>
                <w:color w:val="auto"/>
                <w:sz w:val="21"/>
                <w:szCs w:val="21"/>
                <w:highlight w:val="none"/>
              </w:rPr>
              <w:t>7.1</w:t>
            </w:r>
          </w:p>
        </w:tc>
        <w:tc>
          <w:tcPr>
            <w:tcW w:w="31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eastAsiaTheme="minorEastAsia"/>
                <w:color w:val="auto"/>
                <w:sz w:val="21"/>
                <w:szCs w:val="21"/>
                <w:highlight w:val="none"/>
              </w:rPr>
              <w:t>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5" w:hRule="exact"/>
          <w:jc w:val="center"/>
        </w:trPr>
        <w:tc>
          <w:tcPr>
            <w:tcW w:w="138"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9</w:t>
            </w:r>
          </w:p>
        </w:tc>
        <w:tc>
          <w:tcPr>
            <w:tcW w:w="446" w:type="pct"/>
            <w:tcBorders>
              <w:tl2br w:val="nil"/>
              <w:tr2bl w:val="nil"/>
            </w:tcBorders>
            <w:vAlign w:val="center"/>
          </w:tcPr>
          <w:p>
            <w:pPr>
              <w:ind w:firstLine="0" w:firstLineChars="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rPr>
              <w:t>石油烃（C</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40</w:t>
            </w:r>
            <w:r>
              <w:rPr>
                <w:rFonts w:hint="default" w:ascii="Times New Roman" w:hAnsi="Times New Roman" w:cs="Times New Roman"/>
                <w:color w:val="auto"/>
                <w:sz w:val="21"/>
                <w:szCs w:val="21"/>
                <w:highlight w:val="none"/>
              </w:rPr>
              <w:t>）</w:t>
            </w:r>
          </w:p>
        </w:tc>
        <w:tc>
          <w:tcPr>
            <w:tcW w:w="449" w:type="pct"/>
            <w:tcBorders>
              <w:tl2br w:val="nil"/>
              <w:tr2bl w:val="nil"/>
            </w:tcBorders>
            <w:vAlign w:val="center"/>
          </w:tcPr>
          <w:p>
            <w:pPr>
              <w:ind w:firstLine="42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bCs/>
                <w:color w:val="auto"/>
                <w:sz w:val="21"/>
                <w:szCs w:val="21"/>
                <w:highlight w:val="none"/>
              </w:rPr>
              <w:t>mg/kg</w:t>
            </w:r>
          </w:p>
        </w:tc>
        <w:tc>
          <w:tcPr>
            <w:tcW w:w="1012" w:type="pct"/>
            <w:tcBorders>
              <w:tl2br w:val="nil"/>
              <w:tr2bl w:val="nil"/>
            </w:tcBorders>
            <w:vAlign w:val="center"/>
          </w:tcPr>
          <w:p>
            <w:pPr>
              <w:ind w:left="0" w:leftChars="0"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25000</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26</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20</w:t>
            </w:r>
          </w:p>
        </w:tc>
        <w:tc>
          <w:tcPr>
            <w:tcW w:w="34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22</w:t>
            </w:r>
          </w:p>
        </w:tc>
        <w:tc>
          <w:tcPr>
            <w:tcW w:w="33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21</w:t>
            </w:r>
          </w:p>
        </w:tc>
        <w:tc>
          <w:tcPr>
            <w:tcW w:w="333"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32</w:t>
            </w:r>
          </w:p>
        </w:tc>
        <w:tc>
          <w:tcPr>
            <w:tcW w:w="354" w:type="pct"/>
            <w:tcBorders>
              <w:tl2br w:val="nil"/>
              <w:tr2bl w:val="nil"/>
            </w:tcBorders>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30</w:t>
            </w:r>
          </w:p>
        </w:tc>
        <w:tc>
          <w:tcPr>
            <w:tcW w:w="303" w:type="pct"/>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eastAsiaTheme="minorEastAsia"/>
                <w:color w:val="auto"/>
                <w:sz w:val="21"/>
                <w:szCs w:val="21"/>
                <w:highlight w:val="none"/>
              </w:rPr>
              <w:t>28</w:t>
            </w:r>
          </w:p>
        </w:tc>
        <w:tc>
          <w:tcPr>
            <w:tcW w:w="30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eastAsiaTheme="minorEastAsia"/>
                <w:color w:val="auto"/>
                <w:sz w:val="21"/>
                <w:szCs w:val="21"/>
                <w:highlight w:val="none"/>
              </w:rPr>
              <w:t>23</w:t>
            </w:r>
          </w:p>
        </w:tc>
        <w:tc>
          <w:tcPr>
            <w:tcW w:w="31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eastAsiaTheme="minorEastAsia"/>
                <w:color w:val="auto"/>
                <w:sz w:val="21"/>
                <w:szCs w:val="21"/>
                <w:highlight w:val="none"/>
              </w:rPr>
              <w:t>24</w:t>
            </w:r>
          </w:p>
        </w:tc>
      </w:tr>
    </w:tbl>
    <w:p>
      <w:pPr>
        <w:pStyle w:val="70"/>
        <w:rPr>
          <w:rFonts w:hint="default" w:ascii="Times New Roman" w:hAnsi="Times New Roman" w:cs="Times New Roman"/>
          <w:color w:val="auto"/>
          <w:highlight w:val="none"/>
        </w:rPr>
      </w:pPr>
    </w:p>
    <w:p>
      <w:pPr>
        <w:pStyle w:val="70"/>
        <w:rPr>
          <w:rFonts w:hint="default" w:ascii="Times New Roman" w:hAnsi="Times New Roman" w:cs="Times New Roman"/>
          <w:color w:val="auto"/>
          <w:highlight w:val="none"/>
        </w:rPr>
      </w:pPr>
    </w:p>
    <w:p>
      <w:pPr>
        <w:pStyle w:val="70"/>
        <w:rPr>
          <w:rFonts w:hint="default" w:ascii="Times New Roman" w:hAnsi="Times New Roman" w:cs="Times New Roman"/>
          <w:color w:val="auto"/>
          <w:highlight w:val="none"/>
        </w:rPr>
      </w:pPr>
    </w:p>
    <w:p>
      <w:pPr>
        <w:pStyle w:val="70"/>
        <w:rPr>
          <w:rFonts w:hint="default" w:ascii="Times New Roman" w:hAnsi="Times New Roman" w:cs="Times New Roman"/>
          <w:color w:val="auto"/>
          <w:highlight w:val="none"/>
        </w:rPr>
      </w:pPr>
    </w:p>
    <w:p>
      <w:pPr>
        <w:pStyle w:val="70"/>
        <w:rPr>
          <w:rFonts w:hint="default" w:ascii="Times New Roman" w:hAnsi="Times New Roman" w:cs="Times New Roman"/>
          <w:color w:val="auto"/>
          <w:highlight w:val="none"/>
        </w:rPr>
      </w:pPr>
    </w:p>
    <w:p>
      <w:pPr>
        <w:pStyle w:val="70"/>
        <w:rPr>
          <w:rFonts w:hint="default" w:ascii="Times New Roman" w:hAnsi="Times New Roman" w:eastAsia="微软雅黑" w:cs="Times New Roman"/>
          <w:color w:val="auto"/>
          <w:highlight w:val="none"/>
        </w:rPr>
      </w:pPr>
      <w:r>
        <w:rPr>
          <w:rFonts w:hint="default" w:ascii="Times New Roman" w:hAnsi="Times New Roman" w:cs="Times New Roman"/>
          <w:color w:val="auto"/>
          <w:highlight w:val="none"/>
        </w:rPr>
        <w:t>表4.3-1</w:t>
      </w:r>
      <w:r>
        <w:rPr>
          <w:rFonts w:hint="eastAsia" w:cs="Times New Roman"/>
          <w:color w:val="auto"/>
          <w:highlight w:val="none"/>
          <w:lang w:val="en-US" w:eastAsia="zh-CN"/>
        </w:rPr>
        <w:t>1</w:t>
      </w:r>
      <w:r>
        <w:rPr>
          <w:rFonts w:hint="default" w:ascii="Times New Roman" w:hAnsi="Times New Roman" w:cs="Times New Roman"/>
          <w:color w:val="auto"/>
          <w:highlight w:val="none"/>
        </w:rPr>
        <w:t>土壤监测结果一览表</w:t>
      </w:r>
    </w:p>
    <w:tbl>
      <w:tblPr>
        <w:tblStyle w:val="33"/>
        <w:tblW w:w="511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798"/>
        <w:gridCol w:w="2194"/>
        <w:gridCol w:w="1323"/>
        <w:gridCol w:w="1237"/>
        <w:gridCol w:w="3187"/>
        <w:gridCol w:w="3158"/>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885"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样品编号</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TR-4-1</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TR-5-1</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TR-6-1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885"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采样位置</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48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120" w:rightChars="-50" w:firstLine="0" w:firstLineChars="0"/>
              <w:jc w:val="both"/>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厂界外西侧</w:t>
            </w:r>
            <w:r>
              <w:rPr>
                <w:rFonts w:hint="eastAsia" w:ascii="宋体" w:hAnsi="宋体" w:eastAsia="宋体" w:cs="宋体"/>
                <w:b/>
                <w:bCs/>
                <w:color w:val="auto"/>
                <w:kern w:val="0"/>
                <w:sz w:val="22"/>
                <w:szCs w:val="22"/>
                <w:highlight w:val="none"/>
                <w:u w:val="single"/>
                <w:lang w:val="en-US" w:eastAsia="zh-CN" w:bidi="ar"/>
              </w:rPr>
              <w:t>（再生林）</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right="-120" w:rightChars="-50" w:firstLine="48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厂界外东侧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885" w:type="pct"/>
            <w:gridSpan w:val="4"/>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坐标信息</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885" w:type="pct"/>
            <w:gridSpan w:val="4"/>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1885"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采样深度</w:t>
            </w:r>
            <w:r>
              <w:rPr>
                <w:rFonts w:hint="default" w:ascii="Times New Roman" w:hAnsi="Times New Roman" w:cs="Times New Roman"/>
                <w:color w:val="auto"/>
                <w:sz w:val="21"/>
                <w:szCs w:val="21"/>
                <w:highlight w:val="none"/>
              </w:rPr>
              <w:t>m</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0~0.2</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0~0.2</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序号</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检测项目</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单位</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标准</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检测结果</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检测结果</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检测结果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镉</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bCs/>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kern w:val="0"/>
                <w:sz w:val="21"/>
                <w:szCs w:val="21"/>
                <w:highlight w:val="none"/>
                <w:lang w:bidi="ar"/>
              </w:rPr>
              <w:t>≤65</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0.14</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0.14</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铅</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bCs/>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kern w:val="0"/>
                <w:sz w:val="21"/>
                <w:szCs w:val="21"/>
                <w:highlight w:val="none"/>
                <w:lang w:bidi="ar"/>
              </w:rPr>
              <w:t>≤800</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18.4</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17.5</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铜</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bCs/>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kern w:val="0"/>
                <w:sz w:val="21"/>
                <w:szCs w:val="21"/>
                <w:highlight w:val="none"/>
                <w:lang w:bidi="ar"/>
              </w:rPr>
              <w:t>≤18000</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26</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27</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4</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镍</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bCs/>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kern w:val="0"/>
                <w:sz w:val="21"/>
                <w:szCs w:val="21"/>
                <w:highlight w:val="none"/>
                <w:lang w:bidi="ar"/>
              </w:rPr>
              <w:t>≤900</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5</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砷</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bCs/>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kern w:val="0"/>
                <w:sz w:val="21"/>
                <w:szCs w:val="21"/>
                <w:highlight w:val="none"/>
                <w:lang w:bidi="ar"/>
              </w:rPr>
              <w:t>≤60</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13.1</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14.4</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6</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汞</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bCs/>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kern w:val="0"/>
                <w:sz w:val="21"/>
                <w:szCs w:val="21"/>
                <w:highlight w:val="none"/>
                <w:lang w:bidi="ar"/>
              </w:rPr>
              <w:t>≤38</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0.0274</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0.0208</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0.018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7</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铬（六价）</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bCs/>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kern w:val="0"/>
                <w:sz w:val="21"/>
                <w:szCs w:val="21"/>
                <w:highlight w:val="none"/>
                <w:lang w:bidi="ar"/>
              </w:rPr>
              <w:t>≤5.7</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&lt;0.5</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&lt;0.5</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8</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硝基苯</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bCs/>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pacing w:val="-10"/>
                <w:sz w:val="21"/>
                <w:szCs w:val="21"/>
                <w:highlight w:val="none"/>
              </w:rPr>
              <w:t>≤76</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&lt;0.09</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&lt;0.09</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9</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苯胺</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bCs/>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pacing w:val="-10"/>
                <w:sz w:val="21"/>
                <w:szCs w:val="21"/>
                <w:highlight w:val="none"/>
              </w:rPr>
              <w:t>≤260</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&lt;0.08</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&lt;0.08</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10</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2-氯酚</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pacing w:val="-10"/>
                <w:sz w:val="21"/>
                <w:szCs w:val="21"/>
                <w:highlight w:val="none"/>
              </w:rPr>
              <w:t>≤2256</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&lt;0.06</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&lt;0.06</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11</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苯并〔a〕蒽</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pacing w:val="-10"/>
                <w:sz w:val="21"/>
                <w:szCs w:val="21"/>
                <w:highlight w:val="none"/>
              </w:rPr>
              <w:t>≤15</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&lt;0.1</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&lt;0.1</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12</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苯并〔a〕芘</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pacing w:val="-10"/>
                <w:sz w:val="21"/>
                <w:szCs w:val="21"/>
                <w:highlight w:val="none"/>
              </w:rPr>
              <w:t>≤1.5</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&lt;0.1</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&lt;0.1</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13</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苯并〔b〕荧蒽</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pacing w:val="-10"/>
                <w:sz w:val="21"/>
                <w:szCs w:val="21"/>
                <w:highlight w:val="none"/>
              </w:rPr>
              <w:t>≤15</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&lt;0.2</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&lt;0.2</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14</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苯并〔k〕荧蒽</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pacing w:val="-10"/>
                <w:sz w:val="21"/>
                <w:szCs w:val="21"/>
                <w:highlight w:val="none"/>
              </w:rPr>
              <w:t>≤151</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&lt;0.1</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&lt;0.1</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15</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䓛</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pacing w:val="-10"/>
                <w:sz w:val="21"/>
                <w:szCs w:val="21"/>
                <w:highlight w:val="none"/>
              </w:rPr>
              <w:t>≤1293</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&lt;0.1</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&lt;0.1</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16</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二苯并〔a</w:t>
            </w:r>
            <w:r>
              <w:rPr>
                <w:rFonts w:hint="eastAsia"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h〕蒽</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pacing w:val="-10"/>
                <w:sz w:val="21"/>
                <w:szCs w:val="21"/>
                <w:highlight w:val="none"/>
              </w:rPr>
              <w:t>≤1.5</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&lt;0.1</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&lt;0.1</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17</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茚并〔1</w:t>
            </w:r>
            <w:r>
              <w:rPr>
                <w:rFonts w:hint="eastAsia"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2</w:t>
            </w:r>
            <w:r>
              <w:rPr>
                <w:rFonts w:hint="eastAsia"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3-cd〕芘</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pacing w:val="-10"/>
                <w:sz w:val="21"/>
                <w:szCs w:val="21"/>
                <w:highlight w:val="none"/>
              </w:rPr>
              <w:t>≤15</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&lt;0.1</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&lt;0.1</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18</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萘</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pacing w:val="-10"/>
                <w:sz w:val="21"/>
                <w:szCs w:val="21"/>
                <w:highlight w:val="none"/>
              </w:rPr>
              <w:t>≤70</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&lt;0.09</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&lt;0.09</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19</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color w:val="auto"/>
                <w:sz w:val="21"/>
                <w:szCs w:val="21"/>
                <w:highlight w:val="none"/>
              </w:rPr>
              <w:t>四氯化碳</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pacing w:val="-10"/>
                <w:sz w:val="21"/>
                <w:szCs w:val="21"/>
                <w:highlight w:val="none"/>
              </w:rPr>
              <w:t>≤2.8</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&lt;1.3</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&lt;1.3</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20</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color w:val="auto"/>
                <w:sz w:val="21"/>
                <w:szCs w:val="21"/>
                <w:highlight w:val="none"/>
              </w:rPr>
              <w:t>氯仿</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eastAsiaTheme="minorEastAsia"/>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pacing w:val="-10"/>
                <w:sz w:val="21"/>
                <w:szCs w:val="21"/>
                <w:highlight w:val="none"/>
              </w:rPr>
              <w:t>≤0.9</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&lt;1.1</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&lt;1.1</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21</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氯甲烷</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pacing w:val="-10"/>
                <w:sz w:val="21"/>
                <w:szCs w:val="21"/>
                <w:highlight w:val="none"/>
              </w:rPr>
              <w:t>≤37</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&lt;1.0</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&lt;1.0</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22</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rPr>
              <w:t>1</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1-二氯乙烷</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pacing w:val="-10"/>
                <w:sz w:val="21"/>
                <w:szCs w:val="21"/>
                <w:highlight w:val="none"/>
              </w:rPr>
              <w:t>≤9</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23</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2-二氯乙烷</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pacing w:val="-10"/>
                <w:sz w:val="21"/>
                <w:szCs w:val="21"/>
                <w:highlight w:val="none"/>
              </w:rPr>
              <w:t>≤54</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&lt;1.3</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&lt;1.3</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24</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1-二氯乙烯</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pacing w:val="-10"/>
                <w:sz w:val="21"/>
                <w:szCs w:val="21"/>
                <w:highlight w:val="none"/>
              </w:rPr>
              <w:t>≤66</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&lt;1.0</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&lt;1.0</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25</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顺-1</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2-二氯乙烯</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pacing w:val="-10"/>
                <w:sz w:val="21"/>
                <w:szCs w:val="21"/>
                <w:highlight w:val="none"/>
              </w:rPr>
              <w:t>≤9</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&lt;1.3</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&lt;1.3</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26</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反-1</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2-二氯乙烯</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pacing w:val="-10"/>
                <w:sz w:val="21"/>
                <w:szCs w:val="21"/>
                <w:highlight w:val="none"/>
              </w:rPr>
              <w:t>≤596</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&lt;1.4</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&lt;1.4</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27</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二氯甲烷</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pacing w:val="-10"/>
                <w:sz w:val="21"/>
                <w:szCs w:val="21"/>
                <w:highlight w:val="none"/>
              </w:rPr>
              <w:t>≤616</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&lt;1.5</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&lt;1.5</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28</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2-二氯丙烷</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pacing w:val="-10"/>
                <w:sz w:val="21"/>
                <w:szCs w:val="21"/>
                <w:highlight w:val="none"/>
              </w:rPr>
              <w:t>≤5</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&lt;1.1</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&lt;1.1</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29</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1</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1</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2-四氯乙烷</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pacing w:val="-10"/>
                <w:sz w:val="21"/>
                <w:szCs w:val="21"/>
                <w:highlight w:val="none"/>
              </w:rPr>
              <w:t>≤10</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30</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1</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2</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2-四氯乙烷</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pacing w:val="-10"/>
                <w:sz w:val="21"/>
                <w:szCs w:val="21"/>
                <w:highlight w:val="none"/>
              </w:rPr>
              <w:t>≤6.8</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32</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四氯乙烯</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pacing w:val="-10"/>
                <w:sz w:val="21"/>
                <w:szCs w:val="21"/>
                <w:highlight w:val="none"/>
              </w:rPr>
              <w:t>≤53</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&lt;1.4</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&lt;1.4</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33</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1</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1-三氯乙烷</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pacing w:val="-10"/>
                <w:sz w:val="21"/>
                <w:szCs w:val="21"/>
                <w:highlight w:val="none"/>
              </w:rPr>
              <w:t>≤840</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&lt;1.3</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&lt;1.3</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34</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1</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2-三氯乙烷</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pacing w:val="-10"/>
                <w:sz w:val="21"/>
                <w:szCs w:val="21"/>
                <w:highlight w:val="none"/>
              </w:rPr>
              <w:t>≤2.8</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35</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三氯乙烯</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pacing w:val="-10"/>
                <w:sz w:val="21"/>
                <w:szCs w:val="21"/>
                <w:highlight w:val="none"/>
              </w:rPr>
              <w:t>≤2.8</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36</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2</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3-三氯丙烷</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pacing w:val="-10"/>
                <w:sz w:val="21"/>
                <w:szCs w:val="21"/>
                <w:highlight w:val="none"/>
              </w:rPr>
              <w:t>≤0.5</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36</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氯乙烯</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bCs/>
                <w:color w:val="auto"/>
                <w:kern w:val="0"/>
                <w:sz w:val="21"/>
                <w:szCs w:val="21"/>
                <w:highlight w:val="none"/>
                <w:lang w:bidi="ar"/>
              </w:rPr>
              <w:t>≤0.43</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&lt;1.0</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&lt;1.0</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37</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pacing w:val="-10"/>
                <w:sz w:val="21"/>
                <w:szCs w:val="21"/>
                <w:highlight w:val="none"/>
              </w:rPr>
              <w:t>≤4</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&lt;1.9</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&lt;1.9</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38</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氯苯</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pacing w:val="-10"/>
                <w:sz w:val="21"/>
                <w:szCs w:val="21"/>
                <w:highlight w:val="none"/>
              </w:rPr>
              <w:t>≤270</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39</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2-二氯苯</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pacing w:val="-10"/>
                <w:sz w:val="21"/>
                <w:szCs w:val="21"/>
                <w:highlight w:val="none"/>
              </w:rPr>
              <w:t>≤560</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&lt;1.5</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&lt;1.5</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40</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4-二氯苯</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pacing w:val="-10"/>
                <w:sz w:val="21"/>
                <w:szCs w:val="21"/>
                <w:highlight w:val="none"/>
              </w:rPr>
              <w:t>≤20</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&lt;1.5</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&lt;1.5</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41</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乙苯</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pacing w:val="-10"/>
                <w:sz w:val="21"/>
                <w:szCs w:val="21"/>
                <w:highlight w:val="none"/>
              </w:rPr>
              <w:t>≤28</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42</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苯乙烯</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bCs/>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pacing w:val="-10"/>
                <w:sz w:val="21"/>
                <w:szCs w:val="21"/>
                <w:highlight w:val="none"/>
              </w:rPr>
              <w:t>≤28</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&lt;1.1</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&lt;1.1</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43</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color w:val="auto"/>
                <w:sz w:val="21"/>
                <w:szCs w:val="21"/>
                <w:highlight w:val="none"/>
              </w:rPr>
              <w:t>甲苯</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bCs/>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pacing w:val="-10"/>
                <w:sz w:val="21"/>
                <w:szCs w:val="21"/>
                <w:highlight w:val="none"/>
              </w:rPr>
              <w:t>≤1200</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&lt;1.3</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&lt;1.3</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44</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间+对二甲苯</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bCs/>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pacing w:val="-10"/>
                <w:sz w:val="21"/>
                <w:szCs w:val="21"/>
                <w:highlight w:val="none"/>
              </w:rPr>
              <w:t>≤570</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45</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邻-二甲苯</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bCs/>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pacing w:val="-10"/>
                <w:sz w:val="21"/>
                <w:szCs w:val="21"/>
                <w:highlight w:val="none"/>
              </w:rPr>
              <w:t>≤640</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&lt;1.2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-3</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46</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pH值</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无量纲</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6-9</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7.17</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7.24</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2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47</w:t>
            </w:r>
          </w:p>
        </w:tc>
        <w:tc>
          <w:tcPr>
            <w:tcW w:w="7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石油烃（C</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40</w:t>
            </w:r>
            <w:r>
              <w:rPr>
                <w:rFonts w:hint="default" w:ascii="Times New Roman" w:hAnsi="Times New Roman" w:cs="Times New Roman"/>
                <w:color w:val="auto"/>
                <w:sz w:val="21"/>
                <w:szCs w:val="21"/>
                <w:highlight w:val="none"/>
              </w:rPr>
              <w:t>）</w:t>
            </w:r>
          </w:p>
        </w:tc>
        <w:tc>
          <w:tcPr>
            <w:tcW w:w="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mg/kg</w:t>
            </w:r>
          </w:p>
        </w:tc>
        <w:tc>
          <w:tcPr>
            <w:tcW w:w="4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25000</w:t>
            </w:r>
          </w:p>
        </w:tc>
        <w:tc>
          <w:tcPr>
            <w:tcW w:w="10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c>
          <w:tcPr>
            <w:tcW w:w="10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c>
          <w:tcPr>
            <w:tcW w:w="9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25</w:t>
            </w:r>
          </w:p>
        </w:tc>
      </w:tr>
    </w:tbl>
    <w:p>
      <w:pPr>
        <w:pStyle w:val="18"/>
        <w:rPr>
          <w:rFonts w:hint="default" w:ascii="Times New Roman" w:hAnsi="Times New Roman" w:eastAsia="微软雅黑" w:cs="Times New Roman"/>
          <w:color w:val="auto"/>
          <w:highlight w:val="none"/>
        </w:rPr>
        <w:sectPr>
          <w:pgSz w:w="16839" w:h="11907" w:orient="landscape"/>
          <w:pgMar w:top="1770" w:right="1088" w:bottom="1757" w:left="1398" w:header="1078" w:footer="1237" w:gutter="0"/>
          <w:pgBorders>
            <w:top w:val="none" w:sz="0" w:space="0"/>
            <w:left w:val="none" w:sz="0" w:space="0"/>
            <w:bottom w:val="none" w:sz="0" w:space="0"/>
            <w:right w:val="none" w:sz="0" w:space="0"/>
          </w:pgBorders>
          <w:pgNumType w:fmt="numberInDash"/>
          <w:cols w:space="720" w:num="1"/>
        </w:sectPr>
      </w:pPr>
    </w:p>
    <w:p>
      <w:pPr>
        <w:ind w:firstLine="480"/>
        <w:rPr>
          <w:rFonts w:hint="default" w:ascii="Times New Roman" w:hAnsi="Times New Roman" w:cs="Times New Roman"/>
          <w:color w:val="auto"/>
          <w:highlight w:val="none"/>
        </w:rPr>
      </w:pP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根据监测结果可知，本项目各监测点位土壤均可满足《</w:t>
      </w:r>
      <w:r>
        <w:rPr>
          <w:rFonts w:hint="default" w:ascii="Times New Roman" w:hAnsi="Times New Roman" w:cs="Times New Roman"/>
          <w:color w:val="auto"/>
          <w:highlight w:val="none"/>
          <w:lang w:eastAsia="zh-CN"/>
        </w:rPr>
        <w:t>土壤环境质量建设用地土壤污染风险管控标准（试行）</w:t>
      </w:r>
      <w:r>
        <w:rPr>
          <w:rFonts w:hint="default" w:ascii="Times New Roman" w:hAnsi="Times New Roman" w:cs="Times New Roman"/>
          <w:color w:val="auto"/>
          <w:highlight w:val="none"/>
        </w:rPr>
        <w:t>》（GB36600-2018）第二类用地（筛选值）标准要求，项目区域土壤环境质量良好。</w:t>
      </w:r>
    </w:p>
    <w:p>
      <w:pPr>
        <w:pStyle w:val="5"/>
        <w:rPr>
          <w:rFonts w:hint="default" w:ascii="Times New Roman" w:hAnsi="Times New Roman" w:cs="Times New Roman"/>
          <w:color w:val="auto"/>
          <w:highlight w:val="none"/>
        </w:rPr>
      </w:pPr>
      <w:bookmarkStart w:id="125" w:name="_Toc169"/>
      <w:r>
        <w:rPr>
          <w:rFonts w:hint="default" w:ascii="Times New Roman" w:hAnsi="Times New Roman" w:cs="Times New Roman"/>
          <w:color w:val="auto"/>
          <w:highlight w:val="none"/>
        </w:rPr>
        <w:t>生态环境现状</w:t>
      </w:r>
      <w:bookmarkEnd w:id="125"/>
    </w:p>
    <w:p>
      <w:pPr>
        <w:pStyle w:val="2"/>
        <w:bidi w:val="0"/>
        <w:rPr>
          <w:color w:val="auto"/>
          <w:highlight w:val="none"/>
          <w:lang w:val="en-US" w:eastAsia="zh-CN"/>
        </w:rPr>
      </w:pPr>
      <w:bookmarkStart w:id="126" w:name="_Toc16107"/>
      <w:bookmarkStart w:id="127" w:name="_Toc1029"/>
      <w:bookmarkStart w:id="128" w:name="_Toc22785"/>
      <w:r>
        <w:rPr>
          <w:rFonts w:hint="eastAsia"/>
          <w:color w:val="auto"/>
          <w:highlight w:val="none"/>
          <w:lang w:val="en-US" w:eastAsia="zh-CN"/>
        </w:rPr>
        <w:t>生态功能区划</w:t>
      </w:r>
    </w:p>
    <w:p>
      <w:pPr>
        <w:ind w:firstLine="48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新疆昌吉国家农业科技园区高新农业产业园</w:t>
      </w:r>
      <w:r>
        <w:rPr>
          <w:rFonts w:ascii="Times New Roman" w:hAnsi="Times New Roman" w:eastAsia="宋体" w:cs="Times New Roman"/>
          <w:color w:val="auto"/>
          <w:highlight w:val="none"/>
        </w:rPr>
        <w:t>在《新疆生态功能区划》中</w:t>
      </w:r>
      <w:r>
        <w:rPr>
          <w:rFonts w:hint="eastAsia" w:ascii="Times New Roman" w:hAnsi="Times New Roman" w:eastAsia="宋体" w:cs="Times New Roman"/>
          <w:color w:val="auto"/>
          <w:highlight w:val="none"/>
        </w:rPr>
        <w:t>位于</w:t>
      </w:r>
      <w:r>
        <w:rPr>
          <w:rFonts w:ascii="Times New Roman" w:hAnsi="Times New Roman" w:eastAsia="宋体" w:cs="Times New Roman"/>
          <w:color w:val="auto"/>
          <w:highlight w:val="none"/>
        </w:rPr>
        <w:t>准噶尔盆地温性荒漠与绿洲农业生态区，准噶尔盆地南部荒漠绿洲农业生态亚区，乌苏</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石河子</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昌吉城镇与绿洲农业生态功能区。区域主要的生态服务功能为工农畜产品生产、人居环境、荒漠化控制，主要生态环境问题是地下水超采、荒漠植被退化，土地荒漠化与盐渍化、大气和水质及土壤污染、良田减少、绿洲外围受到沙漠化威胁。主要生态敏感因子、敏感程度是生物多样性及其生境中度敏感，土壤盐渍化轻度敏感。主要保护目标是保护绿洲农田、保护城市大气和水环境质量、保护荒漠植被、保护农田土壤环境质量。区域适宜发展方向是发展优质高效农牧业，美化城市环境，建设健康、稳定的城市生态系统与人居环境。</w:t>
      </w:r>
      <w:r>
        <w:rPr>
          <w:rFonts w:hint="eastAsia" w:ascii="Times New Roman" w:hAnsi="Times New Roman" w:eastAsia="宋体" w:cs="Times New Roman"/>
          <w:color w:val="auto"/>
          <w:highlight w:val="none"/>
        </w:rPr>
        <w:t>规划园区</w:t>
      </w:r>
      <w:r>
        <w:rPr>
          <w:rFonts w:ascii="Times New Roman" w:hAnsi="Times New Roman" w:eastAsia="宋体" w:cs="Times New Roman"/>
          <w:color w:val="auto"/>
          <w:highlight w:val="none"/>
        </w:rPr>
        <w:t>生态功能区划见</w:t>
      </w:r>
      <w:r>
        <w:rPr>
          <w:rFonts w:hint="eastAsia" w:cs="Times New Roman"/>
          <w:color w:val="auto"/>
          <w:highlight w:val="none"/>
          <w:lang w:val="en-US" w:eastAsia="zh-CN"/>
        </w:rPr>
        <w:t>下</w:t>
      </w:r>
      <w:r>
        <w:rPr>
          <w:rFonts w:ascii="Times New Roman" w:hAnsi="Times New Roman" w:eastAsia="宋体" w:cs="Times New Roman"/>
          <w:color w:val="auto"/>
          <w:highlight w:val="none"/>
        </w:rPr>
        <w:t>表。</w:t>
      </w:r>
    </w:p>
    <w:p>
      <w:pPr>
        <w:widowControl w:val="0"/>
        <w:overflowPunct w:val="0"/>
        <w:autoSpaceDE w:val="0"/>
        <w:autoSpaceDN w:val="0"/>
        <w:adjustRightInd w:val="0"/>
        <w:spacing w:line="360" w:lineRule="auto"/>
        <w:ind w:firstLine="0" w:firstLineChars="0"/>
        <w:jc w:val="center"/>
        <w:textAlignment w:val="baseline"/>
        <w:rPr>
          <w:rFonts w:hint="eastAsia" w:ascii="黑体" w:hAnsi="黑体" w:eastAsia="黑体" w:cs="黑体"/>
          <w:b w:val="0"/>
          <w:bCs/>
          <w:color w:val="auto"/>
          <w:kern w:val="0"/>
          <w:sz w:val="24"/>
          <w:szCs w:val="24"/>
          <w:highlight w:val="none"/>
          <w:lang w:val="en-US" w:eastAsia="zh-CN" w:bidi="ar-SA"/>
        </w:rPr>
      </w:pPr>
      <w:r>
        <w:rPr>
          <w:rFonts w:hint="eastAsia" w:ascii="黑体" w:hAnsi="黑体" w:eastAsia="黑体" w:cs="黑体"/>
          <w:b w:val="0"/>
          <w:bCs/>
          <w:color w:val="auto"/>
          <w:kern w:val="0"/>
          <w:sz w:val="24"/>
          <w:szCs w:val="24"/>
          <w:highlight w:val="none"/>
          <w:lang w:val="en-US" w:eastAsia="zh-CN" w:bidi="ar-SA"/>
        </w:rPr>
        <w:t>表4.3-12项目区生态功能区划</w:t>
      </w:r>
    </w:p>
    <w:tbl>
      <w:tblPr>
        <w:tblStyle w:val="33"/>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845"/>
        <w:gridCol w:w="1075"/>
        <w:gridCol w:w="1228"/>
        <w:gridCol w:w="1013"/>
        <w:gridCol w:w="1730"/>
        <w:gridCol w:w="1439"/>
        <w:gridCol w:w="9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59" w:hRule="atLeast"/>
          <w:jc w:val="center"/>
        </w:trPr>
        <w:tc>
          <w:tcPr>
            <w:tcW w:w="1889" w:type="pct"/>
            <w:gridSpan w:val="3"/>
            <w:tcBorders>
              <w:tl2br w:val="nil"/>
              <w:tr2bl w:val="nil"/>
            </w:tcBorders>
            <w:vAlign w:val="center"/>
          </w:tcPr>
          <w:p>
            <w:pPr>
              <w:widowControl w:val="0"/>
              <w:tabs>
                <w:tab w:val="left" w:pos="360"/>
                <w:tab w:val="left" w:pos="1620"/>
              </w:tabs>
              <w:snapToGrid w:val="0"/>
              <w:spacing w:after="120" w:line="240" w:lineRule="auto"/>
              <w:ind w:firstLine="0" w:firstLineChars="0"/>
              <w:jc w:val="center"/>
              <w:rPr>
                <w:rFonts w:ascii="Calibri" w:hAnsi="Calibri" w:eastAsia="宋体" w:cs="Times New Roman"/>
                <w:color w:val="auto"/>
                <w:kern w:val="2"/>
                <w:sz w:val="21"/>
                <w:szCs w:val="20"/>
                <w:highlight w:val="none"/>
                <w:lang w:val="en-US" w:eastAsia="zh-CN" w:bidi="ar-SA"/>
              </w:rPr>
            </w:pPr>
            <w:r>
              <w:rPr>
                <w:rFonts w:ascii="Calibri" w:hAnsi="Calibri" w:eastAsia="宋体" w:cs="Times New Roman"/>
                <w:color w:val="auto"/>
                <w:kern w:val="2"/>
                <w:sz w:val="21"/>
                <w:szCs w:val="20"/>
                <w:highlight w:val="none"/>
                <w:lang w:val="en-US" w:eastAsia="zh-CN" w:bidi="ar-SA"/>
              </w:rPr>
              <w:t>生态功能分区单元</w:t>
            </w:r>
          </w:p>
        </w:tc>
        <w:tc>
          <w:tcPr>
            <w:tcW w:w="608" w:type="pct"/>
            <w:vMerge w:val="restart"/>
            <w:tcBorders>
              <w:tl2br w:val="nil"/>
              <w:tr2bl w:val="nil"/>
            </w:tcBorders>
            <w:vAlign w:val="center"/>
          </w:tcPr>
          <w:p>
            <w:pPr>
              <w:widowControl w:val="0"/>
              <w:tabs>
                <w:tab w:val="left" w:pos="360"/>
                <w:tab w:val="left" w:pos="1620"/>
              </w:tabs>
              <w:snapToGrid w:val="0"/>
              <w:spacing w:after="120" w:line="240" w:lineRule="auto"/>
              <w:ind w:firstLine="0" w:firstLineChars="0"/>
              <w:jc w:val="center"/>
              <w:rPr>
                <w:rFonts w:ascii="Calibri" w:hAnsi="Calibri" w:eastAsia="宋体" w:cs="Times New Roman"/>
                <w:color w:val="auto"/>
                <w:kern w:val="2"/>
                <w:sz w:val="21"/>
                <w:szCs w:val="20"/>
                <w:highlight w:val="none"/>
                <w:lang w:val="en-US" w:eastAsia="zh-CN" w:bidi="ar-SA"/>
              </w:rPr>
            </w:pPr>
            <w:r>
              <w:rPr>
                <w:rFonts w:ascii="Calibri" w:hAnsi="Calibri" w:eastAsia="宋体" w:cs="Times New Roman"/>
                <w:color w:val="auto"/>
                <w:kern w:val="2"/>
                <w:sz w:val="21"/>
                <w:szCs w:val="20"/>
                <w:highlight w:val="none"/>
                <w:lang w:val="en-US" w:eastAsia="zh-CN" w:bidi="ar-SA"/>
              </w:rPr>
              <w:t>主要态</w:t>
            </w:r>
          </w:p>
          <w:p>
            <w:pPr>
              <w:widowControl w:val="0"/>
              <w:tabs>
                <w:tab w:val="left" w:pos="360"/>
                <w:tab w:val="left" w:pos="1620"/>
              </w:tabs>
              <w:snapToGrid w:val="0"/>
              <w:spacing w:after="120" w:line="240" w:lineRule="auto"/>
              <w:ind w:firstLine="0" w:firstLineChars="0"/>
              <w:jc w:val="center"/>
              <w:rPr>
                <w:rFonts w:ascii="Calibri" w:hAnsi="Calibri" w:eastAsia="宋体" w:cs="Times New Roman"/>
                <w:color w:val="auto"/>
                <w:kern w:val="2"/>
                <w:sz w:val="21"/>
                <w:szCs w:val="20"/>
                <w:highlight w:val="none"/>
                <w:lang w:val="en-US" w:eastAsia="zh-CN" w:bidi="ar-SA"/>
              </w:rPr>
            </w:pPr>
            <w:r>
              <w:rPr>
                <w:rFonts w:ascii="Calibri" w:hAnsi="Calibri" w:eastAsia="宋体" w:cs="Times New Roman"/>
                <w:color w:val="auto"/>
                <w:kern w:val="2"/>
                <w:sz w:val="21"/>
                <w:szCs w:val="20"/>
                <w:highlight w:val="none"/>
                <w:lang w:val="en-US" w:eastAsia="zh-CN" w:bidi="ar-SA"/>
              </w:rPr>
              <w:t>服务功能</w:t>
            </w:r>
          </w:p>
        </w:tc>
        <w:tc>
          <w:tcPr>
            <w:tcW w:w="1038" w:type="pct"/>
            <w:vMerge w:val="restart"/>
            <w:tcBorders>
              <w:tl2br w:val="nil"/>
              <w:tr2bl w:val="nil"/>
            </w:tcBorders>
            <w:vAlign w:val="center"/>
          </w:tcPr>
          <w:p>
            <w:pPr>
              <w:widowControl w:val="0"/>
              <w:tabs>
                <w:tab w:val="left" w:pos="360"/>
                <w:tab w:val="left" w:pos="1620"/>
              </w:tabs>
              <w:snapToGrid w:val="0"/>
              <w:spacing w:after="120" w:line="240" w:lineRule="auto"/>
              <w:ind w:firstLine="0" w:firstLineChars="0"/>
              <w:jc w:val="center"/>
              <w:rPr>
                <w:rFonts w:ascii="Calibri" w:hAnsi="Calibri" w:eastAsia="宋体" w:cs="Times New Roman"/>
                <w:color w:val="auto"/>
                <w:kern w:val="2"/>
                <w:sz w:val="21"/>
                <w:szCs w:val="20"/>
                <w:highlight w:val="none"/>
                <w:lang w:val="en-US" w:eastAsia="zh-CN" w:bidi="ar-SA"/>
              </w:rPr>
            </w:pPr>
            <w:r>
              <w:rPr>
                <w:rFonts w:ascii="Calibri" w:hAnsi="Calibri" w:eastAsia="宋体" w:cs="Times New Roman"/>
                <w:color w:val="auto"/>
                <w:kern w:val="2"/>
                <w:sz w:val="21"/>
                <w:szCs w:val="20"/>
                <w:highlight w:val="none"/>
                <w:lang w:val="en-US" w:eastAsia="zh-CN" w:bidi="ar-SA"/>
              </w:rPr>
              <w:t>主要生态</w:t>
            </w:r>
          </w:p>
          <w:p>
            <w:pPr>
              <w:widowControl w:val="0"/>
              <w:tabs>
                <w:tab w:val="left" w:pos="360"/>
                <w:tab w:val="left" w:pos="1620"/>
              </w:tabs>
              <w:snapToGrid w:val="0"/>
              <w:spacing w:after="120" w:line="240" w:lineRule="auto"/>
              <w:ind w:firstLine="0" w:firstLineChars="0"/>
              <w:jc w:val="center"/>
              <w:rPr>
                <w:rFonts w:ascii="Calibri" w:hAnsi="Calibri" w:eastAsia="宋体" w:cs="Times New Roman"/>
                <w:color w:val="auto"/>
                <w:kern w:val="2"/>
                <w:sz w:val="21"/>
                <w:szCs w:val="20"/>
                <w:highlight w:val="none"/>
                <w:lang w:val="en-US" w:eastAsia="zh-CN" w:bidi="ar-SA"/>
              </w:rPr>
            </w:pPr>
            <w:r>
              <w:rPr>
                <w:rFonts w:ascii="Calibri" w:hAnsi="Calibri" w:eastAsia="宋体" w:cs="Times New Roman"/>
                <w:color w:val="auto"/>
                <w:kern w:val="2"/>
                <w:sz w:val="21"/>
                <w:szCs w:val="20"/>
                <w:highlight w:val="none"/>
                <w:lang w:val="en-US" w:eastAsia="zh-CN" w:bidi="ar-SA"/>
              </w:rPr>
              <w:t>环境问题</w:t>
            </w:r>
          </w:p>
        </w:tc>
        <w:tc>
          <w:tcPr>
            <w:tcW w:w="863" w:type="pct"/>
            <w:vMerge w:val="restart"/>
            <w:tcBorders>
              <w:tl2br w:val="nil"/>
              <w:tr2bl w:val="nil"/>
            </w:tcBorders>
            <w:vAlign w:val="center"/>
          </w:tcPr>
          <w:p>
            <w:pPr>
              <w:widowControl w:val="0"/>
              <w:tabs>
                <w:tab w:val="left" w:pos="360"/>
                <w:tab w:val="left" w:pos="1620"/>
              </w:tabs>
              <w:snapToGrid w:val="0"/>
              <w:spacing w:after="120" w:line="240" w:lineRule="auto"/>
              <w:ind w:firstLine="0" w:firstLineChars="0"/>
              <w:jc w:val="center"/>
              <w:rPr>
                <w:rFonts w:ascii="Calibri" w:hAnsi="Calibri" w:eastAsia="宋体" w:cs="Times New Roman"/>
                <w:color w:val="auto"/>
                <w:kern w:val="2"/>
                <w:sz w:val="21"/>
                <w:szCs w:val="20"/>
                <w:highlight w:val="none"/>
                <w:lang w:val="en-US" w:eastAsia="zh-CN" w:bidi="ar-SA"/>
              </w:rPr>
            </w:pPr>
            <w:r>
              <w:rPr>
                <w:rFonts w:ascii="Calibri" w:hAnsi="Calibri" w:eastAsia="宋体" w:cs="Times New Roman"/>
                <w:color w:val="auto"/>
                <w:kern w:val="2"/>
                <w:sz w:val="21"/>
                <w:szCs w:val="20"/>
                <w:highlight w:val="none"/>
                <w:lang w:val="en-US" w:eastAsia="zh-CN" w:bidi="ar-SA"/>
              </w:rPr>
              <w:t>主要生态敏感因子、敏感程度</w:t>
            </w:r>
          </w:p>
        </w:tc>
        <w:tc>
          <w:tcPr>
            <w:tcW w:w="599" w:type="pct"/>
            <w:vMerge w:val="restart"/>
            <w:tcBorders>
              <w:tl2br w:val="nil"/>
              <w:tr2bl w:val="nil"/>
            </w:tcBorders>
            <w:vAlign w:val="center"/>
          </w:tcPr>
          <w:p>
            <w:pPr>
              <w:widowControl w:val="0"/>
              <w:tabs>
                <w:tab w:val="left" w:pos="360"/>
                <w:tab w:val="left" w:pos="1620"/>
              </w:tabs>
              <w:snapToGrid w:val="0"/>
              <w:spacing w:after="120" w:line="240" w:lineRule="auto"/>
              <w:ind w:firstLine="0" w:firstLineChars="0"/>
              <w:jc w:val="center"/>
              <w:rPr>
                <w:rFonts w:ascii="Calibri" w:hAnsi="Calibri" w:eastAsia="宋体" w:cs="Times New Roman"/>
                <w:color w:val="auto"/>
                <w:kern w:val="2"/>
                <w:sz w:val="21"/>
                <w:szCs w:val="20"/>
                <w:highlight w:val="none"/>
                <w:lang w:val="en-US" w:eastAsia="zh-CN" w:bidi="ar-SA"/>
              </w:rPr>
            </w:pPr>
            <w:r>
              <w:rPr>
                <w:rFonts w:ascii="Calibri" w:hAnsi="Calibri" w:eastAsia="宋体" w:cs="Times New Roman"/>
                <w:color w:val="auto"/>
                <w:kern w:val="2"/>
                <w:sz w:val="21"/>
                <w:szCs w:val="20"/>
                <w:highlight w:val="none"/>
                <w:lang w:val="en-US" w:eastAsia="zh-CN" w:bidi="ar-SA"/>
              </w:rPr>
              <w:t>主要保护目标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703" w:hRule="atLeast"/>
          <w:jc w:val="center"/>
        </w:trPr>
        <w:tc>
          <w:tcPr>
            <w:tcW w:w="507" w:type="pct"/>
            <w:tcBorders>
              <w:tl2br w:val="nil"/>
              <w:tr2bl w:val="nil"/>
            </w:tcBorders>
            <w:vAlign w:val="center"/>
          </w:tcPr>
          <w:p>
            <w:pPr>
              <w:widowControl w:val="0"/>
              <w:tabs>
                <w:tab w:val="left" w:pos="360"/>
                <w:tab w:val="left" w:pos="1620"/>
              </w:tabs>
              <w:snapToGrid w:val="0"/>
              <w:spacing w:after="120" w:line="240" w:lineRule="auto"/>
              <w:ind w:firstLine="0" w:firstLineChars="0"/>
              <w:jc w:val="center"/>
              <w:rPr>
                <w:rFonts w:ascii="Calibri" w:hAnsi="Calibri" w:eastAsia="宋体" w:cs="Times New Roman"/>
                <w:color w:val="auto"/>
                <w:kern w:val="2"/>
                <w:sz w:val="21"/>
                <w:szCs w:val="20"/>
                <w:highlight w:val="none"/>
                <w:lang w:val="en-US" w:eastAsia="zh-CN" w:bidi="ar-SA"/>
              </w:rPr>
            </w:pPr>
            <w:r>
              <w:rPr>
                <w:rFonts w:ascii="Calibri" w:hAnsi="Calibri" w:eastAsia="宋体" w:cs="Times New Roman"/>
                <w:color w:val="auto"/>
                <w:kern w:val="2"/>
                <w:sz w:val="21"/>
                <w:szCs w:val="20"/>
                <w:highlight w:val="none"/>
                <w:lang w:val="en-US" w:eastAsia="zh-CN" w:bidi="ar-SA"/>
              </w:rPr>
              <w:t>生态区</w:t>
            </w:r>
          </w:p>
        </w:tc>
        <w:tc>
          <w:tcPr>
            <w:tcW w:w="645" w:type="pct"/>
            <w:tcBorders>
              <w:tl2br w:val="nil"/>
              <w:tr2bl w:val="nil"/>
            </w:tcBorders>
            <w:vAlign w:val="center"/>
          </w:tcPr>
          <w:p>
            <w:pPr>
              <w:widowControl w:val="0"/>
              <w:tabs>
                <w:tab w:val="left" w:pos="360"/>
                <w:tab w:val="left" w:pos="1620"/>
              </w:tabs>
              <w:snapToGrid w:val="0"/>
              <w:spacing w:after="120" w:line="240" w:lineRule="auto"/>
              <w:ind w:firstLine="0" w:firstLineChars="0"/>
              <w:jc w:val="center"/>
              <w:rPr>
                <w:rFonts w:ascii="Calibri" w:hAnsi="Calibri" w:eastAsia="宋体" w:cs="Times New Roman"/>
                <w:color w:val="auto"/>
                <w:kern w:val="2"/>
                <w:sz w:val="21"/>
                <w:szCs w:val="20"/>
                <w:highlight w:val="none"/>
                <w:lang w:val="en-US" w:eastAsia="zh-CN" w:bidi="ar-SA"/>
              </w:rPr>
            </w:pPr>
            <w:r>
              <w:rPr>
                <w:rFonts w:ascii="Calibri" w:hAnsi="Calibri" w:eastAsia="宋体" w:cs="Times New Roman"/>
                <w:color w:val="auto"/>
                <w:kern w:val="2"/>
                <w:sz w:val="21"/>
                <w:szCs w:val="20"/>
                <w:highlight w:val="none"/>
                <w:lang w:val="en-US" w:eastAsia="zh-CN" w:bidi="ar-SA"/>
              </w:rPr>
              <w:t>生态亚区</w:t>
            </w:r>
          </w:p>
        </w:tc>
        <w:tc>
          <w:tcPr>
            <w:tcW w:w="736" w:type="pct"/>
            <w:tcBorders>
              <w:tl2br w:val="nil"/>
              <w:tr2bl w:val="nil"/>
            </w:tcBorders>
            <w:vAlign w:val="center"/>
          </w:tcPr>
          <w:p>
            <w:pPr>
              <w:widowControl w:val="0"/>
              <w:tabs>
                <w:tab w:val="left" w:pos="360"/>
                <w:tab w:val="left" w:pos="1620"/>
              </w:tabs>
              <w:snapToGrid w:val="0"/>
              <w:spacing w:after="120" w:line="240" w:lineRule="auto"/>
              <w:ind w:firstLine="0" w:firstLineChars="0"/>
              <w:jc w:val="center"/>
              <w:rPr>
                <w:rFonts w:ascii="Calibri" w:hAnsi="Calibri" w:eastAsia="宋体" w:cs="Times New Roman"/>
                <w:color w:val="auto"/>
                <w:kern w:val="2"/>
                <w:sz w:val="21"/>
                <w:szCs w:val="20"/>
                <w:highlight w:val="none"/>
                <w:lang w:val="en-US" w:eastAsia="zh-CN" w:bidi="ar-SA"/>
              </w:rPr>
            </w:pPr>
            <w:r>
              <w:rPr>
                <w:rFonts w:ascii="Calibri" w:hAnsi="Calibri" w:eastAsia="宋体" w:cs="Times New Roman"/>
                <w:color w:val="auto"/>
                <w:kern w:val="2"/>
                <w:sz w:val="21"/>
                <w:szCs w:val="20"/>
                <w:highlight w:val="none"/>
                <w:lang w:val="en-US" w:eastAsia="zh-CN" w:bidi="ar-SA"/>
              </w:rPr>
              <w:t>生态</w:t>
            </w:r>
          </w:p>
          <w:p>
            <w:pPr>
              <w:widowControl w:val="0"/>
              <w:tabs>
                <w:tab w:val="left" w:pos="360"/>
                <w:tab w:val="left" w:pos="1620"/>
              </w:tabs>
              <w:snapToGrid w:val="0"/>
              <w:spacing w:after="120" w:line="240" w:lineRule="auto"/>
              <w:ind w:firstLine="0" w:firstLineChars="0"/>
              <w:jc w:val="center"/>
              <w:rPr>
                <w:rFonts w:ascii="Calibri" w:hAnsi="Calibri" w:eastAsia="宋体" w:cs="Times New Roman"/>
                <w:color w:val="auto"/>
                <w:kern w:val="2"/>
                <w:sz w:val="21"/>
                <w:szCs w:val="20"/>
                <w:highlight w:val="none"/>
                <w:lang w:val="en-US" w:eastAsia="zh-CN" w:bidi="ar-SA"/>
              </w:rPr>
            </w:pPr>
            <w:r>
              <w:rPr>
                <w:rFonts w:ascii="Calibri" w:hAnsi="Calibri" w:eastAsia="宋体" w:cs="Times New Roman"/>
                <w:color w:val="auto"/>
                <w:kern w:val="2"/>
                <w:sz w:val="21"/>
                <w:szCs w:val="20"/>
                <w:highlight w:val="none"/>
                <w:lang w:val="en-US" w:eastAsia="zh-CN" w:bidi="ar-SA"/>
              </w:rPr>
              <w:t>功能区</w:t>
            </w:r>
          </w:p>
        </w:tc>
        <w:tc>
          <w:tcPr>
            <w:tcW w:w="608" w:type="pct"/>
            <w:vMerge w:val="continue"/>
            <w:tcBorders>
              <w:tl2br w:val="nil"/>
              <w:tr2bl w:val="nil"/>
            </w:tcBorders>
            <w:vAlign w:val="center"/>
          </w:tcPr>
          <w:p>
            <w:pPr>
              <w:widowControl w:val="0"/>
              <w:tabs>
                <w:tab w:val="left" w:pos="360"/>
                <w:tab w:val="left" w:pos="1620"/>
              </w:tabs>
              <w:snapToGrid w:val="0"/>
              <w:spacing w:after="120" w:line="240" w:lineRule="auto"/>
              <w:ind w:firstLine="0" w:firstLineChars="0"/>
              <w:jc w:val="center"/>
              <w:rPr>
                <w:rFonts w:ascii="Calibri" w:hAnsi="Calibri" w:eastAsia="宋体" w:cs="Times New Roman"/>
                <w:color w:val="auto"/>
                <w:kern w:val="2"/>
                <w:sz w:val="21"/>
                <w:szCs w:val="20"/>
                <w:highlight w:val="none"/>
                <w:lang w:val="en-US" w:eastAsia="zh-CN" w:bidi="ar-SA"/>
              </w:rPr>
            </w:pPr>
          </w:p>
        </w:tc>
        <w:tc>
          <w:tcPr>
            <w:tcW w:w="1038" w:type="pct"/>
            <w:vMerge w:val="continue"/>
            <w:tcBorders>
              <w:tl2br w:val="nil"/>
              <w:tr2bl w:val="nil"/>
            </w:tcBorders>
            <w:vAlign w:val="center"/>
          </w:tcPr>
          <w:p>
            <w:pPr>
              <w:widowControl w:val="0"/>
              <w:tabs>
                <w:tab w:val="left" w:pos="360"/>
                <w:tab w:val="left" w:pos="1620"/>
              </w:tabs>
              <w:snapToGrid w:val="0"/>
              <w:spacing w:after="120" w:line="240" w:lineRule="auto"/>
              <w:ind w:firstLine="0" w:firstLineChars="0"/>
              <w:jc w:val="center"/>
              <w:rPr>
                <w:rFonts w:ascii="Calibri" w:hAnsi="Calibri" w:eastAsia="宋体" w:cs="Times New Roman"/>
                <w:color w:val="auto"/>
                <w:kern w:val="2"/>
                <w:sz w:val="21"/>
                <w:szCs w:val="20"/>
                <w:highlight w:val="none"/>
                <w:lang w:val="en-US" w:eastAsia="zh-CN" w:bidi="ar-SA"/>
              </w:rPr>
            </w:pPr>
          </w:p>
        </w:tc>
        <w:tc>
          <w:tcPr>
            <w:tcW w:w="863" w:type="pct"/>
            <w:vMerge w:val="continue"/>
            <w:tcBorders>
              <w:tl2br w:val="nil"/>
              <w:tr2bl w:val="nil"/>
            </w:tcBorders>
            <w:vAlign w:val="center"/>
          </w:tcPr>
          <w:p>
            <w:pPr>
              <w:widowControl w:val="0"/>
              <w:tabs>
                <w:tab w:val="left" w:pos="360"/>
                <w:tab w:val="left" w:pos="1620"/>
              </w:tabs>
              <w:snapToGrid w:val="0"/>
              <w:spacing w:after="120" w:line="240" w:lineRule="auto"/>
              <w:ind w:firstLine="0" w:firstLineChars="0"/>
              <w:jc w:val="center"/>
              <w:rPr>
                <w:rFonts w:ascii="Calibri" w:hAnsi="Calibri" w:eastAsia="宋体" w:cs="Times New Roman"/>
                <w:color w:val="auto"/>
                <w:kern w:val="2"/>
                <w:sz w:val="21"/>
                <w:szCs w:val="20"/>
                <w:highlight w:val="none"/>
                <w:lang w:val="en-US" w:eastAsia="zh-CN" w:bidi="ar-SA"/>
              </w:rPr>
            </w:pPr>
          </w:p>
        </w:tc>
        <w:tc>
          <w:tcPr>
            <w:tcW w:w="599" w:type="pct"/>
            <w:vMerge w:val="continue"/>
            <w:tcBorders>
              <w:tl2br w:val="nil"/>
              <w:tr2bl w:val="nil"/>
            </w:tcBorders>
            <w:vAlign w:val="center"/>
          </w:tcPr>
          <w:p>
            <w:pPr>
              <w:widowControl w:val="0"/>
              <w:tabs>
                <w:tab w:val="left" w:pos="360"/>
                <w:tab w:val="left" w:pos="1620"/>
              </w:tabs>
              <w:snapToGrid w:val="0"/>
              <w:spacing w:after="120" w:line="240" w:lineRule="auto"/>
              <w:ind w:firstLine="0" w:firstLineChars="0"/>
              <w:jc w:val="center"/>
              <w:rPr>
                <w:rFonts w:ascii="Calibri" w:hAnsi="Calibri" w:eastAsia="宋体" w:cs="Times New Roman"/>
                <w:color w:val="auto"/>
                <w:kern w:val="2"/>
                <w:sz w:val="21"/>
                <w:szCs w:val="20"/>
                <w:highlight w:val="no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1469" w:hRule="atLeast"/>
          <w:jc w:val="center"/>
        </w:trPr>
        <w:tc>
          <w:tcPr>
            <w:tcW w:w="507" w:type="pct"/>
            <w:tcBorders>
              <w:tl2br w:val="nil"/>
              <w:tr2bl w:val="nil"/>
            </w:tcBorders>
            <w:vAlign w:val="center"/>
          </w:tcPr>
          <w:p>
            <w:pPr>
              <w:widowControl w:val="0"/>
              <w:tabs>
                <w:tab w:val="left" w:pos="360"/>
                <w:tab w:val="left" w:pos="1620"/>
              </w:tabs>
              <w:snapToGrid w:val="0"/>
              <w:spacing w:after="120" w:line="240" w:lineRule="auto"/>
              <w:ind w:firstLine="0" w:firstLineChars="0"/>
              <w:jc w:val="center"/>
              <w:rPr>
                <w:rFonts w:ascii="Calibri" w:hAnsi="Calibri" w:eastAsia="宋体" w:cs="Times New Roman"/>
                <w:color w:val="auto"/>
                <w:kern w:val="2"/>
                <w:sz w:val="21"/>
                <w:szCs w:val="20"/>
                <w:highlight w:val="none"/>
                <w:lang w:val="en-US" w:eastAsia="zh-CN" w:bidi="ar-SA"/>
              </w:rPr>
            </w:pPr>
            <w:r>
              <w:rPr>
                <w:rFonts w:ascii="Calibri" w:hAnsi="Calibri" w:eastAsia="宋体" w:cs="Times New Roman"/>
                <w:color w:val="auto"/>
                <w:kern w:val="2"/>
                <w:sz w:val="21"/>
                <w:szCs w:val="20"/>
                <w:highlight w:val="none"/>
                <w:lang w:val="en-US" w:eastAsia="zh-CN" w:bidi="ar-SA"/>
              </w:rPr>
              <w:t>准噶尔盆地温性荒漠与绿洲农业生态区</w:t>
            </w:r>
          </w:p>
        </w:tc>
        <w:tc>
          <w:tcPr>
            <w:tcW w:w="645" w:type="pct"/>
            <w:tcBorders>
              <w:tl2br w:val="nil"/>
              <w:tr2bl w:val="nil"/>
            </w:tcBorders>
            <w:vAlign w:val="center"/>
          </w:tcPr>
          <w:p>
            <w:pPr>
              <w:widowControl w:val="0"/>
              <w:tabs>
                <w:tab w:val="left" w:pos="360"/>
                <w:tab w:val="left" w:pos="1620"/>
              </w:tabs>
              <w:snapToGrid w:val="0"/>
              <w:spacing w:after="120" w:line="240" w:lineRule="auto"/>
              <w:ind w:firstLine="0" w:firstLineChars="0"/>
              <w:jc w:val="center"/>
              <w:rPr>
                <w:rFonts w:ascii="Calibri" w:hAnsi="Calibri" w:eastAsia="宋体" w:cs="Times New Roman"/>
                <w:color w:val="auto"/>
                <w:kern w:val="2"/>
                <w:sz w:val="21"/>
                <w:szCs w:val="20"/>
                <w:highlight w:val="none"/>
                <w:lang w:val="en-US" w:eastAsia="zh-CN" w:bidi="ar-SA"/>
              </w:rPr>
            </w:pPr>
            <w:r>
              <w:rPr>
                <w:rFonts w:ascii="Calibri" w:hAnsi="Calibri" w:eastAsia="宋体" w:cs="Times New Roman"/>
                <w:color w:val="auto"/>
                <w:kern w:val="2"/>
                <w:sz w:val="21"/>
                <w:szCs w:val="20"/>
                <w:highlight w:val="none"/>
                <w:lang w:val="en-US" w:eastAsia="zh-CN" w:bidi="ar-SA"/>
              </w:rPr>
              <w:t>准噶尔盆地南部荒漠绿洲农业生态亚区</w:t>
            </w:r>
          </w:p>
        </w:tc>
        <w:tc>
          <w:tcPr>
            <w:tcW w:w="736" w:type="pct"/>
            <w:tcBorders>
              <w:tl2br w:val="nil"/>
              <w:tr2bl w:val="nil"/>
            </w:tcBorders>
            <w:vAlign w:val="center"/>
          </w:tcPr>
          <w:p>
            <w:pPr>
              <w:widowControl w:val="0"/>
              <w:tabs>
                <w:tab w:val="left" w:pos="360"/>
                <w:tab w:val="left" w:pos="1620"/>
              </w:tabs>
              <w:snapToGrid w:val="0"/>
              <w:spacing w:after="120" w:line="240" w:lineRule="auto"/>
              <w:ind w:firstLine="0" w:firstLineChars="0"/>
              <w:jc w:val="center"/>
              <w:rPr>
                <w:rFonts w:ascii="Calibri" w:hAnsi="Calibri" w:eastAsia="宋体" w:cs="Times New Roman"/>
                <w:color w:val="auto"/>
                <w:kern w:val="2"/>
                <w:sz w:val="21"/>
                <w:szCs w:val="20"/>
                <w:highlight w:val="none"/>
                <w:lang w:val="en-US" w:eastAsia="zh-CN" w:bidi="ar-SA"/>
              </w:rPr>
            </w:pPr>
            <w:r>
              <w:rPr>
                <w:rFonts w:ascii="Calibri" w:hAnsi="Calibri" w:eastAsia="宋体" w:cs="Times New Roman"/>
                <w:color w:val="auto"/>
                <w:kern w:val="2"/>
                <w:sz w:val="21"/>
                <w:szCs w:val="20"/>
                <w:highlight w:val="none"/>
                <w:lang w:val="en-US" w:eastAsia="zh-CN" w:bidi="ar-SA"/>
              </w:rPr>
              <w:t>乌苏—石河子—昌吉城镇与绿洲农业生态功能区</w:t>
            </w:r>
          </w:p>
        </w:tc>
        <w:tc>
          <w:tcPr>
            <w:tcW w:w="608" w:type="pct"/>
            <w:tcBorders>
              <w:tl2br w:val="nil"/>
              <w:tr2bl w:val="nil"/>
            </w:tcBorders>
            <w:vAlign w:val="center"/>
          </w:tcPr>
          <w:p>
            <w:pPr>
              <w:widowControl w:val="0"/>
              <w:tabs>
                <w:tab w:val="left" w:pos="360"/>
                <w:tab w:val="left" w:pos="1620"/>
              </w:tabs>
              <w:snapToGrid w:val="0"/>
              <w:spacing w:after="120" w:line="240" w:lineRule="auto"/>
              <w:ind w:firstLine="0" w:firstLineChars="0"/>
              <w:jc w:val="center"/>
              <w:rPr>
                <w:rFonts w:ascii="Calibri" w:hAnsi="Calibri" w:eastAsia="宋体" w:cs="Times New Roman"/>
                <w:color w:val="auto"/>
                <w:kern w:val="2"/>
                <w:sz w:val="21"/>
                <w:szCs w:val="20"/>
                <w:highlight w:val="none"/>
                <w:lang w:val="en-US" w:eastAsia="zh-CN" w:bidi="ar-SA"/>
              </w:rPr>
            </w:pPr>
            <w:r>
              <w:rPr>
                <w:rFonts w:ascii="Calibri" w:hAnsi="Calibri" w:eastAsia="宋体" w:cs="Times New Roman"/>
                <w:color w:val="auto"/>
                <w:kern w:val="2"/>
                <w:sz w:val="21"/>
                <w:szCs w:val="20"/>
                <w:highlight w:val="none"/>
                <w:lang w:val="en-US" w:eastAsia="zh-CN" w:bidi="ar-SA"/>
              </w:rPr>
              <w:t>工农畜产品生产、人居环境、荒漠化控制</w:t>
            </w:r>
          </w:p>
        </w:tc>
        <w:tc>
          <w:tcPr>
            <w:tcW w:w="1038" w:type="pct"/>
            <w:tcBorders>
              <w:tl2br w:val="nil"/>
              <w:tr2bl w:val="nil"/>
            </w:tcBorders>
            <w:vAlign w:val="center"/>
          </w:tcPr>
          <w:p>
            <w:pPr>
              <w:widowControl w:val="0"/>
              <w:tabs>
                <w:tab w:val="left" w:pos="360"/>
                <w:tab w:val="left" w:pos="1620"/>
              </w:tabs>
              <w:snapToGrid w:val="0"/>
              <w:spacing w:after="120" w:line="240" w:lineRule="auto"/>
              <w:ind w:firstLine="0" w:firstLineChars="0"/>
              <w:jc w:val="center"/>
              <w:rPr>
                <w:rFonts w:ascii="Calibri" w:hAnsi="Calibri" w:eastAsia="宋体" w:cs="Times New Roman"/>
                <w:color w:val="auto"/>
                <w:kern w:val="2"/>
                <w:sz w:val="21"/>
                <w:szCs w:val="20"/>
                <w:highlight w:val="none"/>
                <w:lang w:val="en-US" w:eastAsia="zh-CN" w:bidi="ar-SA"/>
              </w:rPr>
            </w:pPr>
            <w:r>
              <w:rPr>
                <w:rFonts w:ascii="Calibri" w:hAnsi="Calibri" w:eastAsia="宋体" w:cs="Times New Roman"/>
                <w:color w:val="auto"/>
                <w:kern w:val="2"/>
                <w:sz w:val="21"/>
                <w:szCs w:val="20"/>
                <w:highlight w:val="none"/>
                <w:lang w:val="en-US" w:eastAsia="zh-CN" w:bidi="ar-SA"/>
              </w:rPr>
              <w:t>荒漠植被退化、土地荒漠化与盐渍化、大气和水质及土壤污染、良田减少、绿洲外围受到沙漠化威胁</w:t>
            </w:r>
          </w:p>
        </w:tc>
        <w:tc>
          <w:tcPr>
            <w:tcW w:w="863" w:type="pct"/>
            <w:tcBorders>
              <w:tl2br w:val="nil"/>
              <w:tr2bl w:val="nil"/>
            </w:tcBorders>
            <w:vAlign w:val="center"/>
          </w:tcPr>
          <w:p>
            <w:pPr>
              <w:widowControl w:val="0"/>
              <w:tabs>
                <w:tab w:val="left" w:pos="360"/>
                <w:tab w:val="left" w:pos="1620"/>
              </w:tabs>
              <w:snapToGrid w:val="0"/>
              <w:spacing w:after="120" w:line="240" w:lineRule="auto"/>
              <w:ind w:firstLine="0" w:firstLineChars="0"/>
              <w:jc w:val="center"/>
              <w:rPr>
                <w:rFonts w:ascii="Calibri" w:hAnsi="Calibri" w:eastAsia="宋体" w:cs="Times New Roman"/>
                <w:color w:val="auto"/>
                <w:kern w:val="2"/>
                <w:sz w:val="21"/>
                <w:szCs w:val="20"/>
                <w:highlight w:val="none"/>
                <w:lang w:val="en-US" w:eastAsia="zh-CN" w:bidi="ar-SA"/>
              </w:rPr>
            </w:pPr>
            <w:r>
              <w:rPr>
                <w:rFonts w:ascii="Calibri" w:hAnsi="Calibri" w:eastAsia="宋体" w:cs="Times New Roman"/>
                <w:color w:val="auto"/>
                <w:kern w:val="2"/>
                <w:sz w:val="21"/>
                <w:szCs w:val="20"/>
                <w:highlight w:val="none"/>
                <w:lang w:val="en-US" w:eastAsia="zh-CN" w:bidi="ar-SA"/>
              </w:rPr>
              <w:t>生物多样性及其生境中度敏感，土壤盐渍化轻度敏感</w:t>
            </w:r>
          </w:p>
        </w:tc>
        <w:tc>
          <w:tcPr>
            <w:tcW w:w="599" w:type="pct"/>
            <w:tcBorders>
              <w:tl2br w:val="nil"/>
              <w:tr2bl w:val="nil"/>
            </w:tcBorders>
            <w:vAlign w:val="center"/>
          </w:tcPr>
          <w:p>
            <w:pPr>
              <w:widowControl w:val="0"/>
              <w:tabs>
                <w:tab w:val="left" w:pos="360"/>
                <w:tab w:val="left" w:pos="1620"/>
              </w:tabs>
              <w:snapToGrid w:val="0"/>
              <w:spacing w:after="120" w:line="240" w:lineRule="auto"/>
              <w:ind w:firstLine="0" w:firstLineChars="0"/>
              <w:jc w:val="center"/>
              <w:rPr>
                <w:rFonts w:ascii="Calibri" w:hAnsi="Calibri" w:eastAsia="宋体" w:cs="Times New Roman"/>
                <w:color w:val="auto"/>
                <w:kern w:val="2"/>
                <w:sz w:val="21"/>
                <w:szCs w:val="20"/>
                <w:highlight w:val="none"/>
                <w:lang w:val="en-US" w:eastAsia="zh-CN" w:bidi="ar-SA"/>
              </w:rPr>
            </w:pPr>
            <w:r>
              <w:rPr>
                <w:rFonts w:ascii="Calibri" w:hAnsi="Calibri" w:eastAsia="宋体" w:cs="Times New Roman"/>
                <w:color w:val="auto"/>
                <w:kern w:val="2"/>
                <w:sz w:val="21"/>
                <w:szCs w:val="20"/>
                <w:highlight w:val="none"/>
                <w:lang w:val="en-US" w:eastAsia="zh-CN" w:bidi="ar-SA"/>
              </w:rPr>
              <w:t>保护基本农田、保护土壤环境质量、保护天然植被</w:t>
            </w:r>
          </w:p>
        </w:tc>
      </w:tr>
    </w:tbl>
    <w:p>
      <w:pPr>
        <w:ind w:firstLine="480"/>
        <w:rPr>
          <w:rFonts w:ascii="Times New Roman" w:hAnsi="Times New Roman" w:eastAsia="宋体" w:cs="Times New Roman"/>
          <w:color w:val="auto"/>
          <w:highlight w:val="none"/>
          <w:lang w:val="zh-CN"/>
        </w:rPr>
      </w:pPr>
      <w:r>
        <w:rPr>
          <w:rFonts w:hint="eastAsia" w:ascii="Times New Roman" w:hAnsi="Times New Roman" w:eastAsia="宋体" w:cs="Times New Roman"/>
          <w:color w:val="auto"/>
          <w:highlight w:val="none"/>
          <w:lang w:val="en-US" w:eastAsia="zh-CN"/>
        </w:rPr>
        <w:t>本项目</w:t>
      </w:r>
      <w:r>
        <w:rPr>
          <w:rFonts w:hint="eastAsia" w:ascii="Times New Roman" w:hAnsi="Times New Roman" w:eastAsia="宋体" w:cs="Times New Roman"/>
          <w:color w:val="auto"/>
          <w:highlight w:val="none"/>
          <w:lang w:val="zh-CN"/>
        </w:rPr>
        <w:t>所在区域地形平坦，由于地下水位较浅，加之日照蒸发强烈，土壤形成了以漠境盐土为主的土壤类型，土地利用类型主要为</w:t>
      </w:r>
      <w:r>
        <w:rPr>
          <w:rFonts w:hint="eastAsia" w:ascii="Times New Roman" w:hAnsi="Times New Roman" w:eastAsia="宋体" w:cs="Times New Roman"/>
          <w:color w:val="auto"/>
          <w:highlight w:val="none"/>
          <w:lang w:val="en-US" w:eastAsia="zh-CN"/>
        </w:rPr>
        <w:t>排水设施用地</w:t>
      </w:r>
      <w:r>
        <w:rPr>
          <w:rFonts w:hint="eastAsia" w:ascii="Times New Roman" w:hAnsi="Times New Roman" w:eastAsia="宋体" w:cs="Times New Roman"/>
          <w:color w:val="auto"/>
          <w:highlight w:val="none"/>
          <w:lang w:val="zh-CN"/>
        </w:rPr>
        <w:t>，</w:t>
      </w:r>
      <w:r>
        <w:rPr>
          <w:rFonts w:hint="eastAsia" w:ascii="Times New Roman" w:hAnsi="Times New Roman" w:eastAsia="宋体" w:cs="Times New Roman"/>
          <w:color w:val="auto"/>
          <w:highlight w:val="none"/>
          <w:lang w:val="en-US" w:eastAsia="zh-CN"/>
        </w:rPr>
        <w:t>周边</w:t>
      </w:r>
      <w:r>
        <w:rPr>
          <w:rFonts w:hint="eastAsia" w:ascii="Times New Roman" w:hAnsi="Times New Roman" w:eastAsia="宋体" w:cs="Times New Roman"/>
          <w:color w:val="auto"/>
          <w:highlight w:val="none"/>
          <w:lang w:val="zh-CN"/>
        </w:rPr>
        <w:t>景观类型以农业景观为主，植被以农作物和人工防护林地为主，自然植被多为农田伴生草本植物群落为主。</w:t>
      </w:r>
      <w:r>
        <w:rPr>
          <w:rFonts w:hint="eastAsia"/>
          <w:color w:val="auto"/>
          <w:highlight w:val="none"/>
        </w:rPr>
        <w:t>大部分是农田</w:t>
      </w:r>
      <w:r>
        <w:rPr>
          <w:rFonts w:hint="eastAsia"/>
          <w:color w:val="auto"/>
          <w:highlight w:val="none"/>
          <w:lang w:val="en-US" w:eastAsia="zh-CN"/>
        </w:rPr>
        <w:t>和林地</w:t>
      </w:r>
      <w:r>
        <w:rPr>
          <w:rFonts w:hint="eastAsia"/>
          <w:color w:val="auto"/>
          <w:highlight w:val="none"/>
        </w:rPr>
        <w:t>，</w:t>
      </w:r>
      <w:r>
        <w:rPr>
          <w:rFonts w:hint="eastAsia"/>
          <w:color w:val="auto"/>
          <w:highlight w:val="none"/>
          <w:lang w:val="en-US" w:eastAsia="zh-CN"/>
        </w:rPr>
        <w:t>农田面积为19030hm</w:t>
      </w:r>
      <w:r>
        <w:rPr>
          <w:rFonts w:hint="eastAsia"/>
          <w:color w:val="auto"/>
          <w:highlight w:val="none"/>
          <w:vertAlign w:val="superscript"/>
          <w:lang w:val="en-US" w:eastAsia="zh-CN"/>
        </w:rPr>
        <w:t>2</w:t>
      </w:r>
      <w:r>
        <w:rPr>
          <w:rFonts w:hint="eastAsia"/>
          <w:color w:val="auto"/>
          <w:highlight w:val="none"/>
          <w:vertAlign w:val="baseline"/>
          <w:lang w:val="en-US" w:eastAsia="zh-CN"/>
        </w:rPr>
        <w:t>。权属为</w:t>
      </w:r>
      <w:r>
        <w:rPr>
          <w:rFonts w:hint="eastAsia" w:cs="Times New Roman"/>
          <w:color w:val="auto"/>
          <w:sz w:val="24"/>
          <w:szCs w:val="24"/>
          <w:highlight w:val="none"/>
          <w:lang w:val="en-US" w:eastAsia="zh-CN"/>
        </w:rPr>
        <w:t>新疆昌吉国家农业科技园区高新农业产业园，</w:t>
      </w:r>
      <w:r>
        <w:rPr>
          <w:rFonts w:hint="eastAsia"/>
          <w:color w:val="auto"/>
          <w:highlight w:val="none"/>
          <w:vertAlign w:val="baseline"/>
          <w:lang w:val="en-US" w:eastAsia="zh-CN"/>
        </w:rPr>
        <w:t>耕种的作物种类为棉花，收播频次为1年一次</w:t>
      </w:r>
      <w:r>
        <w:rPr>
          <w:rFonts w:hint="eastAsia"/>
          <w:color w:val="auto"/>
          <w:highlight w:val="none"/>
        </w:rPr>
        <w:t>。</w:t>
      </w:r>
    </w:p>
    <w:p>
      <w:pPr>
        <w:pStyle w:val="2"/>
        <w:bidi w:val="0"/>
        <w:rPr>
          <w:color w:val="auto"/>
          <w:highlight w:val="none"/>
        </w:rPr>
      </w:pPr>
      <w:r>
        <w:rPr>
          <w:color w:val="auto"/>
          <w:highlight w:val="none"/>
        </w:rPr>
        <w:t>区域</w:t>
      </w:r>
      <w:r>
        <w:rPr>
          <w:rFonts w:hint="eastAsia"/>
          <w:color w:val="auto"/>
          <w:highlight w:val="none"/>
        </w:rPr>
        <w:t>自然</w:t>
      </w:r>
      <w:r>
        <w:rPr>
          <w:color w:val="auto"/>
          <w:highlight w:val="none"/>
        </w:rPr>
        <w:t>植被</w:t>
      </w:r>
      <w:r>
        <w:rPr>
          <w:rFonts w:hint="eastAsia"/>
          <w:color w:val="auto"/>
          <w:highlight w:val="none"/>
        </w:rPr>
        <w:t>现状</w:t>
      </w:r>
    </w:p>
    <w:p>
      <w:pPr>
        <w:ind w:firstLine="480"/>
        <w:rPr>
          <w:color w:val="auto"/>
          <w:highlight w:val="none"/>
        </w:rPr>
      </w:pPr>
      <w:r>
        <w:rPr>
          <w:rFonts w:hint="eastAsia"/>
          <w:color w:val="auto"/>
          <w:highlight w:val="none"/>
        </w:rPr>
        <w:t>评价</w:t>
      </w:r>
      <w:r>
        <w:rPr>
          <w:color w:val="auto"/>
          <w:highlight w:val="none"/>
        </w:rPr>
        <w:t>范围内的主要自然植物种类组成有</w:t>
      </w:r>
      <w:r>
        <w:rPr>
          <w:rFonts w:hint="eastAsia"/>
          <w:color w:val="auto"/>
          <w:highlight w:val="none"/>
        </w:rPr>
        <w:t>藜科、</w:t>
      </w:r>
      <w:r>
        <w:rPr>
          <w:color w:val="auto"/>
          <w:highlight w:val="none"/>
        </w:rPr>
        <w:t>菊科、十字花科、禾本科</w:t>
      </w:r>
      <w:r>
        <w:rPr>
          <w:rFonts w:hint="eastAsia"/>
          <w:color w:val="auto"/>
          <w:highlight w:val="none"/>
          <w:lang w:eastAsia="zh-CN"/>
        </w:rPr>
        <w:t>。</w:t>
      </w:r>
      <w:r>
        <w:rPr>
          <w:rFonts w:hint="eastAsia"/>
          <w:color w:val="auto"/>
          <w:highlight w:val="none"/>
        </w:rPr>
        <w:t>区域</w:t>
      </w:r>
      <w:r>
        <w:rPr>
          <w:color w:val="auto"/>
          <w:highlight w:val="none"/>
        </w:rPr>
        <w:t>主要植物种类及生物学特征见</w:t>
      </w:r>
      <w:r>
        <w:rPr>
          <w:rFonts w:hint="eastAsia"/>
          <w:color w:val="auto"/>
          <w:highlight w:val="none"/>
          <w:lang w:val="en-US" w:eastAsia="zh-CN"/>
        </w:rPr>
        <w:t>下</w:t>
      </w:r>
      <w:r>
        <w:rPr>
          <w:color w:val="auto"/>
          <w:highlight w:val="none"/>
        </w:rPr>
        <w:t>表。</w:t>
      </w:r>
    </w:p>
    <w:p>
      <w:pPr>
        <w:pStyle w:val="70"/>
        <w:rPr>
          <w:color w:val="auto"/>
          <w:highlight w:val="none"/>
        </w:rPr>
      </w:pPr>
      <w:r>
        <w:rPr>
          <w:color w:val="auto"/>
          <w:highlight w:val="none"/>
        </w:rPr>
        <w:t>表</w:t>
      </w:r>
      <w:r>
        <w:rPr>
          <w:rFonts w:hint="eastAsia"/>
          <w:color w:val="auto"/>
          <w:highlight w:val="none"/>
          <w:lang w:val="en-US" w:eastAsia="zh-CN"/>
        </w:rPr>
        <w:t>4.3-13</w:t>
      </w:r>
      <w:r>
        <w:rPr>
          <w:rFonts w:hint="eastAsia"/>
          <w:color w:val="auto"/>
          <w:highlight w:val="none"/>
        </w:rPr>
        <w:t>区域</w:t>
      </w:r>
      <w:r>
        <w:rPr>
          <w:color w:val="auto"/>
          <w:highlight w:val="none"/>
        </w:rPr>
        <w:t>主要植物种类地位及生物学特征</w:t>
      </w:r>
    </w:p>
    <w:tbl>
      <w:tblPr>
        <w:tblStyle w:val="33"/>
        <w:tblW w:w="9071"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3243"/>
        <w:gridCol w:w="648"/>
        <w:gridCol w:w="648"/>
        <w:gridCol w:w="647"/>
        <w:gridCol w:w="648"/>
        <w:gridCol w:w="653"/>
        <w:gridCol w:w="648"/>
        <w:gridCol w:w="648"/>
        <w:gridCol w:w="648"/>
        <w:gridCol w:w="64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243" w:type="dxa"/>
            <w:vMerge w:val="restart"/>
            <w:tcBorders>
              <w:tl2br w:val="nil"/>
              <w:tr2bl w:val="nil"/>
            </w:tcBorders>
          </w:tcPr>
          <w:p>
            <w:pPr>
              <w:pStyle w:val="49"/>
              <w:tabs>
                <w:tab w:val="left" w:pos="360"/>
                <w:tab w:val="left" w:pos="1620"/>
                <w:tab w:val="clear" w:pos="-2486"/>
              </w:tabs>
              <w:rPr>
                <w:color w:val="auto"/>
                <w:highlight w:val="none"/>
              </w:rPr>
            </w:pPr>
            <w:r>
              <w:rPr>
                <w:color w:val="auto"/>
                <w:highlight w:val="none"/>
              </w:rPr>
              <w:t>植物名称</w:t>
            </w:r>
          </w:p>
        </w:tc>
        <w:tc>
          <w:tcPr>
            <w:tcW w:w="3244" w:type="dxa"/>
            <w:gridSpan w:val="5"/>
            <w:tcBorders>
              <w:tl2br w:val="nil"/>
              <w:tr2bl w:val="nil"/>
            </w:tcBorders>
          </w:tcPr>
          <w:p>
            <w:pPr>
              <w:pStyle w:val="49"/>
              <w:tabs>
                <w:tab w:val="left" w:pos="360"/>
                <w:tab w:val="left" w:pos="1620"/>
                <w:tab w:val="clear" w:pos="-2486"/>
              </w:tabs>
              <w:rPr>
                <w:color w:val="auto"/>
                <w:highlight w:val="none"/>
              </w:rPr>
            </w:pPr>
            <w:r>
              <w:rPr>
                <w:color w:val="auto"/>
                <w:highlight w:val="none"/>
              </w:rPr>
              <w:t>植物生活型</w:t>
            </w:r>
          </w:p>
        </w:tc>
        <w:tc>
          <w:tcPr>
            <w:tcW w:w="648" w:type="dxa"/>
            <w:vMerge w:val="restart"/>
            <w:tcBorders>
              <w:tl2br w:val="nil"/>
              <w:tr2bl w:val="nil"/>
            </w:tcBorders>
          </w:tcPr>
          <w:p>
            <w:pPr>
              <w:pStyle w:val="49"/>
              <w:tabs>
                <w:tab w:val="left" w:pos="360"/>
                <w:tab w:val="left" w:pos="1620"/>
                <w:tab w:val="clear" w:pos="-2486"/>
              </w:tabs>
              <w:rPr>
                <w:color w:val="auto"/>
                <w:highlight w:val="none"/>
              </w:rPr>
            </w:pPr>
            <w:r>
              <w:rPr>
                <w:color w:val="auto"/>
                <w:highlight w:val="none"/>
              </w:rPr>
              <w:t>出现度较大的</w:t>
            </w:r>
          </w:p>
          <w:p>
            <w:pPr>
              <w:pStyle w:val="49"/>
              <w:tabs>
                <w:tab w:val="left" w:pos="360"/>
                <w:tab w:val="left" w:pos="1620"/>
                <w:tab w:val="clear" w:pos="-2486"/>
              </w:tabs>
              <w:rPr>
                <w:color w:val="auto"/>
                <w:highlight w:val="none"/>
              </w:rPr>
            </w:pPr>
            <w:r>
              <w:rPr>
                <w:color w:val="auto"/>
                <w:highlight w:val="none"/>
              </w:rPr>
              <w:t>种</w:t>
            </w:r>
          </w:p>
        </w:tc>
        <w:tc>
          <w:tcPr>
            <w:tcW w:w="648" w:type="dxa"/>
            <w:vMerge w:val="restart"/>
            <w:tcBorders>
              <w:tl2br w:val="nil"/>
              <w:tr2bl w:val="nil"/>
            </w:tcBorders>
          </w:tcPr>
          <w:p>
            <w:pPr>
              <w:pStyle w:val="49"/>
              <w:tabs>
                <w:tab w:val="left" w:pos="360"/>
                <w:tab w:val="left" w:pos="1620"/>
                <w:tab w:val="clear" w:pos="-2486"/>
              </w:tabs>
              <w:rPr>
                <w:color w:val="auto"/>
                <w:highlight w:val="none"/>
              </w:rPr>
            </w:pPr>
            <w:r>
              <w:rPr>
                <w:color w:val="auto"/>
                <w:highlight w:val="none"/>
              </w:rPr>
              <w:t>优</w:t>
            </w:r>
          </w:p>
          <w:p>
            <w:pPr>
              <w:pStyle w:val="49"/>
              <w:tabs>
                <w:tab w:val="left" w:pos="360"/>
                <w:tab w:val="left" w:pos="1620"/>
                <w:tab w:val="clear" w:pos="-2486"/>
              </w:tabs>
              <w:rPr>
                <w:color w:val="auto"/>
                <w:highlight w:val="none"/>
              </w:rPr>
            </w:pPr>
            <w:r>
              <w:rPr>
                <w:color w:val="auto"/>
                <w:highlight w:val="none"/>
              </w:rPr>
              <w:t>势</w:t>
            </w:r>
          </w:p>
          <w:p>
            <w:pPr>
              <w:pStyle w:val="49"/>
              <w:tabs>
                <w:tab w:val="left" w:pos="360"/>
                <w:tab w:val="left" w:pos="1620"/>
                <w:tab w:val="clear" w:pos="-2486"/>
              </w:tabs>
              <w:rPr>
                <w:color w:val="auto"/>
                <w:highlight w:val="none"/>
              </w:rPr>
            </w:pPr>
            <w:r>
              <w:rPr>
                <w:color w:val="auto"/>
                <w:highlight w:val="none"/>
              </w:rPr>
              <w:t>种</w:t>
            </w:r>
          </w:p>
        </w:tc>
        <w:tc>
          <w:tcPr>
            <w:tcW w:w="648" w:type="dxa"/>
            <w:vMerge w:val="restart"/>
            <w:tcBorders>
              <w:tl2br w:val="nil"/>
              <w:tr2bl w:val="nil"/>
            </w:tcBorders>
          </w:tcPr>
          <w:p>
            <w:pPr>
              <w:pStyle w:val="49"/>
              <w:tabs>
                <w:tab w:val="left" w:pos="360"/>
                <w:tab w:val="left" w:pos="1620"/>
                <w:tab w:val="clear" w:pos="-2486"/>
              </w:tabs>
              <w:rPr>
                <w:color w:val="auto"/>
                <w:highlight w:val="none"/>
              </w:rPr>
            </w:pPr>
            <w:r>
              <w:rPr>
                <w:color w:val="auto"/>
                <w:highlight w:val="none"/>
              </w:rPr>
              <w:t>保护</w:t>
            </w:r>
          </w:p>
          <w:p>
            <w:pPr>
              <w:pStyle w:val="49"/>
              <w:tabs>
                <w:tab w:val="left" w:pos="360"/>
                <w:tab w:val="left" w:pos="1620"/>
                <w:tab w:val="clear" w:pos="-2486"/>
              </w:tabs>
              <w:rPr>
                <w:color w:val="auto"/>
                <w:highlight w:val="none"/>
              </w:rPr>
            </w:pPr>
            <w:r>
              <w:rPr>
                <w:color w:val="auto"/>
                <w:highlight w:val="none"/>
              </w:rPr>
              <w:t>植物</w:t>
            </w:r>
          </w:p>
        </w:tc>
        <w:tc>
          <w:tcPr>
            <w:tcW w:w="640" w:type="dxa"/>
            <w:vMerge w:val="restart"/>
            <w:tcBorders>
              <w:tl2br w:val="nil"/>
              <w:tr2bl w:val="nil"/>
            </w:tcBorders>
          </w:tcPr>
          <w:p>
            <w:pPr>
              <w:pStyle w:val="49"/>
              <w:tabs>
                <w:tab w:val="left" w:pos="360"/>
                <w:tab w:val="left" w:pos="1620"/>
                <w:tab w:val="clear" w:pos="-2486"/>
              </w:tabs>
              <w:rPr>
                <w:color w:val="auto"/>
                <w:highlight w:val="none"/>
              </w:rPr>
            </w:pPr>
            <w:r>
              <w:rPr>
                <w:color w:val="auto"/>
                <w:highlight w:val="none"/>
              </w:rPr>
              <w:t>资源</w:t>
            </w:r>
          </w:p>
          <w:p>
            <w:pPr>
              <w:pStyle w:val="49"/>
              <w:tabs>
                <w:tab w:val="left" w:pos="360"/>
                <w:tab w:val="left" w:pos="1620"/>
                <w:tab w:val="clear" w:pos="-2486"/>
              </w:tabs>
              <w:rPr>
                <w:color w:val="auto"/>
                <w:highlight w:val="none"/>
              </w:rPr>
            </w:pPr>
            <w:r>
              <w:rPr>
                <w:color w:val="auto"/>
                <w:highlight w:val="none"/>
              </w:rPr>
              <w:t>植物</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243" w:type="dxa"/>
            <w:vMerge w:val="continue"/>
            <w:tcBorders>
              <w:tl2br w:val="nil"/>
              <w:tr2bl w:val="nil"/>
            </w:tcBorders>
          </w:tcPr>
          <w:p>
            <w:pPr>
              <w:pStyle w:val="49"/>
              <w:tabs>
                <w:tab w:val="left" w:pos="360"/>
                <w:tab w:val="left" w:pos="1620"/>
                <w:tab w:val="clear" w:pos="-2486"/>
              </w:tabs>
              <w:rPr>
                <w:color w:val="auto"/>
                <w:highlight w:val="none"/>
              </w:rPr>
            </w:pPr>
          </w:p>
        </w:tc>
        <w:tc>
          <w:tcPr>
            <w:tcW w:w="648" w:type="dxa"/>
            <w:tcBorders>
              <w:tl2br w:val="nil"/>
              <w:tr2bl w:val="nil"/>
            </w:tcBorders>
          </w:tcPr>
          <w:p>
            <w:pPr>
              <w:pStyle w:val="49"/>
              <w:tabs>
                <w:tab w:val="left" w:pos="360"/>
                <w:tab w:val="left" w:pos="1620"/>
                <w:tab w:val="clear" w:pos="-2486"/>
              </w:tabs>
              <w:rPr>
                <w:color w:val="auto"/>
                <w:highlight w:val="none"/>
              </w:rPr>
            </w:pPr>
            <w:r>
              <w:rPr>
                <w:color w:val="auto"/>
                <w:highlight w:val="none"/>
              </w:rPr>
              <w:t>高</w:t>
            </w:r>
          </w:p>
          <w:p>
            <w:pPr>
              <w:pStyle w:val="49"/>
              <w:tabs>
                <w:tab w:val="left" w:pos="360"/>
                <w:tab w:val="left" w:pos="1620"/>
                <w:tab w:val="clear" w:pos="-2486"/>
              </w:tabs>
              <w:rPr>
                <w:color w:val="auto"/>
                <w:highlight w:val="none"/>
              </w:rPr>
            </w:pPr>
            <w:r>
              <w:rPr>
                <w:color w:val="auto"/>
                <w:highlight w:val="none"/>
              </w:rPr>
              <w:t>位</w:t>
            </w:r>
          </w:p>
          <w:p>
            <w:pPr>
              <w:pStyle w:val="49"/>
              <w:tabs>
                <w:tab w:val="left" w:pos="360"/>
                <w:tab w:val="left" w:pos="1620"/>
                <w:tab w:val="clear" w:pos="-2486"/>
              </w:tabs>
              <w:rPr>
                <w:color w:val="auto"/>
                <w:highlight w:val="none"/>
              </w:rPr>
            </w:pPr>
            <w:r>
              <w:rPr>
                <w:color w:val="auto"/>
                <w:highlight w:val="none"/>
              </w:rPr>
              <w:t>芽</w:t>
            </w:r>
          </w:p>
          <w:p>
            <w:pPr>
              <w:pStyle w:val="49"/>
              <w:tabs>
                <w:tab w:val="left" w:pos="360"/>
                <w:tab w:val="left" w:pos="1620"/>
                <w:tab w:val="clear" w:pos="-2486"/>
              </w:tabs>
              <w:rPr>
                <w:color w:val="auto"/>
                <w:highlight w:val="none"/>
              </w:rPr>
            </w:pPr>
            <w:r>
              <w:rPr>
                <w:color w:val="auto"/>
                <w:highlight w:val="none"/>
              </w:rPr>
              <w:t>植</w:t>
            </w:r>
          </w:p>
          <w:p>
            <w:pPr>
              <w:pStyle w:val="49"/>
              <w:tabs>
                <w:tab w:val="left" w:pos="360"/>
                <w:tab w:val="left" w:pos="1620"/>
                <w:tab w:val="clear" w:pos="-2486"/>
              </w:tabs>
              <w:rPr>
                <w:color w:val="auto"/>
                <w:highlight w:val="none"/>
              </w:rPr>
            </w:pPr>
            <w:r>
              <w:rPr>
                <w:color w:val="auto"/>
                <w:highlight w:val="none"/>
              </w:rPr>
              <w:t>物</w:t>
            </w:r>
          </w:p>
        </w:tc>
        <w:tc>
          <w:tcPr>
            <w:tcW w:w="648" w:type="dxa"/>
            <w:tcBorders>
              <w:tl2br w:val="nil"/>
              <w:tr2bl w:val="nil"/>
            </w:tcBorders>
          </w:tcPr>
          <w:p>
            <w:pPr>
              <w:pStyle w:val="49"/>
              <w:tabs>
                <w:tab w:val="left" w:pos="360"/>
                <w:tab w:val="left" w:pos="1620"/>
                <w:tab w:val="clear" w:pos="-2486"/>
              </w:tabs>
              <w:rPr>
                <w:color w:val="auto"/>
                <w:highlight w:val="none"/>
              </w:rPr>
            </w:pPr>
            <w:r>
              <w:rPr>
                <w:color w:val="auto"/>
                <w:highlight w:val="none"/>
              </w:rPr>
              <w:t>地</w:t>
            </w:r>
          </w:p>
          <w:p>
            <w:pPr>
              <w:pStyle w:val="49"/>
              <w:tabs>
                <w:tab w:val="left" w:pos="360"/>
                <w:tab w:val="left" w:pos="1620"/>
                <w:tab w:val="clear" w:pos="-2486"/>
              </w:tabs>
              <w:rPr>
                <w:color w:val="auto"/>
                <w:highlight w:val="none"/>
              </w:rPr>
            </w:pPr>
            <w:r>
              <w:rPr>
                <w:color w:val="auto"/>
                <w:highlight w:val="none"/>
              </w:rPr>
              <w:t>上</w:t>
            </w:r>
          </w:p>
          <w:p>
            <w:pPr>
              <w:pStyle w:val="49"/>
              <w:tabs>
                <w:tab w:val="left" w:pos="360"/>
                <w:tab w:val="left" w:pos="1620"/>
                <w:tab w:val="clear" w:pos="-2486"/>
              </w:tabs>
              <w:rPr>
                <w:color w:val="auto"/>
                <w:highlight w:val="none"/>
              </w:rPr>
            </w:pPr>
            <w:r>
              <w:rPr>
                <w:color w:val="auto"/>
                <w:highlight w:val="none"/>
              </w:rPr>
              <w:t>芽</w:t>
            </w:r>
          </w:p>
          <w:p>
            <w:pPr>
              <w:pStyle w:val="49"/>
              <w:tabs>
                <w:tab w:val="left" w:pos="360"/>
                <w:tab w:val="left" w:pos="1620"/>
                <w:tab w:val="clear" w:pos="-2486"/>
              </w:tabs>
              <w:rPr>
                <w:color w:val="auto"/>
                <w:highlight w:val="none"/>
              </w:rPr>
            </w:pPr>
            <w:r>
              <w:rPr>
                <w:color w:val="auto"/>
                <w:highlight w:val="none"/>
              </w:rPr>
              <w:t>植</w:t>
            </w:r>
          </w:p>
          <w:p>
            <w:pPr>
              <w:pStyle w:val="49"/>
              <w:tabs>
                <w:tab w:val="left" w:pos="360"/>
                <w:tab w:val="left" w:pos="1620"/>
                <w:tab w:val="clear" w:pos="-2486"/>
              </w:tabs>
              <w:rPr>
                <w:color w:val="auto"/>
                <w:highlight w:val="none"/>
              </w:rPr>
            </w:pPr>
            <w:r>
              <w:rPr>
                <w:color w:val="auto"/>
                <w:highlight w:val="none"/>
              </w:rPr>
              <w:t>物</w:t>
            </w:r>
          </w:p>
        </w:tc>
        <w:tc>
          <w:tcPr>
            <w:tcW w:w="647" w:type="dxa"/>
            <w:tcBorders>
              <w:tl2br w:val="nil"/>
              <w:tr2bl w:val="nil"/>
            </w:tcBorders>
          </w:tcPr>
          <w:p>
            <w:pPr>
              <w:pStyle w:val="49"/>
              <w:tabs>
                <w:tab w:val="left" w:pos="360"/>
                <w:tab w:val="left" w:pos="1620"/>
                <w:tab w:val="clear" w:pos="-2486"/>
              </w:tabs>
              <w:rPr>
                <w:color w:val="auto"/>
                <w:highlight w:val="none"/>
              </w:rPr>
            </w:pPr>
            <w:r>
              <w:rPr>
                <w:color w:val="auto"/>
                <w:highlight w:val="none"/>
              </w:rPr>
              <w:t>地</w:t>
            </w:r>
          </w:p>
          <w:p>
            <w:pPr>
              <w:pStyle w:val="49"/>
              <w:tabs>
                <w:tab w:val="left" w:pos="360"/>
                <w:tab w:val="left" w:pos="1620"/>
                <w:tab w:val="clear" w:pos="-2486"/>
              </w:tabs>
              <w:rPr>
                <w:color w:val="auto"/>
                <w:highlight w:val="none"/>
              </w:rPr>
            </w:pPr>
            <w:r>
              <w:rPr>
                <w:color w:val="auto"/>
                <w:highlight w:val="none"/>
              </w:rPr>
              <w:t>面</w:t>
            </w:r>
          </w:p>
          <w:p>
            <w:pPr>
              <w:pStyle w:val="49"/>
              <w:tabs>
                <w:tab w:val="left" w:pos="360"/>
                <w:tab w:val="left" w:pos="1620"/>
                <w:tab w:val="clear" w:pos="-2486"/>
              </w:tabs>
              <w:rPr>
                <w:color w:val="auto"/>
                <w:highlight w:val="none"/>
              </w:rPr>
            </w:pPr>
            <w:r>
              <w:rPr>
                <w:color w:val="auto"/>
                <w:highlight w:val="none"/>
              </w:rPr>
              <w:t>芽</w:t>
            </w:r>
          </w:p>
          <w:p>
            <w:pPr>
              <w:pStyle w:val="49"/>
              <w:tabs>
                <w:tab w:val="left" w:pos="360"/>
                <w:tab w:val="left" w:pos="1620"/>
                <w:tab w:val="clear" w:pos="-2486"/>
              </w:tabs>
              <w:rPr>
                <w:color w:val="auto"/>
                <w:highlight w:val="none"/>
              </w:rPr>
            </w:pPr>
            <w:r>
              <w:rPr>
                <w:color w:val="auto"/>
                <w:highlight w:val="none"/>
              </w:rPr>
              <w:t>植</w:t>
            </w:r>
          </w:p>
          <w:p>
            <w:pPr>
              <w:pStyle w:val="49"/>
              <w:tabs>
                <w:tab w:val="left" w:pos="360"/>
                <w:tab w:val="left" w:pos="1620"/>
                <w:tab w:val="clear" w:pos="-2486"/>
              </w:tabs>
              <w:rPr>
                <w:color w:val="auto"/>
                <w:highlight w:val="none"/>
              </w:rPr>
            </w:pPr>
            <w:r>
              <w:rPr>
                <w:color w:val="auto"/>
                <w:highlight w:val="none"/>
              </w:rPr>
              <w:t>物</w:t>
            </w:r>
          </w:p>
        </w:tc>
        <w:tc>
          <w:tcPr>
            <w:tcW w:w="648" w:type="dxa"/>
            <w:tcBorders>
              <w:tl2br w:val="nil"/>
              <w:tr2bl w:val="nil"/>
            </w:tcBorders>
          </w:tcPr>
          <w:p>
            <w:pPr>
              <w:pStyle w:val="49"/>
              <w:tabs>
                <w:tab w:val="left" w:pos="360"/>
                <w:tab w:val="left" w:pos="1620"/>
                <w:tab w:val="clear" w:pos="-2486"/>
              </w:tabs>
              <w:rPr>
                <w:color w:val="auto"/>
                <w:highlight w:val="none"/>
              </w:rPr>
            </w:pPr>
            <w:r>
              <w:rPr>
                <w:color w:val="auto"/>
                <w:highlight w:val="none"/>
              </w:rPr>
              <w:t>地</w:t>
            </w:r>
          </w:p>
          <w:p>
            <w:pPr>
              <w:pStyle w:val="49"/>
              <w:tabs>
                <w:tab w:val="left" w:pos="360"/>
                <w:tab w:val="left" w:pos="1620"/>
                <w:tab w:val="clear" w:pos="-2486"/>
              </w:tabs>
              <w:rPr>
                <w:color w:val="auto"/>
                <w:highlight w:val="none"/>
              </w:rPr>
            </w:pPr>
            <w:r>
              <w:rPr>
                <w:color w:val="auto"/>
                <w:highlight w:val="none"/>
              </w:rPr>
              <w:t>下</w:t>
            </w:r>
          </w:p>
          <w:p>
            <w:pPr>
              <w:pStyle w:val="49"/>
              <w:tabs>
                <w:tab w:val="left" w:pos="360"/>
                <w:tab w:val="left" w:pos="1620"/>
                <w:tab w:val="clear" w:pos="-2486"/>
              </w:tabs>
              <w:rPr>
                <w:color w:val="auto"/>
                <w:highlight w:val="none"/>
              </w:rPr>
            </w:pPr>
            <w:r>
              <w:rPr>
                <w:color w:val="auto"/>
                <w:highlight w:val="none"/>
              </w:rPr>
              <w:t>芽</w:t>
            </w:r>
          </w:p>
          <w:p>
            <w:pPr>
              <w:pStyle w:val="49"/>
              <w:tabs>
                <w:tab w:val="left" w:pos="360"/>
                <w:tab w:val="left" w:pos="1620"/>
                <w:tab w:val="clear" w:pos="-2486"/>
              </w:tabs>
              <w:rPr>
                <w:color w:val="auto"/>
                <w:highlight w:val="none"/>
              </w:rPr>
            </w:pPr>
            <w:r>
              <w:rPr>
                <w:color w:val="auto"/>
                <w:highlight w:val="none"/>
              </w:rPr>
              <w:t>植</w:t>
            </w:r>
          </w:p>
          <w:p>
            <w:pPr>
              <w:pStyle w:val="49"/>
              <w:tabs>
                <w:tab w:val="left" w:pos="360"/>
                <w:tab w:val="left" w:pos="1620"/>
                <w:tab w:val="clear" w:pos="-2486"/>
              </w:tabs>
              <w:rPr>
                <w:color w:val="auto"/>
                <w:highlight w:val="none"/>
              </w:rPr>
            </w:pPr>
            <w:r>
              <w:rPr>
                <w:color w:val="auto"/>
                <w:highlight w:val="none"/>
              </w:rPr>
              <w:t>物</w:t>
            </w:r>
          </w:p>
        </w:tc>
        <w:tc>
          <w:tcPr>
            <w:tcW w:w="653" w:type="dxa"/>
            <w:tcBorders>
              <w:tl2br w:val="nil"/>
              <w:tr2bl w:val="nil"/>
            </w:tcBorders>
          </w:tcPr>
          <w:p>
            <w:pPr>
              <w:pStyle w:val="49"/>
              <w:tabs>
                <w:tab w:val="left" w:pos="360"/>
                <w:tab w:val="left" w:pos="1620"/>
                <w:tab w:val="clear" w:pos="-2486"/>
              </w:tabs>
              <w:rPr>
                <w:color w:val="auto"/>
                <w:highlight w:val="none"/>
              </w:rPr>
            </w:pPr>
            <w:r>
              <w:rPr>
                <w:color w:val="auto"/>
                <w:highlight w:val="none"/>
              </w:rPr>
              <w:t>一</w:t>
            </w:r>
          </w:p>
          <w:p>
            <w:pPr>
              <w:pStyle w:val="49"/>
              <w:tabs>
                <w:tab w:val="left" w:pos="360"/>
                <w:tab w:val="left" w:pos="1620"/>
                <w:tab w:val="clear" w:pos="-2486"/>
              </w:tabs>
              <w:rPr>
                <w:color w:val="auto"/>
                <w:highlight w:val="none"/>
              </w:rPr>
            </w:pPr>
            <w:r>
              <w:rPr>
                <w:color w:val="auto"/>
                <w:highlight w:val="none"/>
              </w:rPr>
              <w:t>年</w:t>
            </w:r>
          </w:p>
          <w:p>
            <w:pPr>
              <w:pStyle w:val="49"/>
              <w:tabs>
                <w:tab w:val="left" w:pos="360"/>
                <w:tab w:val="left" w:pos="1620"/>
                <w:tab w:val="clear" w:pos="-2486"/>
              </w:tabs>
              <w:rPr>
                <w:color w:val="auto"/>
                <w:highlight w:val="none"/>
              </w:rPr>
            </w:pPr>
            <w:r>
              <w:rPr>
                <w:color w:val="auto"/>
                <w:highlight w:val="none"/>
              </w:rPr>
              <w:t>生</w:t>
            </w:r>
          </w:p>
          <w:p>
            <w:pPr>
              <w:pStyle w:val="49"/>
              <w:tabs>
                <w:tab w:val="left" w:pos="360"/>
                <w:tab w:val="left" w:pos="1620"/>
                <w:tab w:val="clear" w:pos="-2486"/>
              </w:tabs>
              <w:rPr>
                <w:color w:val="auto"/>
                <w:highlight w:val="none"/>
              </w:rPr>
            </w:pPr>
            <w:r>
              <w:rPr>
                <w:color w:val="auto"/>
                <w:highlight w:val="none"/>
              </w:rPr>
              <w:t>植</w:t>
            </w:r>
          </w:p>
          <w:p>
            <w:pPr>
              <w:pStyle w:val="49"/>
              <w:tabs>
                <w:tab w:val="left" w:pos="360"/>
                <w:tab w:val="left" w:pos="1620"/>
                <w:tab w:val="clear" w:pos="-2486"/>
              </w:tabs>
              <w:rPr>
                <w:color w:val="auto"/>
                <w:highlight w:val="none"/>
              </w:rPr>
            </w:pPr>
            <w:r>
              <w:rPr>
                <w:color w:val="auto"/>
                <w:highlight w:val="none"/>
              </w:rPr>
              <w:t>物</w:t>
            </w:r>
          </w:p>
        </w:tc>
        <w:tc>
          <w:tcPr>
            <w:tcW w:w="648" w:type="dxa"/>
            <w:vMerge w:val="continue"/>
            <w:tcBorders>
              <w:tl2br w:val="nil"/>
              <w:tr2bl w:val="nil"/>
            </w:tcBorders>
          </w:tcPr>
          <w:p>
            <w:pPr>
              <w:pStyle w:val="49"/>
              <w:tabs>
                <w:tab w:val="left" w:pos="360"/>
                <w:tab w:val="left" w:pos="1620"/>
                <w:tab w:val="clear" w:pos="-2486"/>
              </w:tabs>
              <w:rPr>
                <w:color w:val="auto"/>
                <w:highlight w:val="none"/>
              </w:rPr>
            </w:pPr>
          </w:p>
        </w:tc>
        <w:tc>
          <w:tcPr>
            <w:tcW w:w="648" w:type="dxa"/>
            <w:vMerge w:val="continue"/>
            <w:tcBorders>
              <w:tl2br w:val="nil"/>
              <w:tr2bl w:val="nil"/>
            </w:tcBorders>
          </w:tcPr>
          <w:p>
            <w:pPr>
              <w:pStyle w:val="49"/>
              <w:tabs>
                <w:tab w:val="left" w:pos="360"/>
                <w:tab w:val="left" w:pos="1620"/>
                <w:tab w:val="clear" w:pos="-2486"/>
              </w:tabs>
              <w:rPr>
                <w:color w:val="auto"/>
                <w:highlight w:val="none"/>
              </w:rPr>
            </w:pPr>
          </w:p>
        </w:tc>
        <w:tc>
          <w:tcPr>
            <w:tcW w:w="648" w:type="dxa"/>
            <w:vMerge w:val="continue"/>
            <w:tcBorders>
              <w:tl2br w:val="nil"/>
              <w:tr2bl w:val="nil"/>
            </w:tcBorders>
          </w:tcPr>
          <w:p>
            <w:pPr>
              <w:pStyle w:val="49"/>
              <w:tabs>
                <w:tab w:val="left" w:pos="360"/>
                <w:tab w:val="left" w:pos="1620"/>
                <w:tab w:val="clear" w:pos="-2486"/>
              </w:tabs>
              <w:rPr>
                <w:color w:val="auto"/>
                <w:highlight w:val="none"/>
              </w:rPr>
            </w:pPr>
          </w:p>
        </w:tc>
        <w:tc>
          <w:tcPr>
            <w:tcW w:w="640" w:type="dxa"/>
            <w:vMerge w:val="continue"/>
            <w:tcBorders>
              <w:tl2br w:val="nil"/>
              <w:tr2bl w:val="nil"/>
            </w:tcBorders>
          </w:tcPr>
          <w:p>
            <w:pPr>
              <w:pStyle w:val="49"/>
              <w:tabs>
                <w:tab w:val="left" w:pos="360"/>
                <w:tab w:val="left" w:pos="1620"/>
                <w:tab w:val="clear" w:pos="-2486"/>
              </w:tabs>
              <w:rPr>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243" w:type="dxa"/>
            <w:tcBorders>
              <w:tl2br w:val="nil"/>
              <w:tr2bl w:val="nil"/>
            </w:tcBorders>
          </w:tcPr>
          <w:p>
            <w:pPr>
              <w:pStyle w:val="49"/>
              <w:tabs>
                <w:tab w:val="left" w:pos="360"/>
                <w:tab w:val="left" w:pos="1620"/>
                <w:tab w:val="clear" w:pos="-2486"/>
              </w:tabs>
              <w:rPr>
                <w:color w:val="auto"/>
                <w:highlight w:val="none"/>
              </w:rPr>
            </w:pPr>
            <w:r>
              <w:rPr>
                <w:color w:val="auto"/>
                <w:highlight w:val="none"/>
              </w:rPr>
              <w:t>猪毛菜Salsolaarbuscula</w:t>
            </w:r>
          </w:p>
        </w:tc>
        <w:tc>
          <w:tcPr>
            <w:tcW w:w="648" w:type="dxa"/>
            <w:tcBorders>
              <w:tl2br w:val="nil"/>
              <w:tr2bl w:val="nil"/>
            </w:tcBorders>
          </w:tcPr>
          <w:p>
            <w:pPr>
              <w:pStyle w:val="49"/>
              <w:tabs>
                <w:tab w:val="left" w:pos="360"/>
                <w:tab w:val="left" w:pos="1620"/>
                <w:tab w:val="clear" w:pos="-2486"/>
              </w:tabs>
              <w:rPr>
                <w:color w:val="auto"/>
                <w:highlight w:val="none"/>
              </w:rPr>
            </w:pPr>
          </w:p>
        </w:tc>
        <w:tc>
          <w:tcPr>
            <w:tcW w:w="648" w:type="dxa"/>
            <w:tcBorders>
              <w:tl2br w:val="nil"/>
              <w:tr2bl w:val="nil"/>
            </w:tcBorders>
          </w:tcPr>
          <w:p>
            <w:pPr>
              <w:pStyle w:val="49"/>
              <w:tabs>
                <w:tab w:val="left" w:pos="360"/>
                <w:tab w:val="left" w:pos="1620"/>
                <w:tab w:val="clear" w:pos="-2486"/>
              </w:tabs>
              <w:rPr>
                <w:color w:val="auto"/>
                <w:highlight w:val="none"/>
              </w:rPr>
            </w:pPr>
          </w:p>
        </w:tc>
        <w:tc>
          <w:tcPr>
            <w:tcW w:w="647" w:type="dxa"/>
            <w:tcBorders>
              <w:tl2br w:val="nil"/>
              <w:tr2bl w:val="nil"/>
            </w:tcBorders>
          </w:tcPr>
          <w:p>
            <w:pPr>
              <w:pStyle w:val="49"/>
              <w:tabs>
                <w:tab w:val="left" w:pos="360"/>
                <w:tab w:val="left" w:pos="1620"/>
                <w:tab w:val="clear" w:pos="-2486"/>
              </w:tabs>
              <w:rPr>
                <w:color w:val="auto"/>
                <w:highlight w:val="none"/>
              </w:rPr>
            </w:pPr>
          </w:p>
        </w:tc>
        <w:tc>
          <w:tcPr>
            <w:tcW w:w="648" w:type="dxa"/>
            <w:tcBorders>
              <w:tl2br w:val="nil"/>
              <w:tr2bl w:val="nil"/>
            </w:tcBorders>
          </w:tcPr>
          <w:p>
            <w:pPr>
              <w:pStyle w:val="49"/>
              <w:tabs>
                <w:tab w:val="left" w:pos="360"/>
                <w:tab w:val="left" w:pos="1620"/>
                <w:tab w:val="clear" w:pos="-2486"/>
              </w:tabs>
              <w:rPr>
                <w:color w:val="auto"/>
                <w:highlight w:val="none"/>
              </w:rPr>
            </w:pPr>
          </w:p>
        </w:tc>
        <w:tc>
          <w:tcPr>
            <w:tcW w:w="653" w:type="dxa"/>
            <w:tcBorders>
              <w:tl2br w:val="nil"/>
              <w:tr2bl w:val="nil"/>
            </w:tcBorders>
          </w:tcPr>
          <w:p>
            <w:pPr>
              <w:pStyle w:val="49"/>
              <w:tabs>
                <w:tab w:val="left" w:pos="360"/>
                <w:tab w:val="left" w:pos="1620"/>
                <w:tab w:val="clear" w:pos="-2486"/>
              </w:tabs>
              <w:rPr>
                <w:color w:val="auto"/>
                <w:highlight w:val="none"/>
              </w:rPr>
            </w:pPr>
            <w:r>
              <w:rPr>
                <w:color w:val="auto"/>
                <w:highlight w:val="none"/>
              </w:rPr>
              <w:t>√</w:t>
            </w:r>
          </w:p>
        </w:tc>
        <w:tc>
          <w:tcPr>
            <w:tcW w:w="648" w:type="dxa"/>
            <w:tcBorders>
              <w:tl2br w:val="nil"/>
              <w:tr2bl w:val="nil"/>
            </w:tcBorders>
          </w:tcPr>
          <w:p>
            <w:pPr>
              <w:pStyle w:val="49"/>
              <w:tabs>
                <w:tab w:val="left" w:pos="360"/>
                <w:tab w:val="left" w:pos="1620"/>
                <w:tab w:val="clear" w:pos="-2486"/>
              </w:tabs>
              <w:rPr>
                <w:color w:val="auto"/>
                <w:highlight w:val="none"/>
              </w:rPr>
            </w:pPr>
            <w:r>
              <w:rPr>
                <w:color w:val="auto"/>
                <w:highlight w:val="none"/>
              </w:rPr>
              <w:t>√</w:t>
            </w:r>
          </w:p>
        </w:tc>
        <w:tc>
          <w:tcPr>
            <w:tcW w:w="648" w:type="dxa"/>
            <w:tcBorders>
              <w:tl2br w:val="nil"/>
              <w:tr2bl w:val="nil"/>
            </w:tcBorders>
          </w:tcPr>
          <w:p>
            <w:pPr>
              <w:pStyle w:val="49"/>
              <w:tabs>
                <w:tab w:val="left" w:pos="360"/>
                <w:tab w:val="left" w:pos="1620"/>
                <w:tab w:val="clear" w:pos="-2486"/>
              </w:tabs>
              <w:rPr>
                <w:color w:val="auto"/>
                <w:highlight w:val="none"/>
              </w:rPr>
            </w:pPr>
          </w:p>
        </w:tc>
        <w:tc>
          <w:tcPr>
            <w:tcW w:w="648" w:type="dxa"/>
            <w:tcBorders>
              <w:tl2br w:val="nil"/>
              <w:tr2bl w:val="nil"/>
            </w:tcBorders>
          </w:tcPr>
          <w:p>
            <w:pPr>
              <w:pStyle w:val="49"/>
              <w:tabs>
                <w:tab w:val="left" w:pos="360"/>
                <w:tab w:val="left" w:pos="1620"/>
                <w:tab w:val="clear" w:pos="-2486"/>
              </w:tabs>
              <w:rPr>
                <w:color w:val="auto"/>
                <w:highlight w:val="none"/>
              </w:rPr>
            </w:pPr>
          </w:p>
        </w:tc>
        <w:tc>
          <w:tcPr>
            <w:tcW w:w="640" w:type="dxa"/>
            <w:tcBorders>
              <w:tl2br w:val="nil"/>
              <w:tr2bl w:val="nil"/>
            </w:tcBorders>
          </w:tcPr>
          <w:p>
            <w:pPr>
              <w:pStyle w:val="49"/>
              <w:tabs>
                <w:tab w:val="left" w:pos="360"/>
                <w:tab w:val="left" w:pos="1620"/>
                <w:tab w:val="clear" w:pos="-2486"/>
              </w:tabs>
              <w:rPr>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243" w:type="dxa"/>
            <w:tcBorders>
              <w:tl2br w:val="nil"/>
              <w:tr2bl w:val="nil"/>
            </w:tcBorders>
          </w:tcPr>
          <w:p>
            <w:pPr>
              <w:pStyle w:val="49"/>
              <w:tabs>
                <w:tab w:val="left" w:pos="360"/>
                <w:tab w:val="left" w:pos="1620"/>
                <w:tab w:val="clear" w:pos="-2486"/>
              </w:tabs>
              <w:rPr>
                <w:color w:val="auto"/>
                <w:highlight w:val="none"/>
              </w:rPr>
            </w:pPr>
            <w:r>
              <w:rPr>
                <w:color w:val="auto"/>
                <w:highlight w:val="none"/>
              </w:rPr>
              <w:t>多枝柽柳TamarixprjewalsKii</w:t>
            </w:r>
          </w:p>
        </w:tc>
        <w:tc>
          <w:tcPr>
            <w:tcW w:w="648" w:type="dxa"/>
            <w:tcBorders>
              <w:tl2br w:val="nil"/>
              <w:tr2bl w:val="nil"/>
            </w:tcBorders>
          </w:tcPr>
          <w:p>
            <w:pPr>
              <w:pStyle w:val="49"/>
              <w:tabs>
                <w:tab w:val="left" w:pos="360"/>
                <w:tab w:val="left" w:pos="1620"/>
                <w:tab w:val="clear" w:pos="-2486"/>
              </w:tabs>
              <w:rPr>
                <w:color w:val="auto"/>
                <w:highlight w:val="none"/>
              </w:rPr>
            </w:pPr>
            <w:r>
              <w:rPr>
                <w:color w:val="auto"/>
                <w:highlight w:val="none"/>
              </w:rPr>
              <w:t>√</w:t>
            </w:r>
          </w:p>
        </w:tc>
        <w:tc>
          <w:tcPr>
            <w:tcW w:w="648" w:type="dxa"/>
            <w:tcBorders>
              <w:tl2br w:val="nil"/>
              <w:tr2bl w:val="nil"/>
            </w:tcBorders>
          </w:tcPr>
          <w:p>
            <w:pPr>
              <w:pStyle w:val="49"/>
              <w:tabs>
                <w:tab w:val="left" w:pos="360"/>
                <w:tab w:val="left" w:pos="1620"/>
                <w:tab w:val="clear" w:pos="-2486"/>
              </w:tabs>
              <w:rPr>
                <w:color w:val="auto"/>
                <w:highlight w:val="none"/>
              </w:rPr>
            </w:pPr>
          </w:p>
        </w:tc>
        <w:tc>
          <w:tcPr>
            <w:tcW w:w="647" w:type="dxa"/>
            <w:tcBorders>
              <w:tl2br w:val="nil"/>
              <w:tr2bl w:val="nil"/>
            </w:tcBorders>
          </w:tcPr>
          <w:p>
            <w:pPr>
              <w:pStyle w:val="49"/>
              <w:tabs>
                <w:tab w:val="left" w:pos="360"/>
                <w:tab w:val="left" w:pos="1620"/>
                <w:tab w:val="clear" w:pos="-2486"/>
              </w:tabs>
              <w:rPr>
                <w:color w:val="auto"/>
                <w:highlight w:val="none"/>
              </w:rPr>
            </w:pPr>
          </w:p>
        </w:tc>
        <w:tc>
          <w:tcPr>
            <w:tcW w:w="648" w:type="dxa"/>
            <w:tcBorders>
              <w:tl2br w:val="nil"/>
              <w:tr2bl w:val="nil"/>
            </w:tcBorders>
          </w:tcPr>
          <w:p>
            <w:pPr>
              <w:pStyle w:val="49"/>
              <w:tabs>
                <w:tab w:val="left" w:pos="360"/>
                <w:tab w:val="left" w:pos="1620"/>
                <w:tab w:val="clear" w:pos="-2486"/>
              </w:tabs>
              <w:rPr>
                <w:color w:val="auto"/>
                <w:highlight w:val="none"/>
              </w:rPr>
            </w:pPr>
          </w:p>
        </w:tc>
        <w:tc>
          <w:tcPr>
            <w:tcW w:w="653" w:type="dxa"/>
            <w:tcBorders>
              <w:tl2br w:val="nil"/>
              <w:tr2bl w:val="nil"/>
            </w:tcBorders>
          </w:tcPr>
          <w:p>
            <w:pPr>
              <w:pStyle w:val="49"/>
              <w:tabs>
                <w:tab w:val="left" w:pos="360"/>
                <w:tab w:val="left" w:pos="1620"/>
                <w:tab w:val="clear" w:pos="-2486"/>
              </w:tabs>
              <w:rPr>
                <w:color w:val="auto"/>
                <w:highlight w:val="none"/>
              </w:rPr>
            </w:pPr>
          </w:p>
        </w:tc>
        <w:tc>
          <w:tcPr>
            <w:tcW w:w="648" w:type="dxa"/>
            <w:tcBorders>
              <w:tl2br w:val="nil"/>
              <w:tr2bl w:val="nil"/>
            </w:tcBorders>
          </w:tcPr>
          <w:p>
            <w:pPr>
              <w:pStyle w:val="49"/>
              <w:tabs>
                <w:tab w:val="left" w:pos="360"/>
                <w:tab w:val="left" w:pos="1620"/>
                <w:tab w:val="clear" w:pos="-2486"/>
              </w:tabs>
              <w:rPr>
                <w:color w:val="auto"/>
                <w:highlight w:val="none"/>
              </w:rPr>
            </w:pPr>
            <w:r>
              <w:rPr>
                <w:color w:val="auto"/>
                <w:highlight w:val="none"/>
              </w:rPr>
              <w:t>√</w:t>
            </w:r>
          </w:p>
        </w:tc>
        <w:tc>
          <w:tcPr>
            <w:tcW w:w="648" w:type="dxa"/>
            <w:tcBorders>
              <w:tl2br w:val="nil"/>
              <w:tr2bl w:val="nil"/>
            </w:tcBorders>
          </w:tcPr>
          <w:p>
            <w:pPr>
              <w:pStyle w:val="49"/>
              <w:tabs>
                <w:tab w:val="left" w:pos="360"/>
                <w:tab w:val="left" w:pos="1620"/>
                <w:tab w:val="clear" w:pos="-2486"/>
              </w:tabs>
              <w:rPr>
                <w:color w:val="auto"/>
                <w:highlight w:val="none"/>
              </w:rPr>
            </w:pPr>
            <w:r>
              <w:rPr>
                <w:color w:val="auto"/>
                <w:highlight w:val="none"/>
              </w:rPr>
              <w:t>√</w:t>
            </w:r>
          </w:p>
        </w:tc>
        <w:tc>
          <w:tcPr>
            <w:tcW w:w="648" w:type="dxa"/>
            <w:tcBorders>
              <w:tl2br w:val="nil"/>
              <w:tr2bl w:val="nil"/>
            </w:tcBorders>
          </w:tcPr>
          <w:p>
            <w:pPr>
              <w:pStyle w:val="49"/>
              <w:tabs>
                <w:tab w:val="left" w:pos="360"/>
                <w:tab w:val="left" w:pos="1620"/>
                <w:tab w:val="clear" w:pos="-2486"/>
              </w:tabs>
              <w:rPr>
                <w:color w:val="auto"/>
                <w:highlight w:val="none"/>
              </w:rPr>
            </w:pPr>
          </w:p>
        </w:tc>
        <w:tc>
          <w:tcPr>
            <w:tcW w:w="640" w:type="dxa"/>
            <w:tcBorders>
              <w:tl2br w:val="nil"/>
              <w:tr2bl w:val="nil"/>
            </w:tcBorders>
          </w:tcPr>
          <w:p>
            <w:pPr>
              <w:pStyle w:val="49"/>
              <w:tabs>
                <w:tab w:val="left" w:pos="360"/>
                <w:tab w:val="left" w:pos="1620"/>
                <w:tab w:val="clear" w:pos="-2486"/>
              </w:tabs>
              <w:rPr>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243" w:type="dxa"/>
            <w:tcBorders>
              <w:tl2br w:val="nil"/>
              <w:tr2bl w:val="nil"/>
            </w:tcBorders>
          </w:tcPr>
          <w:p>
            <w:pPr>
              <w:pStyle w:val="49"/>
              <w:tabs>
                <w:tab w:val="left" w:pos="360"/>
                <w:tab w:val="left" w:pos="1620"/>
                <w:tab w:val="clear" w:pos="-2486"/>
              </w:tabs>
              <w:rPr>
                <w:color w:val="auto"/>
                <w:highlight w:val="none"/>
              </w:rPr>
            </w:pPr>
            <w:r>
              <w:rPr>
                <w:color w:val="auto"/>
                <w:highlight w:val="none"/>
              </w:rPr>
              <w:t>芦苇Phragmitescommunis</w:t>
            </w:r>
          </w:p>
        </w:tc>
        <w:tc>
          <w:tcPr>
            <w:tcW w:w="648" w:type="dxa"/>
            <w:tcBorders>
              <w:tl2br w:val="nil"/>
              <w:tr2bl w:val="nil"/>
            </w:tcBorders>
          </w:tcPr>
          <w:p>
            <w:pPr>
              <w:pStyle w:val="49"/>
              <w:tabs>
                <w:tab w:val="left" w:pos="360"/>
                <w:tab w:val="left" w:pos="1620"/>
                <w:tab w:val="clear" w:pos="-2486"/>
              </w:tabs>
              <w:rPr>
                <w:color w:val="auto"/>
                <w:highlight w:val="none"/>
              </w:rPr>
            </w:pPr>
          </w:p>
        </w:tc>
        <w:tc>
          <w:tcPr>
            <w:tcW w:w="648" w:type="dxa"/>
            <w:tcBorders>
              <w:tl2br w:val="nil"/>
              <w:tr2bl w:val="nil"/>
            </w:tcBorders>
          </w:tcPr>
          <w:p>
            <w:pPr>
              <w:pStyle w:val="49"/>
              <w:tabs>
                <w:tab w:val="left" w:pos="360"/>
                <w:tab w:val="left" w:pos="1620"/>
                <w:tab w:val="clear" w:pos="-2486"/>
              </w:tabs>
              <w:rPr>
                <w:color w:val="auto"/>
                <w:highlight w:val="none"/>
              </w:rPr>
            </w:pPr>
          </w:p>
        </w:tc>
        <w:tc>
          <w:tcPr>
            <w:tcW w:w="647" w:type="dxa"/>
            <w:tcBorders>
              <w:tl2br w:val="nil"/>
              <w:tr2bl w:val="nil"/>
            </w:tcBorders>
          </w:tcPr>
          <w:p>
            <w:pPr>
              <w:pStyle w:val="49"/>
              <w:tabs>
                <w:tab w:val="left" w:pos="360"/>
                <w:tab w:val="left" w:pos="1620"/>
                <w:tab w:val="clear" w:pos="-2486"/>
              </w:tabs>
              <w:rPr>
                <w:color w:val="auto"/>
                <w:highlight w:val="none"/>
              </w:rPr>
            </w:pPr>
          </w:p>
        </w:tc>
        <w:tc>
          <w:tcPr>
            <w:tcW w:w="648" w:type="dxa"/>
            <w:tcBorders>
              <w:tl2br w:val="nil"/>
              <w:tr2bl w:val="nil"/>
            </w:tcBorders>
          </w:tcPr>
          <w:p>
            <w:pPr>
              <w:pStyle w:val="49"/>
              <w:tabs>
                <w:tab w:val="left" w:pos="360"/>
                <w:tab w:val="left" w:pos="1620"/>
                <w:tab w:val="clear" w:pos="-2486"/>
              </w:tabs>
              <w:rPr>
                <w:color w:val="auto"/>
                <w:highlight w:val="none"/>
              </w:rPr>
            </w:pPr>
            <w:r>
              <w:rPr>
                <w:color w:val="auto"/>
                <w:highlight w:val="none"/>
              </w:rPr>
              <w:t>√</w:t>
            </w:r>
          </w:p>
        </w:tc>
        <w:tc>
          <w:tcPr>
            <w:tcW w:w="653" w:type="dxa"/>
            <w:tcBorders>
              <w:tl2br w:val="nil"/>
              <w:tr2bl w:val="nil"/>
            </w:tcBorders>
          </w:tcPr>
          <w:p>
            <w:pPr>
              <w:pStyle w:val="49"/>
              <w:tabs>
                <w:tab w:val="left" w:pos="360"/>
                <w:tab w:val="left" w:pos="1620"/>
                <w:tab w:val="clear" w:pos="-2486"/>
              </w:tabs>
              <w:rPr>
                <w:color w:val="auto"/>
                <w:highlight w:val="none"/>
              </w:rPr>
            </w:pPr>
          </w:p>
        </w:tc>
        <w:tc>
          <w:tcPr>
            <w:tcW w:w="648" w:type="dxa"/>
            <w:tcBorders>
              <w:tl2br w:val="nil"/>
              <w:tr2bl w:val="nil"/>
            </w:tcBorders>
          </w:tcPr>
          <w:p>
            <w:pPr>
              <w:pStyle w:val="49"/>
              <w:tabs>
                <w:tab w:val="left" w:pos="360"/>
                <w:tab w:val="left" w:pos="1620"/>
                <w:tab w:val="clear" w:pos="-2486"/>
              </w:tabs>
              <w:rPr>
                <w:color w:val="auto"/>
                <w:highlight w:val="none"/>
              </w:rPr>
            </w:pPr>
            <w:r>
              <w:rPr>
                <w:color w:val="auto"/>
                <w:highlight w:val="none"/>
              </w:rPr>
              <w:t>√</w:t>
            </w:r>
          </w:p>
        </w:tc>
        <w:tc>
          <w:tcPr>
            <w:tcW w:w="648" w:type="dxa"/>
            <w:tcBorders>
              <w:tl2br w:val="nil"/>
              <w:tr2bl w:val="nil"/>
            </w:tcBorders>
          </w:tcPr>
          <w:p>
            <w:pPr>
              <w:pStyle w:val="49"/>
              <w:tabs>
                <w:tab w:val="left" w:pos="360"/>
                <w:tab w:val="left" w:pos="1620"/>
                <w:tab w:val="clear" w:pos="-2486"/>
              </w:tabs>
              <w:rPr>
                <w:color w:val="auto"/>
                <w:highlight w:val="none"/>
              </w:rPr>
            </w:pPr>
            <w:r>
              <w:rPr>
                <w:color w:val="auto"/>
                <w:highlight w:val="none"/>
              </w:rPr>
              <w:t>√</w:t>
            </w:r>
          </w:p>
        </w:tc>
        <w:tc>
          <w:tcPr>
            <w:tcW w:w="648" w:type="dxa"/>
            <w:tcBorders>
              <w:tl2br w:val="nil"/>
              <w:tr2bl w:val="nil"/>
            </w:tcBorders>
          </w:tcPr>
          <w:p>
            <w:pPr>
              <w:pStyle w:val="49"/>
              <w:tabs>
                <w:tab w:val="left" w:pos="360"/>
                <w:tab w:val="left" w:pos="1620"/>
                <w:tab w:val="clear" w:pos="-2486"/>
              </w:tabs>
              <w:rPr>
                <w:color w:val="auto"/>
                <w:highlight w:val="none"/>
              </w:rPr>
            </w:pPr>
          </w:p>
        </w:tc>
        <w:tc>
          <w:tcPr>
            <w:tcW w:w="640" w:type="dxa"/>
            <w:tcBorders>
              <w:tl2br w:val="nil"/>
              <w:tr2bl w:val="nil"/>
            </w:tcBorders>
          </w:tcPr>
          <w:p>
            <w:pPr>
              <w:pStyle w:val="49"/>
              <w:tabs>
                <w:tab w:val="left" w:pos="360"/>
                <w:tab w:val="left" w:pos="1620"/>
                <w:tab w:val="clear" w:pos="-2486"/>
              </w:tabs>
              <w:rPr>
                <w:color w:val="auto"/>
                <w:highlight w:val="none"/>
              </w:rPr>
            </w:pPr>
            <w:r>
              <w:rPr>
                <w:color w:val="auto"/>
                <w:highlight w:val="none"/>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243" w:type="dxa"/>
            <w:tcBorders>
              <w:tl2br w:val="nil"/>
              <w:tr2bl w:val="nil"/>
            </w:tcBorders>
            <w:vAlign w:val="center"/>
          </w:tcPr>
          <w:p>
            <w:pPr>
              <w:pStyle w:val="49"/>
              <w:tabs>
                <w:tab w:val="left" w:pos="360"/>
                <w:tab w:val="left" w:pos="1620"/>
                <w:tab w:val="clear" w:pos="-2486"/>
              </w:tabs>
              <w:rPr>
                <w:color w:val="auto"/>
                <w:highlight w:val="none"/>
              </w:rPr>
            </w:pPr>
            <w:r>
              <w:rPr>
                <w:color w:val="auto"/>
                <w:highlight w:val="none"/>
              </w:rPr>
              <w:t>盐爪爪Kalidiumfoliatum</w:t>
            </w:r>
          </w:p>
        </w:tc>
        <w:tc>
          <w:tcPr>
            <w:tcW w:w="648" w:type="dxa"/>
            <w:tcBorders>
              <w:tl2br w:val="nil"/>
              <w:tr2bl w:val="nil"/>
            </w:tcBorders>
            <w:vAlign w:val="center"/>
          </w:tcPr>
          <w:p>
            <w:pPr>
              <w:pStyle w:val="49"/>
              <w:tabs>
                <w:tab w:val="left" w:pos="360"/>
                <w:tab w:val="left" w:pos="1620"/>
                <w:tab w:val="clear" w:pos="-2486"/>
              </w:tabs>
              <w:rPr>
                <w:color w:val="auto"/>
                <w:highlight w:val="none"/>
              </w:rPr>
            </w:pPr>
          </w:p>
        </w:tc>
        <w:tc>
          <w:tcPr>
            <w:tcW w:w="648" w:type="dxa"/>
            <w:tcBorders>
              <w:tl2br w:val="nil"/>
              <w:tr2bl w:val="nil"/>
            </w:tcBorders>
            <w:vAlign w:val="center"/>
          </w:tcPr>
          <w:p>
            <w:pPr>
              <w:pStyle w:val="49"/>
              <w:tabs>
                <w:tab w:val="left" w:pos="360"/>
                <w:tab w:val="left" w:pos="1620"/>
                <w:tab w:val="clear" w:pos="-2486"/>
              </w:tabs>
              <w:rPr>
                <w:color w:val="auto"/>
                <w:highlight w:val="none"/>
              </w:rPr>
            </w:pPr>
            <w:r>
              <w:rPr>
                <w:color w:val="auto"/>
                <w:highlight w:val="none"/>
              </w:rPr>
              <w:t>√</w:t>
            </w:r>
          </w:p>
        </w:tc>
        <w:tc>
          <w:tcPr>
            <w:tcW w:w="647" w:type="dxa"/>
            <w:tcBorders>
              <w:tl2br w:val="nil"/>
              <w:tr2bl w:val="nil"/>
            </w:tcBorders>
            <w:vAlign w:val="center"/>
          </w:tcPr>
          <w:p>
            <w:pPr>
              <w:pStyle w:val="49"/>
              <w:tabs>
                <w:tab w:val="left" w:pos="360"/>
                <w:tab w:val="left" w:pos="1620"/>
                <w:tab w:val="clear" w:pos="-2486"/>
              </w:tabs>
              <w:rPr>
                <w:color w:val="auto"/>
                <w:highlight w:val="none"/>
              </w:rPr>
            </w:pPr>
          </w:p>
        </w:tc>
        <w:tc>
          <w:tcPr>
            <w:tcW w:w="648" w:type="dxa"/>
            <w:tcBorders>
              <w:tl2br w:val="nil"/>
              <w:tr2bl w:val="nil"/>
            </w:tcBorders>
            <w:vAlign w:val="center"/>
          </w:tcPr>
          <w:p>
            <w:pPr>
              <w:pStyle w:val="49"/>
              <w:tabs>
                <w:tab w:val="left" w:pos="360"/>
                <w:tab w:val="left" w:pos="1620"/>
                <w:tab w:val="clear" w:pos="-2486"/>
              </w:tabs>
              <w:rPr>
                <w:color w:val="auto"/>
                <w:highlight w:val="none"/>
              </w:rPr>
            </w:pPr>
          </w:p>
        </w:tc>
        <w:tc>
          <w:tcPr>
            <w:tcW w:w="653" w:type="dxa"/>
            <w:tcBorders>
              <w:tl2br w:val="nil"/>
              <w:tr2bl w:val="nil"/>
            </w:tcBorders>
            <w:vAlign w:val="center"/>
          </w:tcPr>
          <w:p>
            <w:pPr>
              <w:pStyle w:val="49"/>
              <w:tabs>
                <w:tab w:val="left" w:pos="360"/>
                <w:tab w:val="left" w:pos="1620"/>
                <w:tab w:val="clear" w:pos="-2486"/>
              </w:tabs>
              <w:rPr>
                <w:color w:val="auto"/>
                <w:highlight w:val="none"/>
              </w:rPr>
            </w:pPr>
          </w:p>
        </w:tc>
        <w:tc>
          <w:tcPr>
            <w:tcW w:w="648" w:type="dxa"/>
            <w:tcBorders>
              <w:tl2br w:val="nil"/>
              <w:tr2bl w:val="nil"/>
            </w:tcBorders>
            <w:vAlign w:val="center"/>
          </w:tcPr>
          <w:p>
            <w:pPr>
              <w:pStyle w:val="49"/>
              <w:tabs>
                <w:tab w:val="left" w:pos="360"/>
                <w:tab w:val="left" w:pos="1620"/>
                <w:tab w:val="clear" w:pos="-2486"/>
              </w:tabs>
              <w:rPr>
                <w:color w:val="auto"/>
                <w:highlight w:val="none"/>
              </w:rPr>
            </w:pPr>
          </w:p>
        </w:tc>
        <w:tc>
          <w:tcPr>
            <w:tcW w:w="648" w:type="dxa"/>
            <w:tcBorders>
              <w:tl2br w:val="nil"/>
              <w:tr2bl w:val="nil"/>
            </w:tcBorders>
            <w:vAlign w:val="center"/>
          </w:tcPr>
          <w:p>
            <w:pPr>
              <w:pStyle w:val="49"/>
              <w:tabs>
                <w:tab w:val="left" w:pos="360"/>
                <w:tab w:val="left" w:pos="1620"/>
                <w:tab w:val="clear" w:pos="-2486"/>
              </w:tabs>
              <w:rPr>
                <w:color w:val="auto"/>
                <w:highlight w:val="none"/>
              </w:rPr>
            </w:pPr>
            <w:r>
              <w:rPr>
                <w:color w:val="auto"/>
                <w:highlight w:val="none"/>
              </w:rPr>
              <w:t>√</w:t>
            </w:r>
          </w:p>
        </w:tc>
        <w:tc>
          <w:tcPr>
            <w:tcW w:w="648" w:type="dxa"/>
            <w:tcBorders>
              <w:tl2br w:val="nil"/>
              <w:tr2bl w:val="nil"/>
            </w:tcBorders>
            <w:vAlign w:val="center"/>
          </w:tcPr>
          <w:p>
            <w:pPr>
              <w:pStyle w:val="49"/>
              <w:tabs>
                <w:tab w:val="left" w:pos="360"/>
                <w:tab w:val="left" w:pos="1620"/>
                <w:tab w:val="clear" w:pos="-2486"/>
              </w:tabs>
              <w:rPr>
                <w:color w:val="auto"/>
                <w:highlight w:val="none"/>
              </w:rPr>
            </w:pPr>
          </w:p>
        </w:tc>
        <w:tc>
          <w:tcPr>
            <w:tcW w:w="640" w:type="dxa"/>
            <w:tcBorders>
              <w:tl2br w:val="nil"/>
              <w:tr2bl w:val="nil"/>
            </w:tcBorders>
            <w:vAlign w:val="center"/>
          </w:tcPr>
          <w:p>
            <w:pPr>
              <w:pStyle w:val="49"/>
              <w:tabs>
                <w:tab w:val="left" w:pos="360"/>
                <w:tab w:val="left" w:pos="1620"/>
                <w:tab w:val="clear" w:pos="-2486"/>
              </w:tabs>
              <w:rPr>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243" w:type="dxa"/>
            <w:tcBorders>
              <w:tl2br w:val="nil"/>
              <w:tr2bl w:val="nil"/>
            </w:tcBorders>
            <w:vAlign w:val="center"/>
          </w:tcPr>
          <w:p>
            <w:pPr>
              <w:pStyle w:val="49"/>
              <w:tabs>
                <w:tab w:val="left" w:pos="360"/>
                <w:tab w:val="left" w:pos="1620"/>
                <w:tab w:val="clear" w:pos="-2486"/>
              </w:tabs>
              <w:rPr>
                <w:color w:val="auto"/>
                <w:highlight w:val="none"/>
              </w:rPr>
            </w:pPr>
            <w:r>
              <w:rPr>
                <w:color w:val="auto"/>
                <w:highlight w:val="none"/>
              </w:rPr>
              <w:t>梭梭Haloxylonammodiendron</w:t>
            </w:r>
          </w:p>
        </w:tc>
        <w:tc>
          <w:tcPr>
            <w:tcW w:w="648" w:type="dxa"/>
            <w:tcBorders>
              <w:tl2br w:val="nil"/>
              <w:tr2bl w:val="nil"/>
            </w:tcBorders>
            <w:vAlign w:val="center"/>
          </w:tcPr>
          <w:p>
            <w:pPr>
              <w:pStyle w:val="49"/>
              <w:tabs>
                <w:tab w:val="left" w:pos="360"/>
                <w:tab w:val="left" w:pos="1620"/>
                <w:tab w:val="clear" w:pos="-2486"/>
              </w:tabs>
              <w:rPr>
                <w:color w:val="auto"/>
                <w:highlight w:val="none"/>
              </w:rPr>
            </w:pPr>
            <w:r>
              <w:rPr>
                <w:color w:val="auto"/>
                <w:highlight w:val="none"/>
              </w:rPr>
              <w:t>√</w:t>
            </w:r>
          </w:p>
        </w:tc>
        <w:tc>
          <w:tcPr>
            <w:tcW w:w="648" w:type="dxa"/>
            <w:tcBorders>
              <w:tl2br w:val="nil"/>
              <w:tr2bl w:val="nil"/>
            </w:tcBorders>
            <w:vAlign w:val="center"/>
          </w:tcPr>
          <w:p>
            <w:pPr>
              <w:pStyle w:val="49"/>
              <w:tabs>
                <w:tab w:val="left" w:pos="360"/>
                <w:tab w:val="left" w:pos="1620"/>
                <w:tab w:val="clear" w:pos="-2486"/>
              </w:tabs>
              <w:rPr>
                <w:color w:val="auto"/>
                <w:highlight w:val="none"/>
              </w:rPr>
            </w:pPr>
          </w:p>
        </w:tc>
        <w:tc>
          <w:tcPr>
            <w:tcW w:w="647" w:type="dxa"/>
            <w:tcBorders>
              <w:tl2br w:val="nil"/>
              <w:tr2bl w:val="nil"/>
            </w:tcBorders>
            <w:vAlign w:val="center"/>
          </w:tcPr>
          <w:p>
            <w:pPr>
              <w:pStyle w:val="49"/>
              <w:tabs>
                <w:tab w:val="left" w:pos="360"/>
                <w:tab w:val="left" w:pos="1620"/>
                <w:tab w:val="clear" w:pos="-2486"/>
              </w:tabs>
              <w:rPr>
                <w:color w:val="auto"/>
                <w:highlight w:val="none"/>
              </w:rPr>
            </w:pPr>
          </w:p>
        </w:tc>
        <w:tc>
          <w:tcPr>
            <w:tcW w:w="648" w:type="dxa"/>
            <w:tcBorders>
              <w:tl2br w:val="nil"/>
              <w:tr2bl w:val="nil"/>
            </w:tcBorders>
            <w:vAlign w:val="center"/>
          </w:tcPr>
          <w:p>
            <w:pPr>
              <w:pStyle w:val="49"/>
              <w:tabs>
                <w:tab w:val="left" w:pos="360"/>
                <w:tab w:val="left" w:pos="1620"/>
                <w:tab w:val="clear" w:pos="-2486"/>
              </w:tabs>
              <w:rPr>
                <w:color w:val="auto"/>
                <w:highlight w:val="none"/>
              </w:rPr>
            </w:pPr>
          </w:p>
        </w:tc>
        <w:tc>
          <w:tcPr>
            <w:tcW w:w="653" w:type="dxa"/>
            <w:tcBorders>
              <w:tl2br w:val="nil"/>
              <w:tr2bl w:val="nil"/>
            </w:tcBorders>
            <w:vAlign w:val="center"/>
          </w:tcPr>
          <w:p>
            <w:pPr>
              <w:pStyle w:val="49"/>
              <w:tabs>
                <w:tab w:val="left" w:pos="360"/>
                <w:tab w:val="left" w:pos="1620"/>
                <w:tab w:val="clear" w:pos="-2486"/>
              </w:tabs>
              <w:rPr>
                <w:color w:val="auto"/>
                <w:highlight w:val="none"/>
              </w:rPr>
            </w:pPr>
          </w:p>
        </w:tc>
        <w:tc>
          <w:tcPr>
            <w:tcW w:w="648" w:type="dxa"/>
            <w:tcBorders>
              <w:tl2br w:val="nil"/>
              <w:tr2bl w:val="nil"/>
            </w:tcBorders>
            <w:vAlign w:val="center"/>
          </w:tcPr>
          <w:p>
            <w:pPr>
              <w:pStyle w:val="49"/>
              <w:tabs>
                <w:tab w:val="left" w:pos="360"/>
                <w:tab w:val="left" w:pos="1620"/>
                <w:tab w:val="clear" w:pos="-2486"/>
              </w:tabs>
              <w:rPr>
                <w:color w:val="auto"/>
                <w:highlight w:val="none"/>
              </w:rPr>
            </w:pPr>
            <w:r>
              <w:rPr>
                <w:color w:val="auto"/>
                <w:highlight w:val="none"/>
              </w:rPr>
              <w:t>√</w:t>
            </w:r>
          </w:p>
        </w:tc>
        <w:tc>
          <w:tcPr>
            <w:tcW w:w="648" w:type="dxa"/>
            <w:tcBorders>
              <w:tl2br w:val="nil"/>
              <w:tr2bl w:val="nil"/>
            </w:tcBorders>
            <w:vAlign w:val="center"/>
          </w:tcPr>
          <w:p>
            <w:pPr>
              <w:pStyle w:val="49"/>
              <w:tabs>
                <w:tab w:val="left" w:pos="360"/>
                <w:tab w:val="left" w:pos="1620"/>
                <w:tab w:val="clear" w:pos="-2486"/>
              </w:tabs>
              <w:rPr>
                <w:color w:val="auto"/>
                <w:highlight w:val="none"/>
              </w:rPr>
            </w:pPr>
            <w:r>
              <w:rPr>
                <w:color w:val="auto"/>
                <w:highlight w:val="none"/>
              </w:rPr>
              <w:t>√</w:t>
            </w:r>
          </w:p>
        </w:tc>
        <w:tc>
          <w:tcPr>
            <w:tcW w:w="648" w:type="dxa"/>
            <w:tcBorders>
              <w:tl2br w:val="nil"/>
              <w:tr2bl w:val="nil"/>
            </w:tcBorders>
            <w:vAlign w:val="center"/>
          </w:tcPr>
          <w:p>
            <w:pPr>
              <w:pStyle w:val="49"/>
              <w:tabs>
                <w:tab w:val="left" w:pos="360"/>
                <w:tab w:val="left" w:pos="1620"/>
                <w:tab w:val="clear" w:pos="-2486"/>
              </w:tabs>
              <w:rPr>
                <w:color w:val="auto"/>
                <w:highlight w:val="none"/>
              </w:rPr>
            </w:pPr>
          </w:p>
        </w:tc>
        <w:tc>
          <w:tcPr>
            <w:tcW w:w="640" w:type="dxa"/>
            <w:tcBorders>
              <w:tl2br w:val="nil"/>
              <w:tr2bl w:val="nil"/>
            </w:tcBorders>
            <w:vAlign w:val="center"/>
          </w:tcPr>
          <w:p>
            <w:pPr>
              <w:pStyle w:val="49"/>
              <w:tabs>
                <w:tab w:val="left" w:pos="360"/>
                <w:tab w:val="left" w:pos="1620"/>
                <w:tab w:val="clear" w:pos="-2486"/>
              </w:tabs>
              <w:rPr>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243" w:type="dxa"/>
            <w:tcBorders>
              <w:tl2br w:val="nil"/>
              <w:tr2bl w:val="nil"/>
            </w:tcBorders>
          </w:tcPr>
          <w:p>
            <w:pPr>
              <w:pStyle w:val="49"/>
              <w:tabs>
                <w:tab w:val="left" w:pos="360"/>
                <w:tab w:val="left" w:pos="1620"/>
                <w:tab w:val="clear" w:pos="-2486"/>
              </w:tabs>
              <w:rPr>
                <w:color w:val="auto"/>
                <w:highlight w:val="none"/>
              </w:rPr>
            </w:pPr>
            <w:r>
              <w:rPr>
                <w:rFonts w:hint="eastAsia"/>
                <w:color w:val="auto"/>
                <w:highlight w:val="none"/>
              </w:rPr>
              <w:t>博洛塔绢蒿S</w:t>
            </w:r>
            <w:r>
              <w:rPr>
                <w:color w:val="auto"/>
                <w:highlight w:val="none"/>
              </w:rPr>
              <w:t>eriphidiumborotalens</w:t>
            </w:r>
          </w:p>
        </w:tc>
        <w:tc>
          <w:tcPr>
            <w:tcW w:w="648" w:type="dxa"/>
            <w:tcBorders>
              <w:tl2br w:val="nil"/>
              <w:tr2bl w:val="nil"/>
            </w:tcBorders>
          </w:tcPr>
          <w:p>
            <w:pPr>
              <w:pStyle w:val="49"/>
              <w:tabs>
                <w:tab w:val="left" w:pos="360"/>
                <w:tab w:val="left" w:pos="1620"/>
                <w:tab w:val="clear" w:pos="-2486"/>
              </w:tabs>
              <w:rPr>
                <w:color w:val="auto"/>
                <w:highlight w:val="none"/>
              </w:rPr>
            </w:pPr>
            <w:r>
              <w:rPr>
                <w:color w:val="auto"/>
                <w:highlight w:val="none"/>
              </w:rPr>
              <w:t>√</w:t>
            </w:r>
          </w:p>
        </w:tc>
        <w:tc>
          <w:tcPr>
            <w:tcW w:w="648" w:type="dxa"/>
            <w:tcBorders>
              <w:tl2br w:val="nil"/>
              <w:tr2bl w:val="nil"/>
            </w:tcBorders>
          </w:tcPr>
          <w:p>
            <w:pPr>
              <w:pStyle w:val="49"/>
              <w:tabs>
                <w:tab w:val="left" w:pos="360"/>
                <w:tab w:val="left" w:pos="1620"/>
                <w:tab w:val="clear" w:pos="-2486"/>
              </w:tabs>
              <w:rPr>
                <w:color w:val="auto"/>
                <w:highlight w:val="none"/>
              </w:rPr>
            </w:pPr>
          </w:p>
        </w:tc>
        <w:tc>
          <w:tcPr>
            <w:tcW w:w="647" w:type="dxa"/>
            <w:tcBorders>
              <w:tl2br w:val="nil"/>
              <w:tr2bl w:val="nil"/>
            </w:tcBorders>
          </w:tcPr>
          <w:p>
            <w:pPr>
              <w:pStyle w:val="49"/>
              <w:tabs>
                <w:tab w:val="left" w:pos="360"/>
                <w:tab w:val="left" w:pos="1620"/>
                <w:tab w:val="clear" w:pos="-2486"/>
              </w:tabs>
              <w:rPr>
                <w:color w:val="auto"/>
                <w:highlight w:val="none"/>
              </w:rPr>
            </w:pPr>
          </w:p>
        </w:tc>
        <w:tc>
          <w:tcPr>
            <w:tcW w:w="648" w:type="dxa"/>
            <w:tcBorders>
              <w:tl2br w:val="nil"/>
              <w:tr2bl w:val="nil"/>
            </w:tcBorders>
          </w:tcPr>
          <w:p>
            <w:pPr>
              <w:pStyle w:val="49"/>
              <w:tabs>
                <w:tab w:val="left" w:pos="360"/>
                <w:tab w:val="left" w:pos="1620"/>
                <w:tab w:val="clear" w:pos="-2486"/>
              </w:tabs>
              <w:rPr>
                <w:color w:val="auto"/>
                <w:highlight w:val="none"/>
              </w:rPr>
            </w:pPr>
          </w:p>
        </w:tc>
        <w:tc>
          <w:tcPr>
            <w:tcW w:w="653" w:type="dxa"/>
            <w:tcBorders>
              <w:tl2br w:val="nil"/>
              <w:tr2bl w:val="nil"/>
            </w:tcBorders>
          </w:tcPr>
          <w:p>
            <w:pPr>
              <w:pStyle w:val="49"/>
              <w:tabs>
                <w:tab w:val="left" w:pos="360"/>
                <w:tab w:val="left" w:pos="1620"/>
                <w:tab w:val="clear" w:pos="-2486"/>
              </w:tabs>
              <w:rPr>
                <w:color w:val="auto"/>
                <w:highlight w:val="none"/>
              </w:rPr>
            </w:pPr>
          </w:p>
        </w:tc>
        <w:tc>
          <w:tcPr>
            <w:tcW w:w="648" w:type="dxa"/>
            <w:tcBorders>
              <w:tl2br w:val="nil"/>
              <w:tr2bl w:val="nil"/>
            </w:tcBorders>
          </w:tcPr>
          <w:p>
            <w:pPr>
              <w:pStyle w:val="49"/>
              <w:tabs>
                <w:tab w:val="left" w:pos="360"/>
                <w:tab w:val="left" w:pos="1620"/>
                <w:tab w:val="clear" w:pos="-2486"/>
              </w:tabs>
              <w:rPr>
                <w:color w:val="auto"/>
                <w:highlight w:val="none"/>
              </w:rPr>
            </w:pPr>
            <w:r>
              <w:rPr>
                <w:color w:val="auto"/>
                <w:highlight w:val="none"/>
              </w:rPr>
              <w:t>√</w:t>
            </w:r>
          </w:p>
        </w:tc>
        <w:tc>
          <w:tcPr>
            <w:tcW w:w="648" w:type="dxa"/>
            <w:tcBorders>
              <w:tl2br w:val="nil"/>
              <w:tr2bl w:val="nil"/>
            </w:tcBorders>
          </w:tcPr>
          <w:p>
            <w:pPr>
              <w:pStyle w:val="49"/>
              <w:tabs>
                <w:tab w:val="left" w:pos="360"/>
                <w:tab w:val="left" w:pos="1620"/>
                <w:tab w:val="clear" w:pos="-2486"/>
              </w:tabs>
              <w:rPr>
                <w:color w:val="auto"/>
                <w:highlight w:val="none"/>
              </w:rPr>
            </w:pPr>
            <w:r>
              <w:rPr>
                <w:color w:val="auto"/>
                <w:highlight w:val="none"/>
              </w:rPr>
              <w:t>√</w:t>
            </w:r>
          </w:p>
        </w:tc>
        <w:tc>
          <w:tcPr>
            <w:tcW w:w="648" w:type="dxa"/>
            <w:tcBorders>
              <w:tl2br w:val="nil"/>
              <w:tr2bl w:val="nil"/>
            </w:tcBorders>
          </w:tcPr>
          <w:p>
            <w:pPr>
              <w:pStyle w:val="49"/>
              <w:tabs>
                <w:tab w:val="left" w:pos="360"/>
                <w:tab w:val="left" w:pos="1620"/>
                <w:tab w:val="clear" w:pos="-2486"/>
              </w:tabs>
              <w:rPr>
                <w:color w:val="auto"/>
                <w:highlight w:val="none"/>
              </w:rPr>
            </w:pPr>
          </w:p>
        </w:tc>
        <w:tc>
          <w:tcPr>
            <w:tcW w:w="640" w:type="dxa"/>
            <w:tcBorders>
              <w:tl2br w:val="nil"/>
              <w:tr2bl w:val="nil"/>
            </w:tcBorders>
          </w:tcPr>
          <w:p>
            <w:pPr>
              <w:pStyle w:val="49"/>
              <w:tabs>
                <w:tab w:val="left" w:pos="360"/>
                <w:tab w:val="left" w:pos="1620"/>
                <w:tab w:val="clear" w:pos="-2486"/>
              </w:tabs>
              <w:rPr>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243" w:type="dxa"/>
            <w:tcBorders>
              <w:tl2br w:val="nil"/>
              <w:tr2bl w:val="nil"/>
            </w:tcBorders>
            <w:vAlign w:val="center"/>
          </w:tcPr>
          <w:p>
            <w:pPr>
              <w:pStyle w:val="49"/>
              <w:tabs>
                <w:tab w:val="left" w:pos="360"/>
                <w:tab w:val="left" w:pos="1620"/>
                <w:tab w:val="clear" w:pos="-2486"/>
              </w:tabs>
              <w:rPr>
                <w:color w:val="auto"/>
                <w:highlight w:val="none"/>
              </w:rPr>
            </w:pPr>
            <w:r>
              <w:rPr>
                <w:color w:val="auto"/>
                <w:highlight w:val="none"/>
              </w:rPr>
              <w:t>琵琶柴Reaumuriasoongorica</w:t>
            </w:r>
          </w:p>
        </w:tc>
        <w:tc>
          <w:tcPr>
            <w:tcW w:w="648" w:type="dxa"/>
            <w:tcBorders>
              <w:tl2br w:val="nil"/>
              <w:tr2bl w:val="nil"/>
            </w:tcBorders>
            <w:vAlign w:val="center"/>
          </w:tcPr>
          <w:p>
            <w:pPr>
              <w:pStyle w:val="49"/>
              <w:tabs>
                <w:tab w:val="left" w:pos="360"/>
                <w:tab w:val="left" w:pos="1620"/>
                <w:tab w:val="clear" w:pos="-2486"/>
              </w:tabs>
              <w:rPr>
                <w:color w:val="auto"/>
                <w:highlight w:val="none"/>
              </w:rPr>
            </w:pPr>
            <w:r>
              <w:rPr>
                <w:color w:val="auto"/>
                <w:highlight w:val="none"/>
              </w:rPr>
              <w:t>√</w:t>
            </w:r>
          </w:p>
        </w:tc>
        <w:tc>
          <w:tcPr>
            <w:tcW w:w="648" w:type="dxa"/>
            <w:tcBorders>
              <w:tl2br w:val="nil"/>
              <w:tr2bl w:val="nil"/>
            </w:tcBorders>
            <w:vAlign w:val="center"/>
          </w:tcPr>
          <w:p>
            <w:pPr>
              <w:pStyle w:val="49"/>
              <w:tabs>
                <w:tab w:val="left" w:pos="360"/>
                <w:tab w:val="left" w:pos="1620"/>
                <w:tab w:val="clear" w:pos="-2486"/>
              </w:tabs>
              <w:rPr>
                <w:color w:val="auto"/>
                <w:highlight w:val="none"/>
              </w:rPr>
            </w:pPr>
          </w:p>
        </w:tc>
        <w:tc>
          <w:tcPr>
            <w:tcW w:w="647" w:type="dxa"/>
            <w:tcBorders>
              <w:tl2br w:val="nil"/>
              <w:tr2bl w:val="nil"/>
            </w:tcBorders>
            <w:vAlign w:val="center"/>
          </w:tcPr>
          <w:p>
            <w:pPr>
              <w:pStyle w:val="49"/>
              <w:tabs>
                <w:tab w:val="left" w:pos="360"/>
                <w:tab w:val="left" w:pos="1620"/>
                <w:tab w:val="clear" w:pos="-2486"/>
              </w:tabs>
              <w:rPr>
                <w:color w:val="auto"/>
                <w:highlight w:val="none"/>
              </w:rPr>
            </w:pPr>
          </w:p>
        </w:tc>
        <w:tc>
          <w:tcPr>
            <w:tcW w:w="648" w:type="dxa"/>
            <w:tcBorders>
              <w:tl2br w:val="nil"/>
              <w:tr2bl w:val="nil"/>
            </w:tcBorders>
            <w:vAlign w:val="center"/>
          </w:tcPr>
          <w:p>
            <w:pPr>
              <w:pStyle w:val="49"/>
              <w:tabs>
                <w:tab w:val="left" w:pos="360"/>
                <w:tab w:val="left" w:pos="1620"/>
                <w:tab w:val="clear" w:pos="-2486"/>
              </w:tabs>
              <w:rPr>
                <w:color w:val="auto"/>
                <w:highlight w:val="none"/>
              </w:rPr>
            </w:pPr>
          </w:p>
        </w:tc>
        <w:tc>
          <w:tcPr>
            <w:tcW w:w="653" w:type="dxa"/>
            <w:tcBorders>
              <w:tl2br w:val="nil"/>
              <w:tr2bl w:val="nil"/>
            </w:tcBorders>
            <w:vAlign w:val="center"/>
          </w:tcPr>
          <w:p>
            <w:pPr>
              <w:pStyle w:val="49"/>
              <w:tabs>
                <w:tab w:val="left" w:pos="360"/>
                <w:tab w:val="left" w:pos="1620"/>
                <w:tab w:val="clear" w:pos="-2486"/>
              </w:tabs>
              <w:rPr>
                <w:color w:val="auto"/>
                <w:highlight w:val="none"/>
              </w:rPr>
            </w:pPr>
          </w:p>
        </w:tc>
        <w:tc>
          <w:tcPr>
            <w:tcW w:w="648" w:type="dxa"/>
            <w:tcBorders>
              <w:tl2br w:val="nil"/>
              <w:tr2bl w:val="nil"/>
            </w:tcBorders>
            <w:vAlign w:val="center"/>
          </w:tcPr>
          <w:p>
            <w:pPr>
              <w:pStyle w:val="49"/>
              <w:tabs>
                <w:tab w:val="left" w:pos="360"/>
                <w:tab w:val="left" w:pos="1620"/>
                <w:tab w:val="clear" w:pos="-2486"/>
              </w:tabs>
              <w:rPr>
                <w:color w:val="auto"/>
                <w:highlight w:val="none"/>
              </w:rPr>
            </w:pPr>
            <w:r>
              <w:rPr>
                <w:color w:val="auto"/>
                <w:highlight w:val="none"/>
              </w:rPr>
              <w:t>√</w:t>
            </w:r>
          </w:p>
        </w:tc>
        <w:tc>
          <w:tcPr>
            <w:tcW w:w="648" w:type="dxa"/>
            <w:tcBorders>
              <w:tl2br w:val="nil"/>
              <w:tr2bl w:val="nil"/>
            </w:tcBorders>
            <w:vAlign w:val="center"/>
          </w:tcPr>
          <w:p>
            <w:pPr>
              <w:pStyle w:val="49"/>
              <w:tabs>
                <w:tab w:val="left" w:pos="360"/>
                <w:tab w:val="left" w:pos="1620"/>
                <w:tab w:val="clear" w:pos="-2486"/>
              </w:tabs>
              <w:rPr>
                <w:color w:val="auto"/>
                <w:highlight w:val="none"/>
              </w:rPr>
            </w:pPr>
          </w:p>
        </w:tc>
        <w:tc>
          <w:tcPr>
            <w:tcW w:w="648" w:type="dxa"/>
            <w:tcBorders>
              <w:tl2br w:val="nil"/>
              <w:tr2bl w:val="nil"/>
            </w:tcBorders>
            <w:vAlign w:val="center"/>
          </w:tcPr>
          <w:p>
            <w:pPr>
              <w:pStyle w:val="49"/>
              <w:tabs>
                <w:tab w:val="left" w:pos="360"/>
                <w:tab w:val="left" w:pos="1620"/>
                <w:tab w:val="clear" w:pos="-2486"/>
              </w:tabs>
              <w:rPr>
                <w:color w:val="auto"/>
                <w:highlight w:val="none"/>
              </w:rPr>
            </w:pPr>
          </w:p>
        </w:tc>
        <w:tc>
          <w:tcPr>
            <w:tcW w:w="640" w:type="dxa"/>
            <w:tcBorders>
              <w:tl2br w:val="nil"/>
              <w:tr2bl w:val="nil"/>
            </w:tcBorders>
            <w:vAlign w:val="center"/>
          </w:tcPr>
          <w:p>
            <w:pPr>
              <w:pStyle w:val="49"/>
              <w:tabs>
                <w:tab w:val="left" w:pos="360"/>
                <w:tab w:val="left" w:pos="1620"/>
                <w:tab w:val="clear" w:pos="-2486"/>
              </w:tabs>
              <w:rPr>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243" w:type="dxa"/>
            <w:tcBorders>
              <w:tl2br w:val="nil"/>
              <w:tr2bl w:val="nil"/>
            </w:tcBorders>
            <w:vAlign w:val="center"/>
          </w:tcPr>
          <w:p>
            <w:pPr>
              <w:pStyle w:val="49"/>
              <w:tabs>
                <w:tab w:val="left" w:pos="360"/>
                <w:tab w:val="left" w:pos="1620"/>
                <w:tab w:val="clear" w:pos="-2486"/>
              </w:tabs>
              <w:rPr>
                <w:color w:val="auto"/>
                <w:highlight w:val="none"/>
              </w:rPr>
            </w:pPr>
            <w:r>
              <w:rPr>
                <w:color w:val="auto"/>
                <w:highlight w:val="none"/>
              </w:rPr>
              <w:t>小蓬Nanophytonerinaceum</w:t>
            </w:r>
          </w:p>
        </w:tc>
        <w:tc>
          <w:tcPr>
            <w:tcW w:w="648" w:type="dxa"/>
            <w:tcBorders>
              <w:tl2br w:val="nil"/>
              <w:tr2bl w:val="nil"/>
            </w:tcBorders>
            <w:vAlign w:val="center"/>
          </w:tcPr>
          <w:p>
            <w:pPr>
              <w:pStyle w:val="49"/>
              <w:tabs>
                <w:tab w:val="left" w:pos="360"/>
                <w:tab w:val="left" w:pos="1620"/>
                <w:tab w:val="clear" w:pos="-2486"/>
              </w:tabs>
              <w:rPr>
                <w:color w:val="auto"/>
                <w:highlight w:val="none"/>
              </w:rPr>
            </w:pPr>
          </w:p>
        </w:tc>
        <w:tc>
          <w:tcPr>
            <w:tcW w:w="648" w:type="dxa"/>
            <w:tcBorders>
              <w:tl2br w:val="nil"/>
              <w:tr2bl w:val="nil"/>
            </w:tcBorders>
            <w:vAlign w:val="center"/>
          </w:tcPr>
          <w:p>
            <w:pPr>
              <w:pStyle w:val="49"/>
              <w:tabs>
                <w:tab w:val="left" w:pos="360"/>
                <w:tab w:val="left" w:pos="1620"/>
                <w:tab w:val="clear" w:pos="-2486"/>
              </w:tabs>
              <w:rPr>
                <w:color w:val="auto"/>
                <w:highlight w:val="none"/>
              </w:rPr>
            </w:pPr>
            <w:r>
              <w:rPr>
                <w:color w:val="auto"/>
                <w:highlight w:val="none"/>
              </w:rPr>
              <w:t>√</w:t>
            </w:r>
          </w:p>
        </w:tc>
        <w:tc>
          <w:tcPr>
            <w:tcW w:w="647" w:type="dxa"/>
            <w:tcBorders>
              <w:tl2br w:val="nil"/>
              <w:tr2bl w:val="nil"/>
            </w:tcBorders>
            <w:vAlign w:val="center"/>
          </w:tcPr>
          <w:p>
            <w:pPr>
              <w:pStyle w:val="49"/>
              <w:tabs>
                <w:tab w:val="left" w:pos="360"/>
                <w:tab w:val="left" w:pos="1620"/>
                <w:tab w:val="clear" w:pos="-2486"/>
              </w:tabs>
              <w:rPr>
                <w:color w:val="auto"/>
                <w:highlight w:val="none"/>
              </w:rPr>
            </w:pPr>
          </w:p>
        </w:tc>
        <w:tc>
          <w:tcPr>
            <w:tcW w:w="648" w:type="dxa"/>
            <w:tcBorders>
              <w:tl2br w:val="nil"/>
              <w:tr2bl w:val="nil"/>
            </w:tcBorders>
            <w:vAlign w:val="center"/>
          </w:tcPr>
          <w:p>
            <w:pPr>
              <w:pStyle w:val="49"/>
              <w:tabs>
                <w:tab w:val="left" w:pos="360"/>
                <w:tab w:val="left" w:pos="1620"/>
                <w:tab w:val="clear" w:pos="-2486"/>
              </w:tabs>
              <w:rPr>
                <w:color w:val="auto"/>
                <w:highlight w:val="none"/>
              </w:rPr>
            </w:pPr>
          </w:p>
        </w:tc>
        <w:tc>
          <w:tcPr>
            <w:tcW w:w="653" w:type="dxa"/>
            <w:tcBorders>
              <w:tl2br w:val="nil"/>
              <w:tr2bl w:val="nil"/>
            </w:tcBorders>
            <w:vAlign w:val="center"/>
          </w:tcPr>
          <w:p>
            <w:pPr>
              <w:pStyle w:val="49"/>
              <w:tabs>
                <w:tab w:val="left" w:pos="360"/>
                <w:tab w:val="left" w:pos="1620"/>
                <w:tab w:val="clear" w:pos="-2486"/>
              </w:tabs>
              <w:rPr>
                <w:color w:val="auto"/>
                <w:highlight w:val="none"/>
              </w:rPr>
            </w:pPr>
          </w:p>
        </w:tc>
        <w:tc>
          <w:tcPr>
            <w:tcW w:w="648" w:type="dxa"/>
            <w:tcBorders>
              <w:tl2br w:val="nil"/>
              <w:tr2bl w:val="nil"/>
            </w:tcBorders>
            <w:vAlign w:val="center"/>
          </w:tcPr>
          <w:p>
            <w:pPr>
              <w:pStyle w:val="49"/>
              <w:tabs>
                <w:tab w:val="left" w:pos="360"/>
                <w:tab w:val="left" w:pos="1620"/>
                <w:tab w:val="clear" w:pos="-2486"/>
              </w:tabs>
              <w:rPr>
                <w:color w:val="auto"/>
                <w:highlight w:val="none"/>
              </w:rPr>
            </w:pPr>
            <w:r>
              <w:rPr>
                <w:color w:val="auto"/>
                <w:highlight w:val="none"/>
              </w:rPr>
              <w:t>√</w:t>
            </w:r>
          </w:p>
        </w:tc>
        <w:tc>
          <w:tcPr>
            <w:tcW w:w="648" w:type="dxa"/>
            <w:tcBorders>
              <w:tl2br w:val="nil"/>
              <w:tr2bl w:val="nil"/>
            </w:tcBorders>
            <w:vAlign w:val="center"/>
          </w:tcPr>
          <w:p>
            <w:pPr>
              <w:pStyle w:val="49"/>
              <w:tabs>
                <w:tab w:val="left" w:pos="360"/>
                <w:tab w:val="left" w:pos="1620"/>
                <w:tab w:val="clear" w:pos="-2486"/>
              </w:tabs>
              <w:rPr>
                <w:color w:val="auto"/>
                <w:highlight w:val="none"/>
              </w:rPr>
            </w:pPr>
          </w:p>
        </w:tc>
        <w:tc>
          <w:tcPr>
            <w:tcW w:w="648" w:type="dxa"/>
            <w:tcBorders>
              <w:tl2br w:val="nil"/>
              <w:tr2bl w:val="nil"/>
            </w:tcBorders>
            <w:vAlign w:val="center"/>
          </w:tcPr>
          <w:p>
            <w:pPr>
              <w:pStyle w:val="49"/>
              <w:tabs>
                <w:tab w:val="left" w:pos="360"/>
                <w:tab w:val="left" w:pos="1620"/>
                <w:tab w:val="clear" w:pos="-2486"/>
              </w:tabs>
              <w:rPr>
                <w:color w:val="auto"/>
                <w:highlight w:val="none"/>
              </w:rPr>
            </w:pPr>
          </w:p>
        </w:tc>
        <w:tc>
          <w:tcPr>
            <w:tcW w:w="640" w:type="dxa"/>
            <w:tcBorders>
              <w:tl2br w:val="nil"/>
              <w:tr2bl w:val="nil"/>
            </w:tcBorders>
            <w:vAlign w:val="center"/>
          </w:tcPr>
          <w:p>
            <w:pPr>
              <w:pStyle w:val="49"/>
              <w:tabs>
                <w:tab w:val="left" w:pos="360"/>
                <w:tab w:val="left" w:pos="1620"/>
                <w:tab w:val="clear" w:pos="-2486"/>
              </w:tabs>
              <w:rPr>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243" w:type="dxa"/>
            <w:tcBorders>
              <w:tl2br w:val="nil"/>
              <w:tr2bl w:val="nil"/>
            </w:tcBorders>
            <w:vAlign w:val="center"/>
          </w:tcPr>
          <w:p>
            <w:pPr>
              <w:pStyle w:val="49"/>
              <w:tabs>
                <w:tab w:val="left" w:pos="360"/>
                <w:tab w:val="left" w:pos="1620"/>
                <w:tab w:val="clear" w:pos="-2486"/>
              </w:tabs>
              <w:rPr>
                <w:color w:val="auto"/>
                <w:highlight w:val="none"/>
              </w:rPr>
            </w:pPr>
            <w:r>
              <w:rPr>
                <w:rFonts w:hint="eastAsia"/>
                <w:color w:val="auto"/>
                <w:highlight w:val="none"/>
              </w:rPr>
              <w:t>无叶假木贼</w:t>
            </w:r>
            <w:r>
              <w:rPr>
                <w:color w:val="auto"/>
                <w:highlight w:val="none"/>
              </w:rPr>
              <w:t>Anabasisaphylla</w:t>
            </w:r>
          </w:p>
        </w:tc>
        <w:tc>
          <w:tcPr>
            <w:tcW w:w="648" w:type="dxa"/>
            <w:tcBorders>
              <w:tl2br w:val="nil"/>
              <w:tr2bl w:val="nil"/>
            </w:tcBorders>
            <w:vAlign w:val="center"/>
          </w:tcPr>
          <w:p>
            <w:pPr>
              <w:pStyle w:val="49"/>
              <w:tabs>
                <w:tab w:val="left" w:pos="360"/>
                <w:tab w:val="left" w:pos="1620"/>
                <w:tab w:val="clear" w:pos="-2486"/>
              </w:tabs>
              <w:rPr>
                <w:color w:val="auto"/>
                <w:highlight w:val="none"/>
              </w:rPr>
            </w:pPr>
            <w:r>
              <w:rPr>
                <w:color w:val="auto"/>
                <w:highlight w:val="none"/>
              </w:rPr>
              <w:t>√</w:t>
            </w:r>
          </w:p>
        </w:tc>
        <w:tc>
          <w:tcPr>
            <w:tcW w:w="648" w:type="dxa"/>
            <w:tcBorders>
              <w:tl2br w:val="nil"/>
              <w:tr2bl w:val="nil"/>
            </w:tcBorders>
            <w:vAlign w:val="center"/>
          </w:tcPr>
          <w:p>
            <w:pPr>
              <w:pStyle w:val="49"/>
              <w:tabs>
                <w:tab w:val="left" w:pos="360"/>
                <w:tab w:val="left" w:pos="1620"/>
                <w:tab w:val="clear" w:pos="-2486"/>
              </w:tabs>
              <w:rPr>
                <w:color w:val="auto"/>
                <w:highlight w:val="none"/>
              </w:rPr>
            </w:pPr>
          </w:p>
        </w:tc>
        <w:tc>
          <w:tcPr>
            <w:tcW w:w="647" w:type="dxa"/>
            <w:tcBorders>
              <w:tl2br w:val="nil"/>
              <w:tr2bl w:val="nil"/>
            </w:tcBorders>
            <w:vAlign w:val="center"/>
          </w:tcPr>
          <w:p>
            <w:pPr>
              <w:pStyle w:val="49"/>
              <w:tabs>
                <w:tab w:val="left" w:pos="360"/>
                <w:tab w:val="left" w:pos="1620"/>
                <w:tab w:val="clear" w:pos="-2486"/>
              </w:tabs>
              <w:rPr>
                <w:color w:val="auto"/>
                <w:highlight w:val="none"/>
              </w:rPr>
            </w:pPr>
          </w:p>
        </w:tc>
        <w:tc>
          <w:tcPr>
            <w:tcW w:w="648" w:type="dxa"/>
            <w:tcBorders>
              <w:tl2br w:val="nil"/>
              <w:tr2bl w:val="nil"/>
            </w:tcBorders>
            <w:vAlign w:val="center"/>
          </w:tcPr>
          <w:p>
            <w:pPr>
              <w:pStyle w:val="49"/>
              <w:tabs>
                <w:tab w:val="left" w:pos="360"/>
                <w:tab w:val="left" w:pos="1620"/>
                <w:tab w:val="clear" w:pos="-2486"/>
              </w:tabs>
              <w:rPr>
                <w:color w:val="auto"/>
                <w:highlight w:val="none"/>
              </w:rPr>
            </w:pPr>
          </w:p>
        </w:tc>
        <w:tc>
          <w:tcPr>
            <w:tcW w:w="653" w:type="dxa"/>
            <w:tcBorders>
              <w:tl2br w:val="nil"/>
              <w:tr2bl w:val="nil"/>
            </w:tcBorders>
            <w:vAlign w:val="center"/>
          </w:tcPr>
          <w:p>
            <w:pPr>
              <w:pStyle w:val="49"/>
              <w:tabs>
                <w:tab w:val="left" w:pos="360"/>
                <w:tab w:val="left" w:pos="1620"/>
                <w:tab w:val="clear" w:pos="-2486"/>
              </w:tabs>
              <w:rPr>
                <w:color w:val="auto"/>
                <w:highlight w:val="none"/>
              </w:rPr>
            </w:pPr>
          </w:p>
        </w:tc>
        <w:tc>
          <w:tcPr>
            <w:tcW w:w="648" w:type="dxa"/>
            <w:tcBorders>
              <w:tl2br w:val="nil"/>
              <w:tr2bl w:val="nil"/>
            </w:tcBorders>
            <w:vAlign w:val="center"/>
          </w:tcPr>
          <w:p>
            <w:pPr>
              <w:pStyle w:val="49"/>
              <w:tabs>
                <w:tab w:val="left" w:pos="360"/>
                <w:tab w:val="left" w:pos="1620"/>
                <w:tab w:val="clear" w:pos="-2486"/>
              </w:tabs>
              <w:rPr>
                <w:color w:val="auto"/>
                <w:highlight w:val="none"/>
              </w:rPr>
            </w:pPr>
          </w:p>
        </w:tc>
        <w:tc>
          <w:tcPr>
            <w:tcW w:w="648" w:type="dxa"/>
            <w:tcBorders>
              <w:tl2br w:val="nil"/>
              <w:tr2bl w:val="nil"/>
            </w:tcBorders>
            <w:vAlign w:val="center"/>
          </w:tcPr>
          <w:p>
            <w:pPr>
              <w:pStyle w:val="49"/>
              <w:tabs>
                <w:tab w:val="left" w:pos="360"/>
                <w:tab w:val="left" w:pos="1620"/>
                <w:tab w:val="clear" w:pos="-2486"/>
              </w:tabs>
              <w:rPr>
                <w:color w:val="auto"/>
                <w:highlight w:val="none"/>
              </w:rPr>
            </w:pPr>
            <w:r>
              <w:rPr>
                <w:color w:val="auto"/>
                <w:highlight w:val="none"/>
              </w:rPr>
              <w:t>√</w:t>
            </w:r>
          </w:p>
        </w:tc>
        <w:tc>
          <w:tcPr>
            <w:tcW w:w="648" w:type="dxa"/>
            <w:tcBorders>
              <w:tl2br w:val="nil"/>
              <w:tr2bl w:val="nil"/>
            </w:tcBorders>
            <w:vAlign w:val="center"/>
          </w:tcPr>
          <w:p>
            <w:pPr>
              <w:pStyle w:val="49"/>
              <w:tabs>
                <w:tab w:val="left" w:pos="360"/>
                <w:tab w:val="left" w:pos="1620"/>
                <w:tab w:val="clear" w:pos="-2486"/>
              </w:tabs>
              <w:rPr>
                <w:color w:val="auto"/>
                <w:highlight w:val="none"/>
              </w:rPr>
            </w:pPr>
          </w:p>
        </w:tc>
        <w:tc>
          <w:tcPr>
            <w:tcW w:w="640" w:type="dxa"/>
            <w:tcBorders>
              <w:tl2br w:val="nil"/>
              <w:tr2bl w:val="nil"/>
            </w:tcBorders>
            <w:vAlign w:val="center"/>
          </w:tcPr>
          <w:p>
            <w:pPr>
              <w:pStyle w:val="49"/>
              <w:tabs>
                <w:tab w:val="left" w:pos="360"/>
                <w:tab w:val="left" w:pos="1620"/>
                <w:tab w:val="clear" w:pos="-2486"/>
              </w:tabs>
              <w:rPr>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243" w:type="dxa"/>
            <w:tcBorders>
              <w:tl2br w:val="nil"/>
              <w:tr2bl w:val="nil"/>
            </w:tcBorders>
            <w:vAlign w:val="center"/>
          </w:tcPr>
          <w:p>
            <w:pPr>
              <w:pStyle w:val="49"/>
              <w:tabs>
                <w:tab w:val="left" w:pos="360"/>
                <w:tab w:val="left" w:pos="1620"/>
                <w:tab w:val="clear" w:pos="-2486"/>
              </w:tabs>
              <w:rPr>
                <w:color w:val="auto"/>
                <w:highlight w:val="none"/>
              </w:rPr>
            </w:pPr>
            <w:r>
              <w:rPr>
                <w:rFonts w:hint="eastAsia"/>
                <w:color w:val="auto"/>
                <w:highlight w:val="none"/>
              </w:rPr>
              <w:t>盐节木</w:t>
            </w:r>
            <w:r>
              <w:rPr>
                <w:color w:val="auto"/>
                <w:highlight w:val="none"/>
              </w:rPr>
              <w:t>Halocnermumstr</w:t>
            </w:r>
          </w:p>
        </w:tc>
        <w:tc>
          <w:tcPr>
            <w:tcW w:w="648" w:type="dxa"/>
            <w:tcBorders>
              <w:tl2br w:val="nil"/>
              <w:tr2bl w:val="nil"/>
            </w:tcBorders>
            <w:vAlign w:val="center"/>
          </w:tcPr>
          <w:p>
            <w:pPr>
              <w:pStyle w:val="49"/>
              <w:tabs>
                <w:tab w:val="left" w:pos="360"/>
                <w:tab w:val="left" w:pos="1620"/>
                <w:tab w:val="clear" w:pos="-2486"/>
              </w:tabs>
              <w:rPr>
                <w:color w:val="auto"/>
                <w:highlight w:val="none"/>
              </w:rPr>
            </w:pPr>
            <w:r>
              <w:rPr>
                <w:color w:val="auto"/>
                <w:highlight w:val="none"/>
              </w:rPr>
              <w:t>√</w:t>
            </w:r>
          </w:p>
        </w:tc>
        <w:tc>
          <w:tcPr>
            <w:tcW w:w="648" w:type="dxa"/>
            <w:tcBorders>
              <w:tl2br w:val="nil"/>
              <w:tr2bl w:val="nil"/>
            </w:tcBorders>
            <w:vAlign w:val="center"/>
          </w:tcPr>
          <w:p>
            <w:pPr>
              <w:pStyle w:val="49"/>
              <w:tabs>
                <w:tab w:val="left" w:pos="360"/>
                <w:tab w:val="left" w:pos="1620"/>
                <w:tab w:val="clear" w:pos="-2486"/>
              </w:tabs>
              <w:rPr>
                <w:color w:val="auto"/>
                <w:highlight w:val="none"/>
              </w:rPr>
            </w:pPr>
          </w:p>
        </w:tc>
        <w:tc>
          <w:tcPr>
            <w:tcW w:w="647" w:type="dxa"/>
            <w:tcBorders>
              <w:tl2br w:val="nil"/>
              <w:tr2bl w:val="nil"/>
            </w:tcBorders>
            <w:vAlign w:val="center"/>
          </w:tcPr>
          <w:p>
            <w:pPr>
              <w:pStyle w:val="49"/>
              <w:tabs>
                <w:tab w:val="left" w:pos="360"/>
                <w:tab w:val="left" w:pos="1620"/>
                <w:tab w:val="clear" w:pos="-2486"/>
              </w:tabs>
              <w:rPr>
                <w:color w:val="auto"/>
                <w:highlight w:val="none"/>
              </w:rPr>
            </w:pPr>
          </w:p>
        </w:tc>
        <w:tc>
          <w:tcPr>
            <w:tcW w:w="648" w:type="dxa"/>
            <w:tcBorders>
              <w:tl2br w:val="nil"/>
              <w:tr2bl w:val="nil"/>
            </w:tcBorders>
            <w:vAlign w:val="center"/>
          </w:tcPr>
          <w:p>
            <w:pPr>
              <w:pStyle w:val="49"/>
              <w:tabs>
                <w:tab w:val="left" w:pos="360"/>
                <w:tab w:val="left" w:pos="1620"/>
                <w:tab w:val="clear" w:pos="-2486"/>
              </w:tabs>
              <w:rPr>
                <w:color w:val="auto"/>
                <w:highlight w:val="none"/>
              </w:rPr>
            </w:pPr>
          </w:p>
        </w:tc>
        <w:tc>
          <w:tcPr>
            <w:tcW w:w="653" w:type="dxa"/>
            <w:tcBorders>
              <w:tl2br w:val="nil"/>
              <w:tr2bl w:val="nil"/>
            </w:tcBorders>
            <w:vAlign w:val="center"/>
          </w:tcPr>
          <w:p>
            <w:pPr>
              <w:pStyle w:val="49"/>
              <w:tabs>
                <w:tab w:val="left" w:pos="360"/>
                <w:tab w:val="left" w:pos="1620"/>
                <w:tab w:val="clear" w:pos="-2486"/>
              </w:tabs>
              <w:rPr>
                <w:color w:val="auto"/>
                <w:highlight w:val="none"/>
              </w:rPr>
            </w:pPr>
          </w:p>
        </w:tc>
        <w:tc>
          <w:tcPr>
            <w:tcW w:w="648" w:type="dxa"/>
            <w:tcBorders>
              <w:tl2br w:val="nil"/>
              <w:tr2bl w:val="nil"/>
            </w:tcBorders>
            <w:vAlign w:val="center"/>
          </w:tcPr>
          <w:p>
            <w:pPr>
              <w:pStyle w:val="49"/>
              <w:tabs>
                <w:tab w:val="left" w:pos="360"/>
                <w:tab w:val="left" w:pos="1620"/>
                <w:tab w:val="clear" w:pos="-2486"/>
              </w:tabs>
              <w:rPr>
                <w:color w:val="auto"/>
                <w:highlight w:val="none"/>
              </w:rPr>
            </w:pPr>
          </w:p>
        </w:tc>
        <w:tc>
          <w:tcPr>
            <w:tcW w:w="648" w:type="dxa"/>
            <w:tcBorders>
              <w:tl2br w:val="nil"/>
              <w:tr2bl w:val="nil"/>
            </w:tcBorders>
            <w:vAlign w:val="center"/>
          </w:tcPr>
          <w:p>
            <w:pPr>
              <w:pStyle w:val="49"/>
              <w:tabs>
                <w:tab w:val="left" w:pos="360"/>
                <w:tab w:val="left" w:pos="1620"/>
                <w:tab w:val="clear" w:pos="-2486"/>
              </w:tabs>
              <w:rPr>
                <w:color w:val="auto"/>
                <w:highlight w:val="none"/>
              </w:rPr>
            </w:pPr>
          </w:p>
        </w:tc>
        <w:tc>
          <w:tcPr>
            <w:tcW w:w="648" w:type="dxa"/>
            <w:tcBorders>
              <w:tl2br w:val="nil"/>
              <w:tr2bl w:val="nil"/>
            </w:tcBorders>
            <w:vAlign w:val="center"/>
          </w:tcPr>
          <w:p>
            <w:pPr>
              <w:pStyle w:val="49"/>
              <w:tabs>
                <w:tab w:val="left" w:pos="360"/>
                <w:tab w:val="left" w:pos="1620"/>
                <w:tab w:val="clear" w:pos="-2486"/>
              </w:tabs>
              <w:rPr>
                <w:color w:val="auto"/>
                <w:highlight w:val="none"/>
              </w:rPr>
            </w:pPr>
          </w:p>
        </w:tc>
        <w:tc>
          <w:tcPr>
            <w:tcW w:w="640" w:type="dxa"/>
            <w:tcBorders>
              <w:tl2br w:val="nil"/>
              <w:tr2bl w:val="nil"/>
            </w:tcBorders>
            <w:vAlign w:val="center"/>
          </w:tcPr>
          <w:p>
            <w:pPr>
              <w:pStyle w:val="49"/>
              <w:tabs>
                <w:tab w:val="left" w:pos="360"/>
                <w:tab w:val="left" w:pos="1620"/>
                <w:tab w:val="clear" w:pos="-2486"/>
              </w:tabs>
              <w:rPr>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243" w:type="dxa"/>
            <w:tcBorders>
              <w:tl2br w:val="nil"/>
              <w:tr2bl w:val="nil"/>
            </w:tcBorders>
            <w:vAlign w:val="center"/>
          </w:tcPr>
          <w:p>
            <w:pPr>
              <w:pStyle w:val="49"/>
              <w:tabs>
                <w:tab w:val="left" w:pos="360"/>
                <w:tab w:val="left" w:pos="1620"/>
                <w:tab w:val="clear" w:pos="-2486"/>
              </w:tabs>
              <w:rPr>
                <w:color w:val="auto"/>
                <w:highlight w:val="none"/>
              </w:rPr>
            </w:pPr>
            <w:r>
              <w:rPr>
                <w:rFonts w:hint="eastAsia"/>
                <w:color w:val="auto"/>
                <w:highlight w:val="none"/>
              </w:rPr>
              <w:t>花花柴</w:t>
            </w:r>
            <w:r>
              <w:rPr>
                <w:color w:val="auto"/>
                <w:highlight w:val="none"/>
              </w:rPr>
              <w:t>Kareliniacaspia(Pall.)Less</w:t>
            </w:r>
          </w:p>
        </w:tc>
        <w:tc>
          <w:tcPr>
            <w:tcW w:w="648" w:type="dxa"/>
            <w:tcBorders>
              <w:tl2br w:val="nil"/>
              <w:tr2bl w:val="nil"/>
            </w:tcBorders>
            <w:vAlign w:val="center"/>
          </w:tcPr>
          <w:p>
            <w:pPr>
              <w:pStyle w:val="49"/>
              <w:tabs>
                <w:tab w:val="left" w:pos="360"/>
                <w:tab w:val="left" w:pos="1620"/>
                <w:tab w:val="clear" w:pos="-2486"/>
              </w:tabs>
              <w:rPr>
                <w:color w:val="auto"/>
                <w:highlight w:val="none"/>
              </w:rPr>
            </w:pPr>
          </w:p>
        </w:tc>
        <w:tc>
          <w:tcPr>
            <w:tcW w:w="648" w:type="dxa"/>
            <w:tcBorders>
              <w:tl2br w:val="nil"/>
              <w:tr2bl w:val="nil"/>
            </w:tcBorders>
            <w:vAlign w:val="center"/>
          </w:tcPr>
          <w:p>
            <w:pPr>
              <w:pStyle w:val="49"/>
              <w:tabs>
                <w:tab w:val="left" w:pos="360"/>
                <w:tab w:val="left" w:pos="1620"/>
                <w:tab w:val="clear" w:pos="-2486"/>
              </w:tabs>
              <w:rPr>
                <w:color w:val="auto"/>
                <w:highlight w:val="none"/>
              </w:rPr>
            </w:pPr>
          </w:p>
        </w:tc>
        <w:tc>
          <w:tcPr>
            <w:tcW w:w="647" w:type="dxa"/>
            <w:tcBorders>
              <w:tl2br w:val="nil"/>
              <w:tr2bl w:val="nil"/>
            </w:tcBorders>
            <w:vAlign w:val="center"/>
          </w:tcPr>
          <w:p>
            <w:pPr>
              <w:pStyle w:val="49"/>
              <w:tabs>
                <w:tab w:val="left" w:pos="360"/>
                <w:tab w:val="left" w:pos="1620"/>
                <w:tab w:val="clear" w:pos="-2486"/>
              </w:tabs>
              <w:rPr>
                <w:color w:val="auto"/>
                <w:highlight w:val="none"/>
              </w:rPr>
            </w:pPr>
            <w:r>
              <w:rPr>
                <w:color w:val="auto"/>
                <w:highlight w:val="none"/>
              </w:rPr>
              <w:t>√</w:t>
            </w:r>
          </w:p>
        </w:tc>
        <w:tc>
          <w:tcPr>
            <w:tcW w:w="648" w:type="dxa"/>
            <w:tcBorders>
              <w:tl2br w:val="nil"/>
              <w:tr2bl w:val="nil"/>
            </w:tcBorders>
            <w:vAlign w:val="center"/>
          </w:tcPr>
          <w:p>
            <w:pPr>
              <w:pStyle w:val="49"/>
              <w:tabs>
                <w:tab w:val="left" w:pos="360"/>
                <w:tab w:val="left" w:pos="1620"/>
                <w:tab w:val="clear" w:pos="-2486"/>
              </w:tabs>
              <w:rPr>
                <w:color w:val="auto"/>
                <w:highlight w:val="none"/>
              </w:rPr>
            </w:pPr>
          </w:p>
        </w:tc>
        <w:tc>
          <w:tcPr>
            <w:tcW w:w="653" w:type="dxa"/>
            <w:tcBorders>
              <w:tl2br w:val="nil"/>
              <w:tr2bl w:val="nil"/>
            </w:tcBorders>
            <w:vAlign w:val="center"/>
          </w:tcPr>
          <w:p>
            <w:pPr>
              <w:pStyle w:val="49"/>
              <w:tabs>
                <w:tab w:val="left" w:pos="360"/>
                <w:tab w:val="left" w:pos="1620"/>
                <w:tab w:val="clear" w:pos="-2486"/>
              </w:tabs>
              <w:rPr>
                <w:color w:val="auto"/>
                <w:highlight w:val="none"/>
              </w:rPr>
            </w:pPr>
            <w:r>
              <w:rPr>
                <w:color w:val="auto"/>
                <w:highlight w:val="none"/>
              </w:rPr>
              <w:t>√</w:t>
            </w:r>
          </w:p>
        </w:tc>
        <w:tc>
          <w:tcPr>
            <w:tcW w:w="648" w:type="dxa"/>
            <w:tcBorders>
              <w:tl2br w:val="nil"/>
              <w:tr2bl w:val="nil"/>
            </w:tcBorders>
            <w:vAlign w:val="center"/>
          </w:tcPr>
          <w:p>
            <w:pPr>
              <w:pStyle w:val="49"/>
              <w:tabs>
                <w:tab w:val="left" w:pos="360"/>
                <w:tab w:val="left" w:pos="1620"/>
                <w:tab w:val="clear" w:pos="-2486"/>
              </w:tabs>
              <w:rPr>
                <w:color w:val="auto"/>
                <w:highlight w:val="none"/>
              </w:rPr>
            </w:pPr>
            <w:r>
              <w:rPr>
                <w:color w:val="auto"/>
                <w:highlight w:val="none"/>
              </w:rPr>
              <w:t>√</w:t>
            </w:r>
          </w:p>
        </w:tc>
        <w:tc>
          <w:tcPr>
            <w:tcW w:w="648" w:type="dxa"/>
            <w:tcBorders>
              <w:tl2br w:val="nil"/>
              <w:tr2bl w:val="nil"/>
            </w:tcBorders>
            <w:vAlign w:val="center"/>
          </w:tcPr>
          <w:p>
            <w:pPr>
              <w:pStyle w:val="49"/>
              <w:tabs>
                <w:tab w:val="left" w:pos="360"/>
                <w:tab w:val="left" w:pos="1620"/>
                <w:tab w:val="clear" w:pos="-2486"/>
              </w:tabs>
              <w:rPr>
                <w:color w:val="auto"/>
                <w:highlight w:val="none"/>
              </w:rPr>
            </w:pPr>
            <w:r>
              <w:rPr>
                <w:color w:val="auto"/>
                <w:highlight w:val="none"/>
              </w:rPr>
              <w:t>√</w:t>
            </w:r>
          </w:p>
        </w:tc>
        <w:tc>
          <w:tcPr>
            <w:tcW w:w="648" w:type="dxa"/>
            <w:tcBorders>
              <w:tl2br w:val="nil"/>
              <w:tr2bl w:val="nil"/>
            </w:tcBorders>
            <w:vAlign w:val="center"/>
          </w:tcPr>
          <w:p>
            <w:pPr>
              <w:pStyle w:val="49"/>
              <w:tabs>
                <w:tab w:val="left" w:pos="360"/>
                <w:tab w:val="left" w:pos="1620"/>
                <w:tab w:val="clear" w:pos="-2486"/>
              </w:tabs>
              <w:rPr>
                <w:color w:val="auto"/>
                <w:highlight w:val="none"/>
              </w:rPr>
            </w:pPr>
          </w:p>
        </w:tc>
        <w:tc>
          <w:tcPr>
            <w:tcW w:w="640" w:type="dxa"/>
            <w:tcBorders>
              <w:tl2br w:val="nil"/>
              <w:tr2bl w:val="nil"/>
            </w:tcBorders>
            <w:vAlign w:val="center"/>
          </w:tcPr>
          <w:p>
            <w:pPr>
              <w:pStyle w:val="49"/>
              <w:tabs>
                <w:tab w:val="left" w:pos="360"/>
                <w:tab w:val="left" w:pos="1620"/>
                <w:tab w:val="clear" w:pos="-2486"/>
              </w:tabs>
              <w:rPr>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243" w:type="dxa"/>
            <w:tcBorders>
              <w:tl2br w:val="nil"/>
              <w:tr2bl w:val="nil"/>
            </w:tcBorders>
            <w:vAlign w:val="center"/>
          </w:tcPr>
          <w:p>
            <w:pPr>
              <w:pStyle w:val="49"/>
              <w:tabs>
                <w:tab w:val="left" w:pos="360"/>
                <w:tab w:val="left" w:pos="1620"/>
                <w:tab w:val="clear" w:pos="-2486"/>
              </w:tabs>
              <w:rPr>
                <w:color w:val="auto"/>
                <w:highlight w:val="none"/>
              </w:rPr>
            </w:pPr>
            <w:r>
              <w:rPr>
                <w:rFonts w:hint="eastAsia"/>
                <w:color w:val="auto"/>
                <w:highlight w:val="none"/>
              </w:rPr>
              <w:t>甘草</w:t>
            </w:r>
            <w:r>
              <w:rPr>
                <w:color w:val="auto"/>
                <w:highlight w:val="none"/>
              </w:rPr>
              <w:t>GlycyrrhizauralensisFisch</w:t>
            </w:r>
          </w:p>
        </w:tc>
        <w:tc>
          <w:tcPr>
            <w:tcW w:w="648" w:type="dxa"/>
            <w:tcBorders>
              <w:tl2br w:val="nil"/>
              <w:tr2bl w:val="nil"/>
            </w:tcBorders>
            <w:vAlign w:val="center"/>
          </w:tcPr>
          <w:p>
            <w:pPr>
              <w:pStyle w:val="49"/>
              <w:tabs>
                <w:tab w:val="left" w:pos="360"/>
                <w:tab w:val="left" w:pos="1620"/>
                <w:tab w:val="clear" w:pos="-2486"/>
              </w:tabs>
              <w:rPr>
                <w:color w:val="auto"/>
                <w:highlight w:val="none"/>
              </w:rPr>
            </w:pPr>
          </w:p>
        </w:tc>
        <w:tc>
          <w:tcPr>
            <w:tcW w:w="648" w:type="dxa"/>
            <w:tcBorders>
              <w:tl2br w:val="nil"/>
              <w:tr2bl w:val="nil"/>
            </w:tcBorders>
            <w:vAlign w:val="center"/>
          </w:tcPr>
          <w:p>
            <w:pPr>
              <w:pStyle w:val="49"/>
              <w:tabs>
                <w:tab w:val="left" w:pos="360"/>
                <w:tab w:val="left" w:pos="1620"/>
                <w:tab w:val="clear" w:pos="-2486"/>
              </w:tabs>
              <w:rPr>
                <w:color w:val="auto"/>
                <w:highlight w:val="none"/>
              </w:rPr>
            </w:pPr>
          </w:p>
        </w:tc>
        <w:tc>
          <w:tcPr>
            <w:tcW w:w="647" w:type="dxa"/>
            <w:tcBorders>
              <w:tl2br w:val="nil"/>
              <w:tr2bl w:val="nil"/>
            </w:tcBorders>
            <w:vAlign w:val="center"/>
          </w:tcPr>
          <w:p>
            <w:pPr>
              <w:pStyle w:val="49"/>
              <w:tabs>
                <w:tab w:val="left" w:pos="360"/>
                <w:tab w:val="left" w:pos="1620"/>
                <w:tab w:val="clear" w:pos="-2486"/>
              </w:tabs>
              <w:rPr>
                <w:color w:val="auto"/>
                <w:highlight w:val="none"/>
              </w:rPr>
            </w:pPr>
          </w:p>
        </w:tc>
        <w:tc>
          <w:tcPr>
            <w:tcW w:w="648" w:type="dxa"/>
            <w:tcBorders>
              <w:tl2br w:val="nil"/>
              <w:tr2bl w:val="nil"/>
            </w:tcBorders>
            <w:vAlign w:val="center"/>
          </w:tcPr>
          <w:p>
            <w:pPr>
              <w:pStyle w:val="49"/>
              <w:tabs>
                <w:tab w:val="left" w:pos="360"/>
                <w:tab w:val="left" w:pos="1620"/>
                <w:tab w:val="clear" w:pos="-2486"/>
              </w:tabs>
              <w:rPr>
                <w:color w:val="auto"/>
                <w:highlight w:val="none"/>
              </w:rPr>
            </w:pPr>
            <w:r>
              <w:rPr>
                <w:color w:val="auto"/>
                <w:highlight w:val="none"/>
              </w:rPr>
              <w:t>√</w:t>
            </w:r>
          </w:p>
        </w:tc>
        <w:tc>
          <w:tcPr>
            <w:tcW w:w="653" w:type="dxa"/>
            <w:tcBorders>
              <w:tl2br w:val="nil"/>
              <w:tr2bl w:val="nil"/>
            </w:tcBorders>
            <w:vAlign w:val="center"/>
          </w:tcPr>
          <w:p>
            <w:pPr>
              <w:pStyle w:val="49"/>
              <w:tabs>
                <w:tab w:val="left" w:pos="360"/>
                <w:tab w:val="left" w:pos="1620"/>
                <w:tab w:val="clear" w:pos="-2486"/>
              </w:tabs>
              <w:rPr>
                <w:color w:val="auto"/>
                <w:highlight w:val="none"/>
              </w:rPr>
            </w:pPr>
          </w:p>
        </w:tc>
        <w:tc>
          <w:tcPr>
            <w:tcW w:w="648" w:type="dxa"/>
            <w:tcBorders>
              <w:tl2br w:val="nil"/>
              <w:tr2bl w:val="nil"/>
            </w:tcBorders>
            <w:vAlign w:val="center"/>
          </w:tcPr>
          <w:p>
            <w:pPr>
              <w:pStyle w:val="49"/>
              <w:tabs>
                <w:tab w:val="left" w:pos="360"/>
                <w:tab w:val="left" w:pos="1620"/>
                <w:tab w:val="clear" w:pos="-2486"/>
              </w:tabs>
              <w:rPr>
                <w:color w:val="auto"/>
                <w:highlight w:val="none"/>
              </w:rPr>
            </w:pPr>
          </w:p>
        </w:tc>
        <w:tc>
          <w:tcPr>
            <w:tcW w:w="648" w:type="dxa"/>
            <w:tcBorders>
              <w:tl2br w:val="nil"/>
              <w:tr2bl w:val="nil"/>
            </w:tcBorders>
            <w:vAlign w:val="center"/>
          </w:tcPr>
          <w:p>
            <w:pPr>
              <w:pStyle w:val="49"/>
              <w:tabs>
                <w:tab w:val="left" w:pos="360"/>
                <w:tab w:val="left" w:pos="1620"/>
                <w:tab w:val="clear" w:pos="-2486"/>
              </w:tabs>
              <w:rPr>
                <w:color w:val="auto"/>
                <w:highlight w:val="none"/>
              </w:rPr>
            </w:pPr>
          </w:p>
        </w:tc>
        <w:tc>
          <w:tcPr>
            <w:tcW w:w="648" w:type="dxa"/>
            <w:tcBorders>
              <w:tl2br w:val="nil"/>
              <w:tr2bl w:val="nil"/>
            </w:tcBorders>
            <w:vAlign w:val="center"/>
          </w:tcPr>
          <w:p>
            <w:pPr>
              <w:pStyle w:val="49"/>
              <w:tabs>
                <w:tab w:val="left" w:pos="360"/>
                <w:tab w:val="left" w:pos="1620"/>
                <w:tab w:val="clear" w:pos="-2486"/>
              </w:tabs>
              <w:rPr>
                <w:color w:val="auto"/>
                <w:highlight w:val="none"/>
              </w:rPr>
            </w:pPr>
            <w:r>
              <w:rPr>
                <w:color w:val="auto"/>
                <w:highlight w:val="none"/>
              </w:rPr>
              <w:t>√</w:t>
            </w:r>
          </w:p>
        </w:tc>
        <w:tc>
          <w:tcPr>
            <w:tcW w:w="640" w:type="dxa"/>
            <w:tcBorders>
              <w:tl2br w:val="nil"/>
              <w:tr2bl w:val="nil"/>
            </w:tcBorders>
            <w:vAlign w:val="center"/>
          </w:tcPr>
          <w:p>
            <w:pPr>
              <w:pStyle w:val="49"/>
              <w:tabs>
                <w:tab w:val="left" w:pos="360"/>
                <w:tab w:val="left" w:pos="1620"/>
                <w:tab w:val="clear" w:pos="-2486"/>
              </w:tabs>
              <w:rPr>
                <w:color w:val="auto"/>
                <w:highlight w:val="none"/>
              </w:rPr>
            </w:pPr>
          </w:p>
        </w:tc>
      </w:tr>
    </w:tbl>
    <w:p>
      <w:pPr>
        <w:pStyle w:val="2"/>
        <w:bidi w:val="0"/>
        <w:rPr>
          <w:color w:val="auto"/>
          <w:highlight w:val="none"/>
        </w:rPr>
      </w:pPr>
      <w:r>
        <w:rPr>
          <w:rFonts w:hint="eastAsia"/>
          <w:color w:val="auto"/>
          <w:highlight w:val="none"/>
          <w:lang w:val="en-US" w:eastAsia="zh-CN"/>
        </w:rPr>
        <w:t>区域</w:t>
      </w:r>
      <w:r>
        <w:rPr>
          <w:rFonts w:hint="eastAsia"/>
          <w:color w:val="auto"/>
          <w:highlight w:val="none"/>
        </w:rPr>
        <w:t>野生动物类型及分布状况</w:t>
      </w:r>
    </w:p>
    <w:p>
      <w:pPr>
        <w:rPr>
          <w:rFonts w:hint="eastAsia"/>
          <w:color w:val="auto"/>
          <w:highlight w:val="none"/>
        </w:rPr>
        <w:sectPr>
          <w:footerReference r:id="rId19" w:type="default"/>
          <w:pgSz w:w="11906" w:h="16838"/>
          <w:pgMar w:top="1440" w:right="1797" w:bottom="1440" w:left="1797" w:header="851" w:footer="992" w:gutter="0"/>
          <w:pgBorders>
            <w:top w:val="none" w:sz="0" w:space="0"/>
            <w:left w:val="none" w:sz="0" w:space="0"/>
            <w:bottom w:val="none" w:sz="0" w:space="0"/>
            <w:right w:val="none" w:sz="0" w:space="0"/>
          </w:pgBorders>
          <w:pgNumType w:fmt="numberInDash"/>
          <w:cols w:space="425" w:num="1"/>
          <w:docGrid w:linePitch="312" w:charSpace="0"/>
        </w:sectPr>
      </w:pPr>
      <w:r>
        <w:rPr>
          <w:color w:val="auto"/>
          <w:highlight w:val="none"/>
        </w:rPr>
        <w:t>区域由于长期人为活动干扰，动物区系单一</w:t>
      </w:r>
      <w:r>
        <w:rPr>
          <w:rFonts w:hint="eastAsia"/>
          <w:color w:val="auto"/>
          <w:highlight w:val="none"/>
        </w:rPr>
        <w:t>，</w:t>
      </w:r>
      <w:r>
        <w:rPr>
          <w:color w:val="auto"/>
          <w:highlight w:val="none"/>
        </w:rPr>
        <w:t>无野生动物出没。</w:t>
      </w:r>
    </w:p>
    <w:p>
      <w:pPr>
        <w:pStyle w:val="3"/>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环境影响预测与评价</w:t>
      </w:r>
      <w:bookmarkEnd w:id="126"/>
      <w:bookmarkEnd w:id="127"/>
      <w:bookmarkEnd w:id="128"/>
    </w:p>
    <w:p>
      <w:pPr>
        <w:pStyle w:val="4"/>
        <w:bidi w:val="0"/>
        <w:rPr>
          <w:rFonts w:hint="default"/>
          <w:color w:val="auto"/>
          <w:highlight w:val="none"/>
        </w:rPr>
      </w:pPr>
      <w:bookmarkStart w:id="129" w:name="_Toc20764"/>
      <w:bookmarkStart w:id="130" w:name="_Toc22503"/>
      <w:bookmarkStart w:id="131" w:name="_Toc28345"/>
      <w:r>
        <w:rPr>
          <w:rFonts w:hint="default"/>
          <w:color w:val="auto"/>
          <w:highlight w:val="none"/>
        </w:rPr>
        <w:t>5.1施工期环境影响分析</w:t>
      </w:r>
      <w:bookmarkEnd w:id="129"/>
      <w:bookmarkEnd w:id="130"/>
      <w:bookmarkEnd w:id="131"/>
    </w:p>
    <w:p>
      <w:pPr>
        <w:ind w:firstLine="480"/>
        <w:jc w:val="left"/>
        <w:rPr>
          <w:rFonts w:hint="default" w:ascii="Times New Roman" w:hAnsi="Times New Roman" w:cs="Times New Roman"/>
          <w:color w:val="auto"/>
          <w:highlight w:val="none"/>
        </w:rPr>
      </w:pPr>
      <w:r>
        <w:rPr>
          <w:rFonts w:hint="eastAsia" w:cs="Times New Roman"/>
          <w:color w:val="auto"/>
          <w:highlight w:val="none"/>
          <w:lang w:eastAsia="zh-CN"/>
        </w:rPr>
        <w:t>本项目</w:t>
      </w:r>
      <w:r>
        <w:rPr>
          <w:rFonts w:hint="default" w:ascii="Times New Roman" w:hAnsi="Times New Roman" w:cs="Times New Roman"/>
          <w:color w:val="auto"/>
          <w:highlight w:val="none"/>
        </w:rPr>
        <w:t>施工期间将不可避免的对附近水环境、大气环境、声</w:t>
      </w:r>
      <w:r>
        <w:rPr>
          <w:rFonts w:hint="eastAsia" w:cs="Times New Roman"/>
          <w:color w:val="auto"/>
          <w:highlight w:val="none"/>
          <w:lang w:eastAsia="zh-CN"/>
        </w:rPr>
        <w:t>环境</w:t>
      </w:r>
      <w:r>
        <w:rPr>
          <w:rFonts w:hint="default" w:ascii="Times New Roman" w:hAnsi="Times New Roman" w:cs="Times New Roman"/>
          <w:color w:val="auto"/>
          <w:highlight w:val="none"/>
        </w:rPr>
        <w:t>等造成一定的影响。评价要求施工期施工单位尽可能减少在施工过程中对企业单位影响，具体表现为：建筑机械和运输车辆产生的噪声和扬尘污染，施工过程及建材处理和使用过程产生的废水及固体废物所导致对周围环境的不良影响，如建筑垃圾、淤泥污染道路等。上述现象若不妥善处理，其施工阶段将对周围环境产生一定影响。本评价从环境空气、污水、施工噪声、建筑固废及水土流失等方面，对项目在建设阶段对环境的影响做出必要的分析，并为环保措施的制定提供依据。要提倡文明施工，及时协调解决施工过程中对环境影响的问题。</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施工期环境空气影响分析</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（1）施工扬尘影响分析</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在施工过程中，粉尘污染主要来源于：①土方开挖、堆放、清运、土方回填和场地平整等过程产生的粉尘；②建筑材料如水泥、白灰、砂子等在其装卸、运输、堆放过程中，因风力作用将产生扬尘污染；③搅拌车辆和运输车辆往来将造成地面扬尘；④各类施工机械和运输车辆所排放的废气。</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对整个施工期而言，施工产生的扬尘主要集中在土建施工阶段。施工扬尘包括土方施工扬尘、风力起尘以及动力起尘。其中风力起尘主要是由于露天堆放的建材（如黄沙、水泥等）及裸露的施工区表层浮尘因天气干燥及大风而产生；而动力起尘，主要是在建材的装卸、搅拌过程中，由于外力而产生的尘粒再悬浮而造成，其中施工及装卸车辆造成的扬尘最为严重。据有关文献资料介绍，车辆行驶产生的扬尘占总扬尘的60%上。</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根据类比调查，一辆载重5t的卡车，通过一段长度为500m的路面时，不同表面清洁程度，不同行驶速度情况下产生的扬尘量如</w:t>
      </w:r>
      <w:r>
        <w:rPr>
          <w:rFonts w:hint="eastAsia" w:cs="Times New Roman"/>
          <w:color w:val="auto"/>
          <w:highlight w:val="none"/>
          <w:lang w:val="en-US" w:eastAsia="zh-CN"/>
        </w:rPr>
        <w:t>下</w:t>
      </w:r>
      <w:r>
        <w:rPr>
          <w:rFonts w:hint="default" w:ascii="Times New Roman" w:hAnsi="Times New Roman" w:cs="Times New Roman"/>
          <w:color w:val="auto"/>
          <w:highlight w:val="none"/>
        </w:rPr>
        <w:t>表所示。</w:t>
      </w:r>
    </w:p>
    <w:p>
      <w:pPr>
        <w:ind w:firstLine="480"/>
        <w:jc w:val="center"/>
        <w:rPr>
          <w:rFonts w:hint="default" w:ascii="Times New Roman" w:hAnsi="Times New Roman" w:cs="Times New Roman"/>
          <w:b/>
          <w:bCs/>
          <w:color w:val="auto"/>
          <w:sz w:val="21"/>
          <w:szCs w:val="21"/>
          <w:highlight w:val="none"/>
        </w:rPr>
      </w:pPr>
      <w:r>
        <w:rPr>
          <w:rFonts w:hint="default" w:ascii="Times New Roman" w:hAnsi="Times New Roman" w:eastAsia="黑体" w:cs="Times New Roman"/>
          <w:color w:val="auto"/>
          <w:highlight w:val="none"/>
        </w:rPr>
        <w:t>表5.1-1不同车速和地面清洁程度的汽车扬尘单位：kg/km·辆</w:t>
      </w:r>
    </w:p>
    <w:tbl>
      <w:tblPr>
        <w:tblStyle w:val="33"/>
        <w:tblW w:w="9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3"/>
        <w:gridCol w:w="1150"/>
        <w:gridCol w:w="1150"/>
        <w:gridCol w:w="1150"/>
        <w:gridCol w:w="1150"/>
        <w:gridCol w:w="1149"/>
        <w:gridCol w:w="1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3" w:type="dxa"/>
            <w:tcBorders>
              <w:tl2br w:val="nil"/>
              <w:tr2bl w:val="nil"/>
            </w:tcBorders>
            <w:vAlign w:val="center"/>
          </w:tcPr>
          <w:p>
            <w:pPr>
              <w:spacing w:line="32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highlight w:val="none"/>
              </w:rPr>
              <mc:AlternateContent>
                <mc:Choice Requires="wps">
                  <w:drawing>
                    <wp:anchor distT="0" distB="0" distL="114300" distR="114300" simplePos="0" relativeHeight="251660288" behindDoc="0" locked="0" layoutInCell="1" allowOverlap="1">
                      <wp:simplePos x="0" y="0"/>
                      <wp:positionH relativeFrom="column">
                        <wp:posOffset>-78105</wp:posOffset>
                      </wp:positionH>
                      <wp:positionV relativeFrom="paragraph">
                        <wp:posOffset>1270</wp:posOffset>
                      </wp:positionV>
                      <wp:extent cx="1357630" cy="398145"/>
                      <wp:effectExtent l="1270" t="4445" r="12700" b="16510"/>
                      <wp:wrapNone/>
                      <wp:docPr id="2612" name="直接连接符 2612"/>
                      <wp:cNvGraphicFramePr/>
                      <a:graphic xmlns:a="http://schemas.openxmlformats.org/drawingml/2006/main">
                        <a:graphicData uri="http://schemas.microsoft.com/office/word/2010/wordprocessingShape">
                          <wps:wsp>
                            <wps:cNvCnPr/>
                            <wps:spPr>
                              <a:xfrm flipH="1" flipV="1">
                                <a:off x="0" y="0"/>
                                <a:ext cx="1357630" cy="398145"/>
                              </a:xfrm>
                              <a:prstGeom prst="line">
                                <a:avLst/>
                              </a:prstGeom>
                              <a:ln w="6350"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x y;margin-left:-6.15pt;margin-top:0.1pt;height:31.35pt;width:106.9pt;z-index:251660288;mso-width-relative:page;mso-height-relative:page;" filled="f" stroked="t" coordsize="21600,21600" o:gfxdata="UEsDBAoAAAAAAIdO4kAAAAAAAAAAAAAAAAAEAAAAZHJzL1BLAwQUAAAACACHTuJArkF6RNUAAAAH&#10;AQAADwAAAGRycy9kb3ducmV2LnhtbE2OwU7DMBBE70j8g7VI3Fo7Ri0QsumhgJA4QEn5ADd24wh7&#10;HcVuGv4ec4LjaEZvXrWZvWOTGWMfCKFYCmCG2qB76hA+98+LO2AxKdLKBTII3ybCpr68qFSpw5k+&#10;zNSkjmUIxVIh2JSGkvPYWuNVXIbBUO6OYfQq5Th2XI/qnOHecSnEmnvVU36wajBba9qv5uQR3qbj&#10;496+891LdK+3bkXbp3nXIF5fFeIBWDJz+hvDr35Whzo7HcKJdGQOYVHImzxFkMByLUWxAnZAWMt7&#10;4HXF//vXP1BLAwQUAAAACACHTuJADaV2AgUCAAAFBAAADgAAAGRycy9lMm9Eb2MueG1srVNLjhMx&#10;EN0jcQfLe9L5kDC00pnFhIEFgkh89o4/aUv+yeVJJ5fgAkjsYDVL9tyG4RiU3U00DJss6EWr7Kp6&#10;rvf8vLw8WEP2MoL2rqGT0ZgS6bgX2u0a+uH99ZMLSiAxJ5jxTjb0KIFerh4/WnahllPfeiNkJAji&#10;oO5CQ9uUQl1VwFtpGYx8kA6TykfLEi7jrhKRdYhuTTUdjxdV56MI0XMJgLvrPkkHxHgOoFdKc7n2&#10;/MZKl3rUKA1LSAlaHYCuyrRKSZ7eKgUyEdNQZJrKHw/BeJv/1WrJ6l1kodV8GIGdM8IDTpZph4ee&#10;oNYsMXIT9T9QVvPowas04t5WPZGiCLKYjB9o865lQRYuKDWEk+jw/2D5m/0mEi0aOl1MppQ4ZvHO&#10;7z5///np668fX/B/d/uNlBxK1QWosePKbeKwgrCJmfdBRUuU0eEVeoqW6GOOcg5ZkkOR/HiSXB4S&#10;4bg5mc2fLWZ4Gxxzs+cXk6fzfCdVj5i7Q4T0UnpLctBQo12WhNVs/xpSX/qnJG8bR7qGLmbzjMnQ&#10;nwp9gaENyBHcrvSCN1pca2NyB8Td9spEsmfZI+UbRvirLB+yZtD2dSXVu6eVTLxwgqRjQOkcPhqa&#10;R7BSUGIkvrEc4aCsTkybcyqRvXG5QRYHDzyz+L3cOdp6cSy3UOUVuqOINjg52+/+GuP7r3f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5BekTVAAAABwEAAA8AAAAAAAAAAQAgAAAAIgAAAGRycy9k&#10;b3ducmV2LnhtbFBLAQIUABQAAAAIAIdO4kANpXYCBQIAAAUEAAAOAAAAAAAAAAEAIAAAACQBAABk&#10;cnMvZTJvRG9jLnhtbFBLBQYAAAAABgAGAFkBAACbBQAAAAA=&#10;">
                      <v:fill on="f" focussize="0,0"/>
                      <v:stroke weight="0.5pt" color="#000000" joinstyle="round"/>
                      <v:imagedata o:title=""/>
                      <o:lock v:ext="edit" aspectratio="f"/>
                    </v:line>
                  </w:pict>
                </mc:Fallback>
              </mc:AlternateContent>
            </w:r>
            <w:r>
              <w:rPr>
                <w:rFonts w:hint="default" w:ascii="Times New Roman" w:hAnsi="Times New Roman" w:cs="Times New Roman"/>
                <w:b/>
                <w:bCs/>
                <w:color w:val="auto"/>
                <w:sz w:val="21"/>
                <w:szCs w:val="21"/>
                <w:highlight w:val="none"/>
              </w:rPr>
              <w:t>P(kg/m</w:t>
            </w:r>
            <w:r>
              <w:rPr>
                <w:rFonts w:hint="default" w:ascii="Times New Roman" w:hAnsi="Times New Roman" w:cs="Times New Roman"/>
                <w:b/>
                <w:bCs/>
                <w:color w:val="auto"/>
                <w:sz w:val="21"/>
                <w:szCs w:val="21"/>
                <w:highlight w:val="none"/>
                <w:vertAlign w:val="superscript"/>
              </w:rPr>
              <w:t>2</w:t>
            </w:r>
            <w:r>
              <w:rPr>
                <w:rFonts w:hint="default" w:ascii="Times New Roman" w:hAnsi="Times New Roman" w:cs="Times New Roman"/>
                <w:b/>
                <w:bCs/>
                <w:color w:val="auto"/>
                <w:sz w:val="21"/>
                <w:szCs w:val="21"/>
                <w:highlight w:val="none"/>
              </w:rPr>
              <w:t>)</w:t>
            </w:r>
          </w:p>
          <w:p>
            <w:pPr>
              <w:spacing w:line="320" w:lineRule="exact"/>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车速（km/h）</w:t>
            </w:r>
          </w:p>
        </w:tc>
        <w:tc>
          <w:tcPr>
            <w:tcW w:w="1150" w:type="dxa"/>
            <w:tcBorders>
              <w:tl2br w:val="nil"/>
              <w:tr2bl w:val="nil"/>
            </w:tcBorders>
            <w:vAlign w:val="center"/>
          </w:tcPr>
          <w:p>
            <w:pPr>
              <w:spacing w:line="32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0.1</w:t>
            </w:r>
          </w:p>
        </w:tc>
        <w:tc>
          <w:tcPr>
            <w:tcW w:w="1150" w:type="dxa"/>
            <w:tcBorders>
              <w:tl2br w:val="nil"/>
              <w:tr2bl w:val="nil"/>
            </w:tcBorders>
            <w:vAlign w:val="center"/>
          </w:tcPr>
          <w:p>
            <w:pPr>
              <w:spacing w:line="32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0.2</w:t>
            </w:r>
          </w:p>
        </w:tc>
        <w:tc>
          <w:tcPr>
            <w:tcW w:w="1150" w:type="dxa"/>
            <w:tcBorders>
              <w:tl2br w:val="nil"/>
              <w:tr2bl w:val="nil"/>
            </w:tcBorders>
            <w:vAlign w:val="center"/>
          </w:tcPr>
          <w:p>
            <w:pPr>
              <w:spacing w:line="32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0.3</w:t>
            </w:r>
          </w:p>
        </w:tc>
        <w:tc>
          <w:tcPr>
            <w:tcW w:w="1150" w:type="dxa"/>
            <w:tcBorders>
              <w:tl2br w:val="nil"/>
              <w:tr2bl w:val="nil"/>
            </w:tcBorders>
            <w:vAlign w:val="center"/>
          </w:tcPr>
          <w:p>
            <w:pPr>
              <w:spacing w:line="32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0.4</w:t>
            </w:r>
          </w:p>
        </w:tc>
        <w:tc>
          <w:tcPr>
            <w:tcW w:w="1149" w:type="dxa"/>
            <w:tcBorders>
              <w:tl2br w:val="nil"/>
              <w:tr2bl w:val="nil"/>
            </w:tcBorders>
            <w:vAlign w:val="center"/>
          </w:tcPr>
          <w:p>
            <w:pPr>
              <w:spacing w:line="32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0.5</w:t>
            </w:r>
          </w:p>
        </w:tc>
        <w:tc>
          <w:tcPr>
            <w:tcW w:w="1149" w:type="dxa"/>
            <w:tcBorders>
              <w:tl2br w:val="nil"/>
              <w:tr2bl w:val="nil"/>
            </w:tcBorders>
            <w:vAlign w:val="center"/>
          </w:tcPr>
          <w:p>
            <w:pPr>
              <w:spacing w:line="32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3"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150"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0.0102</w:t>
            </w:r>
          </w:p>
        </w:tc>
        <w:tc>
          <w:tcPr>
            <w:tcW w:w="1150"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0.0171</w:t>
            </w:r>
          </w:p>
        </w:tc>
        <w:tc>
          <w:tcPr>
            <w:tcW w:w="1150"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0.0232</w:t>
            </w:r>
          </w:p>
        </w:tc>
        <w:tc>
          <w:tcPr>
            <w:tcW w:w="1150"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0.0288</w:t>
            </w:r>
          </w:p>
        </w:tc>
        <w:tc>
          <w:tcPr>
            <w:tcW w:w="1149"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0.0341</w:t>
            </w:r>
          </w:p>
        </w:tc>
        <w:tc>
          <w:tcPr>
            <w:tcW w:w="1149"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0.0573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3"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1150"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0.0204</w:t>
            </w:r>
          </w:p>
        </w:tc>
        <w:tc>
          <w:tcPr>
            <w:tcW w:w="1150"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0.0343</w:t>
            </w:r>
          </w:p>
        </w:tc>
        <w:tc>
          <w:tcPr>
            <w:tcW w:w="1150"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0.0465</w:t>
            </w:r>
          </w:p>
        </w:tc>
        <w:tc>
          <w:tcPr>
            <w:tcW w:w="1150"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0.0577</w:t>
            </w:r>
          </w:p>
        </w:tc>
        <w:tc>
          <w:tcPr>
            <w:tcW w:w="1149"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0.0682</w:t>
            </w:r>
          </w:p>
        </w:tc>
        <w:tc>
          <w:tcPr>
            <w:tcW w:w="1149"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0.1147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3"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1150"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0.0306</w:t>
            </w:r>
          </w:p>
        </w:tc>
        <w:tc>
          <w:tcPr>
            <w:tcW w:w="1150"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0.0514</w:t>
            </w:r>
          </w:p>
        </w:tc>
        <w:tc>
          <w:tcPr>
            <w:tcW w:w="1150"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0.0697</w:t>
            </w:r>
          </w:p>
        </w:tc>
        <w:tc>
          <w:tcPr>
            <w:tcW w:w="1150"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0.0865</w:t>
            </w:r>
          </w:p>
        </w:tc>
        <w:tc>
          <w:tcPr>
            <w:tcW w:w="1149"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0.1023</w:t>
            </w:r>
          </w:p>
        </w:tc>
        <w:tc>
          <w:tcPr>
            <w:tcW w:w="1149"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0.1720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3"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c>
          <w:tcPr>
            <w:tcW w:w="1150"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0.0408</w:t>
            </w:r>
          </w:p>
        </w:tc>
        <w:tc>
          <w:tcPr>
            <w:tcW w:w="1150"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0.0686</w:t>
            </w:r>
          </w:p>
        </w:tc>
        <w:tc>
          <w:tcPr>
            <w:tcW w:w="1150"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0.0930</w:t>
            </w:r>
          </w:p>
        </w:tc>
        <w:tc>
          <w:tcPr>
            <w:tcW w:w="1150"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0.1154</w:t>
            </w:r>
          </w:p>
        </w:tc>
        <w:tc>
          <w:tcPr>
            <w:tcW w:w="1149"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0.1364</w:t>
            </w:r>
          </w:p>
        </w:tc>
        <w:tc>
          <w:tcPr>
            <w:tcW w:w="1149"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0.2294</w:t>
            </w:r>
          </w:p>
        </w:tc>
      </w:tr>
    </w:tbl>
    <w:p>
      <w:pPr>
        <w:spacing w:before="120" w:beforeLines="5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表5.1-1可知，不同路面清洁程度，不同行驶速度情况下的扬尘量不同。在同样清洁程度条件下，车速越快，扬尘量也大；而在同样车速情况下，路面越脏，则扬尘量越大，因此限速行驶及保持路面清洁是减少汽车扬尘的有效手段。</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扬尘的另一个主要原因是露天堆场和裸露场地的风力扬尘。由于施工的需要，一些建材需露天堆放；一些施工点表层土壤需人工开挖、堆放，在气候干燥又有风的情况下，会产生扬尘。露天堆场的扬尘量与堆放物料的粒径及含水率有关，因此，减少露天堆放和保证一定的含水率及减少裸露地面时减少风力起尘的有效手段。</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尘粒在空气中的传播扩散情况与风速等气象条件有关，也与尘粒本身的沉降速度有关。当粒径为250μm时，沉降速度为1.005m/s，因此可以认为当尘粒大于250μm时，主要影响范围在扬尘点下风向近距离范围内，而真正对外环境产生影响的是一些微小尘粒。据调查，在没有风力的作用下，粒径小于0.015mm的颗粒物能够飞扬，当风速为3～5m/s时，粒径为0.015～0.030mm的颗粒物会被风吹扬。据类似项目施工现场监测结果，离施工现场50m处，TSP日均浓度为1.13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，超标2.77倍，离现场200m处为0.47mg/m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，超标0.56倍。建议施工单位采取有效措施减少施工过程扬尘对周围环境的影响。</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为减少项目施工扬尘对周边环境的污染和影响。其主要对策有：</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①对施工现场进行科学管理，砂石料应统一堆放，水泥应设专门库房堆放，尽量减少搬运环节，搬运时轻举轻放，防止包装袋破裂。</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②开挖时，对作业面适当喷水，使其保持一定的湿度，以减少扬尘量。而且，开挖的泥土和拆迁的建筑材料和建筑垃圾应及时运走。</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③谨防运输车辆装载过满，并采取遮盖、密闭措施，减少其沿途抛洒，并及时清扫散落在路面的泥土和灰尘，冲洗轮胎，定时洒水压尘，减少运输过程中的扬尘。</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④使用商品混凝土。</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⑤施工现场要围栏或部分围栏，减少施工扬尘扩散范围。</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⑥风速过大时应停止施工作业，并对堆放的砂石等建筑材料进行遮盖处理。</w:t>
      </w:r>
    </w:p>
    <w:p>
      <w:pPr>
        <w:pStyle w:val="16"/>
        <w:spacing w:line="360" w:lineRule="auto"/>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⑦采用围栏封闭式施工。</w:t>
      </w:r>
    </w:p>
    <w:p>
      <w:pPr>
        <w:ind w:firstLine="480"/>
        <w:rPr>
          <w:rFonts w:hint="default" w:ascii="Times New Roman" w:hAnsi="Times New Roman" w:cs="Times New Roman"/>
          <w:color w:val="auto"/>
          <w:sz w:val="28"/>
          <w:highlight w:val="none"/>
        </w:rPr>
      </w:pPr>
      <w:r>
        <w:rPr>
          <w:rFonts w:hint="default" w:ascii="Times New Roman" w:hAnsi="Times New Roman" w:cs="Times New Roman"/>
          <w:color w:val="auto"/>
          <w:highlight w:val="none"/>
        </w:rPr>
        <w:t>（2）施工车辆及机械尾气影响分析</w:t>
      </w:r>
    </w:p>
    <w:p>
      <w:pPr>
        <w:ind w:firstLine="48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运输汽车、施工车辆、打桩机、挖土机等因燃油会产生一氧化碳、二氧化氮、总烃等污染物，会对大气造成不良影响，但这种污染源较分散且为流动性，污染物排放量不大，表现为局部和间歇性，对周围环境影响较小。</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施工期水环境影响分析</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（1）施工废水对水环境的影响</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一般施工期的废水主要是施工过程中少量混凝土拌和产生的水泥浆水，此类废水颗粒物浓度较高，会造成水体SS浓度增高。但本项目主要使用商品混凝土，水泥浆废水产生量较少。</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施工现场使用的挖掘机、推土机、载重汽车等施工机械和设备在清洗维修过程中也会产生一定量的废水，其主要污染物为石油类和悬浮物，如不加处理直接排放将会对附近水体水质产生影响。</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由于施工废水中主要污染物为SS和石油类，可在施工场地修建临时隔油池和沉砂池，对施工废水进行处理后达标排放或回用。施工废水经过处理后对水环境影响不大。</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（2）施工人员生活污水对水环境影响</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项目施工人员为附近居民，施工期间在自家食宿，不设施工营地，施工期工人生活污水依托</w:t>
      </w:r>
      <w:r>
        <w:rPr>
          <w:rFonts w:hint="eastAsia" w:cs="Times New Roman"/>
          <w:color w:val="auto"/>
          <w:highlight w:val="none"/>
          <w:lang w:val="en-US" w:eastAsia="zh-CN"/>
        </w:rPr>
        <w:t>污水处理厂</w:t>
      </w:r>
      <w:r>
        <w:rPr>
          <w:rFonts w:hint="default" w:ascii="Times New Roman" w:hAnsi="Times New Roman" w:cs="Times New Roman"/>
          <w:color w:val="auto"/>
          <w:highlight w:val="none"/>
        </w:rPr>
        <w:t>生活污水排放系统排放，对水环境影响不大。</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施工期噪声影响分析</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施工期的噪声主要可分为机械噪声、施工作业噪声和施工车辆噪声。</w:t>
      </w:r>
      <w:r>
        <w:rPr>
          <w:rFonts w:hint="default" w:ascii="Times New Roman" w:hAnsi="Times New Roman" w:cs="Times New Roman"/>
          <w:color w:val="auto"/>
          <w:kern w:val="0"/>
          <w:highlight w:val="none"/>
        </w:rPr>
        <w:t>施工期主要工程项目有地基平整、压实、边沟开挖、房屋和调节池的建设等。这些工程使用的机械主要有铲平机、压路机、搅拌机、</w:t>
      </w:r>
      <w:r>
        <w:rPr>
          <w:rFonts w:hint="default" w:ascii="Times New Roman" w:hAnsi="Times New Roman" w:cs="Times New Roman"/>
          <w:color w:val="auto"/>
          <w:highlight w:val="none"/>
        </w:rPr>
        <w:t>装载机、夯土机等</w:t>
      </w:r>
      <w:r>
        <w:rPr>
          <w:rFonts w:hint="default" w:ascii="Times New Roman" w:hAnsi="Times New Roman" w:cs="Times New Roman"/>
          <w:color w:val="auto"/>
          <w:kern w:val="0"/>
          <w:highlight w:val="none"/>
        </w:rPr>
        <w:t>。</w:t>
      </w:r>
      <w:r>
        <w:rPr>
          <w:rFonts w:hint="default" w:ascii="Times New Roman" w:hAnsi="Times New Roman" w:cs="Times New Roman"/>
          <w:color w:val="auto"/>
          <w:highlight w:val="none"/>
        </w:rPr>
        <w:t>这些施工机械的噪声级范围一般在89～115dB（A）之间，在所有施工设备中，打桩机的噪声声级最高，噪声频率在500赫兹左右。</w:t>
      </w:r>
      <w:r>
        <w:rPr>
          <w:rFonts w:hint="default" w:ascii="Times New Roman" w:hAnsi="Times New Roman" w:cs="Times New Roman"/>
          <w:color w:val="auto"/>
          <w:kern w:val="0"/>
          <w:highlight w:val="none"/>
        </w:rPr>
        <w:t>这些机械在施工过程中，产生的噪声可能对作业人员和周围环境造成一定的影响。</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噪声从噪声源传播到受声点，会因传播距离、空气和水体吸收，树木和房屋等阻挡物的屏障影响而产生衰减。依据噪声源的特性，采用点源噪声距离衰减公式预测施工噪声的影响。点源噪声距离衰减公式一般形式为：</w:t>
      </w:r>
    </w:p>
    <w:p>
      <w:pPr>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drawing>
          <wp:inline distT="0" distB="0" distL="114300" distR="114300">
            <wp:extent cx="1666875" cy="419100"/>
            <wp:effectExtent l="0" t="0" r="0" b="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35" cstate="print"/>
                    <a:stretch>
                      <a:fillRect/>
                    </a:stretch>
                  </pic:blipFill>
                  <pic:spPr>
                    <a:xfrm>
                      <a:off x="0" y="0"/>
                      <a:ext cx="1666875" cy="419100"/>
                    </a:xfrm>
                    <a:prstGeom prst="rect">
                      <a:avLst/>
                    </a:prstGeom>
                    <a:noFill/>
                    <a:ln>
                      <a:noFill/>
                    </a:ln>
                  </pic:spPr>
                </pic:pic>
              </a:graphicData>
            </a:graphic>
          </wp:inline>
        </w:drawing>
      </w:r>
    </w:p>
    <w:p>
      <w:pPr>
        <w:ind w:firstLine="528" w:firstLineChars="232"/>
        <w:rPr>
          <w:rFonts w:hint="default" w:ascii="Times New Roman" w:hAnsi="Times New Roman" w:cs="Times New Roman"/>
          <w:color w:val="auto"/>
          <w:spacing w:val="-6"/>
          <w:sz w:val="24"/>
          <w:highlight w:val="none"/>
        </w:rPr>
      </w:pPr>
      <w:r>
        <w:rPr>
          <w:rFonts w:hint="default" w:ascii="Times New Roman" w:hAnsi="Times New Roman" w:cs="Times New Roman"/>
          <w:color w:val="auto"/>
          <w:spacing w:val="-6"/>
          <w:sz w:val="24"/>
          <w:highlight w:val="none"/>
        </w:rPr>
        <w:t>式中：L</w:t>
      </w:r>
      <w:r>
        <w:rPr>
          <w:rFonts w:hint="default" w:ascii="Times New Roman" w:hAnsi="Times New Roman" w:cs="Times New Roman"/>
          <w:color w:val="auto"/>
          <w:spacing w:val="-6"/>
          <w:sz w:val="24"/>
          <w:highlight w:val="none"/>
          <w:vertAlign w:val="subscript"/>
        </w:rPr>
        <w:t>1</w:t>
      </w:r>
      <w:r>
        <w:rPr>
          <w:rFonts w:hint="default" w:ascii="Times New Roman" w:hAnsi="Times New Roman" w:cs="Times New Roman"/>
          <w:color w:val="auto"/>
          <w:spacing w:val="-6"/>
          <w:sz w:val="24"/>
          <w:highlight w:val="none"/>
        </w:rPr>
        <w:t>、L</w:t>
      </w:r>
      <w:r>
        <w:rPr>
          <w:rFonts w:hint="default" w:ascii="Times New Roman" w:hAnsi="Times New Roman" w:cs="Times New Roman"/>
          <w:color w:val="auto"/>
          <w:spacing w:val="-6"/>
          <w:sz w:val="24"/>
          <w:highlight w:val="none"/>
          <w:vertAlign w:val="subscript"/>
        </w:rPr>
        <w:t>2</w:t>
      </w:r>
      <w:r>
        <w:rPr>
          <w:rFonts w:hint="default" w:ascii="Times New Roman" w:hAnsi="Times New Roman" w:cs="Times New Roman"/>
          <w:color w:val="auto"/>
          <w:spacing w:val="-6"/>
          <w:sz w:val="24"/>
          <w:highlight w:val="none"/>
        </w:rPr>
        <w:t>——距离声源r</w:t>
      </w:r>
      <w:r>
        <w:rPr>
          <w:rFonts w:hint="default" w:ascii="Times New Roman" w:hAnsi="Times New Roman" w:cs="Times New Roman"/>
          <w:color w:val="auto"/>
          <w:spacing w:val="-6"/>
          <w:sz w:val="24"/>
          <w:highlight w:val="none"/>
          <w:vertAlign w:val="subscript"/>
        </w:rPr>
        <w:t>1</w:t>
      </w:r>
      <w:r>
        <w:rPr>
          <w:rFonts w:hint="default" w:ascii="Times New Roman" w:hAnsi="Times New Roman" w:cs="Times New Roman"/>
          <w:color w:val="auto"/>
          <w:spacing w:val="-6"/>
          <w:sz w:val="24"/>
          <w:highlight w:val="none"/>
        </w:rPr>
        <w:t>、r</w:t>
      </w:r>
      <w:r>
        <w:rPr>
          <w:rFonts w:hint="default" w:ascii="Times New Roman" w:hAnsi="Times New Roman" w:cs="Times New Roman"/>
          <w:color w:val="auto"/>
          <w:spacing w:val="-6"/>
          <w:sz w:val="24"/>
          <w:highlight w:val="none"/>
          <w:vertAlign w:val="subscript"/>
        </w:rPr>
        <w:t>2</w:t>
      </w:r>
      <w:r>
        <w:rPr>
          <w:rFonts w:hint="default" w:ascii="Times New Roman" w:hAnsi="Times New Roman" w:cs="Times New Roman"/>
          <w:color w:val="auto"/>
          <w:spacing w:val="-6"/>
          <w:sz w:val="24"/>
          <w:highlight w:val="none"/>
        </w:rPr>
        <w:t>处的噪声值，dB（A）；r</w:t>
      </w:r>
      <w:r>
        <w:rPr>
          <w:rFonts w:hint="default" w:ascii="Times New Roman" w:hAnsi="Times New Roman" w:cs="Times New Roman"/>
          <w:color w:val="auto"/>
          <w:spacing w:val="-6"/>
          <w:sz w:val="24"/>
          <w:highlight w:val="none"/>
          <w:vertAlign w:val="subscript"/>
        </w:rPr>
        <w:t>1</w:t>
      </w:r>
      <w:r>
        <w:rPr>
          <w:rFonts w:hint="default" w:ascii="Times New Roman" w:hAnsi="Times New Roman" w:cs="Times New Roman"/>
          <w:color w:val="auto"/>
          <w:spacing w:val="-6"/>
          <w:sz w:val="24"/>
          <w:highlight w:val="none"/>
        </w:rPr>
        <w:t>、r</w:t>
      </w:r>
      <w:r>
        <w:rPr>
          <w:rFonts w:hint="default" w:ascii="Times New Roman" w:hAnsi="Times New Roman" w:cs="Times New Roman"/>
          <w:color w:val="auto"/>
          <w:spacing w:val="-6"/>
          <w:sz w:val="24"/>
          <w:highlight w:val="none"/>
          <w:vertAlign w:val="subscript"/>
        </w:rPr>
        <w:t>2</w:t>
      </w:r>
      <w:r>
        <w:rPr>
          <w:rFonts w:hint="default" w:ascii="Times New Roman" w:hAnsi="Times New Roman" w:cs="Times New Roman"/>
          <w:color w:val="auto"/>
          <w:spacing w:val="-6"/>
          <w:sz w:val="24"/>
          <w:highlight w:val="none"/>
        </w:rPr>
        <w:t>——距噪声源的距离，m；ΔL——山体、房屋、树木和空气等对噪声衰减值，一般为8~25dB（A）。</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评价标准：施工期声环境评价标准采用《建筑施工场界环境噪声排放标准》（GB12523-2011），见下表。</w:t>
      </w:r>
    </w:p>
    <w:p>
      <w:pPr>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eastAsia="黑体" w:cs="Times New Roman"/>
          <w:color w:val="auto"/>
          <w:highlight w:val="none"/>
        </w:rPr>
        <w:t>表5.1-2建筑施工场界噪声限值dB(A)</w:t>
      </w:r>
    </w:p>
    <w:tbl>
      <w:tblPr>
        <w:tblStyle w:val="33"/>
        <w:tblW w:w="8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6"/>
        <w:gridCol w:w="4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35" w:type="dxa"/>
            <w:gridSpan w:val="2"/>
            <w:tcBorders>
              <w:tl2br w:val="nil"/>
              <w:tr2bl w:val="nil"/>
            </w:tcBorders>
            <w:vAlign w:val="center"/>
          </w:tcPr>
          <w:p>
            <w:pPr>
              <w:spacing w:line="320" w:lineRule="exact"/>
              <w:ind w:firstLine="0" w:firstLineChars="0"/>
              <w:jc w:val="center"/>
              <w:rPr>
                <w:rFonts w:hint="default" w:ascii="Times New Roman" w:hAnsi="Times New Roman" w:cs="Times New Roman"/>
                <w:bCs/>
                <w:color w:val="auto"/>
                <w:sz w:val="22"/>
                <w:szCs w:val="22"/>
                <w:highlight w:val="none"/>
              </w:rPr>
            </w:pPr>
            <w:r>
              <w:rPr>
                <w:rFonts w:hint="default" w:ascii="Times New Roman" w:hAnsi="Times New Roman" w:cs="Times New Roman"/>
                <w:b/>
                <w:color w:val="auto"/>
                <w:sz w:val="22"/>
                <w:szCs w:val="22"/>
                <w:highlight w:val="none"/>
              </w:rPr>
              <w:t>噪声限值dB(A)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36" w:type="dxa"/>
            <w:tcBorders>
              <w:tl2br w:val="nil"/>
              <w:tr2bl w:val="nil"/>
            </w:tcBorders>
            <w:vAlign w:val="center"/>
          </w:tcPr>
          <w:p>
            <w:pPr>
              <w:spacing w:line="320" w:lineRule="exact"/>
              <w:ind w:firstLine="0" w:firstLineChars="0"/>
              <w:jc w:val="center"/>
              <w:rPr>
                <w:rFonts w:hint="default" w:ascii="Times New Roman" w:hAnsi="Times New Roman" w:cs="Times New Roman"/>
                <w:bCs/>
                <w:color w:val="auto"/>
                <w:sz w:val="22"/>
                <w:szCs w:val="22"/>
                <w:highlight w:val="none"/>
              </w:rPr>
            </w:pPr>
            <w:r>
              <w:rPr>
                <w:rFonts w:hint="default" w:ascii="Times New Roman" w:hAnsi="Times New Roman" w:cs="Times New Roman"/>
                <w:bCs/>
                <w:color w:val="auto"/>
                <w:sz w:val="22"/>
                <w:szCs w:val="22"/>
                <w:highlight w:val="none"/>
              </w:rPr>
              <w:t>昼间</w:t>
            </w:r>
          </w:p>
        </w:tc>
        <w:tc>
          <w:tcPr>
            <w:tcW w:w="4399" w:type="dxa"/>
            <w:tcBorders>
              <w:tl2br w:val="nil"/>
              <w:tr2bl w:val="nil"/>
            </w:tcBorders>
            <w:vAlign w:val="center"/>
          </w:tcPr>
          <w:p>
            <w:pPr>
              <w:spacing w:line="320" w:lineRule="exact"/>
              <w:ind w:firstLine="0" w:firstLineChars="0"/>
              <w:jc w:val="center"/>
              <w:rPr>
                <w:rFonts w:hint="default" w:ascii="Times New Roman" w:hAnsi="Times New Roman" w:cs="Times New Roman"/>
                <w:bCs/>
                <w:color w:val="auto"/>
                <w:sz w:val="22"/>
                <w:szCs w:val="22"/>
                <w:highlight w:val="none"/>
              </w:rPr>
            </w:pPr>
            <w:r>
              <w:rPr>
                <w:rFonts w:hint="default" w:ascii="Times New Roman" w:hAnsi="Times New Roman" w:cs="Times New Roman"/>
                <w:bCs/>
                <w:color w:val="auto"/>
                <w:sz w:val="22"/>
                <w:szCs w:val="22"/>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36"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70</w:t>
            </w:r>
          </w:p>
        </w:tc>
        <w:tc>
          <w:tcPr>
            <w:tcW w:w="4399"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55</w:t>
            </w:r>
          </w:p>
        </w:tc>
      </w:tr>
    </w:tbl>
    <w:p>
      <w:pPr>
        <w:spacing w:before="120" w:beforeLines="5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依据施工机械的噪声源强，结合项目所在区域的环境特征，采用上述公式进行预测。预测结果详见</w:t>
      </w:r>
      <w:r>
        <w:rPr>
          <w:rFonts w:hint="eastAsia" w:cs="Times New Roman"/>
          <w:color w:val="auto"/>
          <w:highlight w:val="none"/>
          <w:lang w:val="en-US" w:eastAsia="zh-CN"/>
        </w:rPr>
        <w:t>下</w:t>
      </w:r>
      <w:r>
        <w:rPr>
          <w:rFonts w:hint="default" w:ascii="Times New Roman" w:hAnsi="Times New Roman" w:cs="Times New Roman"/>
          <w:color w:val="auto"/>
          <w:highlight w:val="none"/>
        </w:rPr>
        <w:t>表。</w:t>
      </w:r>
    </w:p>
    <w:p>
      <w:pPr>
        <w:spacing w:line="240" w:lineRule="auto"/>
        <w:ind w:firstLine="0" w:firstLineChars="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表5.1-3施工机械在不同距离的噪声影响预测结果Leq：dB(A)</w:t>
      </w:r>
    </w:p>
    <w:tbl>
      <w:tblPr>
        <w:tblStyle w:val="33"/>
        <w:tblW w:w="8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1442"/>
        <w:gridCol w:w="1391"/>
        <w:gridCol w:w="1391"/>
        <w:gridCol w:w="1391"/>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vMerge w:val="restart"/>
            <w:tcBorders>
              <w:tl2br w:val="nil"/>
              <w:tr2bl w:val="nil"/>
            </w:tcBorders>
            <w:vAlign w:val="center"/>
          </w:tcPr>
          <w:p>
            <w:pPr>
              <w:spacing w:line="320" w:lineRule="exact"/>
              <w:ind w:firstLine="0" w:firstLineChars="0"/>
              <w:jc w:val="center"/>
              <w:rPr>
                <w:rFonts w:hint="default" w:ascii="Times New Roman" w:hAnsi="Times New Roman" w:cs="Times New Roman"/>
                <w:b/>
                <w:color w:val="auto"/>
                <w:sz w:val="22"/>
                <w:szCs w:val="22"/>
                <w:highlight w:val="none"/>
              </w:rPr>
            </w:pPr>
            <w:r>
              <w:rPr>
                <w:rFonts w:hint="default" w:ascii="Times New Roman" w:hAnsi="Times New Roman" w:cs="Times New Roman"/>
                <w:b/>
                <w:color w:val="auto"/>
                <w:sz w:val="22"/>
                <w:szCs w:val="22"/>
                <w:highlight w:val="none"/>
              </w:rPr>
              <w:t>机械名称</w:t>
            </w:r>
          </w:p>
        </w:tc>
        <w:tc>
          <w:tcPr>
            <w:tcW w:w="1442" w:type="dxa"/>
            <w:vMerge w:val="restart"/>
            <w:tcBorders>
              <w:tl2br w:val="nil"/>
              <w:tr2bl w:val="nil"/>
            </w:tcBorders>
            <w:vAlign w:val="center"/>
          </w:tcPr>
          <w:p>
            <w:pPr>
              <w:spacing w:line="320" w:lineRule="exact"/>
              <w:ind w:firstLine="0" w:firstLineChars="0"/>
              <w:jc w:val="center"/>
              <w:rPr>
                <w:rFonts w:hint="default" w:ascii="Times New Roman" w:hAnsi="Times New Roman" w:cs="Times New Roman"/>
                <w:b/>
                <w:color w:val="auto"/>
                <w:sz w:val="22"/>
                <w:szCs w:val="22"/>
                <w:highlight w:val="none"/>
              </w:rPr>
            </w:pPr>
            <w:r>
              <w:rPr>
                <w:rFonts w:hint="default" w:ascii="Times New Roman" w:hAnsi="Times New Roman" w:cs="Times New Roman"/>
                <w:b/>
                <w:color w:val="auto"/>
                <w:sz w:val="22"/>
                <w:szCs w:val="22"/>
                <w:highlight w:val="none"/>
              </w:rPr>
              <w:t>噪声源强</w:t>
            </w:r>
          </w:p>
        </w:tc>
        <w:tc>
          <w:tcPr>
            <w:tcW w:w="5285" w:type="dxa"/>
            <w:gridSpan w:val="4"/>
            <w:tcBorders>
              <w:tl2br w:val="nil"/>
              <w:tr2bl w:val="nil"/>
            </w:tcBorders>
            <w:vAlign w:val="center"/>
          </w:tcPr>
          <w:p>
            <w:pPr>
              <w:spacing w:line="320" w:lineRule="exact"/>
              <w:ind w:firstLine="0" w:firstLineChars="0"/>
              <w:jc w:val="center"/>
              <w:rPr>
                <w:rFonts w:hint="default" w:ascii="Times New Roman" w:hAnsi="Times New Roman" w:cs="Times New Roman"/>
                <w:b/>
                <w:color w:val="auto"/>
                <w:sz w:val="22"/>
                <w:szCs w:val="22"/>
                <w:highlight w:val="none"/>
              </w:rPr>
            </w:pPr>
            <w:r>
              <w:rPr>
                <w:rFonts w:hint="default" w:ascii="Times New Roman" w:hAnsi="Times New Roman" w:cs="Times New Roman"/>
                <w:b/>
                <w:color w:val="auto"/>
                <w:sz w:val="22"/>
                <w:szCs w:val="22"/>
                <w:highlight w:val="none"/>
              </w:rPr>
              <w:t>与声源不同距离（米）的噪声预测值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vMerge w:val="continue"/>
            <w:tcBorders>
              <w:tl2br w:val="nil"/>
              <w:tr2bl w:val="nil"/>
            </w:tcBorders>
            <w:vAlign w:val="center"/>
          </w:tcPr>
          <w:p>
            <w:pPr>
              <w:widowControl/>
              <w:spacing w:line="320" w:lineRule="exact"/>
              <w:ind w:firstLine="0" w:firstLineChars="0"/>
              <w:jc w:val="center"/>
              <w:rPr>
                <w:rFonts w:hint="default" w:ascii="Times New Roman" w:hAnsi="Times New Roman" w:cs="Times New Roman"/>
                <w:b/>
                <w:color w:val="auto"/>
                <w:sz w:val="22"/>
                <w:szCs w:val="22"/>
                <w:highlight w:val="none"/>
              </w:rPr>
            </w:pPr>
          </w:p>
        </w:tc>
        <w:tc>
          <w:tcPr>
            <w:tcW w:w="1442" w:type="dxa"/>
            <w:vMerge w:val="continue"/>
            <w:tcBorders>
              <w:tl2br w:val="nil"/>
              <w:tr2bl w:val="nil"/>
            </w:tcBorders>
            <w:vAlign w:val="center"/>
          </w:tcPr>
          <w:p>
            <w:pPr>
              <w:widowControl/>
              <w:spacing w:line="320" w:lineRule="exact"/>
              <w:ind w:firstLine="0" w:firstLineChars="0"/>
              <w:jc w:val="center"/>
              <w:rPr>
                <w:rFonts w:hint="default" w:ascii="Times New Roman" w:hAnsi="Times New Roman" w:cs="Times New Roman"/>
                <w:b/>
                <w:color w:val="auto"/>
                <w:sz w:val="22"/>
                <w:szCs w:val="22"/>
                <w:highlight w:val="none"/>
              </w:rPr>
            </w:pPr>
          </w:p>
        </w:tc>
        <w:tc>
          <w:tcPr>
            <w:tcW w:w="1391" w:type="dxa"/>
            <w:tcBorders>
              <w:tl2br w:val="nil"/>
              <w:tr2bl w:val="nil"/>
            </w:tcBorders>
            <w:vAlign w:val="center"/>
          </w:tcPr>
          <w:p>
            <w:pPr>
              <w:spacing w:line="320" w:lineRule="exact"/>
              <w:ind w:firstLine="0" w:firstLineChars="0"/>
              <w:jc w:val="center"/>
              <w:rPr>
                <w:rFonts w:hint="default" w:ascii="Times New Roman" w:hAnsi="Times New Roman" w:cs="Times New Roman"/>
                <w:b/>
                <w:color w:val="auto"/>
                <w:sz w:val="22"/>
                <w:szCs w:val="22"/>
                <w:highlight w:val="none"/>
              </w:rPr>
            </w:pPr>
            <w:r>
              <w:rPr>
                <w:rFonts w:hint="default" w:ascii="Times New Roman" w:hAnsi="Times New Roman" w:cs="Times New Roman"/>
                <w:b/>
                <w:color w:val="auto"/>
                <w:sz w:val="22"/>
                <w:szCs w:val="22"/>
                <w:highlight w:val="none"/>
              </w:rPr>
              <w:t>15</w:t>
            </w:r>
          </w:p>
        </w:tc>
        <w:tc>
          <w:tcPr>
            <w:tcW w:w="1391" w:type="dxa"/>
            <w:tcBorders>
              <w:tl2br w:val="nil"/>
              <w:tr2bl w:val="nil"/>
            </w:tcBorders>
            <w:vAlign w:val="center"/>
          </w:tcPr>
          <w:p>
            <w:pPr>
              <w:spacing w:line="320" w:lineRule="exact"/>
              <w:ind w:firstLine="0" w:firstLineChars="0"/>
              <w:jc w:val="center"/>
              <w:rPr>
                <w:rFonts w:hint="default" w:ascii="Times New Roman" w:hAnsi="Times New Roman" w:cs="Times New Roman"/>
                <w:b/>
                <w:color w:val="auto"/>
                <w:sz w:val="22"/>
                <w:szCs w:val="22"/>
                <w:highlight w:val="none"/>
              </w:rPr>
            </w:pPr>
            <w:r>
              <w:rPr>
                <w:rFonts w:hint="default" w:ascii="Times New Roman" w:hAnsi="Times New Roman" w:cs="Times New Roman"/>
                <w:b/>
                <w:color w:val="auto"/>
                <w:sz w:val="22"/>
                <w:szCs w:val="22"/>
                <w:highlight w:val="none"/>
              </w:rPr>
              <w:t>30</w:t>
            </w:r>
          </w:p>
        </w:tc>
        <w:tc>
          <w:tcPr>
            <w:tcW w:w="1391" w:type="dxa"/>
            <w:tcBorders>
              <w:tl2br w:val="nil"/>
              <w:tr2bl w:val="nil"/>
            </w:tcBorders>
            <w:vAlign w:val="center"/>
          </w:tcPr>
          <w:p>
            <w:pPr>
              <w:spacing w:line="320" w:lineRule="exact"/>
              <w:ind w:firstLine="0" w:firstLineChars="0"/>
              <w:jc w:val="center"/>
              <w:rPr>
                <w:rFonts w:hint="default" w:ascii="Times New Roman" w:hAnsi="Times New Roman" w:cs="Times New Roman"/>
                <w:b/>
                <w:color w:val="auto"/>
                <w:sz w:val="22"/>
                <w:szCs w:val="22"/>
                <w:highlight w:val="none"/>
              </w:rPr>
            </w:pPr>
            <w:r>
              <w:rPr>
                <w:rFonts w:hint="default" w:ascii="Times New Roman" w:hAnsi="Times New Roman" w:cs="Times New Roman"/>
                <w:b/>
                <w:color w:val="auto"/>
                <w:sz w:val="22"/>
                <w:szCs w:val="22"/>
                <w:highlight w:val="none"/>
              </w:rPr>
              <w:t>60</w:t>
            </w:r>
          </w:p>
        </w:tc>
        <w:tc>
          <w:tcPr>
            <w:tcW w:w="1112" w:type="dxa"/>
            <w:tcBorders>
              <w:tl2br w:val="nil"/>
              <w:tr2bl w:val="nil"/>
            </w:tcBorders>
            <w:vAlign w:val="center"/>
          </w:tcPr>
          <w:p>
            <w:pPr>
              <w:spacing w:line="320" w:lineRule="exact"/>
              <w:ind w:firstLine="0" w:firstLineChars="0"/>
              <w:jc w:val="center"/>
              <w:rPr>
                <w:rFonts w:hint="default" w:ascii="Times New Roman" w:hAnsi="Times New Roman" w:cs="Times New Roman"/>
                <w:b/>
                <w:color w:val="auto"/>
                <w:sz w:val="22"/>
                <w:szCs w:val="22"/>
                <w:highlight w:val="none"/>
              </w:rPr>
            </w:pPr>
            <w:r>
              <w:rPr>
                <w:rFonts w:hint="default" w:ascii="Times New Roman" w:hAnsi="Times New Roman" w:cs="Times New Roman"/>
                <w:b/>
                <w:color w:val="auto"/>
                <w:sz w:val="22"/>
                <w:szCs w:val="22"/>
                <w:highlight w:val="none"/>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tcBorders>
              <w:tl2br w:val="nil"/>
              <w:tr2bl w:val="nil"/>
            </w:tcBorders>
          </w:tcPr>
          <w:p>
            <w:pPr>
              <w:spacing w:line="320" w:lineRule="exact"/>
              <w:ind w:firstLine="0" w:firstLineChars="0"/>
              <w:jc w:val="center"/>
              <w:rPr>
                <w:rFonts w:hint="default" w:ascii="Times New Roman" w:hAnsi="Times New Roman" w:cs="Times New Roman"/>
                <w:bCs/>
                <w:color w:val="auto"/>
                <w:sz w:val="22"/>
                <w:szCs w:val="22"/>
                <w:highlight w:val="none"/>
              </w:rPr>
            </w:pPr>
            <w:r>
              <w:rPr>
                <w:rFonts w:hint="default" w:ascii="Times New Roman" w:hAnsi="Times New Roman" w:cs="Times New Roman"/>
                <w:color w:val="auto"/>
                <w:sz w:val="22"/>
                <w:szCs w:val="22"/>
                <w:highlight w:val="none"/>
              </w:rPr>
              <w:t>推土机</w:t>
            </w:r>
          </w:p>
        </w:tc>
        <w:tc>
          <w:tcPr>
            <w:tcW w:w="1442" w:type="dxa"/>
            <w:tcBorders>
              <w:tl2br w:val="nil"/>
              <w:tr2bl w:val="nil"/>
            </w:tcBorders>
          </w:tcPr>
          <w:p>
            <w:pPr>
              <w:adjustRightInd w:val="0"/>
              <w:snapToGrid w:val="0"/>
              <w:spacing w:line="240" w:lineRule="auto"/>
              <w:ind w:firstLine="0" w:firstLineChars="0"/>
              <w:jc w:val="center"/>
              <w:rPr>
                <w:rFonts w:hint="default" w:ascii="Times New Roman" w:hAnsi="Times New Roman" w:cs="Times New Roman"/>
                <w:bCs/>
                <w:color w:val="auto"/>
                <w:sz w:val="22"/>
                <w:szCs w:val="22"/>
                <w:highlight w:val="none"/>
              </w:rPr>
            </w:pPr>
            <w:r>
              <w:rPr>
                <w:rFonts w:hint="default" w:ascii="Times New Roman" w:hAnsi="Times New Roman" w:cs="Times New Roman"/>
                <w:color w:val="auto"/>
                <w:sz w:val="22"/>
                <w:szCs w:val="22"/>
                <w:highlight w:val="none"/>
              </w:rPr>
              <w:t>83</w:t>
            </w:r>
          </w:p>
        </w:tc>
        <w:tc>
          <w:tcPr>
            <w:tcW w:w="1391"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59.5</w:t>
            </w:r>
          </w:p>
        </w:tc>
        <w:tc>
          <w:tcPr>
            <w:tcW w:w="1391"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53.5</w:t>
            </w:r>
          </w:p>
        </w:tc>
        <w:tc>
          <w:tcPr>
            <w:tcW w:w="1391"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47.5</w:t>
            </w:r>
          </w:p>
        </w:tc>
        <w:tc>
          <w:tcPr>
            <w:tcW w:w="1112"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tcBorders>
              <w:tl2br w:val="nil"/>
              <w:tr2bl w:val="nil"/>
            </w:tcBorders>
          </w:tcPr>
          <w:p>
            <w:pPr>
              <w:spacing w:line="320" w:lineRule="exact"/>
              <w:ind w:firstLine="0" w:firstLineChars="0"/>
              <w:jc w:val="center"/>
              <w:rPr>
                <w:rFonts w:hint="default" w:ascii="Times New Roman" w:hAnsi="Times New Roman" w:cs="Times New Roman"/>
                <w:bCs/>
                <w:color w:val="auto"/>
                <w:sz w:val="22"/>
                <w:szCs w:val="22"/>
                <w:highlight w:val="none"/>
              </w:rPr>
            </w:pPr>
            <w:r>
              <w:rPr>
                <w:rFonts w:hint="default" w:ascii="Times New Roman" w:hAnsi="Times New Roman" w:cs="Times New Roman"/>
                <w:color w:val="auto"/>
                <w:sz w:val="22"/>
                <w:szCs w:val="22"/>
                <w:highlight w:val="none"/>
              </w:rPr>
              <w:t>挖掘机</w:t>
            </w:r>
          </w:p>
        </w:tc>
        <w:tc>
          <w:tcPr>
            <w:tcW w:w="1442" w:type="dxa"/>
            <w:tcBorders>
              <w:tl2br w:val="nil"/>
              <w:tr2bl w:val="nil"/>
            </w:tcBorders>
          </w:tcPr>
          <w:p>
            <w:pPr>
              <w:adjustRightInd w:val="0"/>
              <w:snapToGrid w:val="0"/>
              <w:spacing w:line="240" w:lineRule="auto"/>
              <w:ind w:firstLine="0" w:firstLineChars="0"/>
              <w:jc w:val="center"/>
              <w:rPr>
                <w:rFonts w:hint="default" w:ascii="Times New Roman" w:hAnsi="Times New Roman" w:cs="Times New Roman"/>
                <w:bCs/>
                <w:color w:val="auto"/>
                <w:sz w:val="22"/>
                <w:szCs w:val="22"/>
                <w:highlight w:val="none"/>
              </w:rPr>
            </w:pPr>
            <w:r>
              <w:rPr>
                <w:rFonts w:hint="default" w:ascii="Times New Roman" w:hAnsi="Times New Roman" w:cs="Times New Roman"/>
                <w:color w:val="auto"/>
                <w:sz w:val="22"/>
                <w:szCs w:val="22"/>
                <w:highlight w:val="none"/>
              </w:rPr>
              <w:t>82</w:t>
            </w:r>
          </w:p>
        </w:tc>
        <w:tc>
          <w:tcPr>
            <w:tcW w:w="1391"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58.5</w:t>
            </w:r>
          </w:p>
        </w:tc>
        <w:tc>
          <w:tcPr>
            <w:tcW w:w="1391"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52.5</w:t>
            </w:r>
          </w:p>
        </w:tc>
        <w:tc>
          <w:tcPr>
            <w:tcW w:w="1391"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46.5</w:t>
            </w:r>
          </w:p>
        </w:tc>
        <w:tc>
          <w:tcPr>
            <w:tcW w:w="1112"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tcBorders>
              <w:tl2br w:val="nil"/>
              <w:tr2bl w:val="nil"/>
            </w:tcBorders>
          </w:tcPr>
          <w:p>
            <w:pPr>
              <w:spacing w:line="320" w:lineRule="exact"/>
              <w:ind w:firstLine="0" w:firstLineChars="0"/>
              <w:jc w:val="center"/>
              <w:rPr>
                <w:rFonts w:hint="default" w:ascii="Times New Roman" w:hAnsi="Times New Roman" w:cs="Times New Roman"/>
                <w:bCs/>
                <w:color w:val="auto"/>
                <w:sz w:val="22"/>
                <w:szCs w:val="22"/>
                <w:highlight w:val="none"/>
              </w:rPr>
            </w:pPr>
            <w:r>
              <w:rPr>
                <w:rFonts w:hint="default" w:ascii="Times New Roman" w:hAnsi="Times New Roman" w:cs="Times New Roman"/>
                <w:color w:val="auto"/>
                <w:sz w:val="22"/>
                <w:szCs w:val="22"/>
                <w:highlight w:val="none"/>
              </w:rPr>
              <w:t>装载机</w:t>
            </w:r>
          </w:p>
        </w:tc>
        <w:tc>
          <w:tcPr>
            <w:tcW w:w="1442" w:type="dxa"/>
            <w:tcBorders>
              <w:tl2br w:val="nil"/>
              <w:tr2bl w:val="nil"/>
            </w:tcBorders>
          </w:tcPr>
          <w:p>
            <w:pPr>
              <w:adjustRightInd w:val="0"/>
              <w:snapToGrid w:val="0"/>
              <w:spacing w:line="240" w:lineRule="auto"/>
              <w:ind w:firstLine="0" w:firstLineChars="0"/>
              <w:jc w:val="center"/>
              <w:rPr>
                <w:rFonts w:hint="default" w:ascii="Times New Roman" w:hAnsi="Times New Roman" w:cs="Times New Roman"/>
                <w:bCs/>
                <w:color w:val="auto"/>
                <w:sz w:val="22"/>
                <w:szCs w:val="22"/>
                <w:highlight w:val="none"/>
              </w:rPr>
            </w:pPr>
            <w:r>
              <w:rPr>
                <w:rFonts w:hint="default" w:ascii="Times New Roman" w:hAnsi="Times New Roman" w:cs="Times New Roman"/>
                <w:color w:val="auto"/>
                <w:sz w:val="22"/>
                <w:szCs w:val="22"/>
                <w:highlight w:val="none"/>
              </w:rPr>
              <w:t>80</w:t>
            </w:r>
          </w:p>
        </w:tc>
        <w:tc>
          <w:tcPr>
            <w:tcW w:w="1391"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56.5</w:t>
            </w:r>
          </w:p>
        </w:tc>
        <w:tc>
          <w:tcPr>
            <w:tcW w:w="1391"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50.5</w:t>
            </w:r>
          </w:p>
        </w:tc>
        <w:tc>
          <w:tcPr>
            <w:tcW w:w="1391"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44.5</w:t>
            </w:r>
          </w:p>
        </w:tc>
        <w:tc>
          <w:tcPr>
            <w:tcW w:w="1112"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tcBorders>
              <w:tl2br w:val="nil"/>
              <w:tr2bl w:val="nil"/>
            </w:tcBorders>
          </w:tcPr>
          <w:p>
            <w:pPr>
              <w:spacing w:line="320" w:lineRule="exact"/>
              <w:ind w:firstLine="0" w:firstLineChars="0"/>
              <w:jc w:val="center"/>
              <w:rPr>
                <w:rFonts w:hint="default" w:ascii="Times New Roman" w:hAnsi="Times New Roman" w:cs="Times New Roman"/>
                <w:bCs/>
                <w:color w:val="auto"/>
                <w:sz w:val="22"/>
                <w:szCs w:val="22"/>
                <w:highlight w:val="none"/>
              </w:rPr>
            </w:pPr>
            <w:r>
              <w:rPr>
                <w:rFonts w:hint="default" w:ascii="Times New Roman" w:hAnsi="Times New Roman" w:cs="Times New Roman"/>
                <w:color w:val="auto"/>
                <w:sz w:val="22"/>
                <w:szCs w:val="22"/>
                <w:highlight w:val="none"/>
              </w:rPr>
              <w:t>搅拌机</w:t>
            </w:r>
          </w:p>
        </w:tc>
        <w:tc>
          <w:tcPr>
            <w:tcW w:w="1442" w:type="dxa"/>
            <w:tcBorders>
              <w:tl2br w:val="nil"/>
              <w:tr2bl w:val="nil"/>
            </w:tcBorders>
          </w:tcPr>
          <w:p>
            <w:pPr>
              <w:adjustRightInd w:val="0"/>
              <w:snapToGrid w:val="0"/>
              <w:spacing w:line="240" w:lineRule="auto"/>
              <w:ind w:firstLine="0" w:firstLineChars="0"/>
              <w:jc w:val="center"/>
              <w:rPr>
                <w:rFonts w:hint="default" w:ascii="Times New Roman" w:hAnsi="Times New Roman" w:cs="Times New Roman"/>
                <w:bCs/>
                <w:color w:val="auto"/>
                <w:sz w:val="22"/>
                <w:szCs w:val="22"/>
                <w:highlight w:val="none"/>
              </w:rPr>
            </w:pPr>
            <w:r>
              <w:rPr>
                <w:rFonts w:hint="default" w:ascii="Times New Roman" w:hAnsi="Times New Roman" w:cs="Times New Roman"/>
                <w:color w:val="auto"/>
                <w:sz w:val="22"/>
                <w:szCs w:val="22"/>
                <w:highlight w:val="none"/>
              </w:rPr>
              <w:t>75</w:t>
            </w:r>
          </w:p>
        </w:tc>
        <w:tc>
          <w:tcPr>
            <w:tcW w:w="1391"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51.5</w:t>
            </w:r>
          </w:p>
        </w:tc>
        <w:tc>
          <w:tcPr>
            <w:tcW w:w="1391"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45.5</w:t>
            </w:r>
          </w:p>
        </w:tc>
        <w:tc>
          <w:tcPr>
            <w:tcW w:w="1391"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39.5</w:t>
            </w:r>
          </w:p>
        </w:tc>
        <w:tc>
          <w:tcPr>
            <w:tcW w:w="1112"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9" w:type="dxa"/>
            <w:tcBorders>
              <w:tl2br w:val="nil"/>
              <w:tr2bl w:val="nil"/>
            </w:tcBorders>
          </w:tcPr>
          <w:p>
            <w:pPr>
              <w:spacing w:line="320" w:lineRule="exact"/>
              <w:ind w:firstLine="0" w:firstLineChars="0"/>
              <w:jc w:val="center"/>
              <w:rPr>
                <w:rFonts w:hint="default" w:ascii="Times New Roman" w:hAnsi="Times New Roman" w:cs="Times New Roman"/>
                <w:bCs/>
                <w:color w:val="auto"/>
                <w:sz w:val="22"/>
                <w:szCs w:val="22"/>
                <w:highlight w:val="none"/>
              </w:rPr>
            </w:pPr>
            <w:r>
              <w:rPr>
                <w:rFonts w:hint="default" w:ascii="Times New Roman" w:hAnsi="Times New Roman" w:cs="Times New Roman"/>
                <w:color w:val="auto"/>
                <w:sz w:val="22"/>
                <w:szCs w:val="22"/>
                <w:highlight w:val="none"/>
              </w:rPr>
              <w:t>振捣棒</w:t>
            </w:r>
          </w:p>
        </w:tc>
        <w:tc>
          <w:tcPr>
            <w:tcW w:w="1442" w:type="dxa"/>
            <w:tcBorders>
              <w:tl2br w:val="nil"/>
              <w:tr2bl w:val="nil"/>
            </w:tcBorders>
          </w:tcPr>
          <w:p>
            <w:pPr>
              <w:adjustRightInd w:val="0"/>
              <w:snapToGrid w:val="0"/>
              <w:spacing w:line="240" w:lineRule="auto"/>
              <w:ind w:firstLine="0" w:firstLineChars="0"/>
              <w:jc w:val="center"/>
              <w:rPr>
                <w:rFonts w:hint="default" w:ascii="Times New Roman" w:hAnsi="Times New Roman" w:cs="Times New Roman"/>
                <w:bCs/>
                <w:color w:val="auto"/>
                <w:sz w:val="22"/>
                <w:szCs w:val="22"/>
                <w:highlight w:val="none"/>
              </w:rPr>
            </w:pPr>
            <w:r>
              <w:rPr>
                <w:rFonts w:hint="default" w:ascii="Times New Roman" w:hAnsi="Times New Roman" w:cs="Times New Roman"/>
                <w:color w:val="auto"/>
                <w:sz w:val="22"/>
                <w:szCs w:val="22"/>
                <w:highlight w:val="none"/>
              </w:rPr>
              <w:t>83</w:t>
            </w:r>
          </w:p>
        </w:tc>
        <w:tc>
          <w:tcPr>
            <w:tcW w:w="1391"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59.5</w:t>
            </w:r>
          </w:p>
        </w:tc>
        <w:tc>
          <w:tcPr>
            <w:tcW w:w="1391"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53.5</w:t>
            </w:r>
          </w:p>
        </w:tc>
        <w:tc>
          <w:tcPr>
            <w:tcW w:w="1391"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47.5</w:t>
            </w:r>
          </w:p>
        </w:tc>
        <w:tc>
          <w:tcPr>
            <w:tcW w:w="1112"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1" w:type="dxa"/>
            <w:gridSpan w:val="2"/>
            <w:tcBorders>
              <w:tl2br w:val="nil"/>
              <w:tr2bl w:val="nil"/>
            </w:tcBorders>
          </w:tcPr>
          <w:p>
            <w:pPr>
              <w:adjustRightInd w:val="0"/>
              <w:snapToGrid w:val="0"/>
              <w:spacing w:line="240" w:lineRule="auto"/>
              <w:ind w:firstLine="0" w:firstLineChars="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上述设备各1台同时运行后的叠加结果</w:t>
            </w:r>
          </w:p>
        </w:tc>
        <w:tc>
          <w:tcPr>
            <w:tcW w:w="1391"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64.9</w:t>
            </w:r>
          </w:p>
        </w:tc>
        <w:tc>
          <w:tcPr>
            <w:tcW w:w="1391"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58.9</w:t>
            </w:r>
          </w:p>
        </w:tc>
        <w:tc>
          <w:tcPr>
            <w:tcW w:w="1391"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52.9</w:t>
            </w:r>
          </w:p>
        </w:tc>
        <w:tc>
          <w:tcPr>
            <w:tcW w:w="1112"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sz w:val="22"/>
                <w:szCs w:val="22"/>
                <w:highlight w:val="none"/>
              </w:rPr>
              <w:t>46.9</w:t>
            </w:r>
          </w:p>
        </w:tc>
      </w:tr>
    </w:tbl>
    <w:p>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只在昼间施工，夜间不施工。考虑最不利情况，每种设备各1台同时运行时，经预测在离施工区15米处噪声可满足《建筑施工场界环境噪声排放标准》（GB12523-2011）的要求，项目周边200m范围内没有居民点、学校等声敏感点分布，因此项目施工对声环境影响不大。</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施工期固体废物影响分析</w:t>
      </w:r>
    </w:p>
    <w:p>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本项目新增污水处理厂厂区施工过程中需挖方62597.46m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项目不产生弃土。仅建设过程中产生少量建筑垃圾及生活垃圾，根据建设部139号令《城市建筑垃圾管理规定》，对于可以回收的固体废物（如废钢、铁等），应集中收集送到回收站；不能回收利用的，不得随意堆放，应按有关规定报地方建设主管部门，将建筑废弃物堆放至指定地点；严禁将危险废物混入建筑垃圾中，也不允许将建筑垃圾混入生活垃圾。采取以上处置措施后，可将施工期建筑垃圾对环境的影响降至最小。</w:t>
      </w:r>
    </w:p>
    <w:p>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综上所述，只要加强施工期固废管理，及时回收各种有用废品，严禁乱堆、乱倒垃圾，就可以减轻施工期间固体废物对环境的影响。</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施工期生态环境影响分析</w:t>
      </w:r>
    </w:p>
    <w:p>
      <w:pPr>
        <w:adjustRightInd w:val="0"/>
        <w:ind w:firstLine="480"/>
        <w:rPr>
          <w:rFonts w:hint="default" w:ascii="Times New Roman" w:hAnsi="Times New Roman" w:cs="Times New Roman"/>
          <w:color w:val="auto"/>
          <w:highlight w:val="none"/>
        </w:rPr>
      </w:pPr>
      <w:r>
        <w:rPr>
          <w:rFonts w:hint="default" w:ascii="Times New Roman" w:hAnsi="Times New Roman" w:cs="Times New Roman"/>
          <w:bCs/>
          <w:color w:val="auto"/>
          <w:highlight w:val="none"/>
        </w:rPr>
        <w:t>本项目用地</w:t>
      </w:r>
      <w:r>
        <w:rPr>
          <w:rFonts w:hint="default" w:ascii="Times New Roman" w:hAnsi="Times New Roman" w:cs="Times New Roman"/>
          <w:color w:val="auto"/>
          <w:highlight w:val="none"/>
        </w:rPr>
        <w:t>49044.78</w:t>
      </w:r>
      <w:r>
        <w:rPr>
          <w:rFonts w:hint="default" w:ascii="Times New Roman" w:hAnsi="Times New Roman" w:cs="Times New Roman"/>
          <w:bCs/>
          <w:color w:val="auto"/>
          <w:highlight w:val="none"/>
        </w:rPr>
        <w:t>m</w:t>
      </w:r>
      <w:r>
        <w:rPr>
          <w:rFonts w:hint="default" w:ascii="Times New Roman" w:hAnsi="Times New Roman" w:cs="Times New Roman"/>
          <w:bCs/>
          <w:color w:val="auto"/>
          <w:highlight w:val="none"/>
          <w:vertAlign w:val="superscript"/>
        </w:rPr>
        <w:t>2</w:t>
      </w:r>
      <w:r>
        <w:rPr>
          <w:rFonts w:hint="default" w:ascii="Times New Roman" w:hAnsi="Times New Roman" w:cs="Times New Roman"/>
          <w:bCs/>
          <w:color w:val="auto"/>
          <w:highlight w:val="none"/>
        </w:rPr>
        <w:t>，根据现场踏勘，现状分布有少量植被</w:t>
      </w:r>
      <w:r>
        <w:rPr>
          <w:rFonts w:hint="eastAsia" w:cs="Times New Roman"/>
          <w:bCs/>
          <w:color w:val="auto"/>
          <w:highlight w:val="none"/>
          <w:lang w:eastAsia="zh-CN"/>
        </w:rPr>
        <w:t>，</w:t>
      </w:r>
      <w:r>
        <w:rPr>
          <w:rFonts w:hint="default" w:ascii="Times New Roman" w:hAnsi="Times New Roman" w:cs="Times New Roman"/>
          <w:bCs/>
          <w:color w:val="auto"/>
          <w:highlight w:val="none"/>
        </w:rPr>
        <w:t>主要为以及灌草丛等人工次生植被，生物多样性较差。</w:t>
      </w:r>
      <w:r>
        <w:rPr>
          <w:rFonts w:hint="default" w:ascii="Times New Roman" w:hAnsi="Times New Roman" w:cs="Times New Roman"/>
          <w:color w:val="auto"/>
          <w:highlight w:val="none"/>
        </w:rPr>
        <w:t>项目施工对生态的影响主要是水土流失影响。</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影响水土流失的因素较多，主要包括降雨、土壤、植被、地形地貌以及工程施工等因素。就</w:t>
      </w:r>
      <w:r>
        <w:rPr>
          <w:rFonts w:hint="eastAsia" w:cs="Times New Roman"/>
          <w:color w:val="auto"/>
          <w:highlight w:val="none"/>
          <w:lang w:eastAsia="zh-CN"/>
        </w:rPr>
        <w:t>本项目</w:t>
      </w:r>
      <w:r>
        <w:rPr>
          <w:rFonts w:hint="default" w:ascii="Times New Roman" w:hAnsi="Times New Roman" w:cs="Times New Roman"/>
          <w:color w:val="auto"/>
          <w:highlight w:val="none"/>
        </w:rPr>
        <w:t>而言，影响施工期水土流失的主要因素是降雨和工程施工。</w:t>
      </w:r>
      <w:r>
        <w:rPr>
          <w:rFonts w:hint="default" w:ascii="Times New Roman" w:hAnsi="Times New Roman" w:cs="Times New Roman"/>
          <w:color w:val="auto"/>
          <w:highlight w:val="none"/>
          <w:lang w:val="en-GB"/>
        </w:rPr>
        <w:t>项目所在地雨水丰富，降雨时若水土流失严重，大量泥土被雨水径流冲刷。</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（1）降雨因素</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降雨是发生水土流失的最直接最重要的自然因素。降雨对裸露地表的影响表现在两个方面：一是雨滴对裸露地表的直接冲溅作用，二是雨水汇集形成地表径流的冲刷作用。这种作用在暴雨时表现得更为集中和剧烈，往往引起较大强度的水土流失。</w:t>
      </w:r>
    </w:p>
    <w:p>
      <w:pPr>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（2）工程因素</w:t>
      </w:r>
    </w:p>
    <w:p>
      <w:pPr>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施工过程中由于开挖地面、土地平整等原因，将扰动表土结构，致使土壤抗蚀能力降低，土壤侵蚀加剧，造成植被涵养水量的损失，裸露土壤极易被降雨径流冲刷而引发水土流失，特别是暴雨径流的冲刷更为严重。</w:t>
      </w:r>
      <w:r>
        <w:rPr>
          <w:rFonts w:hint="eastAsia" w:cs="Times New Roman"/>
          <w:color w:val="auto"/>
          <w:highlight w:val="none"/>
          <w:lang w:eastAsia="zh-CN"/>
        </w:rPr>
        <w:t>本项目</w:t>
      </w:r>
      <w:r>
        <w:rPr>
          <w:rFonts w:hint="default" w:ascii="Times New Roman" w:hAnsi="Times New Roman" w:cs="Times New Roman"/>
          <w:color w:val="auto"/>
          <w:highlight w:val="none"/>
        </w:rPr>
        <w:t>厂区场地的平整及开挖过程中将扰动表土结构，会加剧水土流失，但本项目用地面积较小，影响较小。</w:t>
      </w:r>
    </w:p>
    <w:p>
      <w:pPr>
        <w:snapToGrid w:val="0"/>
        <w:ind w:firstLine="480"/>
        <w:rPr>
          <w:rFonts w:hint="default" w:ascii="Times New Roman" w:hAnsi="Times New Roman" w:cs="Times New Roman"/>
          <w:color w:val="auto"/>
          <w:highlight w:val="none"/>
          <w:lang w:val="en-GB"/>
        </w:rPr>
      </w:pPr>
      <w:r>
        <w:rPr>
          <w:rFonts w:hint="default" w:ascii="Times New Roman" w:hAnsi="Times New Roman" w:cs="Times New Roman"/>
          <w:color w:val="auto"/>
          <w:highlight w:val="none"/>
        </w:rPr>
        <w:t>厂内施工场地应设置固废临时堆弃场，堆场应</w:t>
      </w:r>
      <w:r>
        <w:rPr>
          <w:rFonts w:hint="default" w:ascii="Times New Roman" w:hAnsi="Times New Roman" w:cs="Times New Roman"/>
          <w:color w:val="auto"/>
          <w:highlight w:val="none"/>
          <w:lang w:val="en-GB"/>
        </w:rPr>
        <w:t>设挡土墙和导水沟渠，以防止水土流失，施工完后对堆土、弃土地点进行平整硬化或绿化。</w:t>
      </w:r>
    </w:p>
    <w:p>
      <w:pPr>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施工时应加强施工材料的管理，场地开挖产生的渣土及时用于回填或及时清理清运。在施工完毕后，及时对受施工破坏的路面和场地进行硬化或绿化，恢复生态环境。</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工程应避免在暴雨季节施工，施工结束后及时开展绿化恢复工作，同时在施工过程中采取截水沟、挡墙、沉淀池等多种工程防护措施和生态恢复措施，水土流失影响将得到有效控制。</w:t>
      </w:r>
    </w:p>
    <w:p>
      <w:pPr>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施工期水土流失造成的环境影响是短期的，仅限于施工期；随着建设过程中土地的平整和建筑的修建，项目区场地将被硬化、绿化，水土流失将得到有效的遏制，因此，项目建设工程造成的水土流失是暂时的、轻微的，项目建设对生态效能的影响甚微。</w:t>
      </w:r>
    </w:p>
    <w:p>
      <w:pPr>
        <w:pStyle w:val="49"/>
        <w:rPr>
          <w:rFonts w:hint="default"/>
          <w:color w:val="auto"/>
          <w:highlight w:val="none"/>
        </w:rPr>
      </w:pPr>
    </w:p>
    <w:p>
      <w:pPr>
        <w:pStyle w:val="4"/>
        <w:bidi w:val="0"/>
        <w:rPr>
          <w:rFonts w:hint="default"/>
          <w:color w:val="auto"/>
          <w:highlight w:val="none"/>
        </w:rPr>
      </w:pPr>
      <w:bookmarkStart w:id="132" w:name="_Toc15975"/>
      <w:bookmarkStart w:id="133" w:name="_Toc19805"/>
      <w:bookmarkStart w:id="134" w:name="_Toc30312"/>
      <w:r>
        <w:rPr>
          <w:rFonts w:hint="default"/>
          <w:color w:val="auto"/>
          <w:highlight w:val="none"/>
        </w:rPr>
        <w:t>运营期环境影响分析</w:t>
      </w:r>
      <w:bookmarkEnd w:id="132"/>
      <w:bookmarkEnd w:id="133"/>
      <w:bookmarkEnd w:id="134"/>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大气环境影响预测与评价</w:t>
      </w:r>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气象数据</w:t>
      </w:r>
    </w:p>
    <w:p>
      <w:pP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本次预测使用昌吉气象站</w:t>
      </w:r>
      <w:r>
        <w:rPr>
          <w:rFonts w:hint="eastAsia" w:cs="Times New Roman"/>
          <w:color w:val="auto"/>
          <w:sz w:val="24"/>
          <w:szCs w:val="24"/>
          <w:highlight w:val="none"/>
          <w:lang w:val="en-US" w:eastAsia="zh-CN"/>
        </w:rPr>
        <w:t>2022</w:t>
      </w:r>
      <w:r>
        <w:rPr>
          <w:rFonts w:hint="default" w:ascii="Times New Roman" w:hAnsi="Times New Roman" w:eastAsia="宋体" w:cs="Times New Roman"/>
          <w:color w:val="auto"/>
          <w:sz w:val="24"/>
          <w:szCs w:val="24"/>
          <w:highlight w:val="none"/>
        </w:rPr>
        <w:t>年的</w:t>
      </w:r>
      <w:r>
        <w:rPr>
          <w:rFonts w:hint="eastAsia" w:cs="Times New Roman"/>
          <w:color w:val="auto"/>
          <w:sz w:val="24"/>
          <w:szCs w:val="24"/>
          <w:highlight w:val="none"/>
          <w:lang w:eastAsia="zh-CN"/>
        </w:rPr>
        <w:t>实</w:t>
      </w:r>
      <w:r>
        <w:rPr>
          <w:rFonts w:hint="default" w:ascii="Times New Roman" w:hAnsi="Times New Roman" w:eastAsia="宋体" w:cs="Times New Roman"/>
          <w:color w:val="auto"/>
          <w:sz w:val="24"/>
          <w:szCs w:val="24"/>
          <w:highlight w:val="none"/>
        </w:rPr>
        <w:t>时地面气象数据。昌吉气象站</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51368</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位于新疆维吾尔自治区，地理坐标为东经87.3269°、北纬44.1167°，</w:t>
      </w:r>
      <w:r>
        <w:rPr>
          <w:rFonts w:hint="eastAsia" w:cs="Times New Roman"/>
          <w:color w:val="auto"/>
          <w:sz w:val="24"/>
          <w:szCs w:val="24"/>
          <w:highlight w:val="none"/>
          <w:lang w:eastAsia="zh-CN"/>
        </w:rPr>
        <w:t>海拔</w:t>
      </w:r>
      <w:r>
        <w:rPr>
          <w:rFonts w:hint="default" w:ascii="Times New Roman" w:hAnsi="Times New Roman" w:eastAsia="宋体" w:cs="Times New Roman"/>
          <w:color w:val="auto"/>
          <w:sz w:val="24"/>
          <w:szCs w:val="24"/>
          <w:highlight w:val="none"/>
        </w:rPr>
        <w:t>515.7m。气象站始建于1953年，1953年正式进行气象观测。昌吉气象站距项目约33km，是距项目最近的国家气象站，拥有长期的气象观测资料。</w:t>
      </w:r>
    </w:p>
    <w:p>
      <w:pPr>
        <w:spacing w:before="109" w:line="221" w:lineRule="auto"/>
        <w:ind w:left="448"/>
        <w:jc w:val="center"/>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pacing w:val="-2"/>
          <w:sz w:val="24"/>
          <w:szCs w:val="24"/>
          <w:highlight w:val="none"/>
        </w:rPr>
        <w:t>表5.2-</w:t>
      </w:r>
      <w:r>
        <w:rPr>
          <w:rFonts w:hint="default" w:ascii="Times New Roman" w:hAnsi="Times New Roman" w:eastAsia="黑体" w:cs="Times New Roman"/>
          <w:color w:val="auto"/>
          <w:spacing w:val="-2"/>
          <w:sz w:val="24"/>
          <w:szCs w:val="24"/>
          <w:highlight w:val="none"/>
          <w:lang w:val="en-US" w:eastAsia="zh-CN"/>
        </w:rPr>
        <w:t>1</w:t>
      </w:r>
      <w:r>
        <w:rPr>
          <w:rFonts w:hint="default" w:ascii="Times New Roman" w:hAnsi="Times New Roman" w:eastAsia="黑体" w:cs="Times New Roman"/>
          <w:color w:val="auto"/>
          <w:spacing w:val="-2"/>
          <w:sz w:val="24"/>
          <w:szCs w:val="24"/>
          <w:highlight w:val="none"/>
        </w:rPr>
        <w:t>观测气象数据信息</w:t>
      </w:r>
    </w:p>
    <w:p>
      <w:pPr>
        <w:spacing w:line="101" w:lineRule="auto"/>
        <w:rPr>
          <w:rFonts w:hint="default" w:ascii="Times New Roman" w:hAnsi="Times New Roman" w:cs="Times New Roman"/>
          <w:color w:val="auto"/>
          <w:sz w:val="2"/>
          <w:highlight w:val="none"/>
        </w:rPr>
      </w:pPr>
    </w:p>
    <w:tbl>
      <w:tblPr>
        <w:tblStyle w:val="57"/>
        <w:tblW w:w="8543" w:type="dxa"/>
        <w:tblInd w:w="0" w:type="dxa"/>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830"/>
        <w:gridCol w:w="708"/>
        <w:gridCol w:w="706"/>
        <w:gridCol w:w="531"/>
        <w:gridCol w:w="871"/>
        <w:gridCol w:w="802"/>
        <w:gridCol w:w="715"/>
        <w:gridCol w:w="720"/>
        <w:gridCol w:w="2660"/>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83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气象站</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名称</w:t>
            </w:r>
          </w:p>
        </w:tc>
        <w:tc>
          <w:tcPr>
            <w:tcW w:w="70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气象站编号</w:t>
            </w:r>
          </w:p>
        </w:tc>
        <w:tc>
          <w:tcPr>
            <w:tcW w:w="70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气象站等级</w:t>
            </w:r>
          </w:p>
        </w:tc>
        <w:tc>
          <w:tcPr>
            <w:tcW w:w="1402" w:type="dxa"/>
            <w:gridSpan w:val="2"/>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气象站坐标</w:t>
            </w:r>
            <w:r>
              <w:rPr>
                <w:rFonts w:hint="default" w:ascii="Times New Roman" w:hAnsi="Times New Roman" w:cs="Times New Roman"/>
                <w:color w:val="auto"/>
                <w:spacing w:val="-1"/>
                <w:sz w:val="21"/>
                <w:szCs w:val="21"/>
                <w:highlight w:val="none"/>
              </w:rPr>
              <w:t>/m</w:t>
            </w:r>
          </w:p>
        </w:tc>
        <w:tc>
          <w:tcPr>
            <w:tcW w:w="802" w:type="dxa"/>
            <w:vMerge w:val="restart"/>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相对距</w:t>
            </w:r>
            <w:r>
              <w:rPr>
                <w:rFonts w:hint="default" w:ascii="Times New Roman" w:hAnsi="Times New Roman" w:eastAsia="宋体" w:cs="Times New Roman"/>
                <w:color w:val="auto"/>
                <w:spacing w:val="-4"/>
                <w:sz w:val="21"/>
                <w:szCs w:val="21"/>
                <w:highlight w:val="none"/>
              </w:rPr>
              <w:t>离</w:t>
            </w:r>
            <w:r>
              <w:rPr>
                <w:rFonts w:hint="default" w:ascii="Times New Roman" w:hAnsi="Times New Roman" w:cs="Times New Roman"/>
                <w:color w:val="auto"/>
                <w:spacing w:val="-4"/>
                <w:sz w:val="21"/>
                <w:szCs w:val="21"/>
                <w:highlight w:val="none"/>
              </w:rPr>
              <w:t>/m</w:t>
            </w:r>
          </w:p>
        </w:tc>
        <w:tc>
          <w:tcPr>
            <w:tcW w:w="715" w:type="dxa"/>
            <w:vMerge w:val="restart"/>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pacing w:val="-2"/>
                <w:sz w:val="21"/>
                <w:szCs w:val="21"/>
                <w:highlight w:val="none"/>
                <w:lang w:eastAsia="zh-CN"/>
              </w:rPr>
              <w:t>海拔</w:t>
            </w:r>
            <w:r>
              <w:rPr>
                <w:rFonts w:hint="default" w:ascii="Times New Roman" w:hAnsi="Times New Roman" w:cs="Times New Roman"/>
                <w:color w:val="auto"/>
                <w:spacing w:val="-2"/>
                <w:sz w:val="21"/>
                <w:szCs w:val="21"/>
                <w:highlight w:val="none"/>
              </w:rPr>
              <w:t>/m</w:t>
            </w:r>
          </w:p>
        </w:tc>
        <w:tc>
          <w:tcPr>
            <w:tcW w:w="72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rPr>
            </w:pPr>
            <w:r>
              <w:rPr>
                <w:rFonts w:hint="default" w:ascii="Times New Roman" w:hAnsi="Times New Roman" w:eastAsia="宋体" w:cs="Times New Roman"/>
                <w:color w:val="auto"/>
                <w:spacing w:val="-4"/>
                <w:sz w:val="21"/>
                <w:szCs w:val="21"/>
                <w:highlight w:val="none"/>
              </w:rPr>
              <w:t>数据</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年份</w:t>
            </w:r>
          </w:p>
        </w:tc>
        <w:tc>
          <w:tcPr>
            <w:tcW w:w="266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气象要素</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83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70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70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531" w:type="dxa"/>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i/>
                <w:iCs/>
                <w:color w:val="auto"/>
                <w:spacing w:val="33"/>
                <w:w w:val="107"/>
                <w:sz w:val="21"/>
                <w:szCs w:val="21"/>
                <w:highlight w:val="none"/>
              </w:rPr>
              <w:t>X</w:t>
            </w:r>
          </w:p>
        </w:tc>
        <w:tc>
          <w:tcPr>
            <w:tcW w:w="871" w:type="dxa"/>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i/>
                <w:iCs/>
                <w:color w:val="auto"/>
                <w:spacing w:val="5"/>
                <w:sz w:val="21"/>
                <w:szCs w:val="21"/>
                <w:highlight w:val="none"/>
              </w:rPr>
              <w:t>Y</w:t>
            </w:r>
          </w:p>
        </w:tc>
        <w:tc>
          <w:tcPr>
            <w:tcW w:w="80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71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7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26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8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15"/>
                <w:sz w:val="21"/>
                <w:szCs w:val="21"/>
                <w:highlight w:val="none"/>
              </w:rPr>
            </w:pPr>
            <w:r>
              <w:rPr>
                <w:rFonts w:hint="default" w:ascii="Times New Roman" w:hAnsi="Times New Roman" w:eastAsia="宋体" w:cs="Times New Roman"/>
                <w:color w:val="auto"/>
                <w:spacing w:val="-15"/>
                <w:sz w:val="21"/>
                <w:szCs w:val="21"/>
                <w:highlight w:val="none"/>
              </w:rPr>
              <w:t>昌吉</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气象站</w:t>
            </w:r>
          </w:p>
        </w:tc>
        <w:tc>
          <w:tcPr>
            <w:tcW w:w="708" w:type="dxa"/>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51368</w:t>
            </w:r>
          </w:p>
        </w:tc>
        <w:tc>
          <w:tcPr>
            <w:tcW w:w="7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一般站</w:t>
            </w:r>
          </w:p>
        </w:tc>
        <w:tc>
          <w:tcPr>
            <w:tcW w:w="531" w:type="dxa"/>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2703</w:t>
            </w:r>
          </w:p>
        </w:tc>
        <w:tc>
          <w:tcPr>
            <w:tcW w:w="871" w:type="dxa"/>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-32970</w:t>
            </w:r>
          </w:p>
        </w:tc>
        <w:tc>
          <w:tcPr>
            <w:tcW w:w="802" w:type="dxa"/>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33081</w:t>
            </w:r>
          </w:p>
        </w:tc>
        <w:tc>
          <w:tcPr>
            <w:tcW w:w="715" w:type="dxa"/>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517</w:t>
            </w:r>
          </w:p>
        </w:tc>
        <w:tc>
          <w:tcPr>
            <w:tcW w:w="720" w:type="dxa"/>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spacing w:val="-1"/>
                <w:sz w:val="21"/>
                <w:szCs w:val="21"/>
                <w:highlight w:val="none"/>
                <w:lang w:val="en-US" w:eastAsia="zh-CN"/>
              </w:rPr>
              <w:t>2022</w:t>
            </w:r>
          </w:p>
        </w:tc>
        <w:tc>
          <w:tcPr>
            <w:tcW w:w="26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风向、风速、总云、低云、</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温度</w:t>
            </w:r>
          </w:p>
        </w:tc>
      </w:tr>
    </w:tbl>
    <w:p>
      <w:pP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昌吉气象站</w:t>
      </w:r>
      <w:r>
        <w:rPr>
          <w:rFonts w:hint="eastAsia" w:cs="Times New Roman"/>
          <w:color w:val="auto"/>
          <w:sz w:val="24"/>
          <w:szCs w:val="24"/>
          <w:highlight w:val="none"/>
          <w:lang w:val="en-US" w:eastAsia="zh-CN"/>
        </w:rPr>
        <w:t>2022</w:t>
      </w:r>
      <w:r>
        <w:rPr>
          <w:rFonts w:hint="default" w:ascii="Times New Roman" w:hAnsi="Times New Roman" w:eastAsia="宋体" w:cs="Times New Roman"/>
          <w:color w:val="auto"/>
          <w:sz w:val="24"/>
          <w:szCs w:val="24"/>
          <w:highlight w:val="none"/>
        </w:rPr>
        <w:t>年的逐时地面气象数据基本信息统计如下：</w:t>
      </w:r>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气温</w:t>
      </w:r>
    </w:p>
    <w:p>
      <w:pPr>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2022</w:t>
      </w:r>
      <w:r>
        <w:rPr>
          <w:rFonts w:hint="default" w:ascii="Times New Roman" w:hAnsi="Times New Roman" w:eastAsia="宋体" w:cs="Times New Roman"/>
          <w:color w:val="auto"/>
          <w:sz w:val="24"/>
          <w:szCs w:val="24"/>
          <w:highlight w:val="none"/>
        </w:rPr>
        <w:t>年昌吉市月平均气温变化情况见</w:t>
      </w:r>
      <w:r>
        <w:rPr>
          <w:rFonts w:hint="eastAsia" w:cs="Times New Roman"/>
          <w:color w:val="auto"/>
          <w:sz w:val="24"/>
          <w:szCs w:val="24"/>
          <w:highlight w:val="none"/>
          <w:lang w:val="en-US" w:eastAsia="zh-CN"/>
        </w:rPr>
        <w:t>下</w:t>
      </w:r>
      <w:r>
        <w:rPr>
          <w:rFonts w:hint="default" w:ascii="Times New Roman" w:hAnsi="Times New Roman" w:eastAsia="宋体" w:cs="Times New Roman"/>
          <w:color w:val="auto"/>
          <w:sz w:val="24"/>
          <w:szCs w:val="24"/>
          <w:highlight w:val="none"/>
        </w:rPr>
        <w:t>表。从图表中数据可以看出，昌吉市全年1月平均温度最低，为-15.71℃</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7月份平均温度最高，为25.63℃。</w:t>
      </w:r>
    </w:p>
    <w:p>
      <w:pPr>
        <w:spacing w:before="109" w:line="221" w:lineRule="auto"/>
        <w:ind w:left="448"/>
        <w:jc w:val="center"/>
        <w:rPr>
          <w:rFonts w:hint="default" w:ascii="Times New Roman" w:hAnsi="Times New Roman" w:eastAsia="黑体" w:cs="Times New Roman"/>
          <w:color w:val="auto"/>
          <w:spacing w:val="-2"/>
          <w:sz w:val="24"/>
          <w:szCs w:val="24"/>
          <w:highlight w:val="none"/>
        </w:rPr>
      </w:pPr>
      <w:r>
        <w:rPr>
          <w:rFonts w:hint="default" w:ascii="Times New Roman" w:hAnsi="Times New Roman" w:eastAsia="黑体" w:cs="Times New Roman"/>
          <w:color w:val="auto"/>
          <w:spacing w:val="-2"/>
          <w:sz w:val="24"/>
          <w:szCs w:val="24"/>
          <w:highlight w:val="none"/>
        </w:rPr>
        <w:t>表5.2-</w:t>
      </w:r>
      <w:r>
        <w:rPr>
          <w:rFonts w:hint="eastAsia" w:eastAsia="黑体" w:cs="Times New Roman"/>
          <w:color w:val="auto"/>
          <w:spacing w:val="-2"/>
          <w:sz w:val="24"/>
          <w:szCs w:val="24"/>
          <w:highlight w:val="none"/>
          <w:lang w:val="en-US" w:eastAsia="zh-CN"/>
        </w:rPr>
        <w:t>2</w:t>
      </w:r>
      <w:r>
        <w:rPr>
          <w:rFonts w:hint="default" w:ascii="Times New Roman" w:hAnsi="Times New Roman" w:eastAsia="黑体" w:cs="Times New Roman"/>
          <w:color w:val="auto"/>
          <w:spacing w:val="-2"/>
          <w:sz w:val="24"/>
          <w:szCs w:val="24"/>
          <w:highlight w:val="none"/>
        </w:rPr>
        <w:t>年平均温度的月变化一览表</w:t>
      </w:r>
    </w:p>
    <w:p>
      <w:pPr>
        <w:spacing w:line="109" w:lineRule="auto"/>
        <w:rPr>
          <w:rFonts w:hint="default" w:ascii="Times New Roman" w:hAnsi="Times New Roman" w:cs="Times New Roman"/>
          <w:color w:val="auto"/>
          <w:sz w:val="2"/>
          <w:highlight w:val="none"/>
        </w:rPr>
      </w:pPr>
    </w:p>
    <w:tbl>
      <w:tblPr>
        <w:tblStyle w:val="57"/>
        <w:tblW w:w="854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1"/>
        <w:gridCol w:w="610"/>
        <w:gridCol w:w="610"/>
        <w:gridCol w:w="610"/>
        <w:gridCol w:w="607"/>
        <w:gridCol w:w="610"/>
        <w:gridCol w:w="610"/>
        <w:gridCol w:w="609"/>
        <w:gridCol w:w="608"/>
        <w:gridCol w:w="610"/>
        <w:gridCol w:w="609"/>
        <w:gridCol w:w="609"/>
        <w:gridCol w:w="6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241" w:type="dxa"/>
            <w:tcBorders>
              <w:top w:val="single" w:color="000000" w:sz="2" w:space="0"/>
              <w:left w:val="single" w:color="000000" w:sz="2"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月份</w:t>
            </w:r>
          </w:p>
        </w:tc>
        <w:tc>
          <w:tcPr>
            <w:tcW w:w="610" w:type="dxa"/>
            <w:tcBorders>
              <w:top w:val="single" w:color="000000" w:sz="2"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1月</w:t>
            </w:r>
          </w:p>
        </w:tc>
        <w:tc>
          <w:tcPr>
            <w:tcW w:w="610" w:type="dxa"/>
            <w:tcBorders>
              <w:top w:val="single" w:color="000000" w:sz="2"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2月</w:t>
            </w:r>
          </w:p>
        </w:tc>
        <w:tc>
          <w:tcPr>
            <w:tcW w:w="610" w:type="dxa"/>
            <w:tcBorders>
              <w:top w:val="single" w:color="000000" w:sz="2"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3月</w:t>
            </w:r>
          </w:p>
        </w:tc>
        <w:tc>
          <w:tcPr>
            <w:tcW w:w="607" w:type="dxa"/>
            <w:tcBorders>
              <w:top w:val="single" w:color="000000" w:sz="2"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4月</w:t>
            </w:r>
          </w:p>
        </w:tc>
        <w:tc>
          <w:tcPr>
            <w:tcW w:w="610" w:type="dxa"/>
            <w:tcBorders>
              <w:top w:val="single" w:color="000000" w:sz="2"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5月</w:t>
            </w:r>
          </w:p>
        </w:tc>
        <w:tc>
          <w:tcPr>
            <w:tcW w:w="610" w:type="dxa"/>
            <w:tcBorders>
              <w:top w:val="single" w:color="000000" w:sz="2"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6月</w:t>
            </w:r>
          </w:p>
        </w:tc>
        <w:tc>
          <w:tcPr>
            <w:tcW w:w="609" w:type="dxa"/>
            <w:tcBorders>
              <w:top w:val="single" w:color="000000" w:sz="2"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7月</w:t>
            </w:r>
          </w:p>
        </w:tc>
        <w:tc>
          <w:tcPr>
            <w:tcW w:w="608" w:type="dxa"/>
            <w:tcBorders>
              <w:top w:val="single" w:color="000000" w:sz="2"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8月</w:t>
            </w:r>
          </w:p>
        </w:tc>
        <w:tc>
          <w:tcPr>
            <w:tcW w:w="610" w:type="dxa"/>
            <w:tcBorders>
              <w:top w:val="single" w:color="000000" w:sz="2"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9月</w:t>
            </w:r>
          </w:p>
        </w:tc>
        <w:tc>
          <w:tcPr>
            <w:tcW w:w="609" w:type="dxa"/>
            <w:tcBorders>
              <w:top w:val="single" w:color="000000" w:sz="2"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10月</w:t>
            </w:r>
          </w:p>
        </w:tc>
        <w:tc>
          <w:tcPr>
            <w:tcW w:w="609" w:type="dxa"/>
            <w:tcBorders>
              <w:top w:val="single" w:color="000000" w:sz="2"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11月</w:t>
            </w:r>
          </w:p>
        </w:tc>
        <w:tc>
          <w:tcPr>
            <w:tcW w:w="600" w:type="dxa"/>
            <w:tcBorders>
              <w:top w:val="single" w:color="000000" w:sz="2" w:space="0"/>
              <w:left w:val="single" w:color="000000" w:sz="4" w:space="0"/>
              <w:bottom w:val="single" w:color="000000" w:sz="4"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41" w:type="dxa"/>
            <w:tcBorders>
              <w:top w:val="single" w:color="000000" w:sz="4" w:space="0"/>
              <w:left w:val="single" w:color="000000" w:sz="2" w:space="0"/>
              <w:bottom w:val="single" w:color="000000" w:sz="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温度</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eastAsia="zh-CN"/>
              </w:rPr>
              <w:t>）</w:t>
            </w:r>
          </w:p>
        </w:tc>
        <w:tc>
          <w:tcPr>
            <w:tcW w:w="610" w:type="dxa"/>
            <w:tcBorders>
              <w:top w:val="single" w:color="000000" w:sz="4"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-15.71</w:t>
            </w:r>
          </w:p>
        </w:tc>
        <w:tc>
          <w:tcPr>
            <w:tcW w:w="610" w:type="dxa"/>
            <w:tcBorders>
              <w:top w:val="single" w:color="000000" w:sz="4"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-13.93</w:t>
            </w:r>
          </w:p>
        </w:tc>
        <w:tc>
          <w:tcPr>
            <w:tcW w:w="610" w:type="dxa"/>
            <w:tcBorders>
              <w:top w:val="single" w:color="000000" w:sz="4"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0.11</w:t>
            </w:r>
          </w:p>
        </w:tc>
        <w:tc>
          <w:tcPr>
            <w:tcW w:w="607" w:type="dxa"/>
            <w:tcBorders>
              <w:top w:val="single" w:color="000000" w:sz="4"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14.36</w:t>
            </w:r>
          </w:p>
        </w:tc>
        <w:tc>
          <w:tcPr>
            <w:tcW w:w="610" w:type="dxa"/>
            <w:tcBorders>
              <w:top w:val="single" w:color="000000" w:sz="4"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16.47</w:t>
            </w:r>
          </w:p>
        </w:tc>
        <w:tc>
          <w:tcPr>
            <w:tcW w:w="610" w:type="dxa"/>
            <w:tcBorders>
              <w:top w:val="single" w:color="000000" w:sz="4"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23.13</w:t>
            </w:r>
          </w:p>
        </w:tc>
        <w:tc>
          <w:tcPr>
            <w:tcW w:w="609" w:type="dxa"/>
            <w:tcBorders>
              <w:top w:val="single" w:color="000000" w:sz="4"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25.63</w:t>
            </w:r>
          </w:p>
        </w:tc>
        <w:tc>
          <w:tcPr>
            <w:tcW w:w="608" w:type="dxa"/>
            <w:tcBorders>
              <w:top w:val="single" w:color="000000" w:sz="4"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24.58</w:t>
            </w:r>
          </w:p>
        </w:tc>
        <w:tc>
          <w:tcPr>
            <w:tcW w:w="610" w:type="dxa"/>
            <w:tcBorders>
              <w:top w:val="single" w:color="000000" w:sz="4"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18.75</w:t>
            </w:r>
          </w:p>
        </w:tc>
        <w:tc>
          <w:tcPr>
            <w:tcW w:w="609" w:type="dxa"/>
            <w:tcBorders>
              <w:top w:val="single" w:color="000000" w:sz="4"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8.31</w:t>
            </w:r>
          </w:p>
        </w:tc>
        <w:tc>
          <w:tcPr>
            <w:tcW w:w="609" w:type="dxa"/>
            <w:tcBorders>
              <w:top w:val="single" w:color="000000" w:sz="4"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-3.71</w:t>
            </w:r>
          </w:p>
        </w:tc>
        <w:tc>
          <w:tcPr>
            <w:tcW w:w="600" w:type="dxa"/>
            <w:tcBorders>
              <w:top w:val="single" w:color="000000" w:sz="4" w:space="0"/>
              <w:left w:val="single" w:color="000000" w:sz="4"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-12.20</w:t>
            </w:r>
          </w:p>
        </w:tc>
      </w:tr>
    </w:tbl>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风速</w:t>
      </w:r>
    </w:p>
    <w:p>
      <w:pP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昌吉市</w:t>
      </w:r>
      <w:r>
        <w:rPr>
          <w:rFonts w:hint="eastAsia" w:cs="Times New Roman"/>
          <w:color w:val="auto"/>
          <w:sz w:val="24"/>
          <w:szCs w:val="24"/>
          <w:highlight w:val="none"/>
          <w:lang w:val="en-US" w:eastAsia="zh-CN"/>
        </w:rPr>
        <w:t>2022</w:t>
      </w:r>
      <w:r>
        <w:rPr>
          <w:rFonts w:hint="default" w:ascii="Times New Roman" w:hAnsi="Times New Roman" w:eastAsia="宋体" w:cs="Times New Roman"/>
          <w:color w:val="auto"/>
          <w:sz w:val="24"/>
          <w:szCs w:val="24"/>
          <w:highlight w:val="none"/>
          <w:lang w:val="en-US" w:eastAsia="zh-CN"/>
        </w:rPr>
        <w:t>年月平均风速变化情况见</w:t>
      </w:r>
      <w:r>
        <w:rPr>
          <w:rFonts w:hint="eastAsia" w:cs="Times New Roman"/>
          <w:color w:val="auto"/>
          <w:sz w:val="24"/>
          <w:szCs w:val="24"/>
          <w:highlight w:val="none"/>
          <w:lang w:val="en-US" w:eastAsia="zh-CN"/>
        </w:rPr>
        <w:t>下</w:t>
      </w:r>
      <w:r>
        <w:rPr>
          <w:rFonts w:hint="default" w:ascii="Times New Roman" w:hAnsi="Times New Roman" w:eastAsia="宋体" w:cs="Times New Roman"/>
          <w:color w:val="auto"/>
          <w:sz w:val="24"/>
          <w:szCs w:val="24"/>
          <w:highlight w:val="none"/>
          <w:lang w:val="en-US" w:eastAsia="zh-CN"/>
        </w:rPr>
        <w:t>表。</w:t>
      </w:r>
    </w:p>
    <w:p>
      <w:pPr>
        <w:pStyle w:val="16"/>
        <w:keepNext w:val="0"/>
        <w:keepLines w:val="0"/>
        <w:pageBreakBefore w:val="0"/>
        <w:widowControl w:val="0"/>
        <w:kinsoku/>
        <w:wordWrap/>
        <w:overflowPunct/>
        <w:topLinePunct w:val="0"/>
        <w:autoSpaceDE/>
        <w:autoSpaceDN/>
        <w:bidi w:val="0"/>
        <w:adjustRightInd/>
        <w:snapToGrid/>
        <w:spacing w:line="240" w:lineRule="auto"/>
        <w:ind w:left="0" w:right="0" w:firstLine="190"/>
        <w:textAlignment w:val="auto"/>
        <w:rPr>
          <w:rFonts w:hint="default" w:ascii="Times New Roman" w:hAnsi="Times New Roman" w:eastAsia="黑体" w:cs="Times New Roman"/>
          <w:color w:val="auto"/>
          <w:spacing w:val="-2"/>
          <w:kern w:val="2"/>
          <w:sz w:val="24"/>
          <w:szCs w:val="24"/>
          <w:highlight w:val="none"/>
          <w:lang w:val="en-US" w:eastAsia="zh-CN" w:bidi="ar-SA"/>
        </w:rPr>
      </w:pPr>
      <w:r>
        <w:rPr>
          <w:rFonts w:hint="default" w:ascii="Times New Roman" w:hAnsi="Times New Roman" w:eastAsia="黑体" w:cs="Times New Roman"/>
          <w:color w:val="auto"/>
          <w:spacing w:val="-2"/>
          <w:sz w:val="24"/>
          <w:szCs w:val="24"/>
          <w:highlight w:val="none"/>
        </w:rPr>
        <w:t>表</w:t>
      </w:r>
      <w:r>
        <w:rPr>
          <w:rFonts w:hint="default" w:ascii="Times New Roman" w:hAnsi="Times New Roman" w:eastAsia="黑体" w:cs="Times New Roman"/>
          <w:color w:val="auto"/>
          <w:spacing w:val="-2"/>
          <w:kern w:val="2"/>
          <w:sz w:val="24"/>
          <w:szCs w:val="24"/>
          <w:highlight w:val="none"/>
          <w:lang w:val="en-US" w:eastAsia="zh-CN" w:bidi="ar-SA"/>
        </w:rPr>
        <w:t>5.2-3年平均风速的月变化一览表</w:t>
      </w:r>
    </w:p>
    <w:tbl>
      <w:tblPr>
        <w:tblStyle w:val="57"/>
        <w:tblW w:w="854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1"/>
        <w:gridCol w:w="610"/>
        <w:gridCol w:w="610"/>
        <w:gridCol w:w="610"/>
        <w:gridCol w:w="607"/>
        <w:gridCol w:w="610"/>
        <w:gridCol w:w="610"/>
        <w:gridCol w:w="609"/>
        <w:gridCol w:w="608"/>
        <w:gridCol w:w="610"/>
        <w:gridCol w:w="609"/>
        <w:gridCol w:w="609"/>
        <w:gridCol w:w="6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241" w:type="dxa"/>
            <w:tcBorders>
              <w:top w:val="single" w:color="000000" w:sz="10" w:space="0"/>
              <w:lef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月份</w:t>
            </w:r>
          </w:p>
        </w:tc>
        <w:tc>
          <w:tcPr>
            <w:tcW w:w="610" w:type="dxa"/>
            <w:tcBorders>
              <w:top w:val="single" w:color="000000" w:sz="10"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1月</w:t>
            </w:r>
          </w:p>
        </w:tc>
        <w:tc>
          <w:tcPr>
            <w:tcW w:w="610" w:type="dxa"/>
            <w:tcBorders>
              <w:top w:val="single" w:color="000000" w:sz="10"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2月</w:t>
            </w:r>
          </w:p>
        </w:tc>
        <w:tc>
          <w:tcPr>
            <w:tcW w:w="610" w:type="dxa"/>
            <w:tcBorders>
              <w:top w:val="single" w:color="000000" w:sz="10"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3月</w:t>
            </w:r>
          </w:p>
        </w:tc>
        <w:tc>
          <w:tcPr>
            <w:tcW w:w="607" w:type="dxa"/>
            <w:tcBorders>
              <w:top w:val="single" w:color="000000" w:sz="10"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4月</w:t>
            </w:r>
          </w:p>
        </w:tc>
        <w:tc>
          <w:tcPr>
            <w:tcW w:w="610" w:type="dxa"/>
            <w:tcBorders>
              <w:top w:val="single" w:color="000000" w:sz="10"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5月</w:t>
            </w:r>
          </w:p>
        </w:tc>
        <w:tc>
          <w:tcPr>
            <w:tcW w:w="610" w:type="dxa"/>
            <w:tcBorders>
              <w:top w:val="single" w:color="000000" w:sz="10"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6月</w:t>
            </w:r>
          </w:p>
        </w:tc>
        <w:tc>
          <w:tcPr>
            <w:tcW w:w="609" w:type="dxa"/>
            <w:tcBorders>
              <w:top w:val="single" w:color="000000" w:sz="10"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7月</w:t>
            </w:r>
          </w:p>
        </w:tc>
        <w:tc>
          <w:tcPr>
            <w:tcW w:w="608" w:type="dxa"/>
            <w:tcBorders>
              <w:top w:val="single" w:color="000000" w:sz="10"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8月</w:t>
            </w:r>
          </w:p>
        </w:tc>
        <w:tc>
          <w:tcPr>
            <w:tcW w:w="610" w:type="dxa"/>
            <w:tcBorders>
              <w:top w:val="single" w:color="000000" w:sz="10"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9月</w:t>
            </w:r>
          </w:p>
        </w:tc>
        <w:tc>
          <w:tcPr>
            <w:tcW w:w="609" w:type="dxa"/>
            <w:tcBorders>
              <w:top w:val="single" w:color="000000" w:sz="10"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10月</w:t>
            </w:r>
          </w:p>
        </w:tc>
        <w:tc>
          <w:tcPr>
            <w:tcW w:w="609" w:type="dxa"/>
            <w:tcBorders>
              <w:top w:val="single" w:color="000000" w:sz="10"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11月</w:t>
            </w:r>
          </w:p>
        </w:tc>
        <w:tc>
          <w:tcPr>
            <w:tcW w:w="600" w:type="dxa"/>
            <w:tcBorders>
              <w:top w:val="single" w:color="000000" w:sz="10" w:space="0"/>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241" w:type="dxa"/>
            <w:tcBorders>
              <w:left w:val="nil"/>
              <w:bottom w:val="single" w:color="000000" w:sz="10"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风速</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m/s</w:t>
            </w:r>
            <w:r>
              <w:rPr>
                <w:rFonts w:hint="eastAsia" w:cs="Times New Roman"/>
                <w:color w:val="auto"/>
                <w:sz w:val="21"/>
                <w:szCs w:val="21"/>
                <w:highlight w:val="none"/>
                <w:lang w:eastAsia="zh-CN"/>
              </w:rPr>
              <w:t>）</w:t>
            </w:r>
          </w:p>
        </w:tc>
        <w:tc>
          <w:tcPr>
            <w:tcW w:w="610" w:type="dxa"/>
            <w:tcBorders>
              <w:bottom w:val="single" w:color="000000" w:sz="10"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1.04</w:t>
            </w:r>
          </w:p>
        </w:tc>
        <w:tc>
          <w:tcPr>
            <w:tcW w:w="610" w:type="dxa"/>
            <w:tcBorders>
              <w:bottom w:val="single" w:color="000000" w:sz="10"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1.24</w:t>
            </w:r>
          </w:p>
        </w:tc>
        <w:tc>
          <w:tcPr>
            <w:tcW w:w="610" w:type="dxa"/>
            <w:tcBorders>
              <w:bottom w:val="single" w:color="000000" w:sz="10"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1.45</w:t>
            </w:r>
          </w:p>
        </w:tc>
        <w:tc>
          <w:tcPr>
            <w:tcW w:w="607" w:type="dxa"/>
            <w:tcBorders>
              <w:bottom w:val="single" w:color="000000" w:sz="10"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2.35</w:t>
            </w:r>
          </w:p>
        </w:tc>
        <w:tc>
          <w:tcPr>
            <w:tcW w:w="610" w:type="dxa"/>
            <w:tcBorders>
              <w:bottom w:val="single" w:color="000000" w:sz="10"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610" w:type="dxa"/>
            <w:tcBorders>
              <w:bottom w:val="single" w:color="000000" w:sz="10"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2.59</w:t>
            </w:r>
          </w:p>
        </w:tc>
        <w:tc>
          <w:tcPr>
            <w:tcW w:w="609" w:type="dxa"/>
            <w:tcBorders>
              <w:bottom w:val="single" w:color="000000" w:sz="10"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2.19</w:t>
            </w:r>
          </w:p>
        </w:tc>
        <w:tc>
          <w:tcPr>
            <w:tcW w:w="608" w:type="dxa"/>
            <w:tcBorders>
              <w:bottom w:val="single" w:color="000000" w:sz="10"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2.14</w:t>
            </w:r>
          </w:p>
        </w:tc>
        <w:tc>
          <w:tcPr>
            <w:tcW w:w="610" w:type="dxa"/>
            <w:tcBorders>
              <w:bottom w:val="single" w:color="000000" w:sz="10"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2.16</w:t>
            </w:r>
          </w:p>
        </w:tc>
        <w:tc>
          <w:tcPr>
            <w:tcW w:w="609" w:type="dxa"/>
            <w:tcBorders>
              <w:bottom w:val="single" w:color="000000" w:sz="10"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1.57</w:t>
            </w:r>
          </w:p>
        </w:tc>
        <w:tc>
          <w:tcPr>
            <w:tcW w:w="609" w:type="dxa"/>
            <w:tcBorders>
              <w:bottom w:val="single" w:color="000000" w:sz="10"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1.58</w:t>
            </w:r>
          </w:p>
        </w:tc>
        <w:tc>
          <w:tcPr>
            <w:tcW w:w="600" w:type="dxa"/>
            <w:tcBorders>
              <w:bottom w:val="single" w:color="000000" w:sz="10" w:space="0"/>
              <w:right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0.93</w:t>
            </w:r>
          </w:p>
        </w:tc>
      </w:tr>
    </w:tbl>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风向</w:t>
      </w:r>
    </w:p>
    <w:p>
      <w:pP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昌吉市</w:t>
      </w:r>
      <w:r>
        <w:rPr>
          <w:rFonts w:hint="eastAsia" w:cs="Times New Roman"/>
          <w:color w:val="auto"/>
          <w:sz w:val="24"/>
          <w:szCs w:val="24"/>
          <w:highlight w:val="none"/>
          <w:lang w:val="en-US" w:eastAsia="zh-CN"/>
        </w:rPr>
        <w:t>2022</w:t>
      </w:r>
      <w:r>
        <w:rPr>
          <w:rFonts w:hint="default" w:ascii="Times New Roman" w:hAnsi="Times New Roman" w:eastAsia="宋体" w:cs="Times New Roman"/>
          <w:color w:val="auto"/>
          <w:sz w:val="24"/>
          <w:szCs w:val="24"/>
          <w:highlight w:val="none"/>
          <w:lang w:val="en-US" w:eastAsia="zh-CN"/>
        </w:rPr>
        <w:t>年各月及全年风向频率分布情况见图5.2-</w:t>
      </w:r>
      <w:r>
        <w:rPr>
          <w:rFonts w:hint="default"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。从图中数据可以看出，昌吉市全年主导风向为W风，静风评率2.25%。</w:t>
      </w:r>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4219575" cy="5048250"/>
            <wp:effectExtent l="0" t="0" r="9525"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6"/>
                    <a:stretch>
                      <a:fillRect/>
                    </a:stretch>
                  </pic:blipFill>
                  <pic:spPr>
                    <a:xfrm>
                      <a:off x="0" y="0"/>
                      <a:ext cx="4219575" cy="5048250"/>
                    </a:xfrm>
                    <a:prstGeom prst="rect">
                      <a:avLst/>
                    </a:prstGeom>
                    <a:noFill/>
                    <a:ln>
                      <a:noFill/>
                    </a:ln>
                  </pic:spPr>
                </pic:pic>
              </a:graphicData>
            </a:graphic>
          </wp:inline>
        </w:drawing>
      </w:r>
    </w:p>
    <w:p>
      <w:pPr>
        <w:jc w:val="center"/>
        <w:rPr>
          <w:rFonts w:hint="default" w:ascii="Times New Roman" w:hAnsi="Times New Roman" w:cs="Times New Roman"/>
          <w:b/>
          <w:bCs/>
          <w:color w:val="auto"/>
          <w:highlight w:val="none"/>
          <w:lang w:val="en-US" w:eastAsia="zh-CN"/>
        </w:rPr>
      </w:pPr>
      <w:r>
        <w:rPr>
          <w:rFonts w:hint="default" w:ascii="Times New Roman" w:hAnsi="Times New Roman" w:eastAsia="宋体" w:cs="Times New Roman"/>
          <w:b/>
          <w:bCs/>
          <w:color w:val="auto"/>
          <w:sz w:val="24"/>
          <w:szCs w:val="24"/>
          <w:highlight w:val="none"/>
        </w:rPr>
        <w:t>图5.2-</w:t>
      </w:r>
      <w:r>
        <w:rPr>
          <w:rFonts w:hint="default" w:ascii="Times New Roman" w:hAnsi="Times New Roman"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昌吉市</w:t>
      </w:r>
      <w:r>
        <w:rPr>
          <w:rFonts w:hint="eastAsia" w:cs="Times New Roman"/>
          <w:b/>
          <w:bCs/>
          <w:color w:val="auto"/>
          <w:sz w:val="24"/>
          <w:szCs w:val="24"/>
          <w:highlight w:val="none"/>
          <w:lang w:val="en-US" w:eastAsia="zh-CN"/>
        </w:rPr>
        <w:t>2022年</w:t>
      </w:r>
      <w:r>
        <w:rPr>
          <w:rFonts w:hint="default" w:ascii="Times New Roman" w:hAnsi="Times New Roman" w:eastAsia="宋体" w:cs="Times New Roman"/>
          <w:b/>
          <w:bCs/>
          <w:color w:val="auto"/>
          <w:sz w:val="24"/>
          <w:szCs w:val="24"/>
          <w:highlight w:val="none"/>
        </w:rPr>
        <w:t>风频玫瑰图</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正常工况下大气环境影响预测与评价</w:t>
      </w:r>
    </w:p>
    <w:p>
      <w:pPr>
        <w:ind w:firstLine="480"/>
        <w:rPr>
          <w:rFonts w:hint="default" w:ascii="Times New Roman" w:hAnsi="Times New Roman" w:cs="Times New Roman"/>
          <w:color w:val="auto"/>
          <w:highlight w:val="none"/>
        </w:rPr>
      </w:pPr>
      <w:r>
        <w:rPr>
          <w:rFonts w:hint="eastAsia" w:cs="Times New Roman"/>
          <w:color w:val="auto"/>
          <w:highlight w:val="none"/>
          <w:lang w:eastAsia="zh-CN"/>
        </w:rPr>
        <w:t>本项目</w:t>
      </w:r>
      <w:r>
        <w:rPr>
          <w:rFonts w:hint="default" w:ascii="Times New Roman" w:hAnsi="Times New Roman" w:cs="Times New Roman"/>
          <w:color w:val="auto"/>
          <w:highlight w:val="none"/>
        </w:rPr>
        <w:t>设一套臭气处理系统，大气环境影响预测以污水处理厂产生的恶臭气体（主要为氨气和硫化氢）为预测对象。</w:t>
      </w:r>
    </w:p>
    <w:p>
      <w:pPr>
        <w:ind w:firstLine="422" w:firstLineChars="176"/>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依据《</w:t>
      </w:r>
      <w:r>
        <w:rPr>
          <w:rFonts w:hint="default" w:ascii="Times New Roman" w:hAnsi="Times New Roman" w:cs="Times New Roman"/>
          <w:color w:val="auto"/>
          <w:highlight w:val="none"/>
          <w:lang w:eastAsia="zh-CN"/>
        </w:rPr>
        <w:t>环境影响评价技术导则大气环境</w:t>
      </w:r>
      <w:r>
        <w:rPr>
          <w:rFonts w:hint="default" w:ascii="Times New Roman" w:hAnsi="Times New Roman" w:cs="Times New Roman"/>
          <w:color w:val="auto"/>
          <w:highlight w:val="none"/>
        </w:rPr>
        <w:t>》（HJ2.2-2018）中5.3节工作等级的确定方法，结合项目工程分析结果，选择正常排放的主要污染物及排放参数，采用附录A推荐模型中的AERSCREEN模式计算项目污染源的最大环境影响，然后按评价工作分级判据进行分级。</w:t>
      </w:r>
    </w:p>
    <w:p>
      <w:pPr>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（1）Pmax及D</w:t>
      </w:r>
      <w:r>
        <w:rPr>
          <w:rFonts w:hint="default" w:ascii="Times New Roman" w:hAnsi="Times New Roman" w:cs="Times New Roman"/>
          <w:b/>
          <w:bCs/>
          <w:color w:val="auto"/>
          <w:highlight w:val="none"/>
          <w:vertAlign w:val="subscript"/>
        </w:rPr>
        <w:t>10%</w:t>
      </w:r>
      <w:r>
        <w:rPr>
          <w:rFonts w:hint="default" w:ascii="Times New Roman" w:hAnsi="Times New Roman" w:cs="Times New Roman"/>
          <w:b/>
          <w:bCs/>
          <w:color w:val="auto"/>
          <w:highlight w:val="none"/>
        </w:rPr>
        <w:t>的确定</w:t>
      </w:r>
    </w:p>
    <w:p>
      <w:pPr>
        <w:ind w:firstLine="422" w:firstLineChars="176"/>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依据《环境影响评价技术导则大气环境》（HJ2.2-2018）中最大地面浓度占标率P</w:t>
      </w:r>
      <w:r>
        <w:rPr>
          <w:rFonts w:hint="default" w:ascii="Times New Roman" w:hAnsi="Times New Roman" w:cs="Times New Roman"/>
          <w:i/>
          <w:color w:val="auto"/>
          <w:highlight w:val="none"/>
        </w:rPr>
        <w:t>i</w:t>
      </w:r>
      <w:r>
        <w:rPr>
          <w:rFonts w:hint="default" w:ascii="Times New Roman" w:hAnsi="Times New Roman" w:cs="Times New Roman"/>
          <w:color w:val="auto"/>
          <w:highlight w:val="none"/>
        </w:rPr>
        <w:t>定义如下：</w:t>
      </w:r>
    </w:p>
    <w:p>
      <w:pPr>
        <w:spacing w:line="276" w:lineRule="auto"/>
        <w:ind w:firstLine="422" w:firstLineChars="176"/>
        <w:jc w:val="center"/>
        <w:rPr>
          <w:rFonts w:hint="default" w:ascii="Times New Roman" w:hAnsi="Times New Roman" w:cs="Times New Roman"/>
          <w:color w:val="auto"/>
          <w:highlight w:val="none"/>
        </w:rPr>
      </w:pPr>
      <m:oMathPara>
        <m:oMath>
          <m:sSub>
            <m:sSubPr>
              <m:ctrlPr>
                <w:rPr>
                  <w:rFonts w:hint="default" w:ascii="Cambria Math" w:hAnsi="Cambria Math" w:cs="Times New Roman"/>
                  <w:color w:val="auto"/>
                  <w:highlight w:val="none"/>
                </w:rPr>
              </m:ctrlPr>
            </m:sSubPr>
            <m:e>
              <m:r>
                <m:rPr/>
                <w:rPr>
                  <w:rFonts w:hint="default" w:ascii="Cambria Math" w:hAnsi="Cambria Math" w:cs="Times New Roman"/>
                  <w:color w:val="auto"/>
                  <w:highlight w:val="none"/>
                </w:rPr>
                <m:t>P</m:t>
              </m:r>
              <m:ctrlPr>
                <w:rPr>
                  <w:rFonts w:hint="default" w:ascii="Cambria Math" w:hAnsi="Cambria Math" w:cs="Times New Roman"/>
                  <w:color w:val="auto"/>
                  <w:highlight w:val="none"/>
                </w:rPr>
              </m:ctrlPr>
            </m:e>
            <m:sub>
              <m:r>
                <m:rPr/>
                <w:rPr>
                  <w:rFonts w:hint="default" w:ascii="Cambria Math" w:hAnsi="Cambria Math" w:cs="Times New Roman"/>
                  <w:color w:val="auto"/>
                  <w:highlight w:val="none"/>
                </w:rPr>
                <m:t>i</m:t>
              </m:r>
              <m:ctrlPr>
                <w:rPr>
                  <w:rFonts w:hint="default" w:ascii="Cambria Math" w:hAnsi="Cambria Math" w:cs="Times New Roman"/>
                  <w:color w:val="auto"/>
                  <w:highlight w:val="none"/>
                </w:rPr>
              </m:ctrlPr>
            </m:sub>
          </m:sSub>
          <m:r>
            <m:rPr>
              <m:sty m:val="p"/>
            </m:rPr>
            <w:rPr>
              <w:rFonts w:hint="default" w:ascii="Cambria Math" w:hAnsi="Cambria Math" w:cs="Times New Roman"/>
              <w:color w:val="auto"/>
              <w:highlight w:val="none"/>
            </w:rPr>
            <m:t>=</m:t>
          </m:r>
          <m:f>
            <m:fPr>
              <m:ctrlPr>
                <w:rPr>
                  <w:rFonts w:hint="default" w:ascii="Cambria Math" w:hAnsi="Cambria Math" w:cs="Times New Roman"/>
                  <w:color w:val="auto"/>
                  <w:highlight w:val="none"/>
                </w:rPr>
              </m:ctrlPr>
            </m:fPr>
            <m:num>
              <m:sSub>
                <m:sSubPr>
                  <m:ctrlPr>
                    <w:rPr>
                      <w:rFonts w:hint="default" w:ascii="Cambria Math" w:hAnsi="Cambria Math" w:cs="Times New Roman"/>
                      <w:i/>
                      <w:color w:val="auto"/>
                      <w:highlight w:val="none"/>
                    </w:rPr>
                  </m:ctrlPr>
                </m:sSubPr>
                <m:e>
                  <m:r>
                    <m:rPr/>
                    <w:rPr>
                      <w:rFonts w:hint="default" w:ascii="Cambria Math" w:hAnsi="Cambria Math" w:cs="Times New Roman"/>
                      <w:color w:val="auto"/>
                      <w:highlight w:val="none"/>
                    </w:rPr>
                    <m:t>C</m:t>
                  </m:r>
                  <m:ctrlPr>
                    <w:rPr>
                      <w:rFonts w:hint="default" w:ascii="Cambria Math" w:hAnsi="Cambria Math" w:cs="Times New Roman"/>
                      <w:i/>
                      <w:color w:val="auto"/>
                      <w:highlight w:val="none"/>
                    </w:rPr>
                  </m:ctrlPr>
                </m:e>
                <m:sub>
                  <m:r>
                    <m:rPr/>
                    <w:rPr>
                      <w:rFonts w:hint="default" w:ascii="Cambria Math" w:hAnsi="Cambria Math" w:cs="Times New Roman"/>
                      <w:color w:val="auto"/>
                      <w:highlight w:val="none"/>
                    </w:rPr>
                    <m:t>i</m:t>
                  </m:r>
                  <m:ctrlPr>
                    <w:rPr>
                      <w:rFonts w:hint="default" w:ascii="Cambria Math" w:hAnsi="Cambria Math" w:cs="Times New Roman"/>
                      <w:i/>
                      <w:color w:val="auto"/>
                      <w:highlight w:val="none"/>
                    </w:rPr>
                  </m:ctrlPr>
                </m:sub>
              </m:sSub>
              <m:ctrlPr>
                <w:rPr>
                  <w:rFonts w:hint="default" w:ascii="Cambria Math" w:hAnsi="Cambria Math" w:cs="Times New Roman"/>
                  <w:color w:val="auto"/>
                  <w:highlight w:val="none"/>
                </w:rPr>
              </m:ctrlPr>
            </m:num>
            <m:den>
              <m:sSub>
                <m:sSubPr>
                  <m:ctrlPr>
                    <w:rPr>
                      <w:rFonts w:hint="default" w:ascii="Cambria Math" w:hAnsi="Cambria Math" w:cs="Times New Roman"/>
                      <w:i/>
                      <w:color w:val="auto"/>
                      <w:highlight w:val="none"/>
                    </w:rPr>
                  </m:ctrlPr>
                </m:sSubPr>
                <m:e>
                  <m:r>
                    <m:rPr/>
                    <w:rPr>
                      <w:rFonts w:hint="default" w:ascii="Cambria Math" w:hAnsi="Cambria Math" w:cs="Times New Roman"/>
                      <w:color w:val="auto"/>
                      <w:highlight w:val="none"/>
                    </w:rPr>
                    <m:t>C</m:t>
                  </m:r>
                  <m:ctrlPr>
                    <w:rPr>
                      <w:rFonts w:hint="default" w:ascii="Cambria Math" w:hAnsi="Cambria Math" w:cs="Times New Roman"/>
                      <w:i/>
                      <w:color w:val="auto"/>
                      <w:highlight w:val="none"/>
                    </w:rPr>
                  </m:ctrlPr>
                </m:e>
                <m:sub>
                  <m:r>
                    <m:rPr/>
                    <w:rPr>
                      <w:rFonts w:hint="default" w:ascii="Cambria Math" w:hAnsi="Cambria Math" w:cs="Times New Roman"/>
                      <w:color w:val="auto"/>
                      <w:highlight w:val="none"/>
                    </w:rPr>
                    <m:t>0i</m:t>
                  </m:r>
                  <m:ctrlPr>
                    <w:rPr>
                      <w:rFonts w:hint="default" w:ascii="Cambria Math" w:hAnsi="Cambria Math" w:cs="Times New Roman"/>
                      <w:i/>
                      <w:color w:val="auto"/>
                      <w:highlight w:val="none"/>
                    </w:rPr>
                  </m:ctrlPr>
                </m:sub>
              </m:sSub>
              <m:ctrlPr>
                <w:rPr>
                  <w:rFonts w:hint="default" w:ascii="Cambria Math" w:hAnsi="Cambria Math" w:cs="Times New Roman"/>
                  <w:color w:val="auto"/>
                  <w:highlight w:val="none"/>
                </w:rPr>
              </m:ctrlPr>
            </m:den>
          </m:f>
          <m:r>
            <m:rPr/>
            <w:rPr>
              <w:rFonts w:hint="default" w:ascii="Cambria Math" w:hAnsi="Cambria Math" w:cs="Times New Roman"/>
              <w:color w:val="auto"/>
              <w:highlight w:val="none"/>
            </w:rPr>
            <m:t>×100%</m:t>
          </m:r>
        </m:oMath>
      </m:oMathPara>
    </w:p>
    <w:p>
      <w:pPr>
        <w:spacing w:line="480" w:lineRule="exact"/>
        <w:ind w:firstLine="422" w:firstLineChars="176"/>
        <w:jc w:val="left"/>
        <w:rPr>
          <w:rFonts w:hint="default" w:ascii="Times New Roman" w:hAnsi="Times New Roman" w:cs="Times New Roman"/>
          <w:color w:val="auto"/>
          <w:highlight w:val="none"/>
        </w:rPr>
      </w:pPr>
      <m:oMath>
        <m:sSub>
          <m:sSubPr>
            <m:ctrlPr>
              <w:rPr>
                <w:rFonts w:hint="default" w:ascii="Cambria Math" w:hAnsi="Cambria Math" w:cs="Times New Roman"/>
                <w:color w:val="auto"/>
                <w:highlight w:val="none"/>
              </w:rPr>
            </m:ctrlPr>
          </m:sSubPr>
          <m:e>
            <m:r>
              <m:rPr/>
              <w:rPr>
                <w:rFonts w:hint="default" w:ascii="Cambria Math" w:hAnsi="Cambria Math" w:cs="Times New Roman"/>
                <w:color w:val="auto"/>
                <w:highlight w:val="none"/>
              </w:rPr>
              <m:t>P</m:t>
            </m:r>
            <m:ctrlPr>
              <w:rPr>
                <w:rFonts w:hint="default" w:ascii="Cambria Math" w:hAnsi="Cambria Math" w:cs="Times New Roman"/>
                <w:color w:val="auto"/>
                <w:highlight w:val="none"/>
              </w:rPr>
            </m:ctrlPr>
          </m:e>
          <m:sub>
            <m:r>
              <m:rPr/>
              <w:rPr>
                <w:rFonts w:hint="default" w:ascii="Cambria Math" w:hAnsi="Cambria Math" w:cs="Times New Roman"/>
                <w:color w:val="auto"/>
                <w:highlight w:val="none"/>
              </w:rPr>
              <m:t>i</m:t>
            </m:r>
            <m:ctrlPr>
              <w:rPr>
                <w:rFonts w:hint="default" w:ascii="Cambria Math" w:hAnsi="Cambria Math" w:cs="Times New Roman"/>
                <w:color w:val="auto"/>
                <w:highlight w:val="none"/>
              </w:rPr>
            </m:ctrlPr>
          </m:sub>
        </m:sSub>
      </m:oMath>
      <w:r>
        <w:rPr>
          <w:rFonts w:hint="default" w:ascii="Times New Roman" w:hAnsi="Times New Roman" w:cs="Times New Roman"/>
          <w:color w:val="auto"/>
          <w:highlight w:val="none"/>
        </w:rPr>
        <w:t>——第i个污染物的最大地面空气质量浓度占标率，%；</w:t>
      </w:r>
    </w:p>
    <w:p>
      <w:pPr>
        <w:spacing w:line="480" w:lineRule="exact"/>
        <w:ind w:firstLine="422" w:firstLineChars="176"/>
        <w:jc w:val="left"/>
        <w:rPr>
          <w:rFonts w:hint="default" w:ascii="Times New Roman" w:hAnsi="Times New Roman" w:cs="Times New Roman"/>
          <w:color w:val="auto"/>
          <w:highlight w:val="none"/>
        </w:rPr>
      </w:pPr>
      <m:oMath>
        <m:sSub>
          <m:sSubPr>
            <m:ctrlPr>
              <w:rPr>
                <w:rFonts w:hint="default" w:ascii="Cambria Math" w:hAnsi="Cambria Math" w:cs="Times New Roman"/>
                <w:i/>
                <w:color w:val="auto"/>
                <w:highlight w:val="none"/>
              </w:rPr>
            </m:ctrlPr>
          </m:sSubPr>
          <m:e>
            <m:r>
              <m:rPr/>
              <w:rPr>
                <w:rFonts w:hint="default" w:ascii="Cambria Math" w:hAnsi="Cambria Math" w:cs="Times New Roman"/>
                <w:color w:val="auto"/>
                <w:highlight w:val="none"/>
              </w:rPr>
              <m:t>C</m:t>
            </m:r>
            <m:ctrlPr>
              <w:rPr>
                <w:rFonts w:hint="default" w:ascii="Cambria Math" w:hAnsi="Cambria Math" w:cs="Times New Roman"/>
                <w:i/>
                <w:color w:val="auto"/>
                <w:highlight w:val="none"/>
              </w:rPr>
            </m:ctrlPr>
          </m:e>
          <m:sub>
            <m:r>
              <m:rPr/>
              <w:rPr>
                <w:rFonts w:hint="default" w:ascii="Cambria Math" w:hAnsi="Cambria Math" w:cs="Times New Roman"/>
                <w:color w:val="auto"/>
                <w:highlight w:val="none"/>
              </w:rPr>
              <m:t>i</m:t>
            </m:r>
            <m:ctrlPr>
              <w:rPr>
                <w:rFonts w:hint="default" w:ascii="Cambria Math" w:hAnsi="Cambria Math" w:cs="Times New Roman"/>
                <w:i/>
                <w:color w:val="auto"/>
                <w:highlight w:val="none"/>
              </w:rPr>
            </m:ctrlPr>
          </m:sub>
        </m:sSub>
      </m:oMath>
      <w:r>
        <w:rPr>
          <w:rFonts w:hint="default" w:ascii="Times New Roman" w:hAnsi="Times New Roman" w:cs="Times New Roman"/>
          <w:color w:val="auto"/>
          <w:highlight w:val="none"/>
        </w:rPr>
        <w:t>——采用估算模型计算出的第i个污染物的最大1h地面空气质量浓度，μg/m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p>
      <w:pPr>
        <w:spacing w:line="480" w:lineRule="exact"/>
        <w:ind w:firstLine="422" w:firstLineChars="176"/>
        <w:jc w:val="left"/>
        <w:rPr>
          <w:rFonts w:hint="default" w:ascii="Times New Roman" w:hAnsi="Times New Roman" w:cs="Times New Roman"/>
          <w:color w:val="auto"/>
          <w:highlight w:val="none"/>
        </w:rPr>
      </w:pPr>
      <m:oMath>
        <m:sSub>
          <m:sSubPr>
            <m:ctrlPr>
              <w:rPr>
                <w:rFonts w:hint="default" w:ascii="Cambria Math" w:hAnsi="Cambria Math" w:cs="Times New Roman"/>
                <w:i/>
                <w:color w:val="auto"/>
                <w:highlight w:val="none"/>
              </w:rPr>
            </m:ctrlPr>
          </m:sSubPr>
          <m:e>
            <m:r>
              <m:rPr/>
              <w:rPr>
                <w:rFonts w:hint="default" w:ascii="Cambria Math" w:hAnsi="Cambria Math" w:cs="Times New Roman"/>
                <w:color w:val="auto"/>
                <w:highlight w:val="none"/>
              </w:rPr>
              <m:t>C</m:t>
            </m:r>
            <m:ctrlPr>
              <w:rPr>
                <w:rFonts w:hint="default" w:ascii="Cambria Math" w:hAnsi="Cambria Math" w:cs="Times New Roman"/>
                <w:i/>
                <w:color w:val="auto"/>
                <w:highlight w:val="none"/>
              </w:rPr>
            </m:ctrlPr>
          </m:e>
          <m:sub>
            <m:r>
              <m:rPr/>
              <w:rPr>
                <w:rFonts w:hint="default" w:ascii="Cambria Math" w:hAnsi="Cambria Math" w:cs="Times New Roman"/>
                <w:color w:val="auto"/>
                <w:highlight w:val="none"/>
              </w:rPr>
              <m:t>0i</m:t>
            </m:r>
            <m:ctrlPr>
              <w:rPr>
                <w:rFonts w:hint="default" w:ascii="Cambria Math" w:hAnsi="Cambria Math" w:cs="Times New Roman"/>
                <w:i/>
                <w:color w:val="auto"/>
                <w:highlight w:val="none"/>
              </w:rPr>
            </m:ctrlPr>
          </m:sub>
        </m:sSub>
      </m:oMath>
      <w:r>
        <w:rPr>
          <w:rFonts w:hint="default" w:ascii="Times New Roman" w:hAnsi="Times New Roman" w:cs="Times New Roman"/>
          <w:color w:val="auto"/>
          <w:highlight w:val="none"/>
        </w:rPr>
        <w:t>——第i个污染物的环境空气质量浓度标准，μg/m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p>
      <w:pPr>
        <w:spacing w:before="120" w:beforeLines="50"/>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（2）评价等级判别表</w:t>
      </w:r>
    </w:p>
    <w:p>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评价等级按下表的分级判据进行划分。</w:t>
      </w:r>
    </w:p>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rPr>
        <w:t>表5.2-</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评价等级判别表</w:t>
      </w:r>
    </w:p>
    <w:tbl>
      <w:tblPr>
        <w:tblStyle w:val="34"/>
        <w:tblW w:w="8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7"/>
        <w:gridCol w:w="4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1" w:hRule="atLeast"/>
        </w:trPr>
        <w:tc>
          <w:tcPr>
            <w:tcW w:w="4237"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评价工作等级</w:t>
            </w:r>
          </w:p>
        </w:tc>
        <w:tc>
          <w:tcPr>
            <w:tcW w:w="4359"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237"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一级评价</w:t>
            </w:r>
          </w:p>
        </w:tc>
        <w:tc>
          <w:tcPr>
            <w:tcW w:w="4359"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237"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二级评价</w:t>
            </w:r>
          </w:p>
        </w:tc>
        <w:tc>
          <w:tcPr>
            <w:tcW w:w="4359"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1%≤Pmax&lt;10%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237"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三级评价</w:t>
            </w:r>
          </w:p>
        </w:tc>
        <w:tc>
          <w:tcPr>
            <w:tcW w:w="4359"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Pmax&lt;1%</w:t>
            </w:r>
          </w:p>
        </w:tc>
      </w:tr>
    </w:tbl>
    <w:p>
      <w:pPr>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（3）污染物评价标准</w:t>
      </w:r>
    </w:p>
    <w:p>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污染物评价标准和来源见下表。</w:t>
      </w:r>
    </w:p>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rPr>
        <w:t>表5.2-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污染物评价标准</w:t>
      </w:r>
    </w:p>
    <w:tbl>
      <w:tblPr>
        <w:tblStyle w:val="33"/>
        <w:tblW w:w="8587"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435"/>
        <w:gridCol w:w="1186"/>
        <w:gridCol w:w="1268"/>
        <w:gridCol w:w="1146"/>
        <w:gridCol w:w="355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1435"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污染物名称</w:t>
            </w:r>
          </w:p>
        </w:tc>
        <w:tc>
          <w:tcPr>
            <w:tcW w:w="1186"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功能区</w:t>
            </w:r>
          </w:p>
        </w:tc>
        <w:tc>
          <w:tcPr>
            <w:tcW w:w="1268"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取值时间</w:t>
            </w:r>
          </w:p>
        </w:tc>
        <w:tc>
          <w:tcPr>
            <w:tcW w:w="1146"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标准值（μg/m³）</w:t>
            </w:r>
          </w:p>
        </w:tc>
        <w:tc>
          <w:tcPr>
            <w:tcW w:w="3552"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标准来源</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1435"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NH</w:t>
            </w:r>
            <w:r>
              <w:rPr>
                <w:rFonts w:hint="default" w:ascii="Times New Roman" w:hAnsi="Times New Roman" w:cs="Times New Roman"/>
                <w:color w:val="auto"/>
                <w:highlight w:val="none"/>
                <w:vertAlign w:val="subscript"/>
              </w:rPr>
              <w:t>3</w:t>
            </w:r>
          </w:p>
        </w:tc>
        <w:tc>
          <w:tcPr>
            <w:tcW w:w="1186"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二类区</w:t>
            </w:r>
          </w:p>
        </w:tc>
        <w:tc>
          <w:tcPr>
            <w:tcW w:w="1268"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一小时</w:t>
            </w:r>
          </w:p>
        </w:tc>
        <w:tc>
          <w:tcPr>
            <w:tcW w:w="1146"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200.0</w:t>
            </w:r>
          </w:p>
        </w:tc>
        <w:tc>
          <w:tcPr>
            <w:tcW w:w="3552"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环境影响评价技术导则大气环境</w:t>
            </w:r>
            <w:r>
              <w:rPr>
                <w:rFonts w:hint="default" w:ascii="Times New Roman" w:hAnsi="Times New Roman" w:cs="Times New Roman"/>
                <w:color w:val="auto"/>
                <w:highlight w:val="none"/>
              </w:rPr>
              <w:t>》HJ2.2-2018附录D</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1435"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w:t>
            </w:r>
          </w:p>
        </w:tc>
        <w:tc>
          <w:tcPr>
            <w:tcW w:w="1186"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二类区</w:t>
            </w:r>
          </w:p>
        </w:tc>
        <w:tc>
          <w:tcPr>
            <w:tcW w:w="1268"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一小时</w:t>
            </w:r>
          </w:p>
        </w:tc>
        <w:tc>
          <w:tcPr>
            <w:tcW w:w="1146"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10.0</w:t>
            </w:r>
          </w:p>
        </w:tc>
        <w:tc>
          <w:tcPr>
            <w:tcW w:w="3552" w:type="dxa"/>
            <w:vAlign w:val="center"/>
          </w:tcPr>
          <w:p>
            <w:pPr>
              <w:pStyle w:val="49"/>
              <w:keepNext w:val="0"/>
              <w:keepLines w:val="0"/>
              <w:pageBreakBefore w:val="0"/>
              <w:widowControl w:val="0"/>
              <w:kinsoku/>
              <w:wordWrap/>
              <w:overflowPunct/>
              <w:topLinePunct w:val="0"/>
              <w:autoSpaceDE/>
              <w:autoSpaceDN/>
              <w:bidi w:val="0"/>
              <w:adjustRightInd/>
              <w:snapToGrid/>
              <w:ind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环境影响评价技术导则大气环境</w:t>
            </w:r>
            <w:r>
              <w:rPr>
                <w:rFonts w:hint="default" w:ascii="Times New Roman" w:hAnsi="Times New Roman" w:cs="Times New Roman"/>
                <w:color w:val="auto"/>
                <w:highlight w:val="none"/>
              </w:rPr>
              <w:t>》HJ2.2-2018附录D</w:t>
            </w:r>
          </w:p>
        </w:tc>
      </w:tr>
    </w:tbl>
    <w:p>
      <w:pPr>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（4）污染源参数</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项目废气污染源排放参数见下表：</w:t>
      </w:r>
    </w:p>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rPr>
        <w:t>表5.2-</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主要废气污染源参数一览表（点源DA001）</w:t>
      </w:r>
    </w:p>
    <w:tbl>
      <w:tblPr>
        <w:tblStyle w:val="33"/>
        <w:tblW w:w="859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655"/>
        <w:gridCol w:w="1019"/>
        <w:gridCol w:w="1232"/>
        <w:gridCol w:w="893"/>
        <w:gridCol w:w="781"/>
        <w:gridCol w:w="668"/>
        <w:gridCol w:w="781"/>
        <w:gridCol w:w="781"/>
        <w:gridCol w:w="893"/>
        <w:gridCol w:w="89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655" w:type="dxa"/>
            <w:vMerge w:val="restar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污染源名称</w:t>
            </w:r>
          </w:p>
        </w:tc>
        <w:tc>
          <w:tcPr>
            <w:tcW w:w="2251" w:type="dxa"/>
            <w:gridSpan w:val="2"/>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排气筒底部中心坐标（°）</w:t>
            </w:r>
          </w:p>
        </w:tc>
        <w:tc>
          <w:tcPr>
            <w:tcW w:w="893" w:type="dxa"/>
            <w:vMerge w:val="restar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排气筒底部海拔（m）</w:t>
            </w:r>
          </w:p>
        </w:tc>
        <w:tc>
          <w:tcPr>
            <w:tcW w:w="3011" w:type="dxa"/>
            <w:gridSpan w:val="4"/>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排气筒参数</w:t>
            </w:r>
          </w:p>
        </w:tc>
        <w:tc>
          <w:tcPr>
            <w:tcW w:w="1786" w:type="dxa"/>
            <w:gridSpan w:val="2"/>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污染物排放速率（kg/h）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655" w:type="dxa"/>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1019" w:type="dxa"/>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经度</w:t>
            </w:r>
          </w:p>
        </w:tc>
        <w:tc>
          <w:tcPr>
            <w:tcW w:w="1232" w:type="dxa"/>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纬度</w:t>
            </w:r>
          </w:p>
        </w:tc>
        <w:tc>
          <w:tcPr>
            <w:tcW w:w="893" w:type="dxa"/>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781" w:type="dxa"/>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高度（m）</w:t>
            </w:r>
          </w:p>
        </w:tc>
        <w:tc>
          <w:tcPr>
            <w:tcW w:w="668" w:type="dxa"/>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内径（m）</w:t>
            </w:r>
          </w:p>
        </w:tc>
        <w:tc>
          <w:tcPr>
            <w:tcW w:w="781" w:type="dxa"/>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温度（℃）</w:t>
            </w:r>
          </w:p>
        </w:tc>
        <w:tc>
          <w:tcPr>
            <w:tcW w:w="781" w:type="dxa"/>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流速（m/s）</w:t>
            </w:r>
          </w:p>
        </w:tc>
        <w:tc>
          <w:tcPr>
            <w:tcW w:w="893" w:type="dxa"/>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w:t>
            </w:r>
          </w:p>
        </w:tc>
        <w:tc>
          <w:tcPr>
            <w:tcW w:w="893" w:type="dxa"/>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655" w:type="dxa"/>
            <w:vAlign w:val="center"/>
          </w:tcPr>
          <w:p>
            <w:pPr>
              <w:pStyle w:val="4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点源</w:t>
            </w:r>
          </w:p>
        </w:tc>
        <w:tc>
          <w:tcPr>
            <w:tcW w:w="1019" w:type="dxa"/>
            <w:vAlign w:val="center"/>
          </w:tcPr>
          <w:p>
            <w:pPr>
              <w:pStyle w:val="4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87.099245</w:t>
            </w:r>
          </w:p>
        </w:tc>
        <w:tc>
          <w:tcPr>
            <w:tcW w:w="1232" w:type="dxa"/>
            <w:vAlign w:val="center"/>
          </w:tcPr>
          <w:p>
            <w:pPr>
              <w:pStyle w:val="4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44.208483</w:t>
            </w:r>
          </w:p>
        </w:tc>
        <w:tc>
          <w:tcPr>
            <w:tcW w:w="893" w:type="dxa"/>
            <w:vAlign w:val="center"/>
          </w:tcPr>
          <w:p>
            <w:pPr>
              <w:pStyle w:val="4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489.00</w:t>
            </w:r>
          </w:p>
        </w:tc>
        <w:tc>
          <w:tcPr>
            <w:tcW w:w="781" w:type="dxa"/>
            <w:vAlign w:val="center"/>
          </w:tcPr>
          <w:p>
            <w:pPr>
              <w:pStyle w:val="4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15.00</w:t>
            </w:r>
          </w:p>
        </w:tc>
        <w:tc>
          <w:tcPr>
            <w:tcW w:w="668" w:type="dxa"/>
            <w:vAlign w:val="center"/>
          </w:tcPr>
          <w:p>
            <w:pPr>
              <w:pStyle w:val="4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c>
          <w:tcPr>
            <w:tcW w:w="781" w:type="dxa"/>
            <w:vAlign w:val="center"/>
          </w:tcPr>
          <w:p>
            <w:pPr>
              <w:pStyle w:val="4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19.85</w:t>
            </w:r>
          </w:p>
        </w:tc>
        <w:tc>
          <w:tcPr>
            <w:tcW w:w="781" w:type="dxa"/>
            <w:vAlign w:val="center"/>
          </w:tcPr>
          <w:p>
            <w:pPr>
              <w:pStyle w:val="4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12.74</w:t>
            </w:r>
          </w:p>
        </w:tc>
        <w:tc>
          <w:tcPr>
            <w:tcW w:w="893" w:type="dxa"/>
            <w:vAlign w:val="center"/>
          </w:tcPr>
          <w:p>
            <w:pPr>
              <w:pStyle w:val="4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0.0030</w:t>
            </w:r>
          </w:p>
        </w:tc>
        <w:tc>
          <w:tcPr>
            <w:tcW w:w="893" w:type="dxa"/>
            <w:vAlign w:val="center"/>
          </w:tcPr>
          <w:p>
            <w:pPr>
              <w:pStyle w:val="4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0.1560</w:t>
            </w:r>
          </w:p>
        </w:tc>
      </w:tr>
    </w:tbl>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rPr>
        <w:t>表5.2-</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主要废气污染源参数一览表（无组织面源）</w:t>
      </w:r>
    </w:p>
    <w:tbl>
      <w:tblPr>
        <w:tblStyle w:val="33"/>
        <w:tblW w:w="8591"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725"/>
        <w:gridCol w:w="1243"/>
        <w:gridCol w:w="1347"/>
        <w:gridCol w:w="835"/>
        <w:gridCol w:w="835"/>
        <w:gridCol w:w="835"/>
        <w:gridCol w:w="840"/>
        <w:gridCol w:w="962"/>
        <w:gridCol w:w="96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28" w:hRule="atLeast"/>
        </w:trPr>
        <w:tc>
          <w:tcPr>
            <w:tcW w:w="725" w:type="dxa"/>
            <w:vMerge w:val="restar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污染源名称</w:t>
            </w:r>
          </w:p>
        </w:tc>
        <w:tc>
          <w:tcPr>
            <w:tcW w:w="2590" w:type="dxa"/>
            <w:gridSpan w:val="2"/>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坐标（°）</w:t>
            </w:r>
          </w:p>
        </w:tc>
        <w:tc>
          <w:tcPr>
            <w:tcW w:w="835" w:type="dxa"/>
            <w:vMerge w:val="restart"/>
            <w:vAlign w:val="center"/>
          </w:tcPr>
          <w:p>
            <w:pPr>
              <w:pStyle w:val="49"/>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海拔</w:t>
            </w:r>
            <w:r>
              <w:rPr>
                <w:rFonts w:hint="default" w:ascii="Times New Roman" w:hAnsi="Times New Roman" w:cs="Times New Roman"/>
                <w:color w:val="auto"/>
                <w:highlight w:val="none"/>
              </w:rPr>
              <w:t>（m）</w:t>
            </w:r>
          </w:p>
        </w:tc>
        <w:tc>
          <w:tcPr>
            <w:tcW w:w="2510" w:type="dxa"/>
            <w:gridSpan w:val="3"/>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矩形面源</w:t>
            </w:r>
          </w:p>
        </w:tc>
        <w:tc>
          <w:tcPr>
            <w:tcW w:w="1931" w:type="dxa"/>
            <w:gridSpan w:val="2"/>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污染物排放速率（kg/h）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295" w:hRule="atLeast"/>
        </w:trPr>
        <w:tc>
          <w:tcPr>
            <w:tcW w:w="725" w:type="dxa"/>
            <w:vMerge w:val="continue"/>
            <w:vAlign w:val="center"/>
          </w:tcPr>
          <w:p>
            <w:pPr>
              <w:pStyle w:val="49"/>
              <w:rPr>
                <w:rFonts w:hint="default" w:ascii="Times New Roman" w:hAnsi="Times New Roman" w:cs="Times New Roman"/>
                <w:color w:val="auto"/>
                <w:highlight w:val="none"/>
              </w:rPr>
            </w:pPr>
          </w:p>
        </w:tc>
        <w:tc>
          <w:tcPr>
            <w:tcW w:w="1243"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经度</w:t>
            </w:r>
          </w:p>
        </w:tc>
        <w:tc>
          <w:tcPr>
            <w:tcW w:w="1347"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纬度</w:t>
            </w:r>
          </w:p>
        </w:tc>
        <w:tc>
          <w:tcPr>
            <w:tcW w:w="835" w:type="dxa"/>
            <w:vMerge w:val="continue"/>
            <w:vAlign w:val="center"/>
          </w:tcPr>
          <w:p>
            <w:pPr>
              <w:pStyle w:val="49"/>
              <w:rPr>
                <w:rFonts w:hint="default" w:ascii="Times New Roman" w:hAnsi="Times New Roman" w:cs="Times New Roman"/>
                <w:color w:val="auto"/>
                <w:highlight w:val="none"/>
              </w:rPr>
            </w:pPr>
          </w:p>
        </w:tc>
        <w:tc>
          <w:tcPr>
            <w:tcW w:w="835"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长度（m）</w:t>
            </w:r>
          </w:p>
        </w:tc>
        <w:tc>
          <w:tcPr>
            <w:tcW w:w="835"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宽度（m）</w:t>
            </w:r>
          </w:p>
        </w:tc>
        <w:tc>
          <w:tcPr>
            <w:tcW w:w="840"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有效高度（m）</w:t>
            </w:r>
          </w:p>
        </w:tc>
        <w:tc>
          <w:tcPr>
            <w:tcW w:w="962"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w:t>
            </w:r>
          </w:p>
        </w:tc>
        <w:tc>
          <w:tcPr>
            <w:tcW w:w="969"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NH</w:t>
            </w:r>
            <w:r>
              <w:rPr>
                <w:rFonts w:hint="default" w:ascii="Times New Roman" w:hAnsi="Times New Roman" w:cs="Times New Roman"/>
                <w:color w:val="auto"/>
                <w:highlight w:val="none"/>
                <w:vertAlign w:val="subscript"/>
              </w:rPr>
              <w:t>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725"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矩形面源</w:t>
            </w:r>
          </w:p>
        </w:tc>
        <w:tc>
          <w:tcPr>
            <w:tcW w:w="1243"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87.098734</w:t>
            </w:r>
          </w:p>
        </w:tc>
        <w:tc>
          <w:tcPr>
            <w:tcW w:w="1347"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44.210342</w:t>
            </w:r>
          </w:p>
        </w:tc>
        <w:tc>
          <w:tcPr>
            <w:tcW w:w="835"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486.00</w:t>
            </w:r>
          </w:p>
        </w:tc>
        <w:tc>
          <w:tcPr>
            <w:tcW w:w="835" w:type="dxa"/>
            <w:vAlign w:val="center"/>
          </w:tcPr>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145.58</w:t>
            </w:r>
          </w:p>
        </w:tc>
        <w:tc>
          <w:tcPr>
            <w:tcW w:w="835" w:type="dxa"/>
            <w:vAlign w:val="center"/>
          </w:tcPr>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226.06</w:t>
            </w:r>
          </w:p>
        </w:tc>
        <w:tc>
          <w:tcPr>
            <w:tcW w:w="840"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10.00</w:t>
            </w:r>
          </w:p>
        </w:tc>
        <w:tc>
          <w:tcPr>
            <w:tcW w:w="962" w:type="dxa"/>
            <w:vAlign w:val="center"/>
          </w:tcPr>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0.0020</w:t>
            </w:r>
          </w:p>
        </w:tc>
        <w:tc>
          <w:tcPr>
            <w:tcW w:w="969" w:type="dxa"/>
            <w:vAlign w:val="center"/>
          </w:tcPr>
          <w:p>
            <w:pPr>
              <w:pStyle w:val="4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0.0820</w:t>
            </w:r>
          </w:p>
        </w:tc>
      </w:tr>
    </w:tbl>
    <w:p>
      <w:pPr>
        <w:bidi w:val="0"/>
        <w:rPr>
          <w:rFonts w:hint="default"/>
        </w:rPr>
      </w:pPr>
      <w:bookmarkStart w:id="135" w:name="_Toc9261"/>
      <w:bookmarkStart w:id="136" w:name="_Toc23932"/>
      <w:r>
        <w:rPr>
          <w:rFonts w:hint="eastAsia"/>
          <w:lang w:eastAsia="zh-CN"/>
        </w:rPr>
        <w:t>（</w:t>
      </w:r>
      <w:r>
        <w:rPr>
          <w:rFonts w:hint="default"/>
        </w:rPr>
        <w:t>5</w:t>
      </w:r>
      <w:r>
        <w:rPr>
          <w:rFonts w:hint="eastAsia"/>
          <w:lang w:eastAsia="zh-CN"/>
        </w:rPr>
        <w:t>）</w:t>
      </w:r>
      <w:r>
        <w:rPr>
          <w:rFonts w:hint="default"/>
        </w:rPr>
        <w:t>项目参数</w:t>
      </w:r>
      <w:bookmarkEnd w:id="135"/>
      <w:bookmarkEnd w:id="136"/>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估算模式所用参数见下表。</w:t>
      </w:r>
    </w:p>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rPr>
        <w:t>表5.2-</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估算模型参数表</w:t>
      </w:r>
    </w:p>
    <w:tbl>
      <w:tblPr>
        <w:tblStyle w:val="33"/>
        <w:tblW w:w="8594"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547"/>
        <w:gridCol w:w="2548"/>
        <w:gridCol w:w="3499"/>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5095" w:type="dxa"/>
            <w:gridSpan w:val="2"/>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参数</w:t>
            </w:r>
          </w:p>
        </w:tc>
        <w:tc>
          <w:tcPr>
            <w:tcW w:w="3499"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取值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2547" w:type="dxa"/>
            <w:vMerge w:val="restar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城市/农村选项</w:t>
            </w:r>
          </w:p>
        </w:tc>
        <w:tc>
          <w:tcPr>
            <w:tcW w:w="2548"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城市/农村</w:t>
            </w:r>
          </w:p>
        </w:tc>
        <w:tc>
          <w:tcPr>
            <w:tcW w:w="3499"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城市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2547" w:type="dxa"/>
            <w:vMerge w:val="continue"/>
            <w:vAlign w:val="center"/>
          </w:tcPr>
          <w:p>
            <w:pPr>
              <w:pStyle w:val="49"/>
              <w:rPr>
                <w:rFonts w:hint="default" w:ascii="Times New Roman" w:hAnsi="Times New Roman" w:cs="Times New Roman"/>
                <w:color w:val="auto"/>
                <w:highlight w:val="none"/>
              </w:rPr>
            </w:pPr>
          </w:p>
        </w:tc>
        <w:tc>
          <w:tcPr>
            <w:tcW w:w="2548"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人口数（城市人口数）</w:t>
            </w:r>
          </w:p>
        </w:tc>
        <w:tc>
          <w:tcPr>
            <w:tcW w:w="3499"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400000人</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5095" w:type="dxa"/>
            <w:gridSpan w:val="2"/>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最高环境温度</w:t>
            </w:r>
          </w:p>
        </w:tc>
        <w:tc>
          <w:tcPr>
            <w:tcW w:w="3499"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42.9</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5095" w:type="dxa"/>
            <w:gridSpan w:val="2"/>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最低环境温度</w:t>
            </w:r>
          </w:p>
        </w:tc>
        <w:tc>
          <w:tcPr>
            <w:tcW w:w="3499"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-36.8</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5095" w:type="dxa"/>
            <w:gridSpan w:val="2"/>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土地利用类型</w:t>
            </w:r>
          </w:p>
        </w:tc>
        <w:tc>
          <w:tcPr>
            <w:tcW w:w="3499"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荒漠</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5095" w:type="dxa"/>
            <w:gridSpan w:val="2"/>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区域湿度条件</w:t>
            </w:r>
          </w:p>
        </w:tc>
        <w:tc>
          <w:tcPr>
            <w:tcW w:w="3499"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干燥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2547" w:type="dxa"/>
            <w:vMerge w:val="restar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是否考虑地形</w:t>
            </w:r>
          </w:p>
        </w:tc>
        <w:tc>
          <w:tcPr>
            <w:tcW w:w="2548"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考虑地形</w:t>
            </w:r>
          </w:p>
        </w:tc>
        <w:tc>
          <w:tcPr>
            <w:tcW w:w="3499"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是</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2547" w:type="dxa"/>
            <w:vMerge w:val="continue"/>
            <w:vAlign w:val="center"/>
          </w:tcPr>
          <w:p>
            <w:pPr>
              <w:pStyle w:val="49"/>
              <w:rPr>
                <w:rFonts w:hint="default" w:ascii="Times New Roman" w:hAnsi="Times New Roman" w:cs="Times New Roman"/>
                <w:color w:val="auto"/>
                <w:highlight w:val="none"/>
              </w:rPr>
            </w:pPr>
          </w:p>
        </w:tc>
        <w:tc>
          <w:tcPr>
            <w:tcW w:w="2548"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地形数据分辨率（m）</w:t>
            </w:r>
          </w:p>
        </w:tc>
        <w:tc>
          <w:tcPr>
            <w:tcW w:w="3499"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90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2547" w:type="dxa"/>
            <w:vMerge w:val="restart"/>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是否考虑岸线熏烟</w:t>
            </w:r>
          </w:p>
        </w:tc>
        <w:tc>
          <w:tcPr>
            <w:tcW w:w="2548"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考虑岸线熏烟</w:t>
            </w:r>
          </w:p>
        </w:tc>
        <w:tc>
          <w:tcPr>
            <w:tcW w:w="3499"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2547" w:type="dxa"/>
            <w:vMerge w:val="continue"/>
            <w:vAlign w:val="center"/>
          </w:tcPr>
          <w:p>
            <w:pPr>
              <w:pStyle w:val="49"/>
              <w:rPr>
                <w:rFonts w:hint="default" w:ascii="Times New Roman" w:hAnsi="Times New Roman" w:cs="Times New Roman"/>
                <w:color w:val="auto"/>
                <w:highlight w:val="none"/>
              </w:rPr>
            </w:pPr>
          </w:p>
        </w:tc>
        <w:tc>
          <w:tcPr>
            <w:tcW w:w="2548"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岸线距离/m</w:t>
            </w:r>
          </w:p>
        </w:tc>
        <w:tc>
          <w:tcPr>
            <w:tcW w:w="3499"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2547" w:type="dxa"/>
            <w:vMerge w:val="continue"/>
            <w:vAlign w:val="center"/>
          </w:tcPr>
          <w:p>
            <w:pPr>
              <w:pStyle w:val="49"/>
              <w:rPr>
                <w:rFonts w:hint="default" w:ascii="Times New Roman" w:hAnsi="Times New Roman" w:cs="Times New Roman"/>
                <w:color w:val="auto"/>
                <w:highlight w:val="none"/>
              </w:rPr>
            </w:pPr>
          </w:p>
        </w:tc>
        <w:tc>
          <w:tcPr>
            <w:tcW w:w="2548"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岸线方向/°</w:t>
            </w:r>
          </w:p>
        </w:tc>
        <w:tc>
          <w:tcPr>
            <w:tcW w:w="3499" w:type="dxa"/>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bl>
    <w:p>
      <w:pPr>
        <w:bidi w:val="0"/>
        <w:rPr>
          <w:rFonts w:hint="default"/>
        </w:rPr>
      </w:pPr>
      <w:bookmarkStart w:id="137" w:name="_Toc18093"/>
      <w:bookmarkStart w:id="138" w:name="_Toc10875"/>
      <w:r>
        <w:rPr>
          <w:rFonts w:hint="eastAsia"/>
          <w:lang w:eastAsia="zh-CN"/>
        </w:rPr>
        <w:t>（</w:t>
      </w:r>
      <w:r>
        <w:rPr>
          <w:rFonts w:hint="eastAsia"/>
          <w:lang w:val="en-US" w:eastAsia="zh-CN"/>
        </w:rPr>
        <w:t>6</w:t>
      </w:r>
      <w:r>
        <w:rPr>
          <w:rFonts w:hint="eastAsia"/>
          <w:lang w:eastAsia="zh-CN"/>
        </w:rPr>
        <w:t>）</w:t>
      </w:r>
      <w:r>
        <w:rPr>
          <w:rFonts w:hint="default"/>
        </w:rPr>
        <w:t>估算结果</w:t>
      </w:r>
      <w:bookmarkEnd w:id="137"/>
      <w:bookmarkEnd w:id="138"/>
    </w:p>
    <w:p>
      <w:pPr>
        <w:ind w:firstLine="480"/>
        <w:rPr>
          <w:rFonts w:hint="default" w:ascii="Times New Roman" w:hAnsi="Times New Roman" w:cs="Times New Roman"/>
          <w:color w:val="0000FF"/>
          <w:highlight w:val="none"/>
        </w:rPr>
      </w:pPr>
      <w:r>
        <w:rPr>
          <w:rFonts w:hint="default" w:ascii="Times New Roman" w:hAnsi="Times New Roman" w:cs="Times New Roman"/>
          <w:color w:val="0000FF"/>
          <w:highlight w:val="none"/>
        </w:rPr>
        <w:t>正常工况下，污水装置臭气处理系统排气筒（DA001）排放的废气中NH</w:t>
      </w:r>
      <w:r>
        <w:rPr>
          <w:rFonts w:hint="default" w:ascii="Times New Roman" w:hAnsi="Times New Roman" w:cs="Times New Roman"/>
          <w:color w:val="0000FF"/>
          <w:highlight w:val="none"/>
          <w:vertAlign w:val="subscript"/>
        </w:rPr>
        <w:t>3</w:t>
      </w:r>
      <w:r>
        <w:rPr>
          <w:rFonts w:hint="default" w:ascii="Times New Roman" w:hAnsi="Times New Roman" w:cs="Times New Roman"/>
          <w:color w:val="0000FF"/>
          <w:highlight w:val="none"/>
        </w:rPr>
        <w:t>、H</w:t>
      </w:r>
      <w:r>
        <w:rPr>
          <w:rFonts w:hint="default" w:ascii="Times New Roman" w:hAnsi="Times New Roman" w:cs="Times New Roman"/>
          <w:color w:val="0000FF"/>
          <w:highlight w:val="none"/>
          <w:vertAlign w:val="subscript"/>
        </w:rPr>
        <w:t>2</w:t>
      </w:r>
      <w:r>
        <w:rPr>
          <w:rFonts w:hint="default" w:ascii="Times New Roman" w:hAnsi="Times New Roman" w:cs="Times New Roman"/>
          <w:color w:val="0000FF"/>
          <w:highlight w:val="none"/>
        </w:rPr>
        <w:t>S一次最大浓度值预测值均能满足《</w:t>
      </w:r>
      <w:r>
        <w:rPr>
          <w:rFonts w:hint="default" w:ascii="Times New Roman" w:hAnsi="Times New Roman" w:cs="Times New Roman"/>
          <w:color w:val="0000FF"/>
          <w:highlight w:val="none"/>
          <w:lang w:eastAsia="zh-CN"/>
        </w:rPr>
        <w:t>环境影响评价技术导则大气环境</w:t>
      </w:r>
      <w:r>
        <w:rPr>
          <w:rFonts w:hint="default" w:ascii="Times New Roman" w:hAnsi="Times New Roman" w:cs="Times New Roman"/>
          <w:color w:val="0000FF"/>
          <w:highlight w:val="none"/>
        </w:rPr>
        <w:t>》（HJ2.2-2018）附录D其他污染物空气质量浓度参考限值要求。本项目Pmax最大值出现为矩形面源排放的</w:t>
      </w:r>
      <w:r>
        <w:rPr>
          <w:rFonts w:ascii="宋体" w:hAnsi="宋体" w:eastAsia="宋体" w:cs="宋体"/>
          <w:b w:val="0"/>
          <w:color w:val="0000FF"/>
          <w:sz w:val="24"/>
          <w:highlight w:val="none"/>
        </w:rPr>
        <w:t>甲烷</w:t>
      </w:r>
      <w:r>
        <w:rPr>
          <w:rFonts w:hint="default" w:ascii="Times New Roman" w:hAnsi="Times New Roman" w:eastAsia="宋体" w:cs="Times New Roman"/>
          <w:b w:val="0"/>
          <w:color w:val="0000FF"/>
          <w:sz w:val="24"/>
          <w:highlight w:val="none"/>
        </w:rPr>
        <w:t>Pmax值为8.1338%，Cmax为29.2816μg/m³</w:t>
      </w:r>
      <w:r>
        <w:rPr>
          <w:rFonts w:hint="default" w:ascii="Times New Roman" w:hAnsi="Times New Roman" w:cs="Times New Roman"/>
          <w:color w:val="0000FF"/>
          <w:highlight w:val="none"/>
        </w:rPr>
        <w:t>。根据《环境影响评价技术导则大气环境》（HJ2.2-2018）分级判据，确定本项目大气环境影响评价工作等级为二级</w:t>
      </w:r>
      <w:r>
        <w:rPr>
          <w:rFonts w:hint="eastAsia" w:cs="Times New Roman"/>
          <w:color w:val="0000FF"/>
          <w:highlight w:val="none"/>
          <w:lang w:eastAsia="zh-CN"/>
        </w:rPr>
        <w:t>，</w:t>
      </w:r>
      <w:r>
        <w:rPr>
          <w:rFonts w:hint="eastAsia" w:cs="Times New Roman"/>
          <w:color w:val="0000FF"/>
          <w:highlight w:val="none"/>
          <w:lang w:val="en-US" w:eastAsia="zh-CN"/>
        </w:rPr>
        <w:t>详见下表</w:t>
      </w:r>
      <w:r>
        <w:rPr>
          <w:rFonts w:hint="default" w:ascii="Times New Roman" w:hAnsi="Times New Roman" w:cs="Times New Roman"/>
          <w:color w:val="0000FF"/>
          <w:highlight w:val="none"/>
        </w:rPr>
        <w:t>。</w:t>
      </w:r>
    </w:p>
    <w:p>
      <w:pPr>
        <w:pStyle w:val="70"/>
        <w:rPr>
          <w:rFonts w:hint="default" w:ascii="Times New Roman" w:hAnsi="Times New Roman" w:cs="Times New Roman"/>
          <w:color w:val="0000FF"/>
          <w:highlight w:val="none"/>
        </w:rPr>
      </w:pPr>
      <w:r>
        <w:rPr>
          <w:rFonts w:hint="default" w:ascii="Times New Roman" w:hAnsi="Times New Roman" w:cs="Times New Roman"/>
          <w:color w:val="0000FF"/>
          <w:highlight w:val="none"/>
        </w:rPr>
        <w:t>表5.2-</w:t>
      </w:r>
      <w:r>
        <w:rPr>
          <w:rFonts w:hint="default" w:ascii="Times New Roman" w:hAnsi="Times New Roman" w:cs="Times New Roman"/>
          <w:color w:val="0000FF"/>
          <w:highlight w:val="none"/>
          <w:lang w:val="en-US" w:eastAsia="zh-CN"/>
        </w:rPr>
        <w:t>9</w:t>
      </w:r>
      <w:r>
        <w:rPr>
          <w:rFonts w:hint="default" w:ascii="Times New Roman" w:hAnsi="Times New Roman" w:cs="Times New Roman"/>
          <w:color w:val="0000FF"/>
          <w:highlight w:val="none"/>
        </w:rPr>
        <w:t>主要污染源排放估算模型计算结果表</w:t>
      </w:r>
    </w:p>
    <w:tbl>
      <w:tblPr>
        <w:tblStyle w:val="33"/>
        <w:tblW w:w="4997"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48"/>
        <w:gridCol w:w="899"/>
        <w:gridCol w:w="1740"/>
        <w:gridCol w:w="2079"/>
        <w:gridCol w:w="1544"/>
        <w:gridCol w:w="161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380" w:type="pct"/>
            <w:vAlign w:val="center"/>
          </w:tcPr>
          <w:p>
            <w:pPr>
              <w:pStyle w:val="49"/>
              <w:rPr>
                <w:rFonts w:hint="default" w:ascii="Times New Roman" w:hAnsi="Times New Roman" w:cs="Times New Roman"/>
                <w:color w:val="0000FF"/>
                <w:highlight w:val="none"/>
              </w:rPr>
            </w:pPr>
            <w:r>
              <w:rPr>
                <w:rFonts w:hint="default" w:ascii="Times New Roman" w:hAnsi="Times New Roman" w:cs="Times New Roman"/>
                <w:color w:val="0000FF"/>
                <w:highlight w:val="none"/>
              </w:rPr>
              <w:t>污染源名称</w:t>
            </w:r>
          </w:p>
        </w:tc>
        <w:tc>
          <w:tcPr>
            <w:tcW w:w="527" w:type="pct"/>
            <w:vAlign w:val="center"/>
          </w:tcPr>
          <w:p>
            <w:pPr>
              <w:pStyle w:val="49"/>
              <w:rPr>
                <w:rFonts w:hint="default" w:ascii="Times New Roman" w:hAnsi="Times New Roman" w:cs="Times New Roman"/>
                <w:color w:val="0000FF"/>
                <w:highlight w:val="none"/>
              </w:rPr>
            </w:pPr>
            <w:r>
              <w:rPr>
                <w:rFonts w:hint="default" w:ascii="Times New Roman" w:hAnsi="Times New Roman" w:cs="Times New Roman"/>
                <w:color w:val="0000FF"/>
                <w:highlight w:val="none"/>
              </w:rPr>
              <w:t>评价因子</w:t>
            </w:r>
          </w:p>
        </w:tc>
        <w:tc>
          <w:tcPr>
            <w:tcW w:w="1020" w:type="pct"/>
            <w:vAlign w:val="center"/>
          </w:tcPr>
          <w:p>
            <w:pPr>
              <w:pStyle w:val="49"/>
              <w:rPr>
                <w:rFonts w:hint="default" w:ascii="Times New Roman" w:hAnsi="Times New Roman" w:cs="Times New Roman"/>
                <w:color w:val="0000FF"/>
                <w:highlight w:val="none"/>
              </w:rPr>
            </w:pPr>
            <w:r>
              <w:rPr>
                <w:rFonts w:hint="default" w:ascii="Times New Roman" w:hAnsi="Times New Roman" w:cs="Times New Roman"/>
                <w:color w:val="0000FF"/>
                <w:highlight w:val="none"/>
              </w:rPr>
              <w:t>评价标准（μg/m³）</w:t>
            </w:r>
          </w:p>
        </w:tc>
        <w:tc>
          <w:tcPr>
            <w:tcW w:w="1219" w:type="pct"/>
            <w:vAlign w:val="center"/>
          </w:tcPr>
          <w:p>
            <w:pPr>
              <w:pStyle w:val="49"/>
              <w:rPr>
                <w:rFonts w:hint="default" w:ascii="Times New Roman" w:hAnsi="Times New Roman" w:cs="Times New Roman"/>
                <w:color w:val="0000FF"/>
                <w:highlight w:val="none"/>
              </w:rPr>
            </w:pPr>
            <w:r>
              <w:rPr>
                <w:rFonts w:hint="default" w:ascii="Times New Roman" w:hAnsi="Times New Roman" w:cs="Times New Roman"/>
                <w:color w:val="0000FF"/>
                <w:highlight w:val="none"/>
              </w:rPr>
              <w:t>Cmax(μg/m³)</w:t>
            </w:r>
          </w:p>
        </w:tc>
        <w:tc>
          <w:tcPr>
            <w:tcW w:w="905" w:type="pct"/>
            <w:vAlign w:val="center"/>
          </w:tcPr>
          <w:p>
            <w:pPr>
              <w:pStyle w:val="49"/>
              <w:rPr>
                <w:rFonts w:hint="default" w:ascii="Times New Roman" w:hAnsi="Times New Roman" w:cs="Times New Roman"/>
                <w:color w:val="0000FF"/>
                <w:highlight w:val="none"/>
              </w:rPr>
            </w:pPr>
            <w:r>
              <w:rPr>
                <w:rFonts w:hint="default" w:ascii="Times New Roman" w:hAnsi="Times New Roman" w:cs="Times New Roman"/>
                <w:color w:val="0000FF"/>
                <w:highlight w:val="none"/>
              </w:rPr>
              <w:t>Pmax(%)</w:t>
            </w:r>
          </w:p>
        </w:tc>
        <w:tc>
          <w:tcPr>
            <w:tcW w:w="946" w:type="pct"/>
            <w:vAlign w:val="center"/>
          </w:tcPr>
          <w:p>
            <w:pPr>
              <w:pStyle w:val="49"/>
              <w:rPr>
                <w:rFonts w:hint="default" w:ascii="Times New Roman" w:hAnsi="Times New Roman" w:cs="Times New Roman"/>
                <w:color w:val="0000FF"/>
                <w:highlight w:val="none"/>
              </w:rPr>
            </w:pPr>
            <w:r>
              <w:rPr>
                <w:rFonts w:hint="default" w:ascii="Times New Roman" w:hAnsi="Times New Roman" w:cs="Times New Roman"/>
                <w:color w:val="0000FF"/>
                <w:highlight w:val="none"/>
              </w:rPr>
              <w:t>D10%(m)</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380" w:type="pct"/>
            <w:vAlign w:val="center"/>
          </w:tcPr>
          <w:p>
            <w:pPr>
              <w:pStyle w:val="49"/>
              <w:rPr>
                <w:rFonts w:hint="default" w:ascii="Times New Roman" w:hAnsi="Times New Roman" w:cs="Times New Roman"/>
                <w:color w:val="0000FF"/>
                <w:highlight w:val="none"/>
              </w:rPr>
            </w:pPr>
            <w:r>
              <w:rPr>
                <w:rFonts w:hint="default" w:ascii="Times New Roman" w:hAnsi="Times New Roman" w:cs="Times New Roman"/>
                <w:color w:val="0000FF"/>
                <w:highlight w:val="none"/>
              </w:rPr>
              <w:t>矩形面源</w:t>
            </w:r>
          </w:p>
        </w:tc>
        <w:tc>
          <w:tcPr>
            <w:tcW w:w="527" w:type="pct"/>
            <w:vAlign w:val="center"/>
          </w:tcPr>
          <w:p>
            <w:pPr>
              <w:pStyle w:val="49"/>
              <w:rPr>
                <w:rFonts w:hint="default" w:ascii="Times New Roman" w:hAnsi="Times New Roman" w:cs="Times New Roman"/>
                <w:color w:val="0000FF"/>
                <w:highlight w:val="none"/>
              </w:rPr>
            </w:pPr>
            <w:r>
              <w:rPr>
                <w:rFonts w:hint="default" w:ascii="Times New Roman" w:hAnsi="Times New Roman" w:cs="Times New Roman"/>
                <w:color w:val="0000FF"/>
                <w:highlight w:val="none"/>
              </w:rPr>
              <w:t>NH</w:t>
            </w:r>
            <w:r>
              <w:rPr>
                <w:rFonts w:hint="default" w:ascii="Times New Roman" w:hAnsi="Times New Roman" w:cs="Times New Roman"/>
                <w:color w:val="0000FF"/>
                <w:highlight w:val="none"/>
                <w:vertAlign w:val="subscript"/>
              </w:rPr>
              <w:t>3</w:t>
            </w:r>
          </w:p>
        </w:tc>
        <w:tc>
          <w:tcPr>
            <w:tcW w:w="1020" w:type="pct"/>
            <w:vAlign w:val="center"/>
          </w:tcPr>
          <w:p>
            <w:pPr>
              <w:pStyle w:val="49"/>
              <w:rPr>
                <w:rFonts w:hint="default" w:ascii="Times New Roman" w:hAnsi="Times New Roman" w:eastAsia="宋体" w:cs="Times New Roman"/>
                <w:color w:val="0000FF"/>
                <w:highlight w:val="none"/>
              </w:rPr>
            </w:pPr>
            <w:r>
              <w:rPr>
                <w:rFonts w:hint="default" w:ascii="Times New Roman" w:hAnsi="Times New Roman" w:eastAsia="宋体" w:cs="Times New Roman"/>
                <w:color w:val="0000FF"/>
                <w:highlight w:val="none"/>
              </w:rPr>
              <w:t>200.0</w:t>
            </w:r>
          </w:p>
        </w:tc>
        <w:tc>
          <w:tcPr>
            <w:tcW w:w="1219" w:type="pct"/>
            <w:vAlign w:val="center"/>
          </w:tcPr>
          <w:p>
            <w:pPr>
              <w:pStyle w:val="49"/>
              <w:rPr>
                <w:rFonts w:hint="default" w:ascii="Times New Roman" w:hAnsi="Times New Roman" w:eastAsia="宋体" w:cs="Times New Roman"/>
                <w:color w:val="0000FF"/>
                <w:highlight w:val="none"/>
              </w:rPr>
            </w:pPr>
            <w:r>
              <w:rPr>
                <w:rFonts w:hint="default" w:ascii="Times New Roman" w:hAnsi="Times New Roman" w:eastAsia="宋体" w:cs="Times New Roman"/>
                <w:color w:val="0000FF"/>
                <w:highlight w:val="none"/>
              </w:rPr>
              <w:t>4.1163</w:t>
            </w:r>
          </w:p>
        </w:tc>
        <w:tc>
          <w:tcPr>
            <w:tcW w:w="905" w:type="pct"/>
            <w:vAlign w:val="center"/>
          </w:tcPr>
          <w:p>
            <w:pPr>
              <w:pStyle w:val="49"/>
              <w:rPr>
                <w:rFonts w:hint="default" w:ascii="Times New Roman" w:hAnsi="Times New Roman" w:eastAsia="宋体" w:cs="Times New Roman"/>
                <w:color w:val="0000FF"/>
                <w:highlight w:val="none"/>
              </w:rPr>
            </w:pPr>
            <w:r>
              <w:rPr>
                <w:rFonts w:hint="default" w:ascii="Times New Roman" w:hAnsi="Times New Roman" w:eastAsia="宋体" w:cs="Times New Roman"/>
                <w:color w:val="0000FF"/>
                <w:highlight w:val="none"/>
              </w:rPr>
              <w:t>2.0581</w:t>
            </w:r>
          </w:p>
        </w:tc>
        <w:tc>
          <w:tcPr>
            <w:tcW w:w="946" w:type="pct"/>
            <w:vAlign w:val="center"/>
          </w:tcPr>
          <w:p>
            <w:pPr>
              <w:pStyle w:val="49"/>
              <w:rPr>
                <w:rFonts w:hint="default" w:ascii="Times New Roman" w:hAnsi="Times New Roman" w:eastAsia="宋体" w:cs="Times New Roman"/>
                <w:color w:val="0000FF"/>
                <w:highlight w:val="none"/>
              </w:rPr>
            </w:pPr>
            <w:r>
              <w:rPr>
                <w:rFonts w:hint="default" w:ascii="Times New Roman" w:hAnsi="Times New Roman" w:eastAsia="宋体" w:cs="Times New Roman"/>
                <w:color w:val="0000FF"/>
                <w:highlight w:val="none"/>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380" w:type="pct"/>
            <w:vMerge w:val="restart"/>
            <w:vAlign w:val="center"/>
          </w:tcPr>
          <w:p>
            <w:pPr>
              <w:pStyle w:val="49"/>
              <w:rPr>
                <w:rFonts w:hint="default" w:ascii="Times New Roman" w:hAnsi="Times New Roman" w:cs="Times New Roman"/>
                <w:color w:val="0000FF"/>
                <w:highlight w:val="none"/>
              </w:rPr>
            </w:pPr>
            <w:r>
              <w:rPr>
                <w:rFonts w:hint="default" w:ascii="Times New Roman" w:hAnsi="Times New Roman" w:cs="Times New Roman"/>
                <w:color w:val="0000FF"/>
                <w:highlight w:val="none"/>
              </w:rPr>
              <w:t>矩形面源</w:t>
            </w:r>
          </w:p>
          <w:p>
            <w:pPr>
              <w:pStyle w:val="49"/>
              <w:rPr>
                <w:rFonts w:hint="default" w:ascii="Times New Roman" w:hAnsi="Times New Roman" w:cs="Times New Roman"/>
                <w:color w:val="0000FF"/>
                <w:highlight w:val="none"/>
              </w:rPr>
            </w:pPr>
            <w:r>
              <w:rPr>
                <w:rFonts w:hint="default" w:ascii="Times New Roman" w:hAnsi="Times New Roman" w:cs="Times New Roman"/>
                <w:color w:val="0000FF"/>
                <w:highlight w:val="none"/>
              </w:rPr>
              <w:t>甲烷</w:t>
            </w:r>
          </w:p>
        </w:tc>
        <w:tc>
          <w:tcPr>
            <w:tcW w:w="527" w:type="pct"/>
            <w:vAlign w:val="center"/>
          </w:tcPr>
          <w:p>
            <w:pPr>
              <w:pStyle w:val="49"/>
              <w:rPr>
                <w:rFonts w:hint="default" w:ascii="Times New Roman" w:hAnsi="Times New Roman" w:cs="Times New Roman"/>
                <w:color w:val="0000FF"/>
                <w:highlight w:val="none"/>
              </w:rPr>
            </w:pPr>
            <w:r>
              <w:rPr>
                <w:rFonts w:hint="default" w:ascii="Times New Roman" w:hAnsi="Times New Roman" w:cs="Times New Roman"/>
                <w:color w:val="0000FF"/>
                <w:highlight w:val="none"/>
              </w:rPr>
              <w:t>H</w:t>
            </w:r>
            <w:r>
              <w:rPr>
                <w:rFonts w:hint="default" w:ascii="Times New Roman" w:hAnsi="Times New Roman" w:cs="Times New Roman"/>
                <w:color w:val="0000FF"/>
                <w:highlight w:val="none"/>
                <w:vertAlign w:val="subscript"/>
              </w:rPr>
              <w:t>2</w:t>
            </w:r>
            <w:r>
              <w:rPr>
                <w:rFonts w:hint="default" w:ascii="Times New Roman" w:hAnsi="Times New Roman" w:cs="Times New Roman"/>
                <w:color w:val="0000FF"/>
                <w:highlight w:val="none"/>
              </w:rPr>
              <w:t>S</w:t>
            </w:r>
          </w:p>
        </w:tc>
        <w:tc>
          <w:tcPr>
            <w:tcW w:w="1020" w:type="pct"/>
            <w:vAlign w:val="center"/>
          </w:tcPr>
          <w:p>
            <w:pPr>
              <w:pStyle w:val="49"/>
              <w:rPr>
                <w:rFonts w:hint="default" w:ascii="Times New Roman" w:hAnsi="Times New Roman" w:eastAsia="宋体" w:cs="Times New Roman"/>
                <w:color w:val="0000FF"/>
                <w:highlight w:val="none"/>
              </w:rPr>
            </w:pPr>
            <w:r>
              <w:rPr>
                <w:rFonts w:hint="default" w:ascii="Times New Roman" w:hAnsi="Times New Roman" w:eastAsia="宋体" w:cs="Times New Roman"/>
                <w:color w:val="0000FF"/>
                <w:highlight w:val="none"/>
              </w:rPr>
              <w:t>10.0</w:t>
            </w:r>
          </w:p>
        </w:tc>
        <w:tc>
          <w:tcPr>
            <w:tcW w:w="1219" w:type="pct"/>
            <w:vAlign w:val="center"/>
          </w:tcPr>
          <w:p>
            <w:pPr>
              <w:pStyle w:val="49"/>
              <w:rPr>
                <w:rFonts w:hint="default" w:ascii="Times New Roman" w:hAnsi="Times New Roman" w:eastAsia="宋体" w:cs="Times New Roman"/>
                <w:color w:val="0000FF"/>
                <w:highlight w:val="none"/>
              </w:rPr>
            </w:pPr>
            <w:r>
              <w:rPr>
                <w:rFonts w:hint="default" w:ascii="Times New Roman" w:hAnsi="Times New Roman" w:eastAsia="宋体" w:cs="Times New Roman"/>
                <w:color w:val="0000FF"/>
                <w:highlight w:val="none"/>
              </w:rPr>
              <w:t>0.0792</w:t>
            </w:r>
          </w:p>
        </w:tc>
        <w:tc>
          <w:tcPr>
            <w:tcW w:w="905" w:type="pct"/>
            <w:vAlign w:val="center"/>
          </w:tcPr>
          <w:p>
            <w:pPr>
              <w:pStyle w:val="49"/>
              <w:rPr>
                <w:rFonts w:hint="default" w:ascii="Times New Roman" w:hAnsi="Times New Roman" w:eastAsia="宋体" w:cs="Times New Roman"/>
                <w:color w:val="0000FF"/>
                <w:highlight w:val="none"/>
              </w:rPr>
            </w:pPr>
            <w:r>
              <w:rPr>
                <w:rFonts w:hint="default" w:ascii="Times New Roman" w:hAnsi="Times New Roman" w:eastAsia="宋体" w:cs="Times New Roman"/>
                <w:color w:val="0000FF"/>
                <w:highlight w:val="none"/>
              </w:rPr>
              <w:t>0.7916</w:t>
            </w:r>
          </w:p>
        </w:tc>
        <w:tc>
          <w:tcPr>
            <w:tcW w:w="946" w:type="pct"/>
            <w:vAlign w:val="center"/>
          </w:tcPr>
          <w:p>
            <w:pPr>
              <w:pStyle w:val="49"/>
              <w:rPr>
                <w:rFonts w:hint="default" w:ascii="Times New Roman" w:hAnsi="Times New Roman" w:eastAsia="宋体" w:cs="Times New Roman"/>
                <w:color w:val="0000FF"/>
                <w:highlight w:val="none"/>
              </w:rPr>
            </w:pPr>
            <w:r>
              <w:rPr>
                <w:rFonts w:hint="default" w:ascii="Times New Roman" w:hAnsi="Times New Roman" w:eastAsia="宋体" w:cs="Times New Roman"/>
                <w:color w:val="0000FF"/>
                <w:highlight w:val="none"/>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trPr>
        <w:tc>
          <w:tcPr>
            <w:tcW w:w="380" w:type="pct"/>
            <w:vMerge w:val="continue"/>
            <w:vAlign w:val="center"/>
          </w:tcPr>
          <w:p>
            <w:pPr>
              <w:pStyle w:val="49"/>
              <w:rPr>
                <w:rFonts w:hint="default" w:ascii="Times New Roman" w:hAnsi="Times New Roman" w:cs="Times New Roman"/>
                <w:color w:val="0000FF"/>
                <w:highlight w:val="none"/>
              </w:rPr>
            </w:pPr>
          </w:p>
        </w:tc>
        <w:tc>
          <w:tcPr>
            <w:tcW w:w="527" w:type="pct"/>
            <w:vAlign w:val="center"/>
          </w:tcPr>
          <w:p>
            <w:pPr>
              <w:pStyle w:val="49"/>
              <w:rPr>
                <w:rFonts w:hint="default" w:ascii="Times New Roman" w:hAnsi="Times New Roman" w:cs="Times New Roman"/>
                <w:color w:val="0000FF"/>
                <w:highlight w:val="none"/>
              </w:rPr>
            </w:pPr>
            <w:r>
              <w:rPr>
                <w:rFonts w:hint="default" w:ascii="Times New Roman" w:hAnsi="Times New Roman" w:cs="Times New Roman"/>
                <w:color w:val="0000FF"/>
                <w:highlight w:val="none"/>
              </w:rPr>
              <w:t>甲烷</w:t>
            </w:r>
          </w:p>
        </w:tc>
        <w:tc>
          <w:tcPr>
            <w:tcW w:w="1020" w:type="pct"/>
            <w:vAlign w:val="center"/>
          </w:tcPr>
          <w:p>
            <w:pPr>
              <w:pStyle w:val="49"/>
              <w:rPr>
                <w:rFonts w:hint="default" w:ascii="Times New Roman" w:hAnsi="Times New Roman" w:cs="Times New Roman"/>
                <w:color w:val="0000FF"/>
                <w:highlight w:val="none"/>
              </w:rPr>
            </w:pPr>
            <w:r>
              <w:rPr>
                <w:rFonts w:hint="default" w:ascii="Times New Roman" w:hAnsi="Times New Roman" w:cs="Times New Roman"/>
                <w:color w:val="0000FF"/>
                <w:highlight w:val="none"/>
              </w:rPr>
              <w:t>360.0</w:t>
            </w:r>
          </w:p>
        </w:tc>
        <w:tc>
          <w:tcPr>
            <w:tcW w:w="1219" w:type="pct"/>
            <w:vAlign w:val="center"/>
          </w:tcPr>
          <w:p>
            <w:pPr>
              <w:pStyle w:val="49"/>
              <w:rPr>
                <w:rFonts w:hint="default" w:ascii="Times New Roman" w:hAnsi="Times New Roman" w:cs="Times New Roman"/>
                <w:color w:val="0000FF"/>
                <w:highlight w:val="none"/>
              </w:rPr>
            </w:pPr>
            <w:r>
              <w:rPr>
                <w:rFonts w:hint="default" w:ascii="Times New Roman" w:hAnsi="Times New Roman" w:cs="Times New Roman"/>
                <w:color w:val="0000FF"/>
                <w:highlight w:val="none"/>
              </w:rPr>
              <w:t>29.2816</w:t>
            </w:r>
          </w:p>
        </w:tc>
        <w:tc>
          <w:tcPr>
            <w:tcW w:w="905" w:type="pct"/>
            <w:vAlign w:val="center"/>
          </w:tcPr>
          <w:p>
            <w:pPr>
              <w:pStyle w:val="49"/>
              <w:rPr>
                <w:rFonts w:hint="default" w:ascii="Times New Roman" w:hAnsi="Times New Roman" w:cs="Times New Roman"/>
                <w:color w:val="0000FF"/>
                <w:highlight w:val="none"/>
              </w:rPr>
            </w:pPr>
            <w:r>
              <w:rPr>
                <w:rFonts w:hint="default" w:ascii="Times New Roman" w:hAnsi="Times New Roman" w:cs="Times New Roman"/>
                <w:color w:val="0000FF"/>
                <w:highlight w:val="none"/>
              </w:rPr>
              <w:t>8.1338</w:t>
            </w:r>
          </w:p>
        </w:tc>
        <w:tc>
          <w:tcPr>
            <w:tcW w:w="946" w:type="pct"/>
            <w:vAlign w:val="center"/>
          </w:tcPr>
          <w:p>
            <w:pPr>
              <w:pStyle w:val="49"/>
              <w:rPr>
                <w:rFonts w:hint="default" w:ascii="Times New Roman" w:hAnsi="Times New Roman" w:cs="Times New Roman"/>
                <w:color w:val="0000FF"/>
                <w:highlight w:val="none"/>
              </w:rPr>
            </w:pPr>
            <w:r>
              <w:rPr>
                <w:rFonts w:hint="default" w:ascii="Times New Roman" w:hAnsi="Times New Roman" w:cs="Times New Roman"/>
                <w:color w:val="0000FF"/>
                <w:highlight w:val="none"/>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27" w:hRule="atLeast"/>
        </w:trPr>
        <w:tc>
          <w:tcPr>
            <w:tcW w:w="380" w:type="pct"/>
            <w:vAlign w:val="center"/>
          </w:tcPr>
          <w:p>
            <w:pPr>
              <w:pStyle w:val="49"/>
              <w:rPr>
                <w:rFonts w:hint="default" w:ascii="Times New Roman" w:hAnsi="Times New Roman" w:cs="Times New Roman"/>
                <w:color w:val="0000FF"/>
                <w:highlight w:val="none"/>
              </w:rPr>
            </w:pPr>
            <w:r>
              <w:rPr>
                <w:rFonts w:hint="default" w:ascii="Times New Roman" w:hAnsi="Times New Roman" w:cs="Times New Roman"/>
                <w:color w:val="0000FF"/>
                <w:highlight w:val="none"/>
              </w:rPr>
              <w:t>点源</w:t>
            </w:r>
          </w:p>
        </w:tc>
        <w:tc>
          <w:tcPr>
            <w:tcW w:w="527" w:type="pct"/>
            <w:vAlign w:val="center"/>
          </w:tcPr>
          <w:p>
            <w:pPr>
              <w:pStyle w:val="49"/>
              <w:rPr>
                <w:rFonts w:hint="default" w:ascii="Times New Roman" w:hAnsi="Times New Roman" w:cs="Times New Roman"/>
                <w:color w:val="0000FF"/>
                <w:highlight w:val="none"/>
              </w:rPr>
            </w:pPr>
            <w:r>
              <w:rPr>
                <w:rFonts w:hint="default" w:ascii="Times New Roman" w:hAnsi="Times New Roman" w:cs="Times New Roman"/>
                <w:color w:val="0000FF"/>
                <w:highlight w:val="none"/>
              </w:rPr>
              <w:t>NH</w:t>
            </w:r>
            <w:r>
              <w:rPr>
                <w:rFonts w:hint="default" w:ascii="Times New Roman" w:hAnsi="Times New Roman" w:cs="Times New Roman"/>
                <w:color w:val="0000FF"/>
                <w:highlight w:val="none"/>
                <w:vertAlign w:val="subscript"/>
              </w:rPr>
              <w:t>3</w:t>
            </w:r>
          </w:p>
        </w:tc>
        <w:tc>
          <w:tcPr>
            <w:tcW w:w="1020" w:type="pct"/>
            <w:vAlign w:val="center"/>
          </w:tcPr>
          <w:p>
            <w:pPr>
              <w:pStyle w:val="49"/>
              <w:rPr>
                <w:rFonts w:hint="default" w:ascii="Times New Roman" w:hAnsi="Times New Roman" w:eastAsia="宋体" w:cs="Times New Roman"/>
                <w:color w:val="0000FF"/>
                <w:highlight w:val="none"/>
              </w:rPr>
            </w:pPr>
            <w:r>
              <w:rPr>
                <w:rFonts w:hint="default" w:ascii="Times New Roman" w:hAnsi="Times New Roman" w:eastAsia="宋体" w:cs="Times New Roman"/>
                <w:color w:val="0000FF"/>
                <w:highlight w:val="none"/>
              </w:rPr>
              <w:t>200.0</w:t>
            </w:r>
          </w:p>
        </w:tc>
        <w:tc>
          <w:tcPr>
            <w:tcW w:w="1219" w:type="pct"/>
            <w:vAlign w:val="center"/>
          </w:tcPr>
          <w:p>
            <w:pPr>
              <w:pStyle w:val="49"/>
              <w:rPr>
                <w:rFonts w:hint="default" w:ascii="Times New Roman" w:hAnsi="Times New Roman" w:eastAsia="宋体" w:cs="Times New Roman"/>
                <w:color w:val="0000FF"/>
                <w:highlight w:val="none"/>
              </w:rPr>
            </w:pPr>
            <w:r>
              <w:rPr>
                <w:rFonts w:hint="default" w:ascii="Times New Roman" w:hAnsi="Times New Roman" w:eastAsia="宋体" w:cs="Times New Roman"/>
                <w:color w:val="0000FF"/>
                <w:highlight w:val="none"/>
              </w:rPr>
              <w:t>4.2116</w:t>
            </w:r>
          </w:p>
        </w:tc>
        <w:tc>
          <w:tcPr>
            <w:tcW w:w="905" w:type="pct"/>
            <w:vAlign w:val="center"/>
          </w:tcPr>
          <w:p>
            <w:pPr>
              <w:pStyle w:val="49"/>
              <w:rPr>
                <w:rFonts w:hint="default" w:ascii="Times New Roman" w:hAnsi="Times New Roman" w:eastAsia="宋体" w:cs="Times New Roman"/>
                <w:color w:val="0000FF"/>
                <w:highlight w:val="none"/>
              </w:rPr>
            </w:pPr>
            <w:r>
              <w:rPr>
                <w:rFonts w:hint="default" w:ascii="Times New Roman" w:hAnsi="Times New Roman" w:eastAsia="宋体" w:cs="Times New Roman"/>
                <w:color w:val="0000FF"/>
                <w:highlight w:val="none"/>
              </w:rPr>
              <w:t>2.1058</w:t>
            </w:r>
          </w:p>
        </w:tc>
        <w:tc>
          <w:tcPr>
            <w:tcW w:w="946" w:type="pct"/>
            <w:vAlign w:val="center"/>
          </w:tcPr>
          <w:p>
            <w:pPr>
              <w:pStyle w:val="49"/>
              <w:rPr>
                <w:rFonts w:hint="default" w:ascii="Times New Roman" w:hAnsi="Times New Roman" w:eastAsia="宋体" w:cs="Times New Roman"/>
                <w:color w:val="0000FF"/>
                <w:highlight w:val="none"/>
              </w:rPr>
            </w:pPr>
            <w:r>
              <w:rPr>
                <w:rFonts w:hint="default" w:ascii="Times New Roman" w:hAnsi="Times New Roman" w:eastAsia="宋体" w:cs="Times New Roman"/>
                <w:color w:val="0000FF"/>
                <w:highlight w:val="none"/>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32" w:hRule="atLeast"/>
        </w:trPr>
        <w:tc>
          <w:tcPr>
            <w:tcW w:w="380" w:type="pct"/>
            <w:vAlign w:val="center"/>
          </w:tcPr>
          <w:p>
            <w:pPr>
              <w:pStyle w:val="49"/>
              <w:rPr>
                <w:rFonts w:hint="default" w:ascii="Times New Roman" w:hAnsi="Times New Roman" w:cs="Times New Roman"/>
                <w:color w:val="0000FF"/>
                <w:highlight w:val="none"/>
              </w:rPr>
            </w:pPr>
            <w:r>
              <w:rPr>
                <w:rFonts w:hint="default" w:ascii="Times New Roman" w:hAnsi="Times New Roman" w:cs="Times New Roman"/>
                <w:color w:val="0000FF"/>
                <w:highlight w:val="none"/>
              </w:rPr>
              <w:t>点源</w:t>
            </w:r>
          </w:p>
        </w:tc>
        <w:tc>
          <w:tcPr>
            <w:tcW w:w="527" w:type="pct"/>
            <w:vAlign w:val="center"/>
          </w:tcPr>
          <w:p>
            <w:pPr>
              <w:pStyle w:val="49"/>
              <w:rPr>
                <w:rFonts w:hint="default" w:ascii="Times New Roman" w:hAnsi="Times New Roman" w:cs="Times New Roman"/>
                <w:color w:val="0000FF"/>
                <w:highlight w:val="none"/>
              </w:rPr>
            </w:pPr>
            <w:r>
              <w:rPr>
                <w:rFonts w:hint="default" w:ascii="Times New Roman" w:hAnsi="Times New Roman" w:cs="Times New Roman"/>
                <w:color w:val="0000FF"/>
                <w:highlight w:val="none"/>
              </w:rPr>
              <w:t>H</w:t>
            </w:r>
            <w:r>
              <w:rPr>
                <w:rFonts w:hint="default" w:ascii="Times New Roman" w:hAnsi="Times New Roman" w:cs="Times New Roman"/>
                <w:color w:val="0000FF"/>
                <w:highlight w:val="none"/>
                <w:vertAlign w:val="subscript"/>
              </w:rPr>
              <w:t>2</w:t>
            </w:r>
            <w:r>
              <w:rPr>
                <w:rFonts w:hint="default" w:ascii="Times New Roman" w:hAnsi="Times New Roman" w:cs="Times New Roman"/>
                <w:color w:val="0000FF"/>
                <w:highlight w:val="none"/>
              </w:rPr>
              <w:t>S</w:t>
            </w:r>
          </w:p>
        </w:tc>
        <w:tc>
          <w:tcPr>
            <w:tcW w:w="1020" w:type="pct"/>
            <w:vAlign w:val="center"/>
          </w:tcPr>
          <w:p>
            <w:pPr>
              <w:pStyle w:val="49"/>
              <w:rPr>
                <w:rFonts w:hint="default" w:ascii="Times New Roman" w:hAnsi="Times New Roman" w:eastAsia="宋体" w:cs="Times New Roman"/>
                <w:color w:val="0000FF"/>
                <w:highlight w:val="none"/>
              </w:rPr>
            </w:pPr>
            <w:r>
              <w:rPr>
                <w:rFonts w:hint="default" w:ascii="Times New Roman" w:hAnsi="Times New Roman" w:eastAsia="宋体" w:cs="Times New Roman"/>
                <w:color w:val="0000FF"/>
                <w:highlight w:val="none"/>
              </w:rPr>
              <w:t>10.0</w:t>
            </w:r>
          </w:p>
        </w:tc>
        <w:tc>
          <w:tcPr>
            <w:tcW w:w="1219" w:type="pct"/>
            <w:vAlign w:val="center"/>
          </w:tcPr>
          <w:p>
            <w:pPr>
              <w:pStyle w:val="49"/>
              <w:rPr>
                <w:rFonts w:hint="default" w:ascii="Times New Roman" w:hAnsi="Times New Roman" w:eastAsia="宋体" w:cs="Times New Roman"/>
                <w:color w:val="0000FF"/>
                <w:highlight w:val="none"/>
              </w:rPr>
            </w:pPr>
            <w:r>
              <w:rPr>
                <w:rFonts w:hint="default" w:ascii="Times New Roman" w:hAnsi="Times New Roman" w:eastAsia="宋体" w:cs="Times New Roman"/>
                <w:color w:val="0000FF"/>
                <w:highlight w:val="none"/>
              </w:rPr>
              <w:t>0.1027</w:t>
            </w:r>
          </w:p>
        </w:tc>
        <w:tc>
          <w:tcPr>
            <w:tcW w:w="905" w:type="pct"/>
            <w:vAlign w:val="center"/>
          </w:tcPr>
          <w:p>
            <w:pPr>
              <w:pStyle w:val="49"/>
              <w:rPr>
                <w:rFonts w:hint="default" w:ascii="Times New Roman" w:hAnsi="Times New Roman" w:eastAsia="宋体" w:cs="Times New Roman"/>
                <w:color w:val="0000FF"/>
                <w:highlight w:val="none"/>
              </w:rPr>
            </w:pPr>
            <w:r>
              <w:rPr>
                <w:rFonts w:hint="default" w:ascii="Times New Roman" w:hAnsi="Times New Roman" w:eastAsia="宋体" w:cs="Times New Roman"/>
                <w:color w:val="0000FF"/>
                <w:highlight w:val="none"/>
              </w:rPr>
              <w:t>1.0272</w:t>
            </w:r>
          </w:p>
        </w:tc>
        <w:tc>
          <w:tcPr>
            <w:tcW w:w="946" w:type="pct"/>
            <w:vAlign w:val="center"/>
          </w:tcPr>
          <w:p>
            <w:pPr>
              <w:pStyle w:val="49"/>
              <w:rPr>
                <w:rFonts w:hint="default" w:ascii="Times New Roman" w:hAnsi="Times New Roman" w:eastAsia="宋体" w:cs="Times New Roman"/>
                <w:color w:val="0000FF"/>
                <w:highlight w:val="none"/>
              </w:rPr>
            </w:pPr>
            <w:r>
              <w:rPr>
                <w:rFonts w:hint="default" w:ascii="Times New Roman" w:hAnsi="Times New Roman" w:eastAsia="宋体" w:cs="Times New Roman"/>
                <w:color w:val="0000FF"/>
                <w:highlight w:val="none"/>
              </w:rPr>
              <w:t>/</w:t>
            </w:r>
          </w:p>
        </w:tc>
      </w:tr>
    </w:tbl>
    <w:p>
      <w:pPr>
        <w:pStyle w:val="15"/>
        <w:ind w:firstLine="480"/>
        <w:rPr>
          <w:rFonts w:hint="default" w:ascii="Times New Roman" w:hAnsi="Times New Roman" w:cs="Times New Roman"/>
          <w:color w:val="0000FF"/>
          <w:highlight w:val="none"/>
        </w:rPr>
      </w:pPr>
      <w:r>
        <w:rPr>
          <w:rFonts w:hint="default" w:ascii="Times New Roman" w:hAnsi="Times New Roman" w:cs="Times New Roman"/>
          <w:color w:val="0000FF"/>
          <w:highlight w:val="none"/>
        </w:rPr>
        <w:t>根据《</w:t>
      </w:r>
      <w:r>
        <w:rPr>
          <w:rFonts w:hint="default" w:ascii="Times New Roman" w:hAnsi="Times New Roman" w:cs="Times New Roman"/>
          <w:color w:val="0000FF"/>
          <w:highlight w:val="none"/>
          <w:lang w:eastAsia="zh-CN"/>
        </w:rPr>
        <w:t>环境影响评价技术导则大气环境</w:t>
      </w:r>
      <w:r>
        <w:rPr>
          <w:rFonts w:hint="default" w:ascii="Times New Roman" w:hAnsi="Times New Roman" w:cs="Times New Roman"/>
          <w:color w:val="0000FF"/>
          <w:highlight w:val="none"/>
        </w:rPr>
        <w:t>》（HJ2.2-2018）中“5.3.3.1同一项目有多个污染源时，则按各污染源分别确定评价等级，并取评价等级最高者作为项目的评价等级”，项目有组织源评价等级为二级，无组织面源评价等级为二级，因此判定本项目大气评价等级为二级，评价范围为以项目为中心，边长5km的矩形。本项目不需进一步预测与评价，只对污染物排放量进行核算。</w:t>
      </w:r>
    </w:p>
    <w:p>
      <w:pPr>
        <w:bidi w:val="0"/>
        <w:rPr>
          <w:rFonts w:hint="default"/>
        </w:rPr>
      </w:pPr>
      <w:bookmarkStart w:id="139" w:name="_Toc9786"/>
      <w:bookmarkStart w:id="140" w:name="_Toc9571"/>
      <w:r>
        <w:rPr>
          <w:rFonts w:hint="eastAsia"/>
          <w:lang w:eastAsia="zh-CN"/>
        </w:rPr>
        <w:t>（</w:t>
      </w:r>
      <w:r>
        <w:rPr>
          <w:rFonts w:hint="eastAsia"/>
          <w:lang w:val="en-US" w:eastAsia="zh-CN"/>
        </w:rPr>
        <w:t>7</w:t>
      </w:r>
      <w:r>
        <w:rPr>
          <w:rFonts w:hint="eastAsia"/>
          <w:lang w:eastAsia="zh-CN"/>
        </w:rPr>
        <w:t>）</w:t>
      </w:r>
      <w:r>
        <w:rPr>
          <w:rFonts w:hint="default"/>
        </w:rPr>
        <w:t>项目污染物排放量核算</w:t>
      </w:r>
      <w:bookmarkEnd w:id="139"/>
      <w:bookmarkEnd w:id="140"/>
    </w:p>
    <w:p>
      <w:pPr>
        <w:bidi w:val="0"/>
        <w:rPr>
          <w:rFonts w:hint="default" w:ascii="Times New Roman" w:hAnsi="Times New Roman" w:cs="Times New Roman"/>
          <w:color w:val="0000FF"/>
          <w:szCs w:val="22"/>
          <w:highlight w:val="none"/>
        </w:rPr>
      </w:pPr>
      <w:bookmarkStart w:id="141" w:name="_Toc631"/>
      <w:bookmarkStart w:id="142" w:name="_Toc17814"/>
      <w:r>
        <w:rPr>
          <w:rFonts w:hint="eastAsia" w:ascii="微软雅黑" w:hAnsi="微软雅黑" w:eastAsia="微软雅黑" w:cs="微软雅黑"/>
          <w:color w:val="0000FF"/>
          <w:szCs w:val="22"/>
          <w:highlight w:val="none"/>
        </w:rPr>
        <w:t>①</w:t>
      </w:r>
      <w:r>
        <w:rPr>
          <w:rFonts w:hint="default" w:ascii="Times New Roman" w:hAnsi="Times New Roman" w:cs="Times New Roman"/>
          <w:color w:val="0000FF"/>
          <w:szCs w:val="22"/>
          <w:highlight w:val="none"/>
        </w:rPr>
        <w:t>有组织排放量核算</w:t>
      </w:r>
      <w:bookmarkEnd w:id="141"/>
      <w:bookmarkEnd w:id="142"/>
    </w:p>
    <w:p>
      <w:pPr>
        <w:autoSpaceDE w:val="0"/>
        <w:autoSpaceDN w:val="0"/>
        <w:ind w:firstLine="480"/>
        <w:rPr>
          <w:rFonts w:hint="default" w:ascii="Times New Roman" w:hAnsi="Times New Roman" w:cs="Times New Roman"/>
          <w:color w:val="0000FF"/>
          <w:highlight w:val="none"/>
        </w:rPr>
      </w:pPr>
      <w:r>
        <w:rPr>
          <w:rFonts w:hint="default" w:ascii="Times New Roman" w:hAnsi="Times New Roman" w:cs="Times New Roman"/>
          <w:color w:val="0000FF"/>
          <w:highlight w:val="none"/>
        </w:rPr>
        <w:t>大气污染物有组织排放量核算见下表。</w:t>
      </w:r>
    </w:p>
    <w:p>
      <w:pPr>
        <w:widowControl/>
        <w:snapToGrid w:val="0"/>
        <w:spacing w:line="288" w:lineRule="auto"/>
        <w:ind w:firstLine="198" w:firstLineChars="0"/>
        <w:jc w:val="center"/>
        <w:rPr>
          <w:rFonts w:hint="default" w:ascii="Times New Roman" w:hAnsi="Times New Roman" w:eastAsia="黑体" w:cs="Times New Roman"/>
          <w:color w:val="0000FF"/>
          <w:highlight w:val="none"/>
        </w:rPr>
      </w:pPr>
      <w:r>
        <w:rPr>
          <w:rFonts w:hint="default" w:ascii="Times New Roman" w:hAnsi="Times New Roman" w:eastAsia="黑体" w:cs="Times New Roman"/>
          <w:color w:val="0000FF"/>
          <w:highlight w:val="none"/>
        </w:rPr>
        <w:t>表5.2-</w:t>
      </w:r>
      <w:r>
        <w:rPr>
          <w:rFonts w:hint="default" w:ascii="Times New Roman" w:hAnsi="Times New Roman" w:eastAsia="黑体" w:cs="Times New Roman"/>
          <w:color w:val="0000FF"/>
          <w:highlight w:val="none"/>
          <w:lang w:val="en-US" w:eastAsia="zh-CN"/>
        </w:rPr>
        <w:t>10</w:t>
      </w:r>
      <w:r>
        <w:rPr>
          <w:rFonts w:hint="default" w:ascii="Times New Roman" w:hAnsi="Times New Roman" w:eastAsia="黑体" w:cs="Times New Roman"/>
          <w:color w:val="0000FF"/>
          <w:highlight w:val="none"/>
        </w:rPr>
        <w:t>大气污染物有组织排放量核算表</w:t>
      </w:r>
    </w:p>
    <w:tbl>
      <w:tblPr>
        <w:tblStyle w:val="33"/>
        <w:tblW w:w="86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91"/>
        <w:gridCol w:w="1229"/>
        <w:gridCol w:w="1389"/>
        <w:gridCol w:w="1833"/>
        <w:gridCol w:w="1698"/>
        <w:gridCol w:w="1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12" w:hRule="atLeast"/>
          <w:jc w:val="center"/>
        </w:trPr>
        <w:tc>
          <w:tcPr>
            <w:tcW w:w="591" w:type="dxa"/>
            <w:tcBorders>
              <w:tl2br w:val="nil"/>
              <w:tr2bl w:val="nil"/>
            </w:tcBorders>
            <w:vAlign w:val="center"/>
          </w:tcPr>
          <w:p>
            <w:pPr>
              <w:spacing w:line="240" w:lineRule="atLeast"/>
              <w:ind w:firstLine="0" w:firstLineChars="0"/>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序号</w:t>
            </w:r>
          </w:p>
        </w:tc>
        <w:tc>
          <w:tcPr>
            <w:tcW w:w="1229" w:type="dxa"/>
            <w:tcBorders>
              <w:tl2br w:val="nil"/>
              <w:tr2bl w:val="nil"/>
            </w:tcBorders>
            <w:vAlign w:val="center"/>
          </w:tcPr>
          <w:p>
            <w:pPr>
              <w:spacing w:line="240" w:lineRule="atLeast"/>
              <w:ind w:firstLine="0" w:firstLineChars="0"/>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排放口编号</w:t>
            </w:r>
          </w:p>
        </w:tc>
        <w:tc>
          <w:tcPr>
            <w:tcW w:w="1389" w:type="dxa"/>
            <w:tcBorders>
              <w:tl2br w:val="nil"/>
              <w:tr2bl w:val="nil"/>
            </w:tcBorders>
            <w:vAlign w:val="center"/>
          </w:tcPr>
          <w:p>
            <w:pPr>
              <w:spacing w:line="240" w:lineRule="atLeast"/>
              <w:ind w:firstLine="0" w:firstLineChars="0"/>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污染物</w:t>
            </w:r>
          </w:p>
        </w:tc>
        <w:tc>
          <w:tcPr>
            <w:tcW w:w="1833" w:type="dxa"/>
            <w:tcBorders>
              <w:tl2br w:val="nil"/>
              <w:tr2bl w:val="nil"/>
            </w:tcBorders>
            <w:vAlign w:val="center"/>
          </w:tcPr>
          <w:p>
            <w:pPr>
              <w:spacing w:line="240" w:lineRule="atLeast"/>
              <w:ind w:firstLine="0" w:firstLineChars="0"/>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核算排放浓度/（mg/m³）</w:t>
            </w:r>
          </w:p>
        </w:tc>
        <w:tc>
          <w:tcPr>
            <w:tcW w:w="1698" w:type="dxa"/>
            <w:tcBorders>
              <w:tl2br w:val="nil"/>
              <w:tr2bl w:val="nil"/>
            </w:tcBorders>
            <w:vAlign w:val="center"/>
          </w:tcPr>
          <w:p>
            <w:pPr>
              <w:spacing w:line="240" w:lineRule="atLeast"/>
              <w:ind w:firstLine="0" w:firstLineChars="0"/>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核算排放速率</w:t>
            </w:r>
          </w:p>
          <w:p>
            <w:pPr>
              <w:spacing w:line="240" w:lineRule="atLeast"/>
              <w:ind w:firstLine="0" w:firstLineChars="0"/>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（kg/h）</w:t>
            </w:r>
          </w:p>
        </w:tc>
        <w:tc>
          <w:tcPr>
            <w:tcW w:w="1928" w:type="dxa"/>
            <w:tcBorders>
              <w:tl2br w:val="nil"/>
              <w:tr2bl w:val="nil"/>
            </w:tcBorders>
            <w:vAlign w:val="center"/>
          </w:tcPr>
          <w:p>
            <w:pPr>
              <w:spacing w:line="240" w:lineRule="atLeast"/>
              <w:ind w:firstLine="0" w:firstLineChars="0"/>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核算年排放量</w:t>
            </w:r>
          </w:p>
          <w:p>
            <w:pPr>
              <w:spacing w:line="240" w:lineRule="atLeast"/>
              <w:ind w:firstLine="0" w:firstLineChars="0"/>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12" w:hRule="atLeast"/>
          <w:jc w:val="center"/>
        </w:trPr>
        <w:tc>
          <w:tcPr>
            <w:tcW w:w="8668" w:type="dxa"/>
            <w:gridSpan w:val="6"/>
            <w:tcBorders>
              <w:tl2br w:val="nil"/>
              <w:tr2bl w:val="nil"/>
            </w:tcBorders>
            <w:vAlign w:val="center"/>
          </w:tcPr>
          <w:p>
            <w:pPr>
              <w:spacing w:line="240" w:lineRule="atLeast"/>
              <w:ind w:firstLine="0" w:firstLineChars="0"/>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主要排放口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12" w:hRule="atLeast"/>
          <w:jc w:val="center"/>
        </w:trPr>
        <w:tc>
          <w:tcPr>
            <w:tcW w:w="591" w:type="dxa"/>
            <w:vMerge w:val="restart"/>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1</w:t>
            </w:r>
          </w:p>
        </w:tc>
        <w:tc>
          <w:tcPr>
            <w:tcW w:w="1229" w:type="dxa"/>
            <w:vMerge w:val="restart"/>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DA001</w:t>
            </w:r>
          </w:p>
        </w:tc>
        <w:tc>
          <w:tcPr>
            <w:tcW w:w="1389" w:type="dxa"/>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NH</w:t>
            </w:r>
            <w:r>
              <w:rPr>
                <w:rFonts w:hint="default" w:ascii="Times New Roman" w:hAnsi="Times New Roman" w:cs="Times New Roman"/>
                <w:color w:val="0000FF"/>
                <w:sz w:val="21"/>
                <w:szCs w:val="21"/>
                <w:highlight w:val="none"/>
                <w:vertAlign w:val="subscript"/>
              </w:rPr>
              <w:t>3</w:t>
            </w:r>
          </w:p>
        </w:tc>
        <w:tc>
          <w:tcPr>
            <w:tcW w:w="1833" w:type="dxa"/>
            <w:tcBorders>
              <w:tl2br w:val="nil"/>
              <w:tr2bl w:val="nil"/>
            </w:tcBorders>
            <w:vAlign w:val="center"/>
          </w:tcPr>
          <w:p>
            <w:pPr>
              <w:pStyle w:val="104"/>
              <w:rPr>
                <w:rFonts w:hint="default" w:ascii="Times New Roman" w:hAnsi="Times New Roman" w:cs="Times New Roman"/>
                <w:color w:val="0000FF"/>
                <w:sz w:val="22"/>
                <w:szCs w:val="22"/>
                <w:highlight w:val="none"/>
              </w:rPr>
            </w:pPr>
            <w:r>
              <w:rPr>
                <w:rFonts w:hint="eastAsia" w:ascii="Times New Roman" w:hAnsi="Times New Roman" w:eastAsia="宋体" w:cstheme="minorBidi"/>
                <w:color w:val="0000FF"/>
                <w:kern w:val="2"/>
                <w:sz w:val="21"/>
                <w:szCs w:val="24"/>
                <w:highlight w:val="none"/>
                <w:lang w:val="en-US" w:eastAsia="zh-CN" w:bidi="ar-SA"/>
              </w:rPr>
              <w:t>3.120</w:t>
            </w:r>
          </w:p>
        </w:tc>
        <w:tc>
          <w:tcPr>
            <w:tcW w:w="1698" w:type="dxa"/>
            <w:tcBorders>
              <w:tl2br w:val="nil"/>
              <w:tr2bl w:val="nil"/>
            </w:tcBorders>
            <w:vAlign w:val="center"/>
          </w:tcPr>
          <w:p>
            <w:pPr>
              <w:pStyle w:val="104"/>
              <w:rPr>
                <w:rFonts w:hint="default" w:ascii="Times New Roman" w:hAnsi="Times New Roman" w:cs="Times New Roman"/>
                <w:color w:val="0000FF"/>
                <w:highlight w:val="none"/>
              </w:rPr>
            </w:pPr>
            <w:r>
              <w:rPr>
                <w:rFonts w:hint="eastAsia" w:ascii="Times New Roman" w:hAnsi="Times New Roman" w:eastAsia="宋体" w:cstheme="minorBidi"/>
                <w:color w:val="0000FF"/>
                <w:kern w:val="2"/>
                <w:sz w:val="21"/>
                <w:szCs w:val="24"/>
                <w:highlight w:val="none"/>
                <w:lang w:val="en-US" w:eastAsia="zh-CN" w:bidi="ar-SA"/>
              </w:rPr>
              <w:t>0.156</w:t>
            </w:r>
          </w:p>
        </w:tc>
        <w:tc>
          <w:tcPr>
            <w:tcW w:w="1928" w:type="dxa"/>
            <w:tcBorders>
              <w:tl2br w:val="nil"/>
              <w:tr2bl w:val="nil"/>
            </w:tcBorders>
            <w:vAlign w:val="center"/>
          </w:tcPr>
          <w:p>
            <w:pPr>
              <w:pStyle w:val="104"/>
              <w:rPr>
                <w:rFonts w:hint="default" w:ascii="Times New Roman" w:hAnsi="Times New Roman" w:cs="Times New Roman"/>
                <w:color w:val="0000FF"/>
                <w:highlight w:val="none"/>
              </w:rPr>
            </w:pPr>
            <w:r>
              <w:rPr>
                <w:rFonts w:hint="eastAsia" w:ascii="Times New Roman" w:hAnsi="Times New Roman" w:eastAsia="宋体" w:cstheme="minorBidi"/>
                <w:color w:val="0000FF"/>
                <w:kern w:val="2"/>
                <w:sz w:val="21"/>
                <w:szCs w:val="24"/>
                <w:highlight w:val="none"/>
                <w:lang w:val="en-US" w:eastAsia="zh-CN" w:bidi="ar-SA"/>
              </w:rPr>
              <w:t>1.367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12" w:hRule="atLeast"/>
          <w:jc w:val="center"/>
        </w:trPr>
        <w:tc>
          <w:tcPr>
            <w:tcW w:w="591" w:type="dxa"/>
            <w:vMerge w:val="continue"/>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p>
        </w:tc>
        <w:tc>
          <w:tcPr>
            <w:tcW w:w="1229" w:type="dxa"/>
            <w:vMerge w:val="continue"/>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p>
        </w:tc>
        <w:tc>
          <w:tcPr>
            <w:tcW w:w="1389" w:type="dxa"/>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H</w:t>
            </w:r>
            <w:r>
              <w:rPr>
                <w:rFonts w:hint="default" w:ascii="Times New Roman" w:hAnsi="Times New Roman" w:cs="Times New Roman"/>
                <w:color w:val="0000FF"/>
                <w:sz w:val="21"/>
                <w:szCs w:val="21"/>
                <w:highlight w:val="none"/>
                <w:vertAlign w:val="subscript"/>
              </w:rPr>
              <w:t>2</w:t>
            </w:r>
            <w:r>
              <w:rPr>
                <w:rFonts w:hint="default" w:ascii="Times New Roman" w:hAnsi="Times New Roman" w:cs="Times New Roman"/>
                <w:color w:val="0000FF"/>
                <w:sz w:val="21"/>
                <w:szCs w:val="21"/>
                <w:highlight w:val="none"/>
              </w:rPr>
              <w:t>S</w:t>
            </w:r>
          </w:p>
        </w:tc>
        <w:tc>
          <w:tcPr>
            <w:tcW w:w="1833" w:type="dxa"/>
            <w:tcBorders>
              <w:tl2br w:val="nil"/>
              <w:tr2bl w:val="nil"/>
            </w:tcBorders>
            <w:vAlign w:val="center"/>
          </w:tcPr>
          <w:p>
            <w:pPr>
              <w:pStyle w:val="104"/>
              <w:rPr>
                <w:rFonts w:hint="default" w:ascii="Times New Roman" w:hAnsi="Times New Roman" w:cs="Times New Roman"/>
                <w:color w:val="0000FF"/>
                <w:sz w:val="21"/>
                <w:szCs w:val="21"/>
                <w:highlight w:val="none"/>
              </w:rPr>
            </w:pPr>
            <w:r>
              <w:rPr>
                <w:rFonts w:hint="eastAsia" w:ascii="Times New Roman" w:hAnsi="Times New Roman" w:eastAsia="宋体" w:cstheme="minorBidi"/>
                <w:color w:val="0000FF"/>
                <w:kern w:val="2"/>
                <w:sz w:val="21"/>
                <w:szCs w:val="24"/>
                <w:highlight w:val="none"/>
                <w:lang w:val="en-US" w:eastAsia="zh-CN" w:bidi="ar-SA"/>
              </w:rPr>
              <w:t>0.065</w:t>
            </w:r>
          </w:p>
        </w:tc>
        <w:tc>
          <w:tcPr>
            <w:tcW w:w="1698" w:type="dxa"/>
            <w:tcBorders>
              <w:tl2br w:val="nil"/>
              <w:tr2bl w:val="nil"/>
            </w:tcBorders>
            <w:vAlign w:val="center"/>
          </w:tcPr>
          <w:p>
            <w:pPr>
              <w:pStyle w:val="104"/>
              <w:rPr>
                <w:rFonts w:hint="default" w:ascii="Times New Roman" w:hAnsi="Times New Roman" w:cs="Times New Roman"/>
                <w:color w:val="0000FF"/>
                <w:szCs w:val="21"/>
                <w:highlight w:val="none"/>
              </w:rPr>
            </w:pPr>
            <w:r>
              <w:rPr>
                <w:rFonts w:hint="eastAsia" w:ascii="Times New Roman" w:hAnsi="Times New Roman" w:eastAsia="宋体" w:cstheme="minorBidi"/>
                <w:color w:val="0000FF"/>
                <w:kern w:val="2"/>
                <w:sz w:val="21"/>
                <w:szCs w:val="24"/>
                <w:highlight w:val="none"/>
                <w:lang w:val="en-US" w:eastAsia="zh-CN" w:bidi="ar-SA"/>
              </w:rPr>
              <w:t>0.003</w:t>
            </w:r>
          </w:p>
        </w:tc>
        <w:tc>
          <w:tcPr>
            <w:tcW w:w="1928" w:type="dxa"/>
            <w:tcBorders>
              <w:tl2br w:val="nil"/>
              <w:tr2bl w:val="nil"/>
            </w:tcBorders>
            <w:vAlign w:val="center"/>
          </w:tcPr>
          <w:p>
            <w:pPr>
              <w:pStyle w:val="104"/>
              <w:rPr>
                <w:rFonts w:hint="default" w:ascii="Times New Roman" w:hAnsi="Times New Roman" w:cs="Times New Roman"/>
                <w:color w:val="0000FF"/>
                <w:highlight w:val="none"/>
              </w:rPr>
            </w:pPr>
            <w:r>
              <w:rPr>
                <w:rFonts w:hint="eastAsia" w:ascii="Times New Roman" w:hAnsi="Times New Roman" w:eastAsia="宋体" w:cstheme="minorBidi"/>
                <w:color w:val="0000FF"/>
                <w:kern w:val="2"/>
                <w:sz w:val="21"/>
                <w:szCs w:val="24"/>
                <w:highlight w:val="none"/>
                <w:lang w:val="en-US" w:eastAsia="zh-CN" w:bidi="ar-SA"/>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12" w:hRule="atLeast"/>
          <w:jc w:val="center"/>
        </w:trPr>
        <w:tc>
          <w:tcPr>
            <w:tcW w:w="1820" w:type="dxa"/>
            <w:gridSpan w:val="2"/>
            <w:vMerge w:val="restart"/>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r>
              <w:rPr>
                <w:rFonts w:hint="eastAsia" w:cs="Times New Roman"/>
                <w:color w:val="0000FF"/>
                <w:sz w:val="21"/>
                <w:szCs w:val="21"/>
                <w:highlight w:val="none"/>
                <w:lang w:val="en-US" w:eastAsia="zh-CN"/>
              </w:rPr>
              <w:t>一般</w:t>
            </w:r>
            <w:r>
              <w:rPr>
                <w:rFonts w:hint="default" w:ascii="Times New Roman" w:hAnsi="Times New Roman" w:cs="Times New Roman"/>
                <w:color w:val="0000FF"/>
                <w:sz w:val="21"/>
                <w:szCs w:val="21"/>
                <w:highlight w:val="none"/>
              </w:rPr>
              <w:t>排放口合计</w:t>
            </w:r>
          </w:p>
        </w:tc>
        <w:tc>
          <w:tcPr>
            <w:tcW w:w="4920" w:type="dxa"/>
            <w:gridSpan w:val="3"/>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NH</w:t>
            </w:r>
            <w:r>
              <w:rPr>
                <w:rFonts w:hint="default" w:ascii="Times New Roman" w:hAnsi="Times New Roman" w:cs="Times New Roman"/>
                <w:color w:val="0000FF"/>
                <w:sz w:val="21"/>
                <w:szCs w:val="21"/>
                <w:highlight w:val="none"/>
                <w:vertAlign w:val="subscript"/>
              </w:rPr>
              <w:t>3</w:t>
            </w:r>
          </w:p>
        </w:tc>
        <w:tc>
          <w:tcPr>
            <w:tcW w:w="1928" w:type="dxa"/>
            <w:tcBorders>
              <w:tl2br w:val="nil"/>
              <w:tr2bl w:val="nil"/>
            </w:tcBorders>
            <w:vAlign w:val="center"/>
          </w:tcPr>
          <w:p>
            <w:pPr>
              <w:pStyle w:val="104"/>
              <w:rPr>
                <w:rFonts w:hint="default" w:ascii="Times New Roman" w:hAnsi="Times New Roman" w:cs="Times New Roman"/>
                <w:color w:val="0000FF"/>
                <w:highlight w:val="none"/>
              </w:rPr>
            </w:pPr>
            <w:r>
              <w:rPr>
                <w:rFonts w:hint="eastAsia" w:ascii="Times New Roman" w:hAnsi="Times New Roman" w:eastAsia="宋体" w:cstheme="minorBidi"/>
                <w:color w:val="0000FF"/>
                <w:kern w:val="2"/>
                <w:sz w:val="21"/>
                <w:szCs w:val="24"/>
                <w:highlight w:val="none"/>
                <w:lang w:val="en-US" w:eastAsia="zh-CN" w:bidi="ar-SA"/>
              </w:rPr>
              <w:t>1.367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12" w:hRule="atLeast"/>
          <w:jc w:val="center"/>
        </w:trPr>
        <w:tc>
          <w:tcPr>
            <w:tcW w:w="1820" w:type="dxa"/>
            <w:gridSpan w:val="2"/>
            <w:vMerge w:val="continue"/>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p>
        </w:tc>
        <w:tc>
          <w:tcPr>
            <w:tcW w:w="4920" w:type="dxa"/>
            <w:gridSpan w:val="3"/>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H</w:t>
            </w:r>
            <w:r>
              <w:rPr>
                <w:rFonts w:hint="default" w:ascii="Times New Roman" w:hAnsi="Times New Roman" w:cs="Times New Roman"/>
                <w:color w:val="0000FF"/>
                <w:sz w:val="21"/>
                <w:szCs w:val="21"/>
                <w:highlight w:val="none"/>
                <w:vertAlign w:val="subscript"/>
              </w:rPr>
              <w:t>2</w:t>
            </w:r>
            <w:r>
              <w:rPr>
                <w:rFonts w:hint="default" w:ascii="Times New Roman" w:hAnsi="Times New Roman" w:cs="Times New Roman"/>
                <w:color w:val="0000FF"/>
                <w:sz w:val="21"/>
                <w:szCs w:val="21"/>
                <w:highlight w:val="none"/>
              </w:rPr>
              <w:t>S</w:t>
            </w:r>
          </w:p>
        </w:tc>
        <w:tc>
          <w:tcPr>
            <w:tcW w:w="1928" w:type="dxa"/>
            <w:tcBorders>
              <w:tl2br w:val="nil"/>
              <w:tr2bl w:val="nil"/>
            </w:tcBorders>
            <w:vAlign w:val="center"/>
          </w:tcPr>
          <w:p>
            <w:pPr>
              <w:pStyle w:val="104"/>
              <w:rPr>
                <w:rFonts w:hint="default" w:ascii="Times New Roman" w:hAnsi="Times New Roman" w:cs="Times New Roman"/>
                <w:color w:val="0000FF"/>
                <w:highlight w:val="none"/>
              </w:rPr>
            </w:pPr>
            <w:r>
              <w:rPr>
                <w:rFonts w:hint="eastAsia" w:ascii="Times New Roman" w:hAnsi="Times New Roman" w:eastAsia="宋体" w:cstheme="minorBidi"/>
                <w:color w:val="0000FF"/>
                <w:kern w:val="2"/>
                <w:sz w:val="21"/>
                <w:szCs w:val="24"/>
                <w:highlight w:val="none"/>
                <w:lang w:val="en-US" w:eastAsia="zh-CN" w:bidi="ar-SA"/>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12" w:hRule="atLeast"/>
          <w:jc w:val="center"/>
        </w:trPr>
        <w:tc>
          <w:tcPr>
            <w:tcW w:w="8668" w:type="dxa"/>
            <w:gridSpan w:val="6"/>
            <w:tcBorders>
              <w:tl2br w:val="nil"/>
              <w:tr2bl w:val="nil"/>
            </w:tcBorders>
            <w:vAlign w:val="center"/>
          </w:tcPr>
          <w:p>
            <w:pPr>
              <w:spacing w:line="240" w:lineRule="atLeast"/>
              <w:ind w:firstLine="0" w:firstLineChars="0"/>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有组织排放总计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12" w:hRule="atLeast"/>
          <w:jc w:val="center"/>
        </w:trPr>
        <w:tc>
          <w:tcPr>
            <w:tcW w:w="1820" w:type="dxa"/>
            <w:gridSpan w:val="2"/>
            <w:vMerge w:val="restart"/>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有组织排放总计</w:t>
            </w:r>
          </w:p>
        </w:tc>
        <w:tc>
          <w:tcPr>
            <w:tcW w:w="4920" w:type="dxa"/>
            <w:gridSpan w:val="3"/>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NH</w:t>
            </w:r>
            <w:r>
              <w:rPr>
                <w:rFonts w:hint="default" w:ascii="Times New Roman" w:hAnsi="Times New Roman" w:cs="Times New Roman"/>
                <w:color w:val="0000FF"/>
                <w:sz w:val="21"/>
                <w:szCs w:val="21"/>
                <w:highlight w:val="none"/>
                <w:vertAlign w:val="subscript"/>
              </w:rPr>
              <w:t>3</w:t>
            </w:r>
          </w:p>
        </w:tc>
        <w:tc>
          <w:tcPr>
            <w:tcW w:w="1928" w:type="dxa"/>
            <w:tcBorders>
              <w:tl2br w:val="nil"/>
              <w:tr2bl w:val="nil"/>
            </w:tcBorders>
            <w:vAlign w:val="center"/>
          </w:tcPr>
          <w:p>
            <w:pPr>
              <w:pStyle w:val="104"/>
              <w:rPr>
                <w:rFonts w:hint="default" w:ascii="Times New Roman" w:hAnsi="Times New Roman" w:cs="Times New Roman"/>
                <w:color w:val="0000FF"/>
                <w:highlight w:val="none"/>
              </w:rPr>
            </w:pPr>
            <w:r>
              <w:rPr>
                <w:rFonts w:hint="eastAsia" w:ascii="Times New Roman" w:hAnsi="Times New Roman" w:eastAsia="宋体" w:cstheme="minorBidi"/>
                <w:color w:val="0000FF"/>
                <w:kern w:val="2"/>
                <w:sz w:val="21"/>
                <w:szCs w:val="24"/>
                <w:highlight w:val="none"/>
                <w:lang w:val="en-US" w:eastAsia="zh-CN" w:bidi="ar-SA"/>
              </w:rPr>
              <w:t>1.367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12" w:hRule="atLeast"/>
          <w:jc w:val="center"/>
        </w:trPr>
        <w:tc>
          <w:tcPr>
            <w:tcW w:w="1820" w:type="dxa"/>
            <w:gridSpan w:val="2"/>
            <w:vMerge w:val="continue"/>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p>
        </w:tc>
        <w:tc>
          <w:tcPr>
            <w:tcW w:w="4920" w:type="dxa"/>
            <w:gridSpan w:val="3"/>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H</w:t>
            </w:r>
            <w:r>
              <w:rPr>
                <w:rFonts w:hint="default" w:ascii="Times New Roman" w:hAnsi="Times New Roman" w:cs="Times New Roman"/>
                <w:color w:val="0000FF"/>
                <w:sz w:val="21"/>
                <w:szCs w:val="21"/>
                <w:highlight w:val="none"/>
                <w:vertAlign w:val="subscript"/>
              </w:rPr>
              <w:t>2</w:t>
            </w:r>
            <w:r>
              <w:rPr>
                <w:rFonts w:hint="default" w:ascii="Times New Roman" w:hAnsi="Times New Roman" w:cs="Times New Roman"/>
                <w:color w:val="0000FF"/>
                <w:sz w:val="21"/>
                <w:szCs w:val="21"/>
                <w:highlight w:val="none"/>
              </w:rPr>
              <w:t>S</w:t>
            </w:r>
          </w:p>
        </w:tc>
        <w:tc>
          <w:tcPr>
            <w:tcW w:w="1928" w:type="dxa"/>
            <w:tcBorders>
              <w:tl2br w:val="nil"/>
              <w:tr2bl w:val="nil"/>
            </w:tcBorders>
            <w:vAlign w:val="center"/>
          </w:tcPr>
          <w:p>
            <w:pPr>
              <w:pStyle w:val="104"/>
              <w:rPr>
                <w:rFonts w:hint="default" w:ascii="Times New Roman" w:hAnsi="Times New Roman" w:cs="Times New Roman"/>
                <w:color w:val="0000FF"/>
                <w:highlight w:val="none"/>
              </w:rPr>
            </w:pPr>
            <w:r>
              <w:rPr>
                <w:rFonts w:hint="eastAsia" w:ascii="Times New Roman" w:hAnsi="Times New Roman" w:eastAsia="宋体" w:cstheme="minorBidi"/>
                <w:color w:val="0000FF"/>
                <w:kern w:val="2"/>
                <w:sz w:val="21"/>
                <w:szCs w:val="24"/>
                <w:highlight w:val="none"/>
                <w:lang w:val="en-US" w:eastAsia="zh-CN" w:bidi="ar-SA"/>
              </w:rPr>
              <w:t>0.029</w:t>
            </w:r>
          </w:p>
        </w:tc>
      </w:tr>
    </w:tbl>
    <w:p>
      <w:pPr>
        <w:bidi w:val="0"/>
        <w:rPr>
          <w:rFonts w:hint="default" w:ascii="Times New Roman" w:hAnsi="Times New Roman" w:cs="Times New Roman"/>
          <w:color w:val="0000FF"/>
          <w:szCs w:val="22"/>
          <w:highlight w:val="none"/>
        </w:rPr>
      </w:pPr>
      <w:bookmarkStart w:id="143" w:name="_Toc20078"/>
      <w:bookmarkStart w:id="144" w:name="_Toc19721"/>
      <w:r>
        <w:rPr>
          <w:rFonts w:hint="eastAsia" w:ascii="微软雅黑" w:hAnsi="微软雅黑" w:eastAsia="微软雅黑" w:cs="微软雅黑"/>
          <w:color w:val="0000FF"/>
          <w:szCs w:val="22"/>
          <w:highlight w:val="none"/>
        </w:rPr>
        <w:t>②</w:t>
      </w:r>
      <w:r>
        <w:rPr>
          <w:rFonts w:hint="default" w:ascii="Times New Roman" w:hAnsi="Times New Roman" w:cs="Times New Roman"/>
          <w:color w:val="0000FF"/>
          <w:szCs w:val="22"/>
          <w:highlight w:val="none"/>
        </w:rPr>
        <w:t>无组织排放量核算</w:t>
      </w:r>
      <w:bookmarkEnd w:id="143"/>
      <w:bookmarkEnd w:id="144"/>
    </w:p>
    <w:p>
      <w:pPr>
        <w:autoSpaceDE w:val="0"/>
        <w:autoSpaceDN w:val="0"/>
        <w:adjustRightInd w:val="0"/>
        <w:snapToGrid w:val="0"/>
        <w:ind w:firstLine="480"/>
        <w:rPr>
          <w:rFonts w:hint="default" w:ascii="Times New Roman" w:hAnsi="Times New Roman" w:cs="Times New Roman"/>
          <w:color w:val="0000FF"/>
          <w:highlight w:val="none"/>
        </w:rPr>
      </w:pPr>
      <w:r>
        <w:rPr>
          <w:rFonts w:hint="default" w:ascii="Times New Roman" w:hAnsi="Times New Roman" w:cs="Times New Roman"/>
          <w:color w:val="0000FF"/>
          <w:highlight w:val="none"/>
        </w:rPr>
        <w:t>项目无组织排放源主要为格栅、沉砂池、厌氧池、好氧池、沉淀池、贮泥池、污泥脱水间，主要污染物为氨和硫化氢。大气污染物无组织排放量核算见下表。</w:t>
      </w:r>
    </w:p>
    <w:p>
      <w:pPr>
        <w:widowControl/>
        <w:snapToGrid w:val="0"/>
        <w:ind w:firstLine="0" w:firstLineChars="0"/>
        <w:jc w:val="center"/>
        <w:rPr>
          <w:rFonts w:hint="default" w:ascii="Times New Roman" w:hAnsi="Times New Roman" w:cs="Times New Roman"/>
          <w:b/>
          <w:color w:val="0000FF"/>
          <w:sz w:val="22"/>
          <w:szCs w:val="18"/>
          <w:highlight w:val="none"/>
        </w:rPr>
      </w:pPr>
      <w:r>
        <w:rPr>
          <w:rFonts w:hint="default" w:ascii="Times New Roman" w:hAnsi="Times New Roman" w:eastAsia="黑体" w:cs="Times New Roman"/>
          <w:color w:val="0000FF"/>
          <w:highlight w:val="none"/>
        </w:rPr>
        <w:t>表5.2-</w:t>
      </w:r>
      <w:r>
        <w:rPr>
          <w:rFonts w:hint="default" w:ascii="Times New Roman" w:hAnsi="Times New Roman" w:eastAsia="黑体" w:cs="Times New Roman"/>
          <w:color w:val="0000FF"/>
          <w:highlight w:val="none"/>
          <w:lang w:val="en-US" w:eastAsia="zh-CN"/>
        </w:rPr>
        <w:t>11</w:t>
      </w:r>
      <w:r>
        <w:rPr>
          <w:rFonts w:hint="default" w:ascii="Times New Roman" w:hAnsi="Times New Roman" w:eastAsia="黑体" w:cs="Times New Roman"/>
          <w:color w:val="0000FF"/>
          <w:highlight w:val="none"/>
        </w:rPr>
        <w:t>大气污染物无组织排放量核算表</w:t>
      </w:r>
    </w:p>
    <w:tbl>
      <w:tblPr>
        <w:tblStyle w:val="33"/>
        <w:tblW w:w="84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07"/>
        <w:gridCol w:w="1206"/>
        <w:gridCol w:w="1331"/>
        <w:gridCol w:w="1571"/>
        <w:gridCol w:w="1885"/>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tblHeader/>
          <w:jc w:val="center"/>
        </w:trPr>
        <w:tc>
          <w:tcPr>
            <w:tcW w:w="907" w:type="dxa"/>
            <w:tcBorders>
              <w:tl2br w:val="nil"/>
              <w:tr2bl w:val="nil"/>
            </w:tcBorders>
            <w:vAlign w:val="center"/>
          </w:tcPr>
          <w:p>
            <w:pPr>
              <w:spacing w:line="240" w:lineRule="atLeast"/>
              <w:ind w:firstLine="0" w:firstLineChars="0"/>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序号</w:t>
            </w:r>
          </w:p>
        </w:tc>
        <w:tc>
          <w:tcPr>
            <w:tcW w:w="1206" w:type="dxa"/>
            <w:tcBorders>
              <w:tl2br w:val="nil"/>
              <w:tr2bl w:val="nil"/>
            </w:tcBorders>
            <w:vAlign w:val="center"/>
          </w:tcPr>
          <w:p>
            <w:pPr>
              <w:spacing w:line="240" w:lineRule="atLeast"/>
              <w:ind w:firstLine="0" w:firstLineChars="0"/>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排放口编号</w:t>
            </w:r>
          </w:p>
        </w:tc>
        <w:tc>
          <w:tcPr>
            <w:tcW w:w="1331" w:type="dxa"/>
            <w:tcBorders>
              <w:tl2br w:val="nil"/>
              <w:tr2bl w:val="nil"/>
            </w:tcBorders>
            <w:vAlign w:val="center"/>
          </w:tcPr>
          <w:p>
            <w:pPr>
              <w:spacing w:line="240" w:lineRule="atLeast"/>
              <w:ind w:firstLine="0" w:firstLineChars="0"/>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产污环节</w:t>
            </w:r>
          </w:p>
        </w:tc>
        <w:tc>
          <w:tcPr>
            <w:tcW w:w="1571" w:type="dxa"/>
            <w:tcBorders>
              <w:tl2br w:val="nil"/>
              <w:tr2bl w:val="nil"/>
            </w:tcBorders>
            <w:vAlign w:val="center"/>
          </w:tcPr>
          <w:p>
            <w:pPr>
              <w:spacing w:line="240" w:lineRule="atLeast"/>
              <w:ind w:firstLine="0" w:firstLineChars="0"/>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污染物</w:t>
            </w:r>
          </w:p>
        </w:tc>
        <w:tc>
          <w:tcPr>
            <w:tcW w:w="1885" w:type="dxa"/>
            <w:tcBorders>
              <w:tl2br w:val="nil"/>
              <w:tr2bl w:val="nil"/>
            </w:tcBorders>
            <w:vAlign w:val="center"/>
          </w:tcPr>
          <w:p>
            <w:pPr>
              <w:spacing w:line="240" w:lineRule="atLeast"/>
              <w:ind w:firstLine="0" w:firstLineChars="0"/>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主要污染防治措施</w:t>
            </w:r>
          </w:p>
        </w:tc>
        <w:tc>
          <w:tcPr>
            <w:tcW w:w="1591" w:type="dxa"/>
            <w:tcBorders>
              <w:tl2br w:val="nil"/>
              <w:tr2bl w:val="nil"/>
            </w:tcBorders>
            <w:vAlign w:val="center"/>
          </w:tcPr>
          <w:p>
            <w:pPr>
              <w:spacing w:line="240" w:lineRule="atLeast"/>
              <w:ind w:firstLine="0" w:firstLineChars="0"/>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年排放量</w:t>
            </w:r>
          </w:p>
          <w:p>
            <w:pPr>
              <w:spacing w:line="240" w:lineRule="atLeast"/>
              <w:ind w:firstLine="0" w:firstLineChars="0"/>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907" w:type="dxa"/>
            <w:vMerge w:val="restart"/>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1</w:t>
            </w:r>
          </w:p>
        </w:tc>
        <w:tc>
          <w:tcPr>
            <w:tcW w:w="1206" w:type="dxa"/>
            <w:vMerge w:val="restart"/>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w:t>
            </w:r>
          </w:p>
        </w:tc>
        <w:tc>
          <w:tcPr>
            <w:tcW w:w="1331" w:type="dxa"/>
            <w:vMerge w:val="restart"/>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格栅、沉砂池、厌氧池、好氧池、沉淀池、贮泥池、污泥脱水间</w:t>
            </w:r>
          </w:p>
        </w:tc>
        <w:tc>
          <w:tcPr>
            <w:tcW w:w="1571" w:type="dxa"/>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NH</w:t>
            </w:r>
            <w:r>
              <w:rPr>
                <w:rFonts w:hint="default" w:ascii="Times New Roman" w:hAnsi="Times New Roman" w:cs="Times New Roman"/>
                <w:color w:val="0000FF"/>
                <w:sz w:val="21"/>
                <w:szCs w:val="21"/>
                <w:highlight w:val="none"/>
                <w:vertAlign w:val="subscript"/>
              </w:rPr>
              <w:t>3</w:t>
            </w:r>
          </w:p>
        </w:tc>
        <w:tc>
          <w:tcPr>
            <w:tcW w:w="1885" w:type="dxa"/>
            <w:vMerge w:val="restart"/>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废气收集装置、加强车间通风</w:t>
            </w:r>
          </w:p>
        </w:tc>
        <w:tc>
          <w:tcPr>
            <w:tcW w:w="1591" w:type="dxa"/>
            <w:tcBorders>
              <w:tl2br w:val="nil"/>
              <w:tr2bl w:val="nil"/>
            </w:tcBorders>
            <w:vAlign w:val="center"/>
          </w:tcPr>
          <w:p>
            <w:pPr>
              <w:pStyle w:val="104"/>
              <w:rPr>
                <w:rFonts w:hint="default" w:ascii="Times New Roman" w:hAnsi="Times New Roman" w:cs="Times New Roman"/>
                <w:color w:val="0000FF"/>
                <w:highlight w:val="none"/>
              </w:rPr>
            </w:pPr>
            <w:r>
              <w:rPr>
                <w:rFonts w:hint="eastAsia" w:ascii="Times New Roman" w:hAnsi="Times New Roman" w:eastAsia="宋体" w:cstheme="minorBidi"/>
                <w:color w:val="0000FF"/>
                <w:kern w:val="2"/>
                <w:sz w:val="21"/>
                <w:szCs w:val="24"/>
                <w:highlight w:val="none"/>
                <w:lang w:val="en-US" w:eastAsia="zh-CN" w:bidi="ar-SA"/>
              </w:rPr>
              <w:t>0.719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907" w:type="dxa"/>
            <w:vMerge w:val="continue"/>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p>
        </w:tc>
        <w:tc>
          <w:tcPr>
            <w:tcW w:w="1206" w:type="dxa"/>
            <w:vMerge w:val="continue"/>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p>
        </w:tc>
        <w:tc>
          <w:tcPr>
            <w:tcW w:w="1331" w:type="dxa"/>
            <w:vMerge w:val="continue"/>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p>
        </w:tc>
        <w:tc>
          <w:tcPr>
            <w:tcW w:w="1571" w:type="dxa"/>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H</w:t>
            </w:r>
            <w:r>
              <w:rPr>
                <w:rFonts w:hint="default" w:ascii="Times New Roman" w:hAnsi="Times New Roman" w:cs="Times New Roman"/>
                <w:color w:val="0000FF"/>
                <w:sz w:val="21"/>
                <w:szCs w:val="21"/>
                <w:highlight w:val="none"/>
                <w:vertAlign w:val="subscript"/>
              </w:rPr>
              <w:t>2</w:t>
            </w:r>
            <w:r>
              <w:rPr>
                <w:rFonts w:hint="default" w:ascii="Times New Roman" w:hAnsi="Times New Roman" w:cs="Times New Roman"/>
                <w:color w:val="0000FF"/>
                <w:sz w:val="21"/>
                <w:szCs w:val="21"/>
                <w:highlight w:val="none"/>
              </w:rPr>
              <w:t>S</w:t>
            </w:r>
          </w:p>
        </w:tc>
        <w:tc>
          <w:tcPr>
            <w:tcW w:w="1885" w:type="dxa"/>
            <w:vMerge w:val="continue"/>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p>
        </w:tc>
        <w:tc>
          <w:tcPr>
            <w:tcW w:w="1591" w:type="dxa"/>
            <w:tcBorders>
              <w:tl2br w:val="nil"/>
              <w:tr2bl w:val="nil"/>
            </w:tcBorders>
            <w:vAlign w:val="center"/>
          </w:tcPr>
          <w:p>
            <w:pPr>
              <w:pStyle w:val="104"/>
              <w:rPr>
                <w:rFonts w:hint="default" w:ascii="Times New Roman" w:hAnsi="Times New Roman" w:cs="Times New Roman"/>
                <w:color w:val="0000FF"/>
                <w:highlight w:val="none"/>
              </w:rPr>
            </w:pPr>
            <w:r>
              <w:rPr>
                <w:rFonts w:hint="eastAsia" w:ascii="Times New Roman" w:hAnsi="Times New Roman" w:eastAsia="宋体" w:cstheme="minorBidi"/>
                <w:color w:val="0000FF"/>
                <w:kern w:val="2"/>
                <w:sz w:val="21"/>
                <w:szCs w:val="24"/>
                <w:highlight w:val="none"/>
                <w:lang w:val="en-US" w:eastAsia="zh-CN" w:bidi="ar-SA"/>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907" w:type="dxa"/>
            <w:vMerge w:val="continue"/>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p>
        </w:tc>
        <w:tc>
          <w:tcPr>
            <w:tcW w:w="1206" w:type="dxa"/>
            <w:vMerge w:val="continue"/>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p>
        </w:tc>
        <w:tc>
          <w:tcPr>
            <w:tcW w:w="1331" w:type="dxa"/>
            <w:vMerge w:val="continue"/>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p>
        </w:tc>
        <w:tc>
          <w:tcPr>
            <w:tcW w:w="1571" w:type="dxa"/>
            <w:tcBorders>
              <w:tl2br w:val="nil"/>
              <w:tr2bl w:val="nil"/>
            </w:tcBorders>
            <w:vAlign w:val="center"/>
          </w:tcPr>
          <w:p>
            <w:pPr>
              <w:spacing w:line="240" w:lineRule="atLeast"/>
              <w:ind w:firstLine="0" w:firstLineChars="0"/>
              <w:jc w:val="center"/>
              <w:rPr>
                <w:rFonts w:hint="eastAsia"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甲烷</w:t>
            </w:r>
          </w:p>
        </w:tc>
        <w:tc>
          <w:tcPr>
            <w:tcW w:w="1885" w:type="dxa"/>
            <w:vMerge w:val="continue"/>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p>
        </w:tc>
        <w:tc>
          <w:tcPr>
            <w:tcW w:w="1591" w:type="dxa"/>
            <w:tcBorders>
              <w:tl2br w:val="nil"/>
              <w:tr2bl w:val="nil"/>
            </w:tcBorders>
            <w:vAlign w:val="center"/>
          </w:tcPr>
          <w:p>
            <w:pPr>
              <w:pStyle w:val="104"/>
              <w:rPr>
                <w:rFonts w:hint="default" w:ascii="Times New Roman" w:hAnsi="Times New Roman" w:eastAsia="宋体" w:cstheme="minorBidi"/>
                <w:color w:val="0000FF"/>
                <w:kern w:val="2"/>
                <w:sz w:val="21"/>
                <w:szCs w:val="24"/>
                <w:highlight w:val="none"/>
                <w:lang w:val="en-US" w:eastAsia="zh-CN" w:bidi="ar-SA"/>
              </w:rPr>
            </w:pPr>
            <w:r>
              <w:rPr>
                <w:rFonts w:hint="eastAsia" w:cstheme="minorBidi"/>
                <w:color w:val="0000FF"/>
                <w:kern w:val="2"/>
                <w:sz w:val="21"/>
                <w:szCs w:val="24"/>
                <w:highlight w:val="none"/>
                <w:lang w:val="en-US" w:eastAsia="zh-CN" w:bidi="ar-SA"/>
              </w:rPr>
              <w:t>4.835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8491" w:type="dxa"/>
            <w:gridSpan w:val="6"/>
            <w:tcBorders>
              <w:tl2br w:val="nil"/>
              <w:tr2bl w:val="nil"/>
            </w:tcBorders>
            <w:vAlign w:val="center"/>
          </w:tcPr>
          <w:p>
            <w:pPr>
              <w:spacing w:line="240" w:lineRule="atLeast"/>
              <w:ind w:firstLine="0" w:firstLineChars="0"/>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444" w:type="dxa"/>
            <w:gridSpan w:val="3"/>
            <w:vMerge w:val="restart"/>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无组织排放总计</w:t>
            </w:r>
          </w:p>
        </w:tc>
        <w:tc>
          <w:tcPr>
            <w:tcW w:w="3456" w:type="dxa"/>
            <w:gridSpan w:val="2"/>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NH</w:t>
            </w:r>
            <w:r>
              <w:rPr>
                <w:rFonts w:hint="default" w:ascii="Times New Roman" w:hAnsi="Times New Roman" w:cs="Times New Roman"/>
                <w:color w:val="0000FF"/>
                <w:sz w:val="21"/>
                <w:szCs w:val="21"/>
                <w:highlight w:val="none"/>
                <w:vertAlign w:val="subscript"/>
              </w:rPr>
              <w:t>3</w:t>
            </w:r>
          </w:p>
        </w:tc>
        <w:tc>
          <w:tcPr>
            <w:tcW w:w="1591" w:type="dxa"/>
            <w:tcBorders>
              <w:tl2br w:val="nil"/>
              <w:tr2bl w:val="nil"/>
            </w:tcBorders>
            <w:vAlign w:val="center"/>
          </w:tcPr>
          <w:p>
            <w:pPr>
              <w:pStyle w:val="104"/>
              <w:rPr>
                <w:rFonts w:hint="default" w:ascii="Times New Roman" w:hAnsi="Times New Roman" w:cs="Times New Roman"/>
                <w:color w:val="0000FF"/>
                <w:szCs w:val="21"/>
                <w:highlight w:val="none"/>
              </w:rPr>
            </w:pPr>
            <w:r>
              <w:rPr>
                <w:rFonts w:hint="eastAsia" w:ascii="Times New Roman" w:hAnsi="Times New Roman" w:eastAsia="宋体" w:cstheme="minorBidi"/>
                <w:color w:val="0000FF"/>
                <w:kern w:val="2"/>
                <w:sz w:val="21"/>
                <w:szCs w:val="24"/>
                <w:highlight w:val="none"/>
                <w:lang w:val="en-US" w:eastAsia="zh-CN" w:bidi="ar-SA"/>
              </w:rPr>
              <w:t>0.719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444" w:type="dxa"/>
            <w:gridSpan w:val="3"/>
            <w:vMerge w:val="continue"/>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p>
        </w:tc>
        <w:tc>
          <w:tcPr>
            <w:tcW w:w="3456" w:type="dxa"/>
            <w:gridSpan w:val="2"/>
            <w:tcBorders>
              <w:tl2br w:val="nil"/>
              <w:tr2bl w:val="nil"/>
            </w:tcBorders>
            <w:vAlign w:val="center"/>
          </w:tcPr>
          <w:p>
            <w:pPr>
              <w:spacing w:line="240" w:lineRule="atLeast"/>
              <w:ind w:firstLine="0" w:firstLineChars="0"/>
              <w:jc w:val="center"/>
              <w:rPr>
                <w:rFonts w:hint="default" w:ascii="Times New Roman" w:hAnsi="Times New Roman" w:cs="Times New Roman"/>
                <w:color w:val="0000FF"/>
                <w:kern w:val="44"/>
                <w:sz w:val="21"/>
                <w:szCs w:val="21"/>
                <w:highlight w:val="none"/>
              </w:rPr>
            </w:pPr>
            <w:r>
              <w:rPr>
                <w:rFonts w:hint="default" w:ascii="Times New Roman" w:hAnsi="Times New Roman" w:cs="Times New Roman"/>
                <w:color w:val="0000FF"/>
                <w:sz w:val="21"/>
                <w:szCs w:val="21"/>
                <w:highlight w:val="none"/>
              </w:rPr>
              <w:t>H</w:t>
            </w:r>
            <w:r>
              <w:rPr>
                <w:rFonts w:hint="default" w:ascii="Times New Roman" w:hAnsi="Times New Roman" w:cs="Times New Roman"/>
                <w:color w:val="0000FF"/>
                <w:sz w:val="21"/>
                <w:szCs w:val="21"/>
                <w:highlight w:val="none"/>
                <w:vertAlign w:val="subscript"/>
              </w:rPr>
              <w:t>2</w:t>
            </w:r>
            <w:r>
              <w:rPr>
                <w:rFonts w:hint="default" w:ascii="Times New Roman" w:hAnsi="Times New Roman" w:cs="Times New Roman"/>
                <w:color w:val="0000FF"/>
                <w:sz w:val="21"/>
                <w:szCs w:val="21"/>
                <w:highlight w:val="none"/>
              </w:rPr>
              <w:t>S</w:t>
            </w:r>
          </w:p>
        </w:tc>
        <w:tc>
          <w:tcPr>
            <w:tcW w:w="1591" w:type="dxa"/>
            <w:tcBorders>
              <w:tl2br w:val="nil"/>
              <w:tr2bl w:val="nil"/>
            </w:tcBorders>
            <w:vAlign w:val="center"/>
          </w:tcPr>
          <w:p>
            <w:pPr>
              <w:pStyle w:val="104"/>
              <w:rPr>
                <w:rFonts w:hint="default" w:ascii="Times New Roman" w:hAnsi="Times New Roman" w:cs="Times New Roman"/>
                <w:color w:val="0000FF"/>
                <w:szCs w:val="21"/>
                <w:highlight w:val="none"/>
              </w:rPr>
            </w:pPr>
            <w:r>
              <w:rPr>
                <w:rFonts w:hint="eastAsia" w:ascii="Times New Roman" w:hAnsi="Times New Roman" w:eastAsia="宋体" w:cstheme="minorBidi"/>
                <w:color w:val="0000FF"/>
                <w:kern w:val="2"/>
                <w:sz w:val="21"/>
                <w:szCs w:val="24"/>
                <w:highlight w:val="none"/>
                <w:lang w:val="en-US" w:eastAsia="zh-CN" w:bidi="ar-SA"/>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444" w:type="dxa"/>
            <w:gridSpan w:val="3"/>
            <w:vMerge w:val="continue"/>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bookmarkStart w:id="145" w:name="_Toc23616"/>
            <w:bookmarkStart w:id="146" w:name="_Toc9831"/>
          </w:p>
        </w:tc>
        <w:tc>
          <w:tcPr>
            <w:tcW w:w="3456" w:type="dxa"/>
            <w:gridSpan w:val="2"/>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r>
              <w:rPr>
                <w:rFonts w:hint="eastAsia" w:cs="Times New Roman"/>
                <w:color w:val="0000FF"/>
                <w:sz w:val="21"/>
                <w:szCs w:val="21"/>
                <w:highlight w:val="none"/>
                <w:lang w:val="en-US" w:eastAsia="zh-CN"/>
              </w:rPr>
              <w:t>甲烷</w:t>
            </w:r>
          </w:p>
        </w:tc>
        <w:tc>
          <w:tcPr>
            <w:tcW w:w="1591" w:type="dxa"/>
            <w:tcBorders>
              <w:tl2br w:val="nil"/>
              <w:tr2bl w:val="nil"/>
            </w:tcBorders>
            <w:vAlign w:val="center"/>
          </w:tcPr>
          <w:p>
            <w:pPr>
              <w:pStyle w:val="104"/>
              <w:rPr>
                <w:rFonts w:hint="default" w:ascii="Times New Roman" w:hAnsi="Times New Roman" w:eastAsia="宋体" w:cstheme="minorBidi"/>
                <w:color w:val="0000FF"/>
                <w:kern w:val="2"/>
                <w:sz w:val="21"/>
                <w:szCs w:val="24"/>
                <w:highlight w:val="none"/>
                <w:lang w:val="en-US" w:eastAsia="zh-CN" w:bidi="ar-SA"/>
              </w:rPr>
            </w:pPr>
            <w:r>
              <w:rPr>
                <w:rFonts w:hint="eastAsia" w:cstheme="minorBidi"/>
                <w:color w:val="0000FF"/>
                <w:kern w:val="2"/>
                <w:sz w:val="21"/>
                <w:szCs w:val="24"/>
                <w:highlight w:val="none"/>
                <w:lang w:val="en-US" w:eastAsia="zh-CN" w:bidi="ar-SA"/>
              </w:rPr>
              <w:t>4.835</w:t>
            </w:r>
          </w:p>
        </w:tc>
      </w:tr>
    </w:tbl>
    <w:p>
      <w:pPr>
        <w:bidi w:val="0"/>
        <w:rPr>
          <w:rFonts w:hint="default" w:ascii="Times New Roman" w:hAnsi="Times New Roman" w:cs="Times New Roman"/>
          <w:color w:val="0000FF"/>
          <w:szCs w:val="22"/>
          <w:highlight w:val="none"/>
        </w:rPr>
      </w:pPr>
      <w:r>
        <w:rPr>
          <w:rFonts w:hint="eastAsia" w:ascii="微软雅黑" w:hAnsi="微软雅黑" w:eastAsia="微软雅黑" w:cs="微软雅黑"/>
          <w:color w:val="0000FF"/>
          <w:szCs w:val="22"/>
          <w:highlight w:val="none"/>
        </w:rPr>
        <w:t>③</w:t>
      </w:r>
      <w:r>
        <w:rPr>
          <w:rFonts w:hint="default" w:ascii="Times New Roman" w:hAnsi="Times New Roman" w:cs="Times New Roman"/>
          <w:color w:val="0000FF"/>
          <w:szCs w:val="22"/>
          <w:highlight w:val="none"/>
        </w:rPr>
        <w:t>大气污染物年排放量核算</w:t>
      </w:r>
      <w:bookmarkEnd w:id="145"/>
      <w:bookmarkEnd w:id="146"/>
    </w:p>
    <w:p>
      <w:pPr>
        <w:widowControl/>
        <w:snapToGrid w:val="0"/>
        <w:spacing w:line="288" w:lineRule="auto"/>
        <w:ind w:firstLine="0" w:firstLineChars="0"/>
        <w:jc w:val="center"/>
        <w:rPr>
          <w:rFonts w:hint="default" w:ascii="Times New Roman" w:hAnsi="Times New Roman" w:cs="Times New Roman"/>
          <w:b/>
          <w:color w:val="0000FF"/>
          <w:sz w:val="22"/>
          <w:szCs w:val="18"/>
          <w:highlight w:val="none"/>
        </w:rPr>
      </w:pPr>
      <w:r>
        <w:rPr>
          <w:rFonts w:hint="default" w:ascii="Times New Roman" w:hAnsi="Times New Roman" w:eastAsia="黑体" w:cs="Times New Roman"/>
          <w:color w:val="0000FF"/>
          <w:highlight w:val="none"/>
        </w:rPr>
        <w:t>表5.2-</w:t>
      </w:r>
      <w:r>
        <w:rPr>
          <w:rFonts w:hint="default" w:ascii="Times New Roman" w:hAnsi="Times New Roman" w:eastAsia="黑体" w:cs="Times New Roman"/>
          <w:color w:val="0000FF"/>
          <w:highlight w:val="none"/>
          <w:lang w:val="en-US" w:eastAsia="zh-CN"/>
        </w:rPr>
        <w:t>12</w:t>
      </w:r>
      <w:r>
        <w:rPr>
          <w:rFonts w:hint="default" w:ascii="Times New Roman" w:hAnsi="Times New Roman" w:eastAsia="黑体" w:cs="Times New Roman"/>
          <w:color w:val="0000FF"/>
          <w:highlight w:val="none"/>
        </w:rPr>
        <w:t>大气污染物年排放量核算表</w:t>
      </w:r>
    </w:p>
    <w:tbl>
      <w:tblPr>
        <w:tblStyle w:val="33"/>
        <w:tblW w:w="8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095"/>
        <w:gridCol w:w="3666"/>
        <w:gridCol w:w="2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1" w:hRule="atLeast"/>
          <w:tblHeader/>
          <w:jc w:val="center"/>
        </w:trPr>
        <w:tc>
          <w:tcPr>
            <w:tcW w:w="2095" w:type="dxa"/>
            <w:tcBorders>
              <w:tl2br w:val="nil"/>
              <w:tr2bl w:val="nil"/>
            </w:tcBorders>
            <w:vAlign w:val="center"/>
          </w:tcPr>
          <w:p>
            <w:pPr>
              <w:spacing w:line="240" w:lineRule="atLeast"/>
              <w:ind w:firstLine="0" w:firstLineChars="0"/>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序号</w:t>
            </w:r>
          </w:p>
        </w:tc>
        <w:tc>
          <w:tcPr>
            <w:tcW w:w="3666" w:type="dxa"/>
            <w:tcBorders>
              <w:tl2br w:val="nil"/>
              <w:tr2bl w:val="nil"/>
            </w:tcBorders>
            <w:vAlign w:val="center"/>
          </w:tcPr>
          <w:p>
            <w:pPr>
              <w:spacing w:line="240" w:lineRule="atLeast"/>
              <w:ind w:firstLine="0" w:firstLineChars="0"/>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污染物</w:t>
            </w:r>
          </w:p>
        </w:tc>
        <w:tc>
          <w:tcPr>
            <w:tcW w:w="2731" w:type="dxa"/>
            <w:tcBorders>
              <w:tl2br w:val="nil"/>
              <w:tr2bl w:val="nil"/>
            </w:tcBorders>
            <w:vAlign w:val="center"/>
          </w:tcPr>
          <w:p>
            <w:pPr>
              <w:spacing w:line="240" w:lineRule="atLeast"/>
              <w:ind w:firstLine="0" w:firstLineChars="0"/>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095" w:type="dxa"/>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1</w:t>
            </w:r>
          </w:p>
        </w:tc>
        <w:tc>
          <w:tcPr>
            <w:tcW w:w="3666" w:type="dxa"/>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NH</w:t>
            </w:r>
            <w:r>
              <w:rPr>
                <w:rFonts w:hint="default" w:ascii="Times New Roman" w:hAnsi="Times New Roman" w:cs="Times New Roman"/>
                <w:color w:val="0000FF"/>
                <w:sz w:val="21"/>
                <w:szCs w:val="21"/>
                <w:highlight w:val="none"/>
                <w:vertAlign w:val="subscript"/>
              </w:rPr>
              <w:t>3</w:t>
            </w:r>
          </w:p>
        </w:tc>
        <w:tc>
          <w:tcPr>
            <w:tcW w:w="2731" w:type="dxa"/>
            <w:tcBorders>
              <w:tl2br w:val="nil"/>
              <w:tr2bl w:val="nil"/>
            </w:tcBorders>
            <w:vAlign w:val="center"/>
          </w:tcPr>
          <w:p>
            <w:pPr>
              <w:spacing w:line="240" w:lineRule="atLeast"/>
              <w:ind w:firstLine="0" w:firstLineChars="0"/>
              <w:jc w:val="center"/>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2.086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095" w:type="dxa"/>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2</w:t>
            </w:r>
          </w:p>
        </w:tc>
        <w:tc>
          <w:tcPr>
            <w:tcW w:w="3666" w:type="dxa"/>
            <w:tcBorders>
              <w:tl2br w:val="nil"/>
              <w:tr2bl w:val="nil"/>
            </w:tcBorders>
            <w:vAlign w:val="center"/>
          </w:tcPr>
          <w:p>
            <w:pPr>
              <w:spacing w:line="240" w:lineRule="atLeast"/>
              <w:ind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H</w:t>
            </w:r>
            <w:r>
              <w:rPr>
                <w:rFonts w:hint="default" w:ascii="Times New Roman" w:hAnsi="Times New Roman" w:cs="Times New Roman"/>
                <w:color w:val="0000FF"/>
                <w:sz w:val="21"/>
                <w:szCs w:val="21"/>
                <w:highlight w:val="none"/>
                <w:vertAlign w:val="subscript"/>
              </w:rPr>
              <w:t>2</w:t>
            </w:r>
            <w:r>
              <w:rPr>
                <w:rFonts w:hint="default" w:ascii="Times New Roman" w:hAnsi="Times New Roman" w:cs="Times New Roman"/>
                <w:color w:val="0000FF"/>
                <w:sz w:val="21"/>
                <w:szCs w:val="21"/>
                <w:highlight w:val="none"/>
              </w:rPr>
              <w:t>S</w:t>
            </w:r>
          </w:p>
        </w:tc>
        <w:tc>
          <w:tcPr>
            <w:tcW w:w="2731" w:type="dxa"/>
            <w:tcBorders>
              <w:tl2br w:val="nil"/>
              <w:tr2bl w:val="nil"/>
            </w:tcBorders>
            <w:vAlign w:val="center"/>
          </w:tcPr>
          <w:p>
            <w:pPr>
              <w:spacing w:line="240" w:lineRule="atLeast"/>
              <w:ind w:firstLine="0" w:firstLineChars="0"/>
              <w:jc w:val="center"/>
              <w:rPr>
                <w:rFonts w:hint="default"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0.044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095" w:type="dxa"/>
            <w:tcBorders>
              <w:tl2br w:val="nil"/>
              <w:tr2bl w:val="nil"/>
            </w:tcBorders>
            <w:vAlign w:val="center"/>
          </w:tcPr>
          <w:p>
            <w:pPr>
              <w:spacing w:line="240" w:lineRule="atLeast"/>
              <w:ind w:firstLine="0" w:firstLineChars="0"/>
              <w:jc w:val="center"/>
              <w:rPr>
                <w:rFonts w:hint="eastAsia"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3</w:t>
            </w:r>
          </w:p>
        </w:tc>
        <w:tc>
          <w:tcPr>
            <w:tcW w:w="3666" w:type="dxa"/>
            <w:tcBorders>
              <w:tl2br w:val="nil"/>
              <w:tr2bl w:val="nil"/>
            </w:tcBorders>
            <w:vAlign w:val="center"/>
          </w:tcPr>
          <w:p>
            <w:pPr>
              <w:spacing w:line="240" w:lineRule="atLeast"/>
              <w:ind w:firstLine="0" w:firstLineChars="0"/>
              <w:jc w:val="center"/>
              <w:rPr>
                <w:rFonts w:hint="eastAsia" w:ascii="Times New Roman" w:hAnsi="Times New Roman" w:eastAsia="宋体" w:cs="Times New Roman"/>
                <w:color w:val="0000FF"/>
                <w:sz w:val="21"/>
                <w:szCs w:val="21"/>
                <w:highlight w:val="none"/>
                <w:lang w:val="en-US" w:eastAsia="zh-CN"/>
              </w:rPr>
            </w:pPr>
            <w:r>
              <w:rPr>
                <w:rFonts w:hint="eastAsia" w:cs="Times New Roman"/>
                <w:color w:val="0000FF"/>
                <w:sz w:val="21"/>
                <w:szCs w:val="21"/>
                <w:highlight w:val="none"/>
                <w:lang w:val="en-US" w:eastAsia="zh-CN"/>
              </w:rPr>
              <w:t>甲烷</w:t>
            </w:r>
          </w:p>
        </w:tc>
        <w:tc>
          <w:tcPr>
            <w:tcW w:w="2731" w:type="dxa"/>
            <w:tcBorders>
              <w:tl2br w:val="nil"/>
              <w:tr2bl w:val="nil"/>
            </w:tcBorders>
            <w:vAlign w:val="center"/>
          </w:tcPr>
          <w:p>
            <w:pPr>
              <w:spacing w:line="240" w:lineRule="atLeast"/>
              <w:ind w:firstLine="0" w:firstLineChars="0"/>
              <w:jc w:val="center"/>
              <w:rPr>
                <w:rFonts w:hint="default" w:cs="Times New Roman"/>
                <w:color w:val="0000FF"/>
                <w:sz w:val="21"/>
                <w:szCs w:val="21"/>
                <w:highlight w:val="none"/>
                <w:lang w:val="en-US" w:eastAsia="zh-CN"/>
              </w:rPr>
            </w:pPr>
            <w:r>
              <w:rPr>
                <w:rFonts w:hint="eastAsia" w:cs="Times New Roman"/>
                <w:color w:val="0000FF"/>
                <w:sz w:val="21"/>
                <w:szCs w:val="21"/>
                <w:highlight w:val="none"/>
                <w:lang w:val="en-US" w:eastAsia="zh-CN"/>
              </w:rPr>
              <w:t>4.835</w:t>
            </w:r>
          </w:p>
        </w:tc>
      </w:tr>
    </w:tbl>
    <w:p>
      <w:pPr>
        <w:pStyle w:val="2"/>
        <w:rPr>
          <w:rFonts w:hint="default" w:ascii="Times New Roman" w:hAnsi="Times New Roman" w:cs="Times New Roman"/>
          <w:color w:val="0000FF"/>
          <w:highlight w:val="none"/>
        </w:rPr>
      </w:pPr>
      <w:r>
        <w:rPr>
          <w:rFonts w:hint="default" w:ascii="Times New Roman" w:hAnsi="Times New Roman" w:cs="Times New Roman"/>
          <w:color w:val="0000FF"/>
          <w:highlight w:val="none"/>
        </w:rPr>
        <w:t>防护距离计算</w:t>
      </w:r>
    </w:p>
    <w:p>
      <w:pPr>
        <w:bidi w:val="0"/>
        <w:rPr>
          <w:rFonts w:hint="default"/>
        </w:rPr>
      </w:pPr>
      <w:bookmarkStart w:id="147" w:name="_Toc19367"/>
      <w:bookmarkStart w:id="148" w:name="_Toc10813"/>
      <w:r>
        <w:rPr>
          <w:rFonts w:hint="default"/>
        </w:rPr>
        <w:t>（1）大气环境防护距离</w:t>
      </w:r>
      <w:bookmarkEnd w:id="147"/>
      <w:bookmarkEnd w:id="148"/>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eastAsia="zh-CN"/>
        </w:rPr>
        <w:t>环境影响评价技术导则大气环境</w:t>
      </w:r>
      <w:r>
        <w:rPr>
          <w:rFonts w:hint="default" w:ascii="Times New Roman" w:hAnsi="Times New Roman" w:cs="Times New Roman"/>
          <w:color w:val="auto"/>
          <w:highlight w:val="none"/>
        </w:rPr>
        <w:t>》（HJ2.2-2018），采用推荐模式中的大气环境防护距离模式计算各无组织源的大气环境防护距离。计算出的距离是以污染源中心点为起点的控制距离，并结合厂区平面布置图，确定控制距离范围，超出厂界以外的范围，即为项目大气环境防护区域。</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项目大气环境影响评价等级为二级，污染物最大地面浓度占标率为</w:t>
      </w:r>
      <w:r>
        <w:rPr>
          <w:rFonts w:hint="eastAsia" w:cs="Times New Roman"/>
          <w:color w:val="auto"/>
          <w:highlight w:val="none"/>
          <w:lang w:eastAsia="zh-CN"/>
        </w:rPr>
        <w:t>2.1058%</w:t>
      </w:r>
      <w:r>
        <w:rPr>
          <w:rFonts w:hint="default" w:ascii="Times New Roman" w:hAnsi="Times New Roman" w:cs="Times New Roman"/>
          <w:color w:val="auto"/>
          <w:highlight w:val="none"/>
        </w:rPr>
        <w:t>＜10%，无需设置大气环境防护距离。</w:t>
      </w:r>
    </w:p>
    <w:p>
      <w:pPr>
        <w:bidi w:val="0"/>
        <w:rPr>
          <w:rFonts w:hint="default"/>
        </w:rPr>
      </w:pPr>
      <w:bookmarkStart w:id="149" w:name="_Toc15629"/>
      <w:bookmarkStart w:id="150" w:name="_Toc32088"/>
      <w:r>
        <w:rPr>
          <w:rFonts w:hint="default"/>
        </w:rPr>
        <w:t>（2）卫生防护距离</w:t>
      </w:r>
      <w:bookmarkEnd w:id="149"/>
      <w:bookmarkEnd w:id="150"/>
    </w:p>
    <w:p>
      <w:pPr>
        <w:widowControl/>
        <w:ind w:firstLine="480"/>
        <w:jc w:val="left"/>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为了防控通过无组织排放的大气污染的健康危害，产生大气有害物质的生产单元（生产车间或作业场所）的边界至敏感区边界的最小距离。</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①卫生防护距离初值计算</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根据《大气有害物质无组织排放卫生防护距离推导技术导则》（GB/T39499-2020）的有关规定，卫生防护距离初值计算公式采用推荐的估算方法进行计算，具体计算公式如下。</w:t>
      </w:r>
    </w:p>
    <w:p>
      <w:pPr>
        <w:autoSpaceDE w:val="0"/>
        <w:autoSpaceDN w:val="0"/>
        <w:adjustRightInd w:val="0"/>
        <w:ind w:firstLine="480"/>
        <w:jc w:val="center"/>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drawing>
          <wp:inline distT="0" distB="0" distL="114300" distR="114300">
            <wp:extent cx="2225040" cy="629920"/>
            <wp:effectExtent l="0" t="0" r="10160" b="508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37" cstate="print"/>
                    <a:srcRect b="6061"/>
                    <a:stretch>
                      <a:fillRect/>
                    </a:stretch>
                  </pic:blipFill>
                  <pic:spPr>
                    <a:xfrm>
                      <a:off x="0" y="0"/>
                      <a:ext cx="2225040" cy="629920"/>
                    </a:xfrm>
                    <a:prstGeom prst="rect">
                      <a:avLst/>
                    </a:prstGeom>
                    <a:noFill/>
                    <a:ln>
                      <a:noFill/>
                    </a:ln>
                  </pic:spPr>
                </pic:pic>
              </a:graphicData>
            </a:graphic>
          </wp:inline>
        </w:drawing>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式中：</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Cm——标准浓度限值，mg/m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Qc——工业企业有害气体无组织排放量可以达到的控制水平，kg/h；</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A、B、C、D——卫生防护距离计算系数，无因次，由</w:t>
      </w:r>
      <w:r>
        <w:rPr>
          <w:rFonts w:hint="default" w:ascii="Times New Roman" w:hAnsi="Times New Roman" w:cs="Times New Roman"/>
          <w:color w:val="auto"/>
          <w:highlight w:val="none"/>
          <w:lang w:eastAsia="zh-CN"/>
        </w:rPr>
        <w:t>GB13271-2014</w:t>
      </w:r>
      <w:r>
        <w:rPr>
          <w:rFonts w:hint="default" w:ascii="Times New Roman" w:hAnsi="Times New Roman" w:cs="Times New Roman"/>
          <w:color w:val="auto"/>
          <w:highlight w:val="none"/>
        </w:rPr>
        <w:t>中查</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取，A取470，B取0.021，C取1.85，D取0.84。</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r——有害气体无组织排放源的在单元的等次半径，m；</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L——工业企业所需卫生防护距离，m。</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975360" cy="609600"/>
            <wp:effectExtent l="0" t="0" r="2540" b="0"/>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38" cstate="print"/>
                    <a:stretch>
                      <a:fillRect/>
                    </a:stretch>
                  </pic:blipFill>
                  <pic:spPr>
                    <a:xfrm>
                      <a:off x="0" y="0"/>
                      <a:ext cx="975360" cy="609600"/>
                    </a:xfrm>
                    <a:prstGeom prst="rect">
                      <a:avLst/>
                    </a:prstGeom>
                    <a:noFill/>
                    <a:ln>
                      <a:noFill/>
                    </a:ln>
                  </pic:spPr>
                </pic:pic>
              </a:graphicData>
            </a:graphic>
          </wp:inline>
        </w:drawing>
      </w:r>
    </w:p>
    <w:p>
      <w:pPr>
        <w:ind w:firstLine="48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本项目无组织排放气体主要为恶臭气体H</w:t>
      </w:r>
      <w:r>
        <w:rPr>
          <w:rFonts w:hint="default" w:ascii="Times New Roman" w:hAnsi="Times New Roman" w:cs="Times New Roman"/>
          <w:color w:val="auto"/>
          <w:highlight w:val="none"/>
          <w:u w:val="none"/>
          <w:vertAlign w:val="subscript"/>
        </w:rPr>
        <w:t>2</w:t>
      </w:r>
      <w:r>
        <w:rPr>
          <w:rFonts w:hint="default" w:ascii="Times New Roman" w:hAnsi="Times New Roman" w:cs="Times New Roman"/>
          <w:color w:val="auto"/>
          <w:highlight w:val="none"/>
          <w:u w:val="none"/>
        </w:rPr>
        <w:t>S、NH</w:t>
      </w:r>
      <w:r>
        <w:rPr>
          <w:rFonts w:hint="default" w:ascii="Times New Roman" w:hAnsi="Times New Roman" w:cs="Times New Roman"/>
          <w:color w:val="auto"/>
          <w:highlight w:val="none"/>
          <w:u w:val="none"/>
          <w:vertAlign w:val="subscript"/>
        </w:rPr>
        <w:t>3</w:t>
      </w:r>
      <w:r>
        <w:rPr>
          <w:rFonts w:hint="default" w:ascii="Times New Roman" w:hAnsi="Times New Roman" w:cs="Times New Roman"/>
          <w:color w:val="auto"/>
          <w:highlight w:val="none"/>
          <w:u w:val="none"/>
        </w:rPr>
        <w:t>。该地区年平均风速</w:t>
      </w:r>
      <w:r>
        <w:rPr>
          <w:rFonts w:hint="eastAsia" w:cs="Times New Roman"/>
          <w:color w:val="auto"/>
          <w:highlight w:val="none"/>
          <w:u w:val="none"/>
          <w:lang w:val="en-US" w:eastAsia="zh-CN"/>
        </w:rPr>
        <w:t>1.3</w:t>
      </w:r>
      <w:r>
        <w:rPr>
          <w:rFonts w:hint="default" w:ascii="Times New Roman" w:hAnsi="Times New Roman" w:cs="Times New Roman"/>
          <w:color w:val="auto"/>
          <w:highlight w:val="none"/>
          <w:u w:val="none"/>
        </w:rPr>
        <w:t>m/s。</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②卫生防护距离终值计算</w:t>
      </w:r>
    </w:p>
    <w:p>
      <w:pPr>
        <w:autoSpaceDE w:val="0"/>
        <w:autoSpaceDN w:val="0"/>
        <w:adjustRightInd w:val="0"/>
        <w:ind w:firstLine="480"/>
        <w:jc w:val="center"/>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drawing>
          <wp:inline distT="0" distB="0" distL="114300" distR="114300">
            <wp:extent cx="4916170" cy="1570990"/>
            <wp:effectExtent l="0" t="0" r="11430" b="3810"/>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pic:cNvPicPr>
                  </pic:nvPicPr>
                  <pic:blipFill>
                    <a:blip r:embed="rId39" cstate="print"/>
                    <a:stretch>
                      <a:fillRect/>
                    </a:stretch>
                  </pic:blipFill>
                  <pic:spPr>
                    <a:xfrm>
                      <a:off x="0" y="0"/>
                      <a:ext cx="4916170" cy="1570990"/>
                    </a:xfrm>
                    <a:prstGeom prst="rect">
                      <a:avLst/>
                    </a:prstGeom>
                    <a:noFill/>
                    <a:ln>
                      <a:noFill/>
                    </a:ln>
                  </pic:spPr>
                </pic:pic>
              </a:graphicData>
            </a:graphic>
          </wp:inline>
        </w:drawing>
      </w:r>
    </w:p>
    <w:p>
      <w:pPr>
        <w:ind w:firstLine="48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4922520" cy="617220"/>
            <wp:effectExtent l="0" t="0" r="5080" b="5080"/>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40" cstate="print"/>
                    <a:stretch>
                      <a:fillRect/>
                    </a:stretch>
                  </pic:blipFill>
                  <pic:spPr>
                    <a:xfrm>
                      <a:off x="0" y="0"/>
                      <a:ext cx="4922520" cy="617220"/>
                    </a:xfrm>
                    <a:prstGeom prst="rect">
                      <a:avLst/>
                    </a:prstGeom>
                    <a:noFill/>
                    <a:ln>
                      <a:noFill/>
                    </a:ln>
                  </pic:spPr>
                </pic:pic>
              </a:graphicData>
            </a:graphic>
          </wp:inline>
        </w:drawing>
      </w:r>
    </w:p>
    <w:p>
      <w:pPr>
        <w:widowControl/>
        <w:ind w:firstLine="480"/>
        <w:jc w:val="left"/>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卫生防护距离计算结果详见下表。</w:t>
      </w:r>
    </w:p>
    <w:p>
      <w:pPr>
        <w:spacing w:line="240" w:lineRule="auto"/>
        <w:ind w:firstLine="0" w:firstLineChars="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表5.2-1</w:t>
      </w:r>
      <w:r>
        <w:rPr>
          <w:rFonts w:hint="default" w:ascii="Times New Roman" w:hAnsi="Times New Roman" w:eastAsia="黑体" w:cs="Times New Roman"/>
          <w:color w:val="auto"/>
          <w:highlight w:val="none"/>
          <w:lang w:val="en-US" w:eastAsia="zh-CN"/>
        </w:rPr>
        <w:t>3</w:t>
      </w:r>
      <w:r>
        <w:rPr>
          <w:rFonts w:hint="default" w:ascii="Times New Roman" w:hAnsi="Times New Roman" w:eastAsia="黑体" w:cs="Times New Roman"/>
          <w:color w:val="auto"/>
          <w:highlight w:val="none"/>
        </w:rPr>
        <w:t>卫生防护距离计算一览表</w:t>
      </w:r>
    </w:p>
    <w:tbl>
      <w:tblPr>
        <w:tblStyle w:val="57"/>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84"/>
        <w:gridCol w:w="602"/>
        <w:gridCol w:w="926"/>
        <w:gridCol w:w="640"/>
        <w:gridCol w:w="570"/>
        <w:gridCol w:w="783"/>
        <w:gridCol w:w="1013"/>
        <w:gridCol w:w="694"/>
        <w:gridCol w:w="13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8" w:hRule="atLeast"/>
        </w:trPr>
        <w:tc>
          <w:tcPr>
            <w:tcW w:w="108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位置</w:t>
            </w:r>
          </w:p>
        </w:tc>
        <w:tc>
          <w:tcPr>
            <w:tcW w:w="37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污染物</w:t>
            </w:r>
          </w:p>
        </w:tc>
        <w:tc>
          <w:tcPr>
            <w:tcW w:w="569"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Q(kg/h)</w:t>
            </w:r>
          </w:p>
        </w:tc>
        <w:tc>
          <w:tcPr>
            <w:tcW w:w="397"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S</w:t>
            </w:r>
          </w:p>
          <w:p>
            <w:pPr>
              <w:spacing w:line="240" w:lineRule="auto"/>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(m</w:t>
            </w:r>
            <w:r>
              <w:rPr>
                <w:rFonts w:hint="default" w:ascii="Times New Roman" w:hAnsi="Times New Roman" w:cs="Times New Roman"/>
                <w:color w:val="auto"/>
                <w:sz w:val="21"/>
                <w:highlight w:val="none"/>
                <w:vertAlign w:val="superscript"/>
              </w:rPr>
              <w:t>2</w:t>
            </w:r>
            <w:r>
              <w:rPr>
                <w:rFonts w:hint="default" w:ascii="Times New Roman" w:hAnsi="Times New Roman" w:cs="Times New Roman"/>
                <w:color w:val="auto"/>
                <w:sz w:val="21"/>
                <w:highlight w:val="none"/>
              </w:rPr>
              <w:t>)</w:t>
            </w:r>
          </w:p>
        </w:tc>
        <w:tc>
          <w:tcPr>
            <w:tcW w:w="35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r(m)</w:t>
            </w:r>
          </w:p>
        </w:tc>
        <w:tc>
          <w:tcPr>
            <w:tcW w:w="48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风速（m/s）</w:t>
            </w:r>
          </w:p>
        </w:tc>
        <w:tc>
          <w:tcPr>
            <w:tcW w:w="556"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Cm(mg/m</w:t>
            </w:r>
            <w:r>
              <w:rPr>
                <w:rFonts w:hint="default" w:ascii="Times New Roman" w:hAnsi="Times New Roman" w:cs="Times New Roman"/>
                <w:color w:val="auto"/>
                <w:sz w:val="21"/>
                <w:highlight w:val="none"/>
                <w:vertAlign w:val="superscript"/>
              </w:rPr>
              <w:t>3</w:t>
            </w:r>
            <w:r>
              <w:rPr>
                <w:rFonts w:hint="default" w:ascii="Times New Roman" w:hAnsi="Times New Roman" w:cs="Times New Roman"/>
                <w:color w:val="auto"/>
                <w:sz w:val="21"/>
                <w:highlight w:val="none"/>
              </w:rPr>
              <w:t>)</w:t>
            </w:r>
          </w:p>
        </w:tc>
        <w:tc>
          <w:tcPr>
            <w:tcW w:w="381"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计算结果</w:t>
            </w:r>
          </w:p>
        </w:tc>
        <w:tc>
          <w:tcPr>
            <w:tcW w:w="796"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卫生防护距离取值（m）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84" w:type="pct"/>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项目区</w:t>
            </w:r>
          </w:p>
        </w:tc>
        <w:tc>
          <w:tcPr>
            <w:tcW w:w="37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NH</w:t>
            </w:r>
            <w:r>
              <w:rPr>
                <w:rFonts w:hint="default" w:ascii="Times New Roman" w:hAnsi="Times New Roman" w:cs="Times New Roman"/>
                <w:color w:val="auto"/>
                <w:sz w:val="21"/>
                <w:highlight w:val="none"/>
                <w:vertAlign w:val="subscript"/>
              </w:rPr>
              <w:t>3</w:t>
            </w:r>
          </w:p>
        </w:tc>
        <w:tc>
          <w:tcPr>
            <w:tcW w:w="936" w:type="dxa"/>
            <w:tcBorders>
              <w:tl2br w:val="nil"/>
              <w:tr2bl w:val="nil"/>
            </w:tcBorders>
            <w:vAlign w:val="center"/>
          </w:tcPr>
          <w:p>
            <w:pPr>
              <w:pStyle w:val="104"/>
              <w:rPr>
                <w:rFonts w:hint="default" w:ascii="Times New Roman" w:hAnsi="Times New Roman" w:cs="Times New Roman"/>
                <w:color w:val="auto"/>
                <w:sz w:val="21"/>
                <w:highlight w:val="none"/>
              </w:rPr>
            </w:pPr>
            <w:r>
              <w:rPr>
                <w:rFonts w:hint="eastAsia" w:ascii="Times New Roman" w:hAnsi="Times New Roman" w:eastAsia="宋体" w:cstheme="minorBidi"/>
                <w:color w:val="auto"/>
                <w:kern w:val="2"/>
                <w:sz w:val="21"/>
                <w:szCs w:val="24"/>
                <w:highlight w:val="none"/>
                <w:lang w:val="en-US" w:eastAsia="zh-CN" w:bidi="ar-SA"/>
              </w:rPr>
              <w:t>0.719</w:t>
            </w:r>
          </w:p>
        </w:tc>
        <w:tc>
          <w:tcPr>
            <w:tcW w:w="397" w:type="pct"/>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5000</w:t>
            </w:r>
          </w:p>
        </w:tc>
        <w:tc>
          <w:tcPr>
            <w:tcW w:w="355" w:type="pct"/>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318</w:t>
            </w:r>
          </w:p>
        </w:tc>
        <w:tc>
          <w:tcPr>
            <w:tcW w:w="483" w:type="pct"/>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2.1</w:t>
            </w:r>
          </w:p>
        </w:tc>
        <w:tc>
          <w:tcPr>
            <w:tcW w:w="556"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0.2</w:t>
            </w:r>
          </w:p>
        </w:tc>
        <w:tc>
          <w:tcPr>
            <w:tcW w:w="381"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highlight w:val="none"/>
                <w:lang w:val="en-US"/>
              </w:rPr>
            </w:pPr>
            <w:r>
              <w:rPr>
                <w:rFonts w:hint="eastAsia" w:cs="Times New Roman"/>
                <w:color w:val="auto"/>
                <w:sz w:val="21"/>
                <w:highlight w:val="none"/>
                <w:lang w:val="en-US" w:eastAsia="zh-CN"/>
              </w:rPr>
              <w:t>208.005</w:t>
            </w:r>
          </w:p>
        </w:tc>
        <w:tc>
          <w:tcPr>
            <w:tcW w:w="796"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highlight w:val="none"/>
                <w:lang w:val="en-US"/>
              </w:rPr>
            </w:pPr>
            <w:r>
              <w:rPr>
                <w:rFonts w:hint="eastAsia" w:cs="Times New Roman"/>
                <w:color w:val="auto"/>
                <w:sz w:val="21"/>
                <w:highlight w:val="none"/>
                <w:lang w:val="en-US" w:eastAsia="zh-CN"/>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1084"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highlight w:val="none"/>
              </w:rPr>
            </w:pPr>
          </w:p>
        </w:tc>
        <w:tc>
          <w:tcPr>
            <w:tcW w:w="374"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H</w:t>
            </w:r>
            <w:r>
              <w:rPr>
                <w:rFonts w:hint="default" w:ascii="Times New Roman" w:hAnsi="Times New Roman" w:cs="Times New Roman"/>
                <w:color w:val="auto"/>
                <w:sz w:val="21"/>
                <w:highlight w:val="none"/>
                <w:vertAlign w:val="subscript"/>
              </w:rPr>
              <w:t>2</w:t>
            </w:r>
            <w:r>
              <w:rPr>
                <w:rFonts w:hint="default" w:ascii="Times New Roman" w:hAnsi="Times New Roman" w:cs="Times New Roman"/>
                <w:color w:val="auto"/>
                <w:sz w:val="21"/>
                <w:highlight w:val="none"/>
              </w:rPr>
              <w:t>S</w:t>
            </w:r>
          </w:p>
        </w:tc>
        <w:tc>
          <w:tcPr>
            <w:tcW w:w="936" w:type="dxa"/>
            <w:tcBorders>
              <w:tl2br w:val="nil"/>
              <w:tr2bl w:val="nil"/>
            </w:tcBorders>
            <w:vAlign w:val="center"/>
          </w:tcPr>
          <w:p>
            <w:pPr>
              <w:pStyle w:val="104"/>
              <w:rPr>
                <w:rFonts w:hint="default" w:ascii="Times New Roman" w:hAnsi="Times New Roman" w:cs="Times New Roman"/>
                <w:color w:val="auto"/>
                <w:sz w:val="21"/>
                <w:highlight w:val="none"/>
              </w:rPr>
            </w:pPr>
            <w:r>
              <w:rPr>
                <w:rFonts w:hint="eastAsia" w:ascii="Times New Roman" w:hAnsi="Times New Roman" w:eastAsia="宋体" w:cstheme="minorBidi"/>
                <w:color w:val="auto"/>
                <w:kern w:val="2"/>
                <w:sz w:val="21"/>
                <w:szCs w:val="24"/>
                <w:highlight w:val="none"/>
                <w:lang w:val="en-US" w:eastAsia="zh-CN" w:bidi="ar-SA"/>
              </w:rPr>
              <w:t>0.015</w:t>
            </w:r>
          </w:p>
        </w:tc>
        <w:tc>
          <w:tcPr>
            <w:tcW w:w="397"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highlight w:val="none"/>
              </w:rPr>
            </w:pPr>
          </w:p>
        </w:tc>
        <w:tc>
          <w:tcPr>
            <w:tcW w:w="355"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highlight w:val="none"/>
              </w:rPr>
            </w:pPr>
          </w:p>
        </w:tc>
        <w:tc>
          <w:tcPr>
            <w:tcW w:w="483" w:type="pct"/>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highlight w:val="none"/>
              </w:rPr>
            </w:pPr>
          </w:p>
        </w:tc>
        <w:tc>
          <w:tcPr>
            <w:tcW w:w="556"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0.01</w:t>
            </w:r>
          </w:p>
        </w:tc>
        <w:tc>
          <w:tcPr>
            <w:tcW w:w="381"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highlight w:val="none"/>
                <w:lang w:val="en-US"/>
              </w:rPr>
            </w:pPr>
            <w:r>
              <w:rPr>
                <w:rFonts w:hint="eastAsia" w:cs="Times New Roman"/>
                <w:color w:val="auto"/>
                <w:sz w:val="21"/>
                <w:highlight w:val="none"/>
                <w:lang w:val="en-US" w:eastAsia="zh-CN"/>
              </w:rPr>
              <w:t>97.7525</w:t>
            </w:r>
          </w:p>
        </w:tc>
        <w:tc>
          <w:tcPr>
            <w:tcW w:w="796"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highlight w:val="none"/>
                <w:lang w:val="en-US"/>
              </w:rPr>
            </w:pPr>
            <w:r>
              <w:rPr>
                <w:rFonts w:hint="eastAsia" w:cs="Times New Roman"/>
                <w:color w:val="auto"/>
                <w:sz w:val="21"/>
                <w:highlight w:val="none"/>
                <w:lang w:val="en-US" w:eastAsia="zh-CN"/>
              </w:rPr>
              <w:t>100</w:t>
            </w:r>
          </w:p>
        </w:tc>
      </w:tr>
    </w:tbl>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根据《大气有害物质无组织排放卫生防护距离推导技术导则》（GB/T39499-2020），厂区产臭单元H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S和NH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的卫生防护距离取值分别为</w:t>
      </w:r>
      <w:r>
        <w:rPr>
          <w:rFonts w:hint="eastAsia" w:cs="Times New Roman"/>
          <w:color w:val="auto"/>
          <w:highlight w:val="none"/>
          <w:lang w:val="en-US" w:eastAsia="zh-CN"/>
        </w:rPr>
        <w:t>25</w:t>
      </w:r>
      <w:r>
        <w:rPr>
          <w:rFonts w:hint="default" w:ascii="Times New Roman" w:hAnsi="Times New Roman" w:cs="Times New Roman"/>
          <w:color w:val="auto"/>
          <w:highlight w:val="none"/>
        </w:rPr>
        <w:t>0m和</w:t>
      </w:r>
      <w:r>
        <w:rPr>
          <w:rFonts w:hint="eastAsia" w:cs="Times New Roman"/>
          <w:color w:val="auto"/>
          <w:highlight w:val="none"/>
          <w:lang w:val="en-US" w:eastAsia="zh-CN"/>
        </w:rPr>
        <w:t>10</w:t>
      </w:r>
      <w:r>
        <w:rPr>
          <w:rFonts w:hint="default" w:ascii="Times New Roman" w:hAnsi="Times New Roman" w:cs="Times New Roman"/>
          <w:color w:val="auto"/>
          <w:highlight w:val="none"/>
        </w:rPr>
        <w:t>0m，则项目卫生防护距离计算确定卫生防护距离为</w:t>
      </w:r>
      <w:r>
        <w:rPr>
          <w:rFonts w:hint="eastAsia" w:cs="Times New Roman"/>
          <w:color w:val="auto"/>
          <w:highlight w:val="none"/>
          <w:lang w:val="en-US" w:eastAsia="zh-CN"/>
        </w:rPr>
        <w:t>20</w:t>
      </w:r>
      <w:r>
        <w:rPr>
          <w:rFonts w:hint="default" w:ascii="Times New Roman" w:hAnsi="Times New Roman" w:cs="Times New Roman"/>
          <w:color w:val="auto"/>
          <w:highlight w:val="none"/>
        </w:rPr>
        <w:t>0m。</w:t>
      </w:r>
      <w:r>
        <w:rPr>
          <w:rFonts w:hint="eastAsia" w:cs="Times New Roman"/>
          <w:color w:val="auto"/>
          <w:highlight w:val="none"/>
          <w:lang w:val="en-US" w:eastAsia="zh-CN"/>
        </w:rPr>
        <w:t>现有厂区设置卫生防护距离为300m，</w:t>
      </w:r>
      <w:r>
        <w:rPr>
          <w:rFonts w:hint="default" w:ascii="Times New Roman" w:hAnsi="Times New Roman" w:cs="Times New Roman"/>
          <w:color w:val="auto"/>
          <w:highlight w:val="none"/>
        </w:rPr>
        <w:t>参照卫生防护距离计算结果，本环评设置环境防护距离</w:t>
      </w:r>
      <w:r>
        <w:rPr>
          <w:rFonts w:hint="eastAsia" w:cs="Times New Roman"/>
          <w:color w:val="auto"/>
          <w:highlight w:val="none"/>
          <w:lang w:eastAsia="zh-CN"/>
        </w:rPr>
        <w:t>300m</w:t>
      </w:r>
      <w:r>
        <w:rPr>
          <w:rFonts w:hint="default" w:ascii="Times New Roman" w:hAnsi="Times New Roman" w:cs="Times New Roman"/>
          <w:color w:val="auto"/>
          <w:highlight w:val="none"/>
        </w:rPr>
        <w:t>，以污水处理厂厂界为起点外延</w:t>
      </w:r>
      <w:r>
        <w:rPr>
          <w:rFonts w:hint="eastAsia" w:cs="Times New Roman"/>
          <w:color w:val="auto"/>
          <w:highlight w:val="none"/>
          <w:lang w:eastAsia="zh-CN"/>
        </w:rPr>
        <w:t>300m</w:t>
      </w:r>
      <w:r>
        <w:rPr>
          <w:rFonts w:hint="default" w:ascii="Times New Roman" w:hAnsi="Times New Roman" w:cs="Times New Roman"/>
          <w:color w:val="auto"/>
          <w:highlight w:val="none"/>
        </w:rPr>
        <w:t>区域为本项目防护区域。</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经现场踏勘，项目周边</w:t>
      </w:r>
      <w:r>
        <w:rPr>
          <w:rFonts w:hint="eastAsia" w:cs="Times New Roman"/>
          <w:color w:val="auto"/>
          <w:highlight w:val="none"/>
          <w:lang w:eastAsia="zh-CN"/>
        </w:rPr>
        <w:t>300m</w:t>
      </w:r>
      <w:r>
        <w:rPr>
          <w:rFonts w:hint="default" w:ascii="Times New Roman" w:hAnsi="Times New Roman" w:cs="Times New Roman"/>
          <w:color w:val="auto"/>
          <w:highlight w:val="none"/>
        </w:rPr>
        <w:t>范围内主要为农田，无学校、医院、居住区等环境敏感点，本次评价建议，本项目环境防护距离范围内后期不得建设学校、医院、居民区等环境敏感点。</w:t>
      </w:r>
    </w:p>
    <w:p>
      <w:pPr>
        <w:pStyle w:val="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大气环境影响评价自查表</w:t>
      </w:r>
    </w:p>
    <w:p>
      <w:pPr>
        <w:autoSpaceDE w:val="0"/>
        <w:autoSpaceDN w:val="0"/>
        <w:spacing w:line="360" w:lineRule="auto"/>
        <w:ind w:firstLine="480" w:firstLineChars="200"/>
        <w:jc w:val="left"/>
        <w:rPr>
          <w:rFonts w:hint="default" w:ascii="Times New Roman" w:hAnsi="Times New Roman" w:eastAsia="宋体" w:cs="Times New Roman"/>
          <w:color w:val="auto"/>
          <w:kern w:val="0"/>
          <w:sz w:val="24"/>
          <w:szCs w:val="24"/>
          <w:highlight w:val="none"/>
          <w:lang w:val="en-US" w:eastAsia="zh-CN" w:bidi="zh-CN"/>
        </w:rPr>
      </w:pPr>
      <w:bookmarkStart w:id="151" w:name="_Toc9325"/>
      <w:r>
        <w:rPr>
          <w:rFonts w:hint="default" w:ascii="Times New Roman" w:hAnsi="Times New Roman" w:eastAsia="宋体" w:cs="Times New Roman"/>
          <w:color w:val="auto"/>
          <w:kern w:val="0"/>
          <w:sz w:val="24"/>
          <w:szCs w:val="24"/>
          <w:highlight w:val="none"/>
          <w:lang w:val="en-US" w:eastAsia="zh-CN" w:bidi="zh-CN"/>
        </w:rPr>
        <w:t>大气环境影响评价自查表</w:t>
      </w:r>
      <w:r>
        <w:rPr>
          <w:rFonts w:hint="eastAsia" w:cs="Times New Roman"/>
          <w:color w:val="auto"/>
          <w:kern w:val="0"/>
          <w:sz w:val="24"/>
          <w:szCs w:val="24"/>
          <w:highlight w:val="none"/>
          <w:lang w:val="en-US" w:eastAsia="zh-CN" w:bidi="zh-CN"/>
        </w:rPr>
        <w:t>，见下表</w:t>
      </w:r>
      <w:r>
        <w:rPr>
          <w:rFonts w:hint="default" w:ascii="Times New Roman" w:hAnsi="Times New Roman" w:eastAsia="宋体" w:cs="Times New Roman"/>
          <w:color w:val="auto"/>
          <w:kern w:val="0"/>
          <w:sz w:val="24"/>
          <w:szCs w:val="24"/>
          <w:highlight w:val="none"/>
          <w:lang w:val="en-US" w:eastAsia="zh-CN" w:bidi="zh-CN"/>
        </w:rPr>
        <w:t>。</w:t>
      </w:r>
    </w:p>
    <w:p>
      <w:pPr>
        <w:pStyle w:val="49"/>
        <w:rPr>
          <w:rFonts w:hint="default" w:ascii="Times New Roman" w:hAnsi="Times New Roman" w:eastAsia="宋体" w:cs="Times New Roman"/>
          <w:color w:val="auto"/>
          <w:kern w:val="0"/>
          <w:sz w:val="24"/>
          <w:szCs w:val="24"/>
          <w:highlight w:val="none"/>
          <w:lang w:val="en-US" w:eastAsia="zh-CN" w:bidi="zh-CN"/>
        </w:rPr>
      </w:pPr>
    </w:p>
    <w:p>
      <w:pPr>
        <w:pStyle w:val="16"/>
        <w:rPr>
          <w:rFonts w:hint="default"/>
          <w:color w:val="auto"/>
          <w:highlight w:val="none"/>
          <w:lang w:val="en-US" w:eastAsia="zh-CN"/>
        </w:rPr>
      </w:pPr>
    </w:p>
    <w:p>
      <w:pPr>
        <w:widowControl w:val="0"/>
        <w:spacing w:line="360" w:lineRule="auto"/>
        <w:ind w:left="0" w:leftChars="0"/>
        <w:jc w:val="center"/>
        <w:rPr>
          <w:rFonts w:hint="default" w:ascii="Times New Roman" w:hAnsi="Times New Roman" w:eastAsia="黑体" w:cs="Times New Roman"/>
          <w:color w:val="auto"/>
          <w:kern w:val="2"/>
          <w:sz w:val="24"/>
          <w:szCs w:val="24"/>
          <w:highlight w:val="none"/>
          <w:lang w:val="en-US" w:eastAsia="zh-CN" w:bidi="ar-SA"/>
        </w:rPr>
      </w:pPr>
      <w:r>
        <w:rPr>
          <w:rFonts w:hint="default" w:ascii="Times New Roman" w:hAnsi="Times New Roman" w:eastAsia="黑体" w:cs="Times New Roman"/>
          <w:color w:val="auto"/>
          <w:kern w:val="2"/>
          <w:sz w:val="24"/>
          <w:szCs w:val="24"/>
          <w:highlight w:val="none"/>
          <w:lang w:val="en-US" w:eastAsia="zh-CN" w:bidi="ar-SA"/>
        </w:rPr>
        <w:t>表5.2-14建设项目大气环境影响评价自查表</w:t>
      </w:r>
      <w:bookmarkEnd w:id="151"/>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683"/>
        <w:gridCol w:w="886"/>
        <w:gridCol w:w="514"/>
        <w:gridCol w:w="244"/>
        <w:gridCol w:w="392"/>
        <w:gridCol w:w="113"/>
        <w:gridCol w:w="416"/>
        <w:gridCol w:w="453"/>
        <w:gridCol w:w="240"/>
        <w:gridCol w:w="191"/>
        <w:gridCol w:w="111"/>
        <w:gridCol w:w="36"/>
        <w:gridCol w:w="542"/>
        <w:gridCol w:w="237"/>
        <w:gridCol w:w="302"/>
        <w:gridCol w:w="528"/>
        <w:gridCol w:w="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6" w:type="dxa"/>
            <w:gridSpan w:val="2"/>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工作内容</w:t>
            </w:r>
          </w:p>
        </w:tc>
        <w:tc>
          <w:tcPr>
            <w:tcW w:w="5845" w:type="dxa"/>
            <w:gridSpan w:val="16"/>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993" w:type="dxa"/>
            <w:vMerge w:val="restart"/>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评价等级与范围</w:t>
            </w:r>
          </w:p>
        </w:tc>
        <w:tc>
          <w:tcPr>
            <w:tcW w:w="1683" w:type="dxa"/>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评价等级</w:t>
            </w:r>
          </w:p>
        </w:tc>
        <w:tc>
          <w:tcPr>
            <w:tcW w:w="2149" w:type="dxa"/>
            <w:gridSpan w:val="5"/>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一级□</w:t>
            </w:r>
          </w:p>
        </w:tc>
        <w:tc>
          <w:tcPr>
            <w:tcW w:w="1989" w:type="dxa"/>
            <w:gridSpan w:val="7"/>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二级</w:t>
            </w:r>
            <w:r>
              <w:rPr>
                <w:rFonts w:hint="default" w:ascii="Times New Roman" w:hAnsi="Times New Roman" w:eastAsia="宋体" w:cs="Times New Roman"/>
                <w:color w:val="auto"/>
                <w:sz w:val="21"/>
                <w:szCs w:val="21"/>
                <w:highlight w:val="none"/>
                <w:lang w:eastAsia="zh-CN"/>
              </w:rPr>
              <w:t>☑</w:t>
            </w:r>
          </w:p>
        </w:tc>
        <w:tc>
          <w:tcPr>
            <w:tcW w:w="1707" w:type="dxa"/>
            <w:gridSpan w:val="4"/>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683" w:type="dxa"/>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评价范围</w:t>
            </w:r>
          </w:p>
        </w:tc>
        <w:tc>
          <w:tcPr>
            <w:tcW w:w="2149" w:type="dxa"/>
            <w:gridSpan w:val="5"/>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边长=50km□</w:t>
            </w:r>
          </w:p>
        </w:tc>
        <w:tc>
          <w:tcPr>
            <w:tcW w:w="1989" w:type="dxa"/>
            <w:gridSpan w:val="7"/>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边长5～50km□</w:t>
            </w:r>
          </w:p>
        </w:tc>
        <w:tc>
          <w:tcPr>
            <w:tcW w:w="1707" w:type="dxa"/>
            <w:gridSpan w:val="4"/>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边长=5km</w:t>
            </w:r>
            <w:r>
              <w:rPr>
                <w:rFonts w:hint="default" w:ascii="Times New Roman" w:hAnsi="Times New Roman" w:eastAsia="宋体"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restart"/>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评价因子</w:t>
            </w:r>
          </w:p>
        </w:tc>
        <w:tc>
          <w:tcPr>
            <w:tcW w:w="1683" w:type="dxa"/>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+NOx排放量</w:t>
            </w:r>
          </w:p>
        </w:tc>
        <w:tc>
          <w:tcPr>
            <w:tcW w:w="2149" w:type="dxa"/>
            <w:gridSpan w:val="5"/>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≥2000t/a□</w:t>
            </w:r>
          </w:p>
        </w:tc>
        <w:tc>
          <w:tcPr>
            <w:tcW w:w="1989" w:type="dxa"/>
            <w:gridSpan w:val="7"/>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500～2000t/a□</w:t>
            </w:r>
          </w:p>
        </w:tc>
        <w:tc>
          <w:tcPr>
            <w:tcW w:w="1707" w:type="dxa"/>
            <w:gridSpan w:val="4"/>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683" w:type="dxa"/>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评价因子</w:t>
            </w:r>
          </w:p>
        </w:tc>
        <w:tc>
          <w:tcPr>
            <w:tcW w:w="3258" w:type="dxa"/>
            <w:gridSpan w:val="8"/>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基本污染物（</w:t>
            </w:r>
            <w:r>
              <w:rPr>
                <w:rFonts w:hint="eastAsia" w:cs="Times New Roman"/>
                <w:color w:val="auto"/>
                <w:sz w:val="21"/>
                <w:szCs w:val="21"/>
                <w:highlight w:val="none"/>
                <w:lang w:val="en-US" w:eastAsia="zh-CN"/>
              </w:rPr>
              <w:t>氨、硫化氢和臭气浓度</w:t>
            </w:r>
            <w:r>
              <w:rPr>
                <w:rFonts w:hint="default" w:ascii="Times New Roman" w:hAnsi="Times New Roman" w:eastAsia="宋体" w:cs="Times New Roman"/>
                <w:color w:val="auto"/>
                <w:sz w:val="21"/>
                <w:szCs w:val="21"/>
                <w:highlight w:val="none"/>
              </w:rPr>
              <w:t>）</w:t>
            </w:r>
          </w:p>
        </w:tc>
        <w:tc>
          <w:tcPr>
            <w:tcW w:w="2587" w:type="dxa"/>
            <w:gridSpan w:val="8"/>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包括二次PM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highlight w:val="none"/>
              </w:rPr>
              <w:t>□</w:t>
            </w:r>
          </w:p>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不包括二次PM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评价标准</w:t>
            </w:r>
          </w:p>
        </w:tc>
        <w:tc>
          <w:tcPr>
            <w:tcW w:w="1683" w:type="dxa"/>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评价标准</w:t>
            </w:r>
          </w:p>
        </w:tc>
        <w:tc>
          <w:tcPr>
            <w:tcW w:w="1644" w:type="dxa"/>
            <w:gridSpan w:val="3"/>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国家标准☑</w:t>
            </w:r>
          </w:p>
        </w:tc>
        <w:tc>
          <w:tcPr>
            <w:tcW w:w="1614" w:type="dxa"/>
            <w:gridSpan w:val="5"/>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地方标准□</w:t>
            </w:r>
          </w:p>
        </w:tc>
        <w:tc>
          <w:tcPr>
            <w:tcW w:w="880" w:type="dxa"/>
            <w:gridSpan w:val="4"/>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附录D</w:t>
            </w:r>
            <w:r>
              <w:rPr>
                <w:rFonts w:hint="default" w:ascii="Times New Roman" w:hAnsi="Times New Roman" w:eastAsia="宋体" w:cs="Times New Roman"/>
                <w:color w:val="auto"/>
                <w:sz w:val="21"/>
                <w:szCs w:val="21"/>
                <w:highlight w:val="none"/>
                <w:lang w:eastAsia="zh-CN"/>
              </w:rPr>
              <w:t>☑</w:t>
            </w:r>
          </w:p>
        </w:tc>
        <w:tc>
          <w:tcPr>
            <w:tcW w:w="1707" w:type="dxa"/>
            <w:gridSpan w:val="4"/>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其他标准</w:t>
            </w:r>
            <w:r>
              <w:rPr>
                <w:rFonts w:hint="default" w:ascii="Times New Roman" w:hAnsi="Times New Roman" w:eastAsia="宋体"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restart"/>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现状评价</w:t>
            </w:r>
          </w:p>
        </w:tc>
        <w:tc>
          <w:tcPr>
            <w:tcW w:w="1683" w:type="dxa"/>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环境功能区</w:t>
            </w:r>
          </w:p>
        </w:tc>
        <w:tc>
          <w:tcPr>
            <w:tcW w:w="2149" w:type="dxa"/>
            <w:gridSpan w:val="5"/>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一类区□</w:t>
            </w:r>
          </w:p>
        </w:tc>
        <w:tc>
          <w:tcPr>
            <w:tcW w:w="1989" w:type="dxa"/>
            <w:gridSpan w:val="7"/>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二类区☑</w:t>
            </w:r>
          </w:p>
        </w:tc>
        <w:tc>
          <w:tcPr>
            <w:tcW w:w="1707" w:type="dxa"/>
            <w:gridSpan w:val="4"/>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一类区和二类区□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993" w:type="dxa"/>
            <w:vMerge w:val="continue"/>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683" w:type="dxa"/>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评价基准年</w:t>
            </w:r>
          </w:p>
        </w:tc>
        <w:tc>
          <w:tcPr>
            <w:tcW w:w="5845" w:type="dxa"/>
            <w:gridSpan w:val="16"/>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683" w:type="dxa"/>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环境空气质量现状调查数据来源</w:t>
            </w:r>
          </w:p>
        </w:tc>
        <w:tc>
          <w:tcPr>
            <w:tcW w:w="2149" w:type="dxa"/>
            <w:gridSpan w:val="5"/>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长期例行监测数据☑</w:t>
            </w:r>
          </w:p>
        </w:tc>
        <w:tc>
          <w:tcPr>
            <w:tcW w:w="1989" w:type="dxa"/>
            <w:gridSpan w:val="7"/>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主管部门发布的数据□</w:t>
            </w:r>
          </w:p>
        </w:tc>
        <w:tc>
          <w:tcPr>
            <w:tcW w:w="1707" w:type="dxa"/>
            <w:gridSpan w:val="4"/>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现状补充数据☑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683" w:type="dxa"/>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现状评价</w:t>
            </w:r>
          </w:p>
        </w:tc>
        <w:tc>
          <w:tcPr>
            <w:tcW w:w="3596" w:type="dxa"/>
            <w:gridSpan w:val="11"/>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达标区□</w:t>
            </w:r>
          </w:p>
        </w:tc>
        <w:tc>
          <w:tcPr>
            <w:tcW w:w="2249" w:type="dxa"/>
            <w:gridSpan w:val="5"/>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不达标区☑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污染源调查</w:t>
            </w:r>
          </w:p>
        </w:tc>
        <w:tc>
          <w:tcPr>
            <w:tcW w:w="1683" w:type="dxa"/>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调查内容</w:t>
            </w:r>
          </w:p>
        </w:tc>
        <w:tc>
          <w:tcPr>
            <w:tcW w:w="2036" w:type="dxa"/>
            <w:gridSpan w:val="4"/>
            <w:noWrap w:val="0"/>
            <w:vAlign w:val="center"/>
          </w:tcPr>
          <w:p>
            <w:pPr>
              <w:widowControl w:val="0"/>
              <w:spacing w:line="240" w:lineRule="auto"/>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本项目正常排放源☑</w:t>
            </w:r>
          </w:p>
          <w:p>
            <w:pPr>
              <w:widowControl w:val="0"/>
              <w:spacing w:line="240" w:lineRule="auto"/>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本项目非正常排放源☑</w:t>
            </w:r>
          </w:p>
          <w:p>
            <w:pPr>
              <w:widowControl w:val="0"/>
              <w:spacing w:line="240" w:lineRule="auto"/>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现有污染源</w:t>
            </w:r>
            <w:r>
              <w:rPr>
                <w:rFonts w:hint="default" w:ascii="Times New Roman" w:hAnsi="Times New Roman" w:eastAsia="宋体" w:cs="Times New Roman"/>
                <w:color w:val="auto"/>
                <w:sz w:val="21"/>
                <w:szCs w:val="21"/>
                <w:highlight w:val="none"/>
                <w:lang w:eastAsia="zh-CN"/>
              </w:rPr>
              <w:t>□</w:t>
            </w:r>
          </w:p>
        </w:tc>
        <w:tc>
          <w:tcPr>
            <w:tcW w:w="1413" w:type="dxa"/>
            <w:gridSpan w:val="5"/>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拟替代的污染源□</w:t>
            </w:r>
          </w:p>
        </w:tc>
        <w:tc>
          <w:tcPr>
            <w:tcW w:w="1228" w:type="dxa"/>
            <w:gridSpan w:val="5"/>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其他在建、</w:t>
            </w:r>
            <w:r>
              <w:rPr>
                <w:rFonts w:hint="default" w:ascii="Times New Roman" w:hAnsi="Times New Roman" w:eastAsia="宋体" w:cs="Times New Roman"/>
                <w:color w:val="auto"/>
                <w:sz w:val="21"/>
                <w:szCs w:val="21"/>
                <w:highlight w:val="none"/>
                <w:lang w:eastAsia="zh-CN"/>
              </w:rPr>
              <w:t>本项目</w:t>
            </w:r>
            <w:r>
              <w:rPr>
                <w:rFonts w:hint="default" w:ascii="Times New Roman" w:hAnsi="Times New Roman" w:eastAsia="宋体" w:cs="Times New Roman"/>
                <w:color w:val="auto"/>
                <w:sz w:val="21"/>
                <w:szCs w:val="21"/>
                <w:highlight w:val="none"/>
              </w:rPr>
              <w:t>污染源□</w:t>
            </w:r>
          </w:p>
        </w:tc>
        <w:tc>
          <w:tcPr>
            <w:tcW w:w="1168" w:type="dxa"/>
            <w:gridSpan w:val="2"/>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区域污染源</w:t>
            </w:r>
            <w:r>
              <w:rPr>
                <w:rFonts w:hint="default" w:ascii="Times New Roman" w:hAnsi="Times New Roman" w:eastAsia="宋体"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restart"/>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大气环境影响预测与评价</w:t>
            </w:r>
          </w:p>
        </w:tc>
        <w:tc>
          <w:tcPr>
            <w:tcW w:w="1683" w:type="dxa"/>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预测模型</w:t>
            </w:r>
          </w:p>
        </w:tc>
        <w:tc>
          <w:tcPr>
            <w:tcW w:w="886" w:type="dxa"/>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AERMOD☑</w:t>
            </w:r>
          </w:p>
        </w:tc>
        <w:tc>
          <w:tcPr>
            <w:tcW w:w="514" w:type="dxa"/>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ADMS□</w:t>
            </w:r>
          </w:p>
        </w:tc>
        <w:tc>
          <w:tcPr>
            <w:tcW w:w="1165" w:type="dxa"/>
            <w:gridSpan w:val="4"/>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AUSTAL2000□</w:t>
            </w:r>
          </w:p>
        </w:tc>
        <w:tc>
          <w:tcPr>
            <w:tcW w:w="995" w:type="dxa"/>
            <w:gridSpan w:val="4"/>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EDMS/AEDT□</w:t>
            </w:r>
          </w:p>
        </w:tc>
        <w:tc>
          <w:tcPr>
            <w:tcW w:w="815" w:type="dxa"/>
            <w:gridSpan w:val="3"/>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CALPUFF□</w:t>
            </w:r>
          </w:p>
        </w:tc>
        <w:tc>
          <w:tcPr>
            <w:tcW w:w="830" w:type="dxa"/>
            <w:gridSpan w:val="2"/>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网格模型□</w:t>
            </w:r>
          </w:p>
        </w:tc>
        <w:tc>
          <w:tcPr>
            <w:tcW w:w="640" w:type="dxa"/>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683" w:type="dxa"/>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预测范围</w:t>
            </w:r>
          </w:p>
        </w:tc>
        <w:tc>
          <w:tcPr>
            <w:tcW w:w="2149" w:type="dxa"/>
            <w:gridSpan w:val="5"/>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边长=50km□</w:t>
            </w:r>
          </w:p>
        </w:tc>
        <w:tc>
          <w:tcPr>
            <w:tcW w:w="1989" w:type="dxa"/>
            <w:gridSpan w:val="7"/>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边长5～50km□</w:t>
            </w:r>
          </w:p>
        </w:tc>
        <w:tc>
          <w:tcPr>
            <w:tcW w:w="1707" w:type="dxa"/>
            <w:gridSpan w:val="4"/>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边长=5km☑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683" w:type="dxa"/>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预测因子</w:t>
            </w:r>
          </w:p>
        </w:tc>
        <w:tc>
          <w:tcPr>
            <w:tcW w:w="3258" w:type="dxa"/>
            <w:gridSpan w:val="8"/>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预测因子（</w:t>
            </w:r>
            <w:r>
              <w:rPr>
                <w:rFonts w:hint="eastAsia" w:cs="Times New Roman"/>
                <w:color w:val="auto"/>
                <w:sz w:val="21"/>
                <w:szCs w:val="21"/>
                <w:highlight w:val="none"/>
                <w:lang w:val="en-US" w:eastAsia="zh-CN"/>
              </w:rPr>
              <w:t>氨、硫化氢和臭气浓度</w:t>
            </w:r>
            <w:r>
              <w:rPr>
                <w:rFonts w:hint="default" w:ascii="Times New Roman" w:hAnsi="Times New Roman" w:eastAsia="宋体" w:cs="Times New Roman"/>
                <w:color w:val="auto"/>
                <w:sz w:val="21"/>
                <w:szCs w:val="21"/>
                <w:highlight w:val="none"/>
              </w:rPr>
              <w:t>）</w:t>
            </w:r>
          </w:p>
        </w:tc>
        <w:tc>
          <w:tcPr>
            <w:tcW w:w="2587" w:type="dxa"/>
            <w:gridSpan w:val="8"/>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包括二次PM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highlight w:val="none"/>
              </w:rPr>
              <w:t>□</w:t>
            </w:r>
          </w:p>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不包括二次PM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683" w:type="dxa"/>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正常排放短期浓度贡献值</w:t>
            </w:r>
          </w:p>
        </w:tc>
        <w:tc>
          <w:tcPr>
            <w:tcW w:w="3258" w:type="dxa"/>
            <w:gridSpan w:val="8"/>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w:t>
            </w:r>
            <w:r>
              <w:rPr>
                <w:rFonts w:hint="default" w:ascii="Times New Roman" w:hAnsi="Times New Roman" w:eastAsia="宋体" w:cs="Times New Roman"/>
                <w:color w:val="auto"/>
                <w:sz w:val="21"/>
                <w:szCs w:val="21"/>
                <w:highlight w:val="none"/>
                <w:vertAlign w:val="subscript"/>
              </w:rPr>
              <w:t>本项目</w:t>
            </w:r>
            <w:r>
              <w:rPr>
                <w:rFonts w:hint="default" w:ascii="Times New Roman" w:hAnsi="Times New Roman" w:eastAsia="宋体" w:cs="Times New Roman"/>
                <w:color w:val="auto"/>
                <w:sz w:val="21"/>
                <w:szCs w:val="21"/>
                <w:highlight w:val="none"/>
              </w:rPr>
              <w:t>最大占标率≤100%□</w:t>
            </w:r>
          </w:p>
        </w:tc>
        <w:tc>
          <w:tcPr>
            <w:tcW w:w="2587" w:type="dxa"/>
            <w:gridSpan w:val="8"/>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w:t>
            </w:r>
            <w:r>
              <w:rPr>
                <w:rFonts w:hint="default" w:ascii="Times New Roman" w:hAnsi="Times New Roman" w:eastAsia="宋体" w:cs="Times New Roman"/>
                <w:color w:val="auto"/>
                <w:sz w:val="21"/>
                <w:szCs w:val="21"/>
                <w:highlight w:val="none"/>
                <w:vertAlign w:val="subscript"/>
              </w:rPr>
              <w:t>本项目</w:t>
            </w:r>
            <w:r>
              <w:rPr>
                <w:rFonts w:hint="default" w:ascii="Times New Roman" w:hAnsi="Times New Roman" w:eastAsia="宋体" w:cs="Times New Roman"/>
                <w:color w:val="auto"/>
                <w:sz w:val="21"/>
                <w:szCs w:val="21"/>
                <w:highlight w:val="none"/>
              </w:rPr>
              <w:t>最大占标率＞100%□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683" w:type="dxa"/>
            <w:vMerge w:val="restart"/>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正常排放年均浓度贡献值</w:t>
            </w:r>
          </w:p>
        </w:tc>
        <w:tc>
          <w:tcPr>
            <w:tcW w:w="886" w:type="dxa"/>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一类区</w:t>
            </w:r>
          </w:p>
        </w:tc>
        <w:tc>
          <w:tcPr>
            <w:tcW w:w="2372" w:type="dxa"/>
            <w:gridSpan w:val="7"/>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w:t>
            </w:r>
            <w:r>
              <w:rPr>
                <w:rFonts w:hint="default" w:ascii="Times New Roman" w:hAnsi="Times New Roman" w:eastAsia="宋体" w:cs="Times New Roman"/>
                <w:color w:val="auto"/>
                <w:sz w:val="21"/>
                <w:szCs w:val="21"/>
                <w:highlight w:val="none"/>
                <w:vertAlign w:val="subscript"/>
              </w:rPr>
              <w:t>本项目</w:t>
            </w:r>
            <w:r>
              <w:rPr>
                <w:rFonts w:hint="default" w:ascii="Times New Roman" w:hAnsi="Times New Roman" w:eastAsia="宋体" w:cs="Times New Roman"/>
                <w:color w:val="auto"/>
                <w:sz w:val="21"/>
                <w:szCs w:val="21"/>
                <w:highlight w:val="none"/>
              </w:rPr>
              <w:t>最大占标率≤10%□</w:t>
            </w:r>
          </w:p>
        </w:tc>
        <w:tc>
          <w:tcPr>
            <w:tcW w:w="2587" w:type="dxa"/>
            <w:gridSpan w:val="8"/>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w:t>
            </w:r>
            <w:r>
              <w:rPr>
                <w:rFonts w:hint="default" w:ascii="Times New Roman" w:hAnsi="Times New Roman" w:eastAsia="宋体" w:cs="Times New Roman"/>
                <w:color w:val="auto"/>
                <w:sz w:val="21"/>
                <w:szCs w:val="21"/>
                <w:highlight w:val="none"/>
                <w:vertAlign w:val="subscript"/>
              </w:rPr>
              <w:t>本项目</w:t>
            </w:r>
            <w:r>
              <w:rPr>
                <w:rFonts w:hint="default" w:ascii="Times New Roman" w:hAnsi="Times New Roman" w:eastAsia="宋体" w:cs="Times New Roman"/>
                <w:color w:val="auto"/>
                <w:sz w:val="21"/>
                <w:szCs w:val="21"/>
                <w:highlight w:val="none"/>
              </w:rPr>
              <w:t>最大占标率＞10%□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683" w:type="dxa"/>
            <w:vMerge w:val="continue"/>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86" w:type="dxa"/>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二类区</w:t>
            </w:r>
          </w:p>
        </w:tc>
        <w:tc>
          <w:tcPr>
            <w:tcW w:w="2372" w:type="dxa"/>
            <w:gridSpan w:val="7"/>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w:t>
            </w:r>
            <w:r>
              <w:rPr>
                <w:rFonts w:hint="default" w:ascii="Times New Roman" w:hAnsi="Times New Roman" w:eastAsia="宋体" w:cs="Times New Roman"/>
                <w:color w:val="auto"/>
                <w:sz w:val="21"/>
                <w:szCs w:val="21"/>
                <w:highlight w:val="none"/>
                <w:vertAlign w:val="subscript"/>
              </w:rPr>
              <w:t>本项目</w:t>
            </w:r>
            <w:r>
              <w:rPr>
                <w:rFonts w:hint="default" w:ascii="Times New Roman" w:hAnsi="Times New Roman" w:eastAsia="宋体" w:cs="Times New Roman"/>
                <w:color w:val="auto"/>
                <w:sz w:val="21"/>
                <w:szCs w:val="21"/>
                <w:highlight w:val="none"/>
              </w:rPr>
              <w:t>最大占标率≤30%</w:t>
            </w:r>
            <w:r>
              <w:rPr>
                <w:rFonts w:hint="default" w:ascii="Times New Roman" w:hAnsi="Times New Roman" w:eastAsia="宋体" w:cs="Times New Roman"/>
                <w:color w:val="auto"/>
                <w:sz w:val="21"/>
                <w:szCs w:val="21"/>
                <w:highlight w:val="none"/>
              </w:rPr>
              <w:sym w:font="Wingdings 2" w:char="0052"/>
            </w:r>
          </w:p>
        </w:tc>
        <w:tc>
          <w:tcPr>
            <w:tcW w:w="2587" w:type="dxa"/>
            <w:gridSpan w:val="8"/>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w:t>
            </w:r>
            <w:r>
              <w:rPr>
                <w:rFonts w:hint="default" w:ascii="Times New Roman" w:hAnsi="Times New Roman" w:eastAsia="宋体" w:cs="Times New Roman"/>
                <w:color w:val="auto"/>
                <w:sz w:val="21"/>
                <w:szCs w:val="21"/>
                <w:highlight w:val="none"/>
                <w:vertAlign w:val="subscript"/>
              </w:rPr>
              <w:t>本项目</w:t>
            </w:r>
            <w:r>
              <w:rPr>
                <w:rFonts w:hint="default" w:ascii="Times New Roman" w:hAnsi="Times New Roman" w:eastAsia="宋体" w:cs="Times New Roman"/>
                <w:color w:val="auto"/>
                <w:sz w:val="21"/>
                <w:szCs w:val="21"/>
                <w:highlight w:val="none"/>
              </w:rPr>
              <w:t>最大占标率＞30%□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683" w:type="dxa"/>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非正常排放1h浓度贡献值</w:t>
            </w:r>
          </w:p>
        </w:tc>
        <w:tc>
          <w:tcPr>
            <w:tcW w:w="2149" w:type="dxa"/>
            <w:gridSpan w:val="5"/>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非正常持续时长（1）h</w:t>
            </w:r>
          </w:p>
        </w:tc>
        <w:tc>
          <w:tcPr>
            <w:tcW w:w="1109" w:type="dxa"/>
            <w:gridSpan w:val="3"/>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w:t>
            </w:r>
            <w:r>
              <w:rPr>
                <w:rFonts w:hint="default" w:ascii="Times New Roman" w:hAnsi="Times New Roman" w:eastAsia="宋体" w:cs="Times New Roman"/>
                <w:color w:val="auto"/>
                <w:sz w:val="21"/>
                <w:szCs w:val="21"/>
                <w:highlight w:val="none"/>
                <w:vertAlign w:val="subscript"/>
              </w:rPr>
              <w:t>非正常</w:t>
            </w:r>
            <w:r>
              <w:rPr>
                <w:rFonts w:hint="default" w:ascii="Times New Roman" w:hAnsi="Times New Roman" w:eastAsia="宋体" w:cs="Times New Roman"/>
                <w:color w:val="auto"/>
                <w:sz w:val="21"/>
                <w:szCs w:val="21"/>
                <w:highlight w:val="none"/>
              </w:rPr>
              <w:t>占标率≤100%□</w:t>
            </w:r>
          </w:p>
        </w:tc>
        <w:tc>
          <w:tcPr>
            <w:tcW w:w="2587" w:type="dxa"/>
            <w:gridSpan w:val="8"/>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w:t>
            </w:r>
            <w:r>
              <w:rPr>
                <w:rFonts w:hint="default" w:ascii="Times New Roman" w:hAnsi="Times New Roman" w:eastAsia="宋体" w:cs="Times New Roman"/>
                <w:color w:val="auto"/>
                <w:sz w:val="21"/>
                <w:szCs w:val="21"/>
                <w:highlight w:val="none"/>
                <w:vertAlign w:val="subscript"/>
              </w:rPr>
              <w:t>非正常</w:t>
            </w:r>
            <w:r>
              <w:rPr>
                <w:rFonts w:hint="default" w:ascii="Times New Roman" w:hAnsi="Times New Roman" w:eastAsia="宋体" w:cs="Times New Roman"/>
                <w:color w:val="auto"/>
                <w:sz w:val="21"/>
                <w:szCs w:val="21"/>
                <w:highlight w:val="none"/>
              </w:rPr>
              <w:t>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683" w:type="dxa"/>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保证率日平均浓度和年平均浓度叠加值</w:t>
            </w:r>
          </w:p>
        </w:tc>
        <w:tc>
          <w:tcPr>
            <w:tcW w:w="3018" w:type="dxa"/>
            <w:gridSpan w:val="7"/>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w:t>
            </w:r>
            <w:r>
              <w:rPr>
                <w:rFonts w:hint="default" w:ascii="Times New Roman" w:hAnsi="Times New Roman" w:eastAsia="宋体" w:cs="Times New Roman"/>
                <w:color w:val="auto"/>
                <w:sz w:val="21"/>
                <w:szCs w:val="21"/>
                <w:highlight w:val="none"/>
                <w:vertAlign w:val="subscript"/>
              </w:rPr>
              <w:t>叠加</w:t>
            </w:r>
            <w:r>
              <w:rPr>
                <w:rFonts w:hint="default" w:ascii="Times New Roman" w:hAnsi="Times New Roman" w:eastAsia="宋体" w:cs="Times New Roman"/>
                <w:color w:val="auto"/>
                <w:sz w:val="21"/>
                <w:szCs w:val="21"/>
                <w:highlight w:val="none"/>
              </w:rPr>
              <w:t>达标</w:t>
            </w:r>
            <w:r>
              <w:rPr>
                <w:rFonts w:hint="default" w:ascii="Times New Roman" w:hAnsi="Times New Roman" w:eastAsia="宋体" w:cs="Times New Roman"/>
                <w:color w:val="auto"/>
                <w:sz w:val="21"/>
                <w:szCs w:val="21"/>
                <w:highlight w:val="none"/>
                <w:lang w:eastAsia="zh-CN"/>
              </w:rPr>
              <w:t>□</w:t>
            </w:r>
          </w:p>
        </w:tc>
        <w:tc>
          <w:tcPr>
            <w:tcW w:w="2827" w:type="dxa"/>
            <w:gridSpan w:val="9"/>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w:t>
            </w:r>
            <w:r>
              <w:rPr>
                <w:rFonts w:hint="default" w:ascii="Times New Roman" w:hAnsi="Times New Roman" w:eastAsia="宋体" w:cs="Times New Roman"/>
                <w:color w:val="auto"/>
                <w:sz w:val="21"/>
                <w:szCs w:val="21"/>
                <w:highlight w:val="none"/>
                <w:vertAlign w:val="subscript"/>
              </w:rPr>
              <w:t>叠加</w:t>
            </w:r>
            <w:r>
              <w:rPr>
                <w:rFonts w:hint="default" w:ascii="Times New Roman" w:hAnsi="Times New Roman" w:eastAsia="宋体" w:cs="Times New Roman"/>
                <w:color w:val="auto"/>
                <w:sz w:val="21"/>
                <w:szCs w:val="21"/>
                <w:highlight w:val="none"/>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683" w:type="dxa"/>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区域环境质量的整体变化情况</w:t>
            </w:r>
          </w:p>
        </w:tc>
        <w:tc>
          <w:tcPr>
            <w:tcW w:w="3018" w:type="dxa"/>
            <w:gridSpan w:val="7"/>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K≤-20%☑</w:t>
            </w:r>
          </w:p>
        </w:tc>
        <w:tc>
          <w:tcPr>
            <w:tcW w:w="2827" w:type="dxa"/>
            <w:gridSpan w:val="9"/>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restart"/>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环境监测计划</w:t>
            </w:r>
          </w:p>
        </w:tc>
        <w:tc>
          <w:tcPr>
            <w:tcW w:w="1683" w:type="dxa"/>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污染源监测</w:t>
            </w:r>
          </w:p>
        </w:tc>
        <w:tc>
          <w:tcPr>
            <w:tcW w:w="2149" w:type="dxa"/>
            <w:gridSpan w:val="5"/>
            <w:noWrap w:val="0"/>
            <w:vAlign w:val="center"/>
          </w:tcPr>
          <w:p>
            <w:pPr>
              <w:keepNext w:val="0"/>
              <w:keepLines w:val="0"/>
              <w:widowControl/>
              <w:suppressLineNumbers w:val="0"/>
              <w:spacing w:line="240" w:lineRule="exact"/>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监测因子：（</w:t>
            </w:r>
            <w:r>
              <w:rPr>
                <w:rFonts w:hint="default" w:ascii="Times New Roman" w:hAnsi="Times New Roman" w:eastAsia="宋体" w:cs="Times New Roman"/>
                <w:color w:val="auto"/>
                <w:kern w:val="0"/>
                <w:sz w:val="21"/>
                <w:szCs w:val="21"/>
                <w:highlight w:val="none"/>
                <w:lang w:val="en-US" w:eastAsia="zh-CN" w:bidi="ar"/>
              </w:rPr>
              <w:t>氨、硫化氢</w:t>
            </w:r>
            <w:r>
              <w:rPr>
                <w:rFonts w:hint="default" w:ascii="Times New Roman" w:hAnsi="Times New Roman" w:eastAsia="宋体" w:cs="Times New Roman"/>
                <w:color w:val="auto"/>
                <w:sz w:val="21"/>
                <w:szCs w:val="21"/>
                <w:highlight w:val="none"/>
              </w:rPr>
              <w:t>）</w:t>
            </w:r>
          </w:p>
        </w:tc>
        <w:tc>
          <w:tcPr>
            <w:tcW w:w="1109" w:type="dxa"/>
            <w:gridSpan w:val="3"/>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有组织废气监测☑</w:t>
            </w:r>
          </w:p>
          <w:p>
            <w:pPr>
              <w:widowControl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无组织废气监测</w:t>
            </w:r>
            <w:r>
              <w:rPr>
                <w:rFonts w:hint="default" w:ascii="Times New Roman" w:hAnsi="Times New Roman" w:eastAsia="宋体" w:cs="Times New Roman"/>
                <w:color w:val="auto"/>
                <w:sz w:val="21"/>
                <w:szCs w:val="21"/>
                <w:highlight w:val="none"/>
                <w:lang w:eastAsia="zh-CN"/>
              </w:rPr>
              <w:t>☑</w:t>
            </w:r>
          </w:p>
        </w:tc>
        <w:tc>
          <w:tcPr>
            <w:tcW w:w="2587" w:type="dxa"/>
            <w:gridSpan w:val="8"/>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683" w:type="dxa"/>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环境质量监测</w:t>
            </w:r>
          </w:p>
        </w:tc>
        <w:tc>
          <w:tcPr>
            <w:tcW w:w="2149" w:type="dxa"/>
            <w:gridSpan w:val="5"/>
            <w:noWrap w:val="0"/>
            <w:vAlign w:val="center"/>
          </w:tcPr>
          <w:p>
            <w:pPr>
              <w:keepNext w:val="0"/>
              <w:keepLines w:val="0"/>
              <w:widowControl/>
              <w:suppressLineNumbers w:val="0"/>
              <w:spacing w:line="240" w:lineRule="exact"/>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监测因子：（</w:t>
            </w:r>
            <w:r>
              <w:rPr>
                <w:rFonts w:hint="default" w:ascii="Times New Roman" w:hAnsi="Times New Roman" w:eastAsia="宋体" w:cs="Times New Roman"/>
                <w:color w:val="auto"/>
                <w:kern w:val="0"/>
                <w:sz w:val="21"/>
                <w:szCs w:val="21"/>
                <w:highlight w:val="none"/>
                <w:lang w:val="en-US" w:eastAsia="zh-CN" w:bidi="ar"/>
              </w:rPr>
              <w:t>氨、硫化氢</w:t>
            </w:r>
            <w:r>
              <w:rPr>
                <w:rFonts w:hint="default" w:ascii="Times New Roman" w:hAnsi="Times New Roman" w:eastAsia="宋体" w:cs="Times New Roman"/>
                <w:color w:val="auto"/>
                <w:sz w:val="21"/>
                <w:szCs w:val="21"/>
                <w:highlight w:val="none"/>
              </w:rPr>
              <w:t>）</w:t>
            </w:r>
          </w:p>
        </w:tc>
        <w:tc>
          <w:tcPr>
            <w:tcW w:w="1109" w:type="dxa"/>
            <w:gridSpan w:val="3"/>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监测点位数（1）</w:t>
            </w:r>
          </w:p>
        </w:tc>
        <w:tc>
          <w:tcPr>
            <w:tcW w:w="2587" w:type="dxa"/>
            <w:gridSpan w:val="8"/>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restart"/>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评价结论</w:t>
            </w:r>
          </w:p>
        </w:tc>
        <w:tc>
          <w:tcPr>
            <w:tcW w:w="1683" w:type="dxa"/>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环境影响</w:t>
            </w:r>
          </w:p>
        </w:tc>
        <w:tc>
          <w:tcPr>
            <w:tcW w:w="5845" w:type="dxa"/>
            <w:gridSpan w:val="16"/>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可以接受☑不可以接受□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683" w:type="dxa"/>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大气环境防护距离</w:t>
            </w:r>
          </w:p>
        </w:tc>
        <w:tc>
          <w:tcPr>
            <w:tcW w:w="5845" w:type="dxa"/>
            <w:gridSpan w:val="16"/>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距厂界最远（0）m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683" w:type="dxa"/>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污染源年排放量</w:t>
            </w:r>
          </w:p>
        </w:tc>
        <w:tc>
          <w:tcPr>
            <w:tcW w:w="1400" w:type="dxa"/>
            <w:gridSpan w:val="2"/>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：（）t/a</w:t>
            </w:r>
          </w:p>
        </w:tc>
        <w:tc>
          <w:tcPr>
            <w:tcW w:w="1618" w:type="dxa"/>
            <w:gridSpan w:val="5"/>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x</w:t>
            </w:r>
            <w:r>
              <w:rPr>
                <w:rFonts w:hint="default" w:ascii="Times New Roman" w:hAnsi="Times New Roman" w:eastAsia="宋体" w:cs="Times New Roman"/>
                <w:color w:val="auto"/>
                <w:sz w:val="21"/>
                <w:szCs w:val="21"/>
                <w:highlight w:val="none"/>
              </w:rPr>
              <w:t>：（）t/a</w:t>
            </w:r>
          </w:p>
        </w:tc>
        <w:tc>
          <w:tcPr>
            <w:tcW w:w="1357" w:type="dxa"/>
            <w:gridSpan w:val="6"/>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颗粒物：（）t/a</w:t>
            </w:r>
          </w:p>
        </w:tc>
        <w:tc>
          <w:tcPr>
            <w:tcW w:w="1470" w:type="dxa"/>
            <w:gridSpan w:val="3"/>
            <w:noWrap w:val="0"/>
            <w:vAlign w:val="center"/>
          </w:tcPr>
          <w:p>
            <w:pPr>
              <w:widowControl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VOC</w:t>
            </w:r>
            <w:r>
              <w:rPr>
                <w:rFonts w:hint="default" w:ascii="Times New Roman" w:hAnsi="Times New Roman" w:eastAsia="宋体" w:cs="Times New Roman"/>
                <w:color w:val="auto"/>
                <w:sz w:val="21"/>
                <w:szCs w:val="21"/>
                <w:highlight w:val="none"/>
                <w:vertAlign w:val="subscript"/>
              </w:rPr>
              <w:t>S</w:t>
            </w:r>
            <w:r>
              <w:rPr>
                <w:rFonts w:hint="default" w:ascii="Times New Roman" w:hAnsi="Times New Roman" w:eastAsia="宋体" w:cs="Times New Roman"/>
                <w:color w:val="auto"/>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1" w:type="dxa"/>
            <w:gridSpan w:val="18"/>
            <w:noWrap w:val="0"/>
            <w:vAlign w:val="center"/>
          </w:tcPr>
          <w:p>
            <w:pPr>
              <w:widowControl w:val="0"/>
              <w:spacing w:line="240" w:lineRule="auto"/>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注：“□”为勾选项，填“√”；“（）”为内容填写项</w:t>
            </w:r>
          </w:p>
        </w:tc>
      </w:tr>
    </w:tbl>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地表水环境影响预测与评价</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本项目建成投产后，污水厂采用</w:t>
      </w:r>
      <w:r>
        <w:rPr>
          <w:rFonts w:hint="eastAsia" w:cs="Times New Roman"/>
          <w:color w:val="auto"/>
          <w:highlight w:val="none"/>
          <w:lang w:eastAsia="zh-CN"/>
        </w:rPr>
        <w:t>“预处理+调节池+AAO生物池＋高效沉淀池+反硝化深床滤池+接触消毒池”</w:t>
      </w:r>
      <w:r>
        <w:rPr>
          <w:rFonts w:hint="default" w:ascii="Times New Roman" w:hAnsi="Times New Roman" w:cs="Times New Roman"/>
          <w:color w:val="auto"/>
          <w:highlight w:val="none"/>
        </w:rPr>
        <w:t>处理工艺，尾水经专用管道夏季用于灌溉示范区的林地，冬季储存于</w:t>
      </w:r>
      <w:r>
        <w:rPr>
          <w:rFonts w:hint="eastAsia" w:cs="Times New Roman"/>
          <w:color w:val="auto"/>
          <w:highlight w:val="none"/>
          <w:lang w:eastAsia="zh-CN"/>
        </w:rPr>
        <w:t>中水池</w:t>
      </w:r>
      <w:r>
        <w:rPr>
          <w:rFonts w:hint="default" w:ascii="Times New Roman" w:hAnsi="Times New Roman" w:cs="Times New Roman"/>
          <w:color w:val="auto"/>
          <w:highlight w:val="none"/>
        </w:rPr>
        <w:t>中。即：所有废水均不外排。</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因此，本项目废水对周边地表水环境基本无影响。</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地下水影响预测与评价</w:t>
      </w:r>
    </w:p>
    <w:p>
      <w:pPr>
        <w:pStyle w:val="2"/>
        <w:bidi w:val="0"/>
        <w:rPr>
          <w:color w:val="auto"/>
          <w:highlight w:val="none"/>
        </w:rPr>
      </w:pPr>
      <w:r>
        <w:rPr>
          <w:rFonts w:hint="default"/>
          <w:color w:val="auto"/>
          <w:highlight w:val="none"/>
        </w:rPr>
        <w:t>区域</w:t>
      </w:r>
      <w:r>
        <w:rPr>
          <w:color w:val="auto"/>
          <w:highlight w:val="none"/>
        </w:rPr>
        <w:t>地质条件</w:t>
      </w:r>
    </w:p>
    <w:p>
      <w:pPr>
        <w:snapToGrid w:val="0"/>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昌吉市地处天山褶皱带的山前凹陷区，乌鲁木齐沉降带的中段，北部与准噶尔地台相连。昌吉市内构造简单，根据物探资料，区域性隐伏断裂有两条，一条位于山前，近东西走向，从头屯河出山口春光一队到三屯河渠首站一线，形成基岩山区与第四系平原区的断层接触关系，并造成两河口处的地下跌水，高差达150m以上。该断裂对本区的第四系沉积建造及地下水的形成、补给均起到控制作用。另一条位于乌伊公路附近，走向为北西西向，地表无显著特征，其西端与呼图壁背斜的南缘相邻。该隐伏断裂以北的第四系沉积厚度变薄，约400m~700m。两条隐伏断裂之间第四系沉积厚度最大，约800m~1200m。乌伊公路以北2km~3km为原地下水溢出带，溢出带的形成也可能与这条隐伏断裂有关，因此，该隐伏断裂控制了昌吉市中下部第四系沉积环境和</w:t>
      </w:r>
      <w:r>
        <w:rPr>
          <w:rFonts w:hint="eastAsia"/>
          <w:color w:val="auto"/>
          <w:sz w:val="24"/>
          <w:szCs w:val="24"/>
          <w:highlight w:val="none"/>
          <w:lang w:eastAsia="zh-CN"/>
        </w:rPr>
        <w:t>地下水径流</w:t>
      </w:r>
      <w:r>
        <w:rPr>
          <w:rFonts w:ascii="Times New Roman" w:hAnsi="Times New Roman"/>
          <w:color w:val="auto"/>
          <w:sz w:val="24"/>
          <w:szCs w:val="24"/>
          <w:highlight w:val="none"/>
        </w:rPr>
        <w:t>、排泄条件。</w:t>
      </w:r>
    </w:p>
    <w:p>
      <w:pPr>
        <w:snapToGrid w:val="0"/>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昌吉市西北角呼图壁背斜的东端倾伏端，在地表形成高差几米到几十米的隆起高台地。第四系沉积厚度约400m。呼图壁背斜走向为北西西向，长轴40km，短轴8km，两翼平缓，倾角约6°~15°。由于呼图壁背斜的隆起及其在第四系的继承性活动，迫使三屯河河道在其中游由北北东转为北东向，也控制了三屯河流域内地下水的迳流方向。同时对三屯河水系的地表水、地下水的流向也产生影响。</w:t>
      </w:r>
    </w:p>
    <w:p>
      <w:pPr>
        <w:snapToGrid w:val="0"/>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由于昌吉市内的新构造运动的阶段性、继承性、差异性活动影响，在头屯河和三屯河出山口一带发育有六级河流阶地，累积高差达130m。河流阶地向下游方向延伸，阶地级数逐渐减少。表现出的新构造运动强度和幅度由山地向平原逐渐减弱。在山麓地带，由于新构造运动的影响，新、老洪积扇、洪冲锥、坡洪积裙互相叠置。在昌吉市南部低山丘陵区分布的第四系下、中更新统冰水沉积砂砾石地层均发生程度不同的构造运动，其产状为倾向330°左右，倾角10°~25°，愈向平原方向倾角愈小。由于山区的相对上升，在头屯河、三屯河出山口一带的河床中，没有或沉积了很薄的第四系松散堆积物。</w:t>
      </w:r>
    </w:p>
    <w:p>
      <w:pPr>
        <w:snapToGrid w:val="0"/>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昌吉市地质图见</w:t>
      </w:r>
      <w:r>
        <w:rPr>
          <w:rFonts w:hint="eastAsia"/>
          <w:color w:val="auto"/>
          <w:sz w:val="24"/>
          <w:szCs w:val="24"/>
          <w:highlight w:val="none"/>
          <w:lang w:val="en-US" w:eastAsia="zh-CN"/>
        </w:rPr>
        <w:t>下</w:t>
      </w:r>
      <w:r>
        <w:rPr>
          <w:rFonts w:ascii="Times New Roman" w:hAnsi="Times New Roman"/>
          <w:color w:val="auto"/>
          <w:sz w:val="24"/>
          <w:szCs w:val="24"/>
          <w:highlight w:val="none"/>
        </w:rPr>
        <w:t>图。</w:t>
      </w:r>
    </w:p>
    <w:p>
      <w:pPr>
        <w:pStyle w:val="2"/>
        <w:bidi w:val="0"/>
        <w:rPr>
          <w:rFonts w:ascii="Times New Roman" w:hAnsi="Times New Roman" w:eastAsia="黑体"/>
          <w:bCs/>
          <w:color w:val="auto"/>
          <w:sz w:val="24"/>
          <w:szCs w:val="24"/>
          <w:highlight w:val="none"/>
        </w:rPr>
      </w:pPr>
      <w:bookmarkStart w:id="152" w:name="_Toc25420528"/>
      <w:bookmarkStart w:id="153" w:name="_Toc68589210"/>
      <w:bookmarkStart w:id="154" w:name="_Toc122170437"/>
      <w:bookmarkStart w:id="155" w:name="_Toc115946410"/>
      <w:r>
        <w:rPr>
          <w:rStyle w:val="53"/>
          <w:b/>
          <w:color w:val="auto"/>
          <w:highlight w:val="none"/>
        </w:rPr>
        <w:t>水</w:t>
      </w:r>
      <w:r>
        <w:rPr>
          <w:rFonts w:ascii="Times New Roman" w:hAnsi="Times New Roman" w:eastAsia="黑体"/>
          <w:bCs/>
          <w:color w:val="auto"/>
          <w:sz w:val="24"/>
          <w:szCs w:val="24"/>
          <w:highlight w:val="none"/>
        </w:rPr>
        <w:t>文地质条件</w:t>
      </w:r>
      <w:bookmarkEnd w:id="152"/>
      <w:bookmarkEnd w:id="153"/>
      <w:bookmarkEnd w:id="154"/>
      <w:bookmarkEnd w:id="155"/>
    </w:p>
    <w:p>
      <w:pPr>
        <w:bidi w:val="0"/>
      </w:pPr>
      <w:r>
        <w:rPr>
          <w:rFonts w:hint="eastAsia"/>
          <w:lang w:eastAsia="zh-CN"/>
        </w:rPr>
        <w:t>（</w:t>
      </w:r>
      <w:r>
        <w:rPr>
          <w:rFonts w:hint="eastAsia"/>
          <w:lang w:val="en-US" w:eastAsia="zh-CN"/>
        </w:rPr>
        <w:t>1</w:t>
      </w:r>
      <w:r>
        <w:rPr>
          <w:rFonts w:hint="eastAsia"/>
          <w:lang w:eastAsia="zh-CN"/>
        </w:rPr>
        <w:t>）</w:t>
      </w:r>
      <w:r>
        <w:t>地下水赋存条件和分布规律</w:t>
      </w:r>
    </w:p>
    <w:p>
      <w:pPr>
        <w:bidi w:val="0"/>
      </w:pPr>
      <w:r>
        <w:t>1）山区地下水的赋存条件和分布规律</w:t>
      </w:r>
    </w:p>
    <w:p>
      <w:pPr>
        <w:snapToGrid w:val="0"/>
        <w:ind w:firstLine="480"/>
        <w:rPr>
          <w:rFonts w:ascii="Times New Roman" w:hAnsi="Times New Roman"/>
          <w:color w:val="auto"/>
          <w:sz w:val="24"/>
          <w:szCs w:val="24"/>
          <w:highlight w:val="none"/>
        </w:rPr>
      </w:pPr>
      <w:r>
        <w:rPr>
          <w:rFonts w:ascii="Times New Roman" w:hAnsi="Times New Roman"/>
          <w:color w:val="auto"/>
          <w:sz w:val="24"/>
          <w:szCs w:val="24"/>
          <w:highlight w:val="none"/>
        </w:rPr>
        <w:t>山区基岩褶皱、断裂、节理、裂隙异常发育，为基岩裂隙水和碎屑岩类裂隙孔隙水的时空分布和賦存、运移提供了良好条件。</w:t>
      </w:r>
    </w:p>
    <w:p>
      <w:pPr>
        <w:snapToGrid w:val="0"/>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基岩山区主要分布有基岩裂隙水、碎屑岩类孔隙—裂隙水。基岩裂隙水分布在古生代、中新生代地层中，碎屑岩类裂隙—孔隙水赋存于侏罗纪和第三纪砂岩中。基岩裂隙水受气候垂直分带和地质构造的控制。高山区终年积雪，降水量大，富水性强，低山丘陵区气候干旱，富水性较弱。山区降水及冰雪融水大量补给河流，河流在所流经的区段沿基岩裂隙补给基岩裂隙水，基岩裂隙水在深切沟谷两旁以泉水的形式补给河水。</w:t>
      </w:r>
    </w:p>
    <w:p>
      <w:pPr>
        <w:snapToGrid w:val="0"/>
        <w:ind w:firstLine="480" w:firstLineChars="200"/>
        <w:rPr>
          <w:rFonts w:ascii="Times New Roman" w:hAnsi="Times New Roman"/>
          <w:color w:val="auto"/>
          <w:sz w:val="24"/>
          <w:szCs w:val="24"/>
          <w:highlight w:val="none"/>
        </w:rPr>
      </w:pPr>
    </w:p>
    <w:p>
      <w:pPr>
        <w:widowControl/>
        <w:jc w:val="center"/>
        <w:rPr>
          <w:rFonts w:ascii="Times New Roman" w:hAnsi="Times New Roman"/>
          <w:color w:val="auto"/>
          <w:kern w:val="0"/>
          <w:sz w:val="24"/>
          <w:szCs w:val="24"/>
          <w:highlight w:val="none"/>
        </w:rPr>
      </w:pPr>
    </w:p>
    <w:p>
      <w:pPr>
        <w:snapToGrid w:val="0"/>
        <w:jc w:val="center"/>
        <w:rPr>
          <w:rFonts w:ascii="Times New Roman" w:hAnsi="Times New Roman" w:eastAsia="黑体"/>
          <w:color w:val="auto"/>
          <w:szCs w:val="21"/>
          <w:highlight w:val="none"/>
        </w:rPr>
      </w:pPr>
      <w:r>
        <w:rPr>
          <w:rFonts w:ascii="Times New Roman" w:hAnsi="Times New Roman" w:eastAsia="黑体"/>
          <w:color w:val="auto"/>
          <w:szCs w:val="21"/>
          <w:highlight w:val="none"/>
        </w:rPr>
        <w:t>图</w:t>
      </w:r>
      <w:r>
        <w:rPr>
          <w:rFonts w:hint="eastAsia" w:eastAsia="黑体"/>
          <w:color w:val="auto"/>
          <w:szCs w:val="21"/>
          <w:highlight w:val="none"/>
          <w:lang w:val="en-US" w:eastAsia="zh-CN"/>
        </w:rPr>
        <w:t>5</w:t>
      </w:r>
      <w:r>
        <w:rPr>
          <w:rFonts w:ascii="Times New Roman" w:hAnsi="Times New Roman" w:eastAsia="黑体"/>
          <w:color w:val="auto"/>
          <w:szCs w:val="21"/>
          <w:highlight w:val="none"/>
        </w:rPr>
        <w:t>.2-1昌吉市1:50万地质图（引自《全国地质资料馆》）</w:t>
      </w:r>
    </w:p>
    <w:p>
      <w:pPr>
        <w:snapToGrid w:val="0"/>
        <w:jc w:val="center"/>
        <w:rPr>
          <w:rFonts w:ascii="Times New Roman" w:hAnsi="Times New Roman" w:eastAsia="黑体"/>
          <w:color w:val="auto"/>
          <w:szCs w:val="21"/>
          <w:highlight w:val="none"/>
        </w:rPr>
      </w:pPr>
    </w:p>
    <w:p>
      <w:pPr>
        <w:bidi w:val="0"/>
      </w:pPr>
      <w:r>
        <w:t>2）平原区地下水的赋存条件和分布规律</w:t>
      </w:r>
    </w:p>
    <w:p>
      <w:pPr>
        <w:snapToGrid w:val="0"/>
        <w:ind w:firstLine="480"/>
        <w:rPr>
          <w:rFonts w:ascii="Times New Roman" w:hAnsi="Times New Roman"/>
          <w:color w:val="auto"/>
          <w:sz w:val="24"/>
          <w:szCs w:val="24"/>
          <w:highlight w:val="none"/>
        </w:rPr>
      </w:pPr>
      <w:r>
        <w:rPr>
          <w:rFonts w:ascii="Times New Roman" w:hAnsi="Times New Roman"/>
          <w:color w:val="auto"/>
          <w:sz w:val="24"/>
          <w:szCs w:val="24"/>
          <w:highlight w:val="none"/>
        </w:rPr>
        <w:t>平原区地下水主要赋存于第四系松散堆积物中，其沉积厚度受基底的控制，呈南厚北薄、西厚东薄的变化趋势，</w:t>
      </w:r>
    </w:p>
    <w:p>
      <w:pPr>
        <w:snapToGrid w:val="0"/>
        <w:ind w:firstLine="480"/>
        <w:rPr>
          <w:rFonts w:ascii="Times New Roman" w:hAnsi="Times New Roman"/>
          <w:color w:val="auto"/>
          <w:sz w:val="24"/>
          <w:szCs w:val="24"/>
          <w:highlight w:val="none"/>
        </w:rPr>
      </w:pPr>
      <w:r>
        <w:rPr>
          <w:rFonts w:ascii="Times New Roman" w:hAnsi="Times New Roman"/>
          <w:color w:val="auto"/>
          <w:sz w:val="24"/>
          <w:szCs w:val="24"/>
          <w:highlight w:val="none"/>
        </w:rPr>
        <w:t>昌吉市内巨厚的第四系堆积物为地下水的贮存、运移提供了良好的空间，其中埋藏着丰富的孔隙潜水和承压—自流水。头屯河和三屯河冲洪积扇相互叠置而成的山前倾斜平原，具有干旱—半干旱区山前冲洪积扇的一半水文地质规律。昌吉市地质构造、第四系地质、地貌、岩性及气象水文条件控制着地下水的形成及埋藏分布规律。受山前隐伏断裂和乌伊公路附近隐伏断裂及呼图壁背斜的影响，使断裂间的地块相对下拗，沿山前形成一个近东西向的断陷谷地，中心在阿苇滩机场以南，饱水带厚度达500m以上，向北含水层厚度变薄。地下水通过扇缘向平原区过渡，自扇顶向扇缘水文地质分带规律很明显，大致以物探队——二六工乡上三畦村——榆树沟镇尾沟村一带为界，南部为单一结构大厚度的卵砾石、砂砾石潜水含水层，北部为多层结构的上层混合水—承压水含水层。平原区含水层分布及特征见图6.2-2～图6.2-4。</w:t>
      </w:r>
    </w:p>
    <w:p>
      <w:pPr>
        <w:adjustRightInd w:val="0"/>
        <w:snapToGrid w:val="0"/>
        <w:ind w:firstLine="480" w:firstLineChars="200"/>
        <w:rPr>
          <w:rFonts w:ascii="Times New Roman" w:hAnsi="Times New Roman"/>
          <w:color w:val="auto"/>
          <w:sz w:val="24"/>
          <w:szCs w:val="24"/>
          <w:highlight w:val="none"/>
        </w:rPr>
      </w:pPr>
      <w:r>
        <w:rPr>
          <w:rFonts w:hint="default" w:ascii="Calibri" w:hAnsi="Calibri" w:cs="Calibri"/>
          <w:color w:val="auto"/>
          <w:sz w:val="24"/>
          <w:szCs w:val="24"/>
          <w:highlight w:val="none"/>
        </w:rPr>
        <w:t>①</w:t>
      </w:r>
      <w:r>
        <w:rPr>
          <w:rFonts w:ascii="Times New Roman" w:hAnsi="Times New Roman"/>
          <w:color w:val="auto"/>
          <w:sz w:val="24"/>
          <w:szCs w:val="24"/>
          <w:highlight w:val="none"/>
        </w:rPr>
        <w:t>潜水</w:t>
      </w:r>
    </w:p>
    <w:p>
      <w:pPr>
        <w:adjustRightInd w:val="0"/>
        <w:snapToGrid w:val="0"/>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物探队——二六工乡上三畦村——榆树沟镇尾沟村一线以南为单一结构大厚度的卵砾石潜水含水层，以北至G312潜水含水层岩性则以砂砾石为主。潜水含水层饱水带厚度为400m~800m，平均厚度600m。总体来说，潜水含水层从扇轴部向两侧、从扇顶至扇缘颗粒逐渐变细。</w:t>
      </w:r>
    </w:p>
    <w:p>
      <w:pPr>
        <w:adjustRightInd w:val="0"/>
        <w:snapToGrid w:val="0"/>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在扇中部，如电机厂、榆树沟镇西三畦村和东三畦村一带，地下水埋深30m~50m，含水层岩性为粗大的卵砾石、砂砾石，形成了单井涌水量5000m³/d的富水带，向南含水层岩性逐渐变为砂砾石层，水位埋深增大，富水性相对减弱。据潜水非完整井抽水试验资料，渗透系数42.81~136.6m/d，平均81.66m/d，单井涌水量（0.325m口径，5m降深，下同）一般为1812.9~6831.48m³/d，平均为4449m³/d(185.3m³/h)。</w:t>
      </w:r>
    </w:p>
    <w:p>
      <w:pPr>
        <w:adjustRightInd w:val="0"/>
        <w:snapToGrid w:val="0"/>
        <w:ind w:firstLine="480" w:firstLineChars="200"/>
        <w:rPr>
          <w:rFonts w:ascii="Times New Roman" w:hAnsi="Times New Roman"/>
          <w:color w:val="auto"/>
          <w:sz w:val="24"/>
          <w:szCs w:val="24"/>
          <w:highlight w:val="none"/>
        </w:rPr>
      </w:pPr>
      <w:r>
        <w:rPr>
          <w:rFonts w:hint="default" w:ascii="Calibri" w:hAnsi="Calibri" w:cs="Calibri"/>
          <w:color w:val="auto"/>
          <w:sz w:val="24"/>
          <w:szCs w:val="24"/>
          <w:highlight w:val="none"/>
        </w:rPr>
        <w:t>②</w:t>
      </w:r>
      <w:r>
        <w:rPr>
          <w:rFonts w:ascii="Times New Roman" w:hAnsi="Times New Roman"/>
          <w:color w:val="auto"/>
          <w:sz w:val="24"/>
          <w:szCs w:val="24"/>
          <w:highlight w:val="none"/>
        </w:rPr>
        <w:t>混合水</w:t>
      </w:r>
    </w:p>
    <w:p>
      <w:pPr>
        <w:adjustRightInd w:val="0"/>
        <w:snapToGrid w:val="0"/>
        <w:ind w:firstLine="480" w:firstLineChars="200"/>
        <w:rPr>
          <w:rFonts w:ascii="Times New Roman" w:hAnsi="Times New Roman"/>
          <w:b/>
          <w:color w:val="auto"/>
          <w:highlight w:val="none"/>
        </w:rPr>
      </w:pPr>
      <w:r>
        <w:rPr>
          <w:rFonts w:ascii="Times New Roman" w:hAnsi="Times New Roman"/>
          <w:color w:val="auto"/>
          <w:sz w:val="24"/>
          <w:szCs w:val="24"/>
          <w:highlight w:val="none"/>
        </w:rPr>
        <w:t>分布在乌伊公路以北，地表下100m深度范围内，由于扇的中下部细颗粒地层在纵向和横向上分布的不连续性，以及区内有1000多眼深度在100m内的机井均未采取任何止水措施，使上层潜水和承压水通过这种自然的、人工的“天窗”发生水力联系，造成潜水水位和承压水水位很难区分、该混合水含水层有3~4</w:t>
      </w:r>
    </w:p>
    <w:p>
      <w:pPr>
        <w:pStyle w:val="47"/>
        <w:snapToGrid w:val="0"/>
        <w:spacing w:line="360" w:lineRule="auto"/>
        <w:ind w:firstLine="482" w:firstLineChars="200"/>
        <w:rPr>
          <w:rFonts w:ascii="Times New Roman" w:cs="Times New Roman"/>
          <w:b/>
          <w:color w:val="auto"/>
          <w:kern w:val="2"/>
          <w:highlight w:val="none"/>
        </w:rPr>
        <w:sectPr>
          <w:pgSz w:w="11906" w:h="16838"/>
          <w:pgMar w:top="1440" w:right="1797" w:bottom="1440" w:left="1797" w:header="851" w:footer="992" w:gutter="0"/>
          <w:pgBorders>
            <w:top w:val="none" w:sz="0" w:space="0"/>
            <w:left w:val="none" w:sz="0" w:space="0"/>
            <w:bottom w:val="none" w:sz="0" w:space="0"/>
            <w:right w:val="none" w:sz="0" w:space="0"/>
          </w:pgBorders>
          <w:pgNumType w:fmt="numberInDash"/>
          <w:cols w:space="425" w:num="1"/>
          <w:docGrid w:linePitch="312" w:charSpace="0"/>
        </w:sectPr>
      </w:pP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1 \* alphabetic \* MERGEFORMAT </w:instrText>
      </w:r>
      <w:r>
        <w:rPr>
          <w:rFonts w:hint="default" w:ascii="Times New Roman" w:hAnsi="Times New Roman" w:cs="Times New Roman"/>
          <w:color w:val="auto"/>
          <w:highlight w:val="none"/>
        </w:rPr>
        <w:fldChar w:fldCharType="separate"/>
      </w:r>
      <w:r>
        <w:rPr>
          <w:color w:val="auto"/>
          <w:highlight w:val="none"/>
        </w:rPr>
        <w:t>a</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含水层的埋藏及分布特征</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产业园区位于三屯河流域形成的冲洪积平原下部的细土平原区，地下水运动以垂向（蒸发和人工开采）和侧向排泄为主，在水文地质单元上属径流排泄区。产业园区主要分布多层结构砂砾石孔隙承压水和潜水。</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产业园区主要土层为粉土、粉质粘土和含砂砾土，其含水层主要为含砂砾层，隔水层顶底板主要由粉土、粉质粘土构成。承压含水层段呈现互层状，最多七层，单层厚度6.7-32.24m不等，含水介质由南向北粒径逐渐变小，含水层厚度变薄。渗透系数由南向北逐渐变小，为9-49.3m/d。承压水的水头随着地形向北降低，水位埋深变浅。承压含水层的储水能力和释水能力也由南向北逐渐减弱。</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地下潜水埋深最大值大于50m，最小埋深小于15m。最大埋深位于产业园区南部边界，最小埋深位于产业园区北部边界。</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2 \* alphabetic \* MERGEFORMAT </w:instrText>
      </w:r>
      <w:r>
        <w:rPr>
          <w:rFonts w:hint="default" w:ascii="Times New Roman" w:hAnsi="Times New Roman" w:cs="Times New Roman"/>
          <w:color w:val="auto"/>
          <w:highlight w:val="none"/>
        </w:rPr>
        <w:fldChar w:fldCharType="separate"/>
      </w:r>
      <w:r>
        <w:rPr>
          <w:color w:val="auto"/>
          <w:highlight w:val="none"/>
        </w:rPr>
        <w:t>b</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地下水补给、径流与排泄</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——地下水补给</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源于天山北麓收冰雪融水与大气降水补给的三屯河汇集了山区各支流，沿河道源源不断地向山前流泄，当流经第四纪松散沉积物时便发生大量的渗漏，成为平原区地下水的主要补给来源。由于产业园区处于山前冲洪积的细土平原区，其补给主要包括南部边界侧向补给，地下水回归补给，降雨入渗补给。该区现状年没有地表水，因此规划区补给中无渠系、田间的河水入渗补给。</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——地下水径流</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的径流条件取决于岩性。随着由南向北含水层颗粒变细和细颗粒夹层、透镜体的出现，含水层的导水性减弱，地下水径流条件变差，至产业园区所在的细土平原区含水层颗粒更细，地下水径流条件更差，平均水力坡度为3‰。由于受隐伏构造和岩性的影响，在乌伊公路以南地下水的总体流向为NNE，在乌伊公路以北（产业园区）转为NE向和NNW向，受人工开采的影响，在局部小范围内改变了地下水的天然动力特征。</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——地下水的排泄</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的排泄主要有两种形式，天然排泄和人工排泄。潜水在扇源的沟谷和低洼处以泉和沼泽的形式排泄。近年来由于大量开采地下水，区域水位下降，溢出带下移，在工作区内60年代以前存在的地下水溢出带已不明显，泉水已断流，仅在局部低洼处地下水以蒸发或蒸腾的形式排泄。人工开采是本地区地下水的主要排泄方式，开采强度大的地段，水文交替相对增强。</w:t>
      </w:r>
    </w:p>
    <w:p>
      <w:pPr>
        <w:adjustRightInd w:val="0"/>
        <w:snapToGrid w:val="0"/>
        <w:rPr>
          <w:rFonts w:ascii="Times New Roman" w:hAnsi="Times New Roman"/>
          <w:color w:val="auto"/>
          <w:sz w:val="24"/>
          <w:szCs w:val="24"/>
          <w:highlight w:val="none"/>
        </w:rPr>
      </w:pPr>
      <w:r>
        <w:rPr>
          <w:rFonts w:ascii="Times New Roman" w:hAnsi="Times New Roman"/>
          <w:color w:val="auto"/>
          <w:sz w:val="24"/>
          <w:szCs w:val="24"/>
          <w:highlight w:val="none"/>
        </w:rPr>
        <w:t>个单层，单层厚度5m~30m不等，地下水埋深从50m至小于5m，含水层岩性主要为砂砾石及少量砂的透镜体，隔水层由亚粘土、亚砂土组成。总体来说，由中部向两侧，浅部向深部，含水层颗粒变细，厚度变薄，含水层的富水性减弱。据抽水试验资料，混合水含水层渗透系数为21.74~82.9m/d，平均48.17m/d，单井涌水量为1734.3~5018.8m³/d，平均为3097.6m³/d(129m³/h)。</w:t>
      </w:r>
    </w:p>
    <w:p>
      <w:pPr>
        <w:adjustRightInd w:val="0"/>
        <w:snapToGrid w:val="0"/>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3）承压水</w:t>
      </w:r>
    </w:p>
    <w:p>
      <w:pPr>
        <w:adjustRightInd w:val="0"/>
        <w:snapToGrid w:val="0"/>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位于乌伊公路以北、冲洪积平原的中下部，埋藏在混合水含水层之下，隔水顶板埋深80m~120m。隔水层岩性为亚粘土、亚砂土及粘土。渗透系数平均29.74m/d，单井涌水量1275.20~4562.20m³/d，平均为2576.68m³/d(107m³/h)。</w:t>
      </w:r>
    </w:p>
    <w:p>
      <w:pPr>
        <w:adjustRightInd w:val="0"/>
        <w:snapToGrid w:val="0"/>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财贸农场——大西渠牧场——滨湖镇一线以北，含水层岩性以中粗砂为主，隔水顶底板由粘土、亚粘土构成，含水层埋深与隔水顶底板埋深由南向北逐渐增大。据钻孔资料显示，在250m深度范围内，有四层承压含水层，单层厚度10m~30m，隔水顶板埋深120m~180m，180m以下埋藏的含水层富水性较好，180m以上富水性相对较弱，渗透系数为1.02~5.06m/d，平均2.39m/d，单井涌水量为500~1000m³/d。</w:t>
      </w:r>
    </w:p>
    <w:p>
      <w:pPr>
        <w:pStyle w:val="2"/>
        <w:bidi w:val="0"/>
        <w:rPr>
          <w:color w:val="auto"/>
          <w:highlight w:val="none"/>
        </w:rPr>
      </w:pPr>
      <w:r>
        <w:rPr>
          <w:color w:val="auto"/>
          <w:highlight w:val="none"/>
        </w:rPr>
        <w:t>地下水补径排条件</w:t>
      </w:r>
    </w:p>
    <w:p>
      <w:pPr>
        <w:adjustRightInd w:val="0"/>
        <w:snapToGrid w:val="0"/>
        <w:ind w:firstLine="480"/>
        <w:rPr>
          <w:rFonts w:ascii="Times New Roman" w:hAnsi="Times New Roman"/>
          <w:color w:val="auto"/>
          <w:sz w:val="24"/>
          <w:szCs w:val="24"/>
          <w:highlight w:val="none"/>
        </w:rPr>
      </w:pPr>
      <w:r>
        <w:rPr>
          <w:rFonts w:ascii="Times New Roman" w:hAnsi="Times New Roman"/>
          <w:color w:val="auto"/>
          <w:sz w:val="24"/>
          <w:szCs w:val="24"/>
          <w:highlight w:val="none"/>
        </w:rPr>
        <w:t>昌吉市冲洪积扇地下水的补给与排泄条件，受自然地理、水文地质及人类活动所控制。昌吉市由南向北水文地质单元分为山区，低山丘陵区的山间洼地，北部山前冲洪积扇、细土平原区</w:t>
      </w:r>
      <w:r>
        <w:rPr>
          <w:rFonts w:hint="eastAsia" w:ascii="Times New Roman" w:hAnsi="Times New Roman"/>
          <w:color w:val="auto"/>
          <w:sz w:val="24"/>
          <w:szCs w:val="24"/>
          <w:highlight w:val="none"/>
        </w:rPr>
        <w:t>，</w:t>
      </w:r>
      <w:r>
        <w:rPr>
          <w:rFonts w:ascii="Times New Roman" w:hAnsi="Times New Roman"/>
          <w:color w:val="auto"/>
          <w:sz w:val="24"/>
          <w:szCs w:val="24"/>
          <w:highlight w:val="none"/>
        </w:rPr>
        <w:t>不同地带地下水补径排条件不同。</w:t>
      </w:r>
      <w:r>
        <w:rPr>
          <w:rFonts w:hint="eastAsia" w:ascii="Times New Roman" w:hAnsi="Times New Roman"/>
          <w:color w:val="auto"/>
          <w:sz w:val="24"/>
          <w:szCs w:val="24"/>
          <w:highlight w:val="none"/>
        </w:rPr>
        <w:t>昌吉市地下水流场见图6.2-6。</w:t>
      </w:r>
    </w:p>
    <w:p>
      <w:pPr>
        <w:bidi w:val="0"/>
      </w:pPr>
      <w:r>
        <w:t>（1）山区地下水的补给、径流和排泄</w:t>
      </w:r>
    </w:p>
    <w:p>
      <w:pPr>
        <w:adjustRightInd w:val="0"/>
        <w:snapToGrid w:val="0"/>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山区是地下水的形成区，其补给</w:t>
      </w:r>
      <w:r>
        <w:rPr>
          <w:rFonts w:hint="eastAsia" w:ascii="Times New Roman" w:hAnsi="Times New Roman"/>
          <w:color w:val="auto"/>
          <w:sz w:val="24"/>
          <w:szCs w:val="24"/>
          <w:highlight w:val="none"/>
        </w:rPr>
        <w:t>来</w:t>
      </w:r>
      <w:r>
        <w:rPr>
          <w:rFonts w:ascii="Times New Roman" w:hAnsi="Times New Roman"/>
          <w:color w:val="auto"/>
          <w:sz w:val="24"/>
          <w:szCs w:val="24"/>
          <w:highlight w:val="none"/>
        </w:rPr>
        <w:t>源主要为大气降水入渗。大气降水到地表以后，在汇集成地表径流的过程中，沿山区基岩的节理、裂隙和断层破碎带渗入地下，补给地下水。地下水接受补给后，在基岩裂隙中由水位高的地方向水位低的地方径流，在深切的沟谷中以下降泉的形式进行排泄，最终汇入沟谷中的地表水流。山区河流为山丘区地下水的排泄通道。</w:t>
      </w:r>
    </w:p>
    <w:p>
      <w:pPr>
        <w:adjustRightInd w:val="0"/>
        <w:snapToGrid w:val="0"/>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在海拔3000m以上的地域，贮存着巨厚的积雪和现代冰川，每年夏天，源源不断的消融水及大气降水除大部分形成地表径流外，部分沿基岩裂隙、断裂风化带及第四纪冰渍、冰水沉积物孔隙垂直渗入补给地下水。</w:t>
      </w:r>
    </w:p>
    <w:p>
      <w:pPr>
        <w:adjustRightInd w:val="0"/>
        <w:snapToGrid w:val="0"/>
        <w:ind w:firstLine="480" w:firstLineChars="200"/>
        <w:rPr>
          <w:rFonts w:ascii="Times New Roman" w:hAnsi="Times New Roman"/>
          <w:color w:val="auto"/>
          <w:sz w:val="24"/>
          <w:highlight w:val="none"/>
        </w:rPr>
      </w:pPr>
      <w:r>
        <w:rPr>
          <w:rFonts w:ascii="Times New Roman" w:hAnsi="Times New Roman"/>
          <w:color w:val="auto"/>
          <w:sz w:val="24"/>
          <w:szCs w:val="24"/>
          <w:highlight w:val="none"/>
        </w:rPr>
        <w:t>低山丘陵区平均年降水量257mm~400mm，地下水的补给来源在侵蚀基准面以上主要受基岩裂隙水及大气降水的补给，在侵蚀基准面以下主要受地表水的补给。该区的新近纪泥岩，透水性较差，犹如一道天然屏障，阻断了山区基岩裂隙水与平原区地下水的直接联系。</w:t>
      </w:r>
    </w:p>
    <w:p>
      <w:pPr>
        <w:adjustRightInd w:val="0"/>
        <w:snapToGrid w:val="0"/>
        <w:ind w:firstLine="480" w:firstLineChars="200"/>
        <w:rPr>
          <w:rFonts w:ascii="Times New Roman" w:hAnsi="Times New Roman"/>
          <w:color w:val="auto"/>
          <w:sz w:val="24"/>
          <w:szCs w:val="24"/>
          <w:highlight w:val="none"/>
        </w:rPr>
      </w:pPr>
      <w:r>
        <w:rPr>
          <w:rFonts w:ascii="Times New Roman" w:hAnsi="Times New Roman"/>
          <w:color w:val="auto"/>
          <w:sz w:val="24"/>
          <w:highlight w:val="none"/>
        </w:rPr>
        <w:t>山区地下水主要以水平或垂直方式运动，</w:t>
      </w:r>
      <w:r>
        <w:rPr>
          <w:rFonts w:hint="eastAsia"/>
          <w:color w:val="auto"/>
          <w:sz w:val="24"/>
          <w:highlight w:val="none"/>
          <w:lang w:eastAsia="zh-CN"/>
        </w:rPr>
        <w:t>径流</w:t>
      </w:r>
      <w:r>
        <w:rPr>
          <w:rFonts w:ascii="Times New Roman" w:hAnsi="Times New Roman"/>
          <w:color w:val="auto"/>
          <w:sz w:val="24"/>
          <w:highlight w:val="none"/>
        </w:rPr>
        <w:t>很短，从高处向低处运移，在沟谷旁以下降泉的形式益处地表补给地表水；</w:t>
      </w:r>
    </w:p>
    <w:p>
      <w:pPr>
        <w:bidi w:val="0"/>
      </w:pPr>
      <w:r>
        <w:t>（2）平原区地下水的补给、径流和排泄</w:t>
      </w:r>
    </w:p>
    <w:p>
      <w:pPr>
        <w:adjustRightInd w:val="0"/>
        <w:snapToGrid w:val="0"/>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昌吉地处干旱区，干旱少雨和强烈蒸发的气候特征，决定了降水直接渗入的补给量甚少。昌吉市平原区地下水主要补给来源为山区形成的河流及平原区渠道的渗漏等。</w:t>
      </w:r>
    </w:p>
    <w:p>
      <w:pPr>
        <w:adjustRightInd w:val="0"/>
        <w:snapToGrid w:val="0"/>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山区的降雨和冰雪消融水出红山嘴后流入山前冲洪积扇区，流经巨厚的第四纪冲洪积砾石层，由于卵砾石层透水性极强，河水以垂直渗漏的形式大量补给地下水，成为山前平原区地下水的主要补给项。整个扇区含水层接受各种垂向和侧向的补给，其中垂向补给为主要补给方式。平原区内地表大片裸露的卵石、砾石层为地表水入渗补给地下水提供了良好条件。</w:t>
      </w:r>
    </w:p>
    <w:p>
      <w:pPr>
        <w:adjustRightInd w:val="0"/>
        <w:snapToGrid w:val="0"/>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源于中高山区并沿途不断受到大气降水和冰川消融水补给、汇集而形成的三屯河与头屯河，是平原区地下水的主要补给来源。三屯河与头屯河在出山口后便基本断流，仅在汛期有洪水下泄。倾斜平原区的地层岩性为地表水的渗漏提供了良好的入渗介质。遍布区内的引水系统（如干、支、斗渠）的水及其田间灌溉水，都是地下水的重要补给来源。由于本区地下水埋深较大，大气降水对本区地下水补给微乎其微。</w:t>
      </w:r>
    </w:p>
    <w:p>
      <w:pPr>
        <w:adjustRightInd w:val="0"/>
        <w:snapToGrid w:val="0"/>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冲积平原区上游区侧向补给、渠系水和灌溉水的入渗为本区地下水的主要补给来源。由于90年代以来，本区地下水水位不断下降</w:t>
      </w:r>
      <w:r>
        <w:rPr>
          <w:rFonts w:hint="eastAsia"/>
          <w:color w:val="auto"/>
          <w:sz w:val="24"/>
          <w:szCs w:val="24"/>
          <w:highlight w:val="none"/>
          <w:lang w:eastAsia="zh-CN"/>
        </w:rPr>
        <w:t>，</w:t>
      </w:r>
      <w:r>
        <w:rPr>
          <w:rFonts w:ascii="Times New Roman" w:hAnsi="Times New Roman"/>
          <w:color w:val="auto"/>
          <w:sz w:val="24"/>
          <w:szCs w:val="24"/>
          <w:highlight w:val="none"/>
        </w:rPr>
        <w:t>绝大多数地方地下水埋深大于10m，大气降水对地下水的补给也是非常微弱。</w:t>
      </w:r>
    </w:p>
    <w:p>
      <w:pPr>
        <w:adjustRightInd w:val="0"/>
        <w:snapToGrid w:val="0"/>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沙漠区该区气候干燥，蒸发强烈，地下水的主要补给源为上游地带地下水的侧向流入。平原区地下水运动类型既有水平运动又有垂直运动，冲—洪积扇扇区上部地下水主要表现为水平运动，潜水面微向北倾，与地面有一定的交角。扇区中部，由于地下水开采量大，因此其具有自然水平流动和人工垂直排泄的交替复合运动。溢出带及其以北的扇下缘，含水层组成颗粒变细，总体厚度变薄，导水性变差，大量地下水溢出成泉或形成沼泽，因此，该区域地下水以垂直交替运动为主，而向下游的侧向</w:t>
      </w:r>
      <w:r>
        <w:rPr>
          <w:rFonts w:hint="eastAsia"/>
          <w:color w:val="auto"/>
          <w:sz w:val="24"/>
          <w:szCs w:val="24"/>
          <w:highlight w:val="none"/>
          <w:lang w:eastAsia="zh-CN"/>
        </w:rPr>
        <w:t>径流</w:t>
      </w:r>
      <w:r>
        <w:rPr>
          <w:rFonts w:ascii="Times New Roman" w:hAnsi="Times New Roman"/>
          <w:color w:val="auto"/>
          <w:sz w:val="24"/>
          <w:szCs w:val="24"/>
          <w:highlight w:val="none"/>
        </w:rPr>
        <w:t>作用较微弱。</w:t>
      </w:r>
    </w:p>
    <w:p>
      <w:pPr>
        <w:adjustRightInd w:val="0"/>
        <w:snapToGrid w:val="0"/>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平原区地下水排泄方式有蒸发蒸腾、地下水开采、泉水溢出和侧向流出等。</w:t>
      </w:r>
    </w:p>
    <w:p>
      <w:pPr>
        <w:adjustRightInd w:val="0"/>
        <w:snapToGrid w:val="0"/>
        <w:ind w:firstLine="480" w:firstLineChars="200"/>
        <w:rPr>
          <w:rFonts w:hint="default" w:ascii="Times New Roman" w:hAnsi="Times New Roman" w:cs="Times New Roman"/>
          <w:color w:val="auto"/>
          <w:highlight w:val="none"/>
        </w:rPr>
      </w:pPr>
      <w:r>
        <w:rPr>
          <w:rFonts w:ascii="Times New Roman" w:hAnsi="Times New Roman"/>
          <w:color w:val="auto"/>
          <w:sz w:val="24"/>
          <w:szCs w:val="24"/>
          <w:highlight w:val="none"/>
        </w:rPr>
        <w:t>由于平原区气候异常干燥，降水稀少，植被稀疏，地下水为社会经济用水主要供水水源之一。因此，平原区人工开采地下水也成为地下水的重要排泄方式之一。</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产业园区地下水资源开发现状</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产业园区现状无地表水，园区发展主要依靠开采地下水资源。根据《新疆昌吉国家农业科技园农产品加工区水资源论证报告》，目前产业园区共有机井约120眼，井深一般为150-400m，单井流量在80-200m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/h，年开采地下水量约2550×10</w:t>
      </w:r>
      <w:r>
        <w:rPr>
          <w:rFonts w:hint="default" w:ascii="Times New Roman" w:hAnsi="Times New Roman" w:cs="Times New Roman"/>
          <w:color w:val="auto"/>
          <w:highlight w:val="none"/>
          <w:vertAlign w:val="superscript"/>
        </w:rPr>
        <w:t>4</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，地下水开采主要集中在4-10月农作物生长期，其他月份开采少量地下水用于人畜饮水和工业用水。</w:t>
      </w:r>
    </w:p>
    <w:p>
      <w:pPr>
        <w:pStyle w:val="2"/>
        <w:rPr>
          <w:rFonts w:hint="default" w:ascii="Times New Roman" w:hAnsi="Times New Roman" w:cs="Times New Roman"/>
          <w:color w:val="auto"/>
          <w:highlight w:val="none"/>
        </w:rPr>
      </w:pPr>
      <w:bookmarkStart w:id="156" w:name="_Toc26763"/>
      <w:r>
        <w:rPr>
          <w:rFonts w:hint="default" w:ascii="Times New Roman" w:hAnsi="Times New Roman" w:cs="Times New Roman"/>
          <w:color w:val="auto"/>
          <w:highlight w:val="none"/>
        </w:rPr>
        <w:t>评价预测范围及预测内容</w:t>
      </w:r>
      <w:bookmarkEnd w:id="156"/>
    </w:p>
    <w:p>
      <w:pPr>
        <w:ind w:firstLine="480"/>
        <w:rPr>
          <w:rFonts w:hint="default" w:ascii="Times New Roman" w:hAnsi="Times New Roman" w:cs="Times New Roman"/>
          <w:color w:val="auto"/>
          <w:highlight w:val="none"/>
        </w:rPr>
      </w:pPr>
      <w:r>
        <w:rPr>
          <w:rFonts w:hint="default" w:ascii="Times New Roman" w:hAnsi="Times New Roman" w:cs="Times New Roman"/>
          <w:bCs/>
          <w:color w:val="auto"/>
          <w:highlight w:val="none"/>
        </w:rPr>
        <w:t>预测范围：根据</w:t>
      </w:r>
      <w:r>
        <w:rPr>
          <w:rFonts w:hint="default" w:ascii="Times New Roman" w:hAnsi="Times New Roman" w:cs="Times New Roman"/>
          <w:color w:val="auto"/>
          <w:highlight w:val="none"/>
        </w:rPr>
        <w:t>项目</w:t>
      </w:r>
      <w:r>
        <w:rPr>
          <w:rFonts w:hint="default" w:ascii="Times New Roman" w:hAnsi="Times New Roman" w:cs="Times New Roman"/>
          <w:bCs/>
          <w:color w:val="auto"/>
          <w:highlight w:val="none"/>
        </w:rPr>
        <w:t>场区所处的地理位置，</w:t>
      </w:r>
      <w:r>
        <w:rPr>
          <w:rFonts w:hint="default" w:ascii="Times New Roman" w:hAnsi="Times New Roman" w:cs="Times New Roman"/>
          <w:color w:val="auto"/>
          <w:highlight w:val="none"/>
        </w:rPr>
        <w:t>从</w:t>
      </w:r>
      <w:r>
        <w:rPr>
          <w:rFonts w:hint="default" w:ascii="Times New Roman" w:hAnsi="Times New Roman" w:cs="Times New Roman"/>
          <w:bCs/>
          <w:color w:val="auto"/>
          <w:highlight w:val="none"/>
        </w:rPr>
        <w:t>水文地质条件上</w:t>
      </w:r>
      <w:r>
        <w:rPr>
          <w:rFonts w:hint="default" w:ascii="Times New Roman" w:hAnsi="Times New Roman" w:cs="Times New Roman"/>
          <w:color w:val="auto"/>
          <w:highlight w:val="none"/>
        </w:rPr>
        <w:t>分析，工程建设后会对附近地下水产生污染潜势，本次</w:t>
      </w:r>
      <w:r>
        <w:rPr>
          <w:rFonts w:hint="default" w:ascii="Times New Roman" w:hAnsi="Times New Roman" w:cs="Times New Roman"/>
          <w:bCs/>
          <w:color w:val="auto"/>
          <w:highlight w:val="none"/>
        </w:rPr>
        <w:t>确定</w:t>
      </w:r>
      <w:r>
        <w:rPr>
          <w:rFonts w:hint="default" w:ascii="Times New Roman" w:hAnsi="Times New Roman" w:cs="Times New Roman"/>
          <w:color w:val="auto"/>
          <w:highlight w:val="none"/>
        </w:rPr>
        <w:t>地下水环境影响预测范围与调查评价范围一致，以场址为中心面积约为6km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的区域，重点预测项目厂区周边区域。</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预测内容：本次地下水环境影响评价水量以厂区总废水量为依据、水质主要考虑本项目相关因子，即COD、NH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溶质运移模型概化</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环评主要考虑污水处理站工作时因废水渗漏对地下水产生的影响。污水处理厂一般不会发生泄漏事故，除非发生地震等自然灾害时，才会发生瞬间泄漏。本次评价不考虑极端情况，仅考虑在防渗措施正常情况下，由于施工过程中存在的一些工程瑕疵以及防渗工程本身的缺陷等导致废水渗漏到地下的情况。这种情况可以将污染源概化为一个连续泄漏污染源，溶质运移模型概化为稳定流二维水动力弥散模型。</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水文参数选取</w:t>
      </w:r>
    </w:p>
    <w:p>
      <w:pPr>
        <w:bidi w:val="0"/>
        <w:rPr>
          <w:color w:val="auto"/>
          <w:highlight w:val="none"/>
        </w:rPr>
      </w:pPr>
      <w:bookmarkStart w:id="157" w:name="_Toc31968"/>
      <w:bookmarkStart w:id="158" w:name="_Toc19326"/>
      <w:r>
        <w:rPr>
          <w:color w:val="auto"/>
          <w:highlight w:val="none"/>
        </w:rPr>
        <w:t>利用所选取的污染物迁移模型，能否达到对污染物迁移过程的合理预测，关键就在于模型参数的选取和确定是否正确合理。</w:t>
      </w:r>
    </w:p>
    <w:p>
      <w:pPr>
        <w:bidi w:val="0"/>
        <w:rPr>
          <w:color w:val="auto"/>
          <w:highlight w:val="none"/>
        </w:rPr>
      </w:pPr>
      <w:r>
        <w:rPr>
          <w:color w:val="auto"/>
          <w:highlight w:val="none"/>
        </w:rPr>
        <w:t>由模型可知，模型需要的参数有：外泄污染物质量m；有效孔隙度n；水流的实际平均速度u；污染物在含水层中的纵向弥散系数DL；这些参数主要由本次评价开展钻井的勘察成果资料以及现有的试验资料来确定：</w:t>
      </w:r>
    </w:p>
    <w:p>
      <w:pPr>
        <w:bidi w:val="0"/>
        <w:rPr>
          <w:color w:val="auto"/>
          <w:highlight w:val="none"/>
        </w:rPr>
      </w:pPr>
      <w:r>
        <w:rPr>
          <w:color w:val="auto"/>
          <w:highlight w:val="none"/>
        </w:rPr>
        <w:t>含水层的厚度M：根据本次水文地质勘查和以往水文地质资料，可知厂区粉细砂孔隙潜水含水层平均总厚度约为30m；</w:t>
      </w:r>
    </w:p>
    <w:p>
      <w:pPr>
        <w:bidi w:val="0"/>
        <w:rPr>
          <w:color w:val="auto"/>
          <w:highlight w:val="none"/>
        </w:rPr>
      </w:pPr>
      <w:r>
        <w:rPr>
          <w:color w:val="auto"/>
          <w:highlight w:val="none"/>
        </w:rPr>
        <w:t>长度为M的线源瞬时注入的示踪剂质量mM详见源强计算：</w:t>
      </w:r>
    </w:p>
    <w:p>
      <w:pPr>
        <w:bidi w:val="0"/>
        <w:rPr>
          <w:color w:val="auto"/>
          <w:highlight w:val="none"/>
        </w:rPr>
      </w:pPr>
      <w:r>
        <w:rPr>
          <w:color w:val="auto"/>
          <w:highlight w:val="none"/>
        </w:rPr>
        <w:t>预测中把渗漏的量当成不被包气带吸附和降解而全部进入含水层计算，不考虑渗透本身造成的时间滞后，预测对地下水的影响：</w:t>
      </w:r>
    </w:p>
    <w:p>
      <w:pPr>
        <w:bidi w:val="0"/>
        <w:rPr>
          <w:color w:val="auto"/>
          <w:highlight w:val="none"/>
        </w:rPr>
      </w:pPr>
      <w:r>
        <w:rPr>
          <w:color w:val="auto"/>
          <w:highlight w:val="none"/>
        </w:rPr>
        <w:t>根据抽水试验，含水层n=0.4×0.8=0.32；</w:t>
      </w:r>
    </w:p>
    <w:p>
      <w:pPr>
        <w:bidi w:val="0"/>
        <w:rPr>
          <w:color w:val="auto"/>
          <w:highlight w:val="none"/>
        </w:rPr>
      </w:pPr>
      <w:r>
        <w:rPr>
          <w:color w:val="auto"/>
          <w:highlight w:val="none"/>
        </w:rPr>
        <w:t>水流实际平均流速u：根据抽水试验，本区域潜水含水层渗透系数为5m/d。同时由厂区污水站附近区域等水位线图可知，厂区地下水径流方向与区域径流方向一致，主要是由西南向东北方向呈一维流动，水力坡度I=1.9‰，因此地下水的渗透流速</w:t>
      </w:r>
    </w:p>
    <w:p>
      <w:pPr>
        <w:bidi w:val="0"/>
        <w:rPr>
          <w:color w:val="auto"/>
          <w:highlight w:val="none"/>
        </w:rPr>
      </w:pPr>
      <w:r>
        <w:rPr>
          <w:color w:val="auto"/>
          <w:highlight w:val="none"/>
        </w:rPr>
        <w:t>V=KI=5m/d×0.0019=0.0095m/d，</w:t>
      </w:r>
    </w:p>
    <w:p>
      <w:pPr>
        <w:bidi w:val="0"/>
        <w:rPr>
          <w:color w:val="auto"/>
          <w:highlight w:val="none"/>
        </w:rPr>
      </w:pPr>
      <w:r>
        <w:rPr>
          <w:color w:val="auto"/>
          <w:highlight w:val="none"/>
        </w:rPr>
        <w:t>平均实际流速u=V/n=0.0297m/d。纵向x方向的弥散系数DL：</w:t>
      </w:r>
    </w:p>
    <w:p>
      <w:pPr>
        <w:bidi w:val="0"/>
        <w:rPr>
          <w:rFonts w:hint="default"/>
        </w:rPr>
      </w:pPr>
      <w:r>
        <w:t>参考Gelhar等人关于纵向弥散度与观测尺度关系的理论，通常弥散度随着溶质运移距离的增加而加大，这种现象称之为水动力弥散尺度效应。其具体表现为：野外弥散试验所求出的弥散度远远大于在实验室所测出的值；即使是同一含水层，溶质运移距离越大，所计算出的弥散度也越大。将世界范围内所收</w:t>
      </w:r>
    </w:p>
    <w:p>
      <w:pPr>
        <w:rPr>
          <w:rFonts w:hint="default" w:ascii="Times New Roman" w:hAnsi="Times New Roman" w:cs="Times New Roman"/>
          <w:color w:val="auto"/>
          <w:highlight w:val="none"/>
        </w:rPr>
      </w:pPr>
      <w:r>
        <w:rPr>
          <w:color w:val="auto"/>
          <w:highlight w:val="none"/>
        </w:rPr>
        <w:t>集到的百余个水质模型中所使用的纵向弥散度αL绘在双对数坐标纸上，从图上可以看出纵向弥散度αL从整体上随着尺度的增加而增大（图5.3-2）。基准尺度Ls是指研究区大小的度量，一般用溶质运移到观测孔的最大距离表示，或用计算区的近似最大内径长度代替。因此本次模拟取弥散度参数值取5m。</w:t>
      </w:r>
    </w:p>
    <w:p>
      <w:pPr>
        <w:bidi w:val="0"/>
        <w:ind w:left="480" w:leftChars="20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模型计算中纵向弥散度选用5m。由此计算项目区含水层中的纵向弥散系数DL=Lu=5×0.0297m/d=0.149(m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/d)；</w:t>
      </w:r>
    </w:p>
    <w:p>
      <w:pPr>
        <w:bidi w:val="0"/>
        <w:ind w:left="0" w:leftChars="0" w:firstLine="480" w:firstLineChars="200"/>
        <w:rPr>
          <w:rFonts w:hint="default" w:ascii="Times New Roman" w:hAnsi="Times New Roman" w:cs="Times New Roman"/>
          <w:color w:val="auto"/>
          <w:highlight w:val="none"/>
        </w:rPr>
      </w:pPr>
      <w:r>
        <w:rPr>
          <w:rFonts w:hint="default" w:ascii="Arial" w:hAnsi="Arial" w:cs="Arial"/>
          <w:color w:val="auto"/>
          <w:highlight w:val="none"/>
        </w:rPr>
        <w:t>Ɑ</w:t>
      </w:r>
      <w:r>
        <w:rPr>
          <w:rFonts w:hint="default" w:ascii="Times New Roman" w:hAnsi="Times New Roman" w:cs="Times New Roman"/>
          <w:color w:val="auto"/>
          <w:highlight w:val="none"/>
        </w:rPr>
        <w:t>T</w:t>
      </w:r>
      <w:r>
        <w:rPr>
          <w:rFonts w:hint="eastAsia" w:cs="Times New Roman"/>
          <w:color w:val="auto"/>
          <w:highlight w:val="none"/>
          <w:lang w:val="en-US" w:eastAsia="zh-CN"/>
        </w:rPr>
        <w:t>=</w:t>
      </w:r>
      <w:r>
        <w:rPr>
          <w:rFonts w:hint="default" w:ascii="Times New Roman" w:hAnsi="Times New Roman" w:cs="Times New Roman"/>
          <w:color w:val="auto"/>
          <w:highlight w:val="none"/>
        </w:rPr>
        <w:t>0.1</w:t>
      </w:r>
      <w:r>
        <w:rPr>
          <w:rFonts w:hint="default" w:ascii="Arial" w:hAnsi="Arial" w:cs="Arial"/>
          <w:color w:val="auto"/>
          <w:highlight w:val="none"/>
        </w:rPr>
        <w:t>×ɑ</w:t>
      </w:r>
      <w:r>
        <w:rPr>
          <w:rFonts w:hint="default" w:ascii="Times New Roman" w:hAnsi="Times New Roman" w:cs="Times New Roman"/>
          <w:color w:val="auto"/>
          <w:highlight w:val="none"/>
        </w:rPr>
        <w:t>L</w:t>
      </w:r>
      <w:r>
        <w:rPr>
          <w:rFonts w:hint="eastAsia" w:cs="Times New Roman"/>
          <w:color w:val="auto"/>
          <w:highlight w:val="none"/>
          <w:lang w:val="en-US" w:eastAsia="zh-CN"/>
        </w:rPr>
        <w:t>=</w:t>
      </w:r>
      <w:r>
        <w:rPr>
          <w:rFonts w:hint="default" w:ascii="Times New Roman" w:hAnsi="Times New Roman" w:cs="Times New Roman"/>
          <w:color w:val="auto"/>
          <w:highlight w:val="none"/>
        </w:rPr>
        <w:t>0.5m，则DT=0.0149(m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/d)。</w:t>
      </w:r>
    </w:p>
    <w:bookmarkEnd w:id="157"/>
    <w:bookmarkEnd w:id="158"/>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地下水影响预测分析</w:t>
      </w:r>
    </w:p>
    <w:p>
      <w:pPr>
        <w:bidi w:val="0"/>
        <w:rPr>
          <w:rFonts w:hint="default"/>
        </w:rPr>
      </w:pPr>
      <w:bookmarkStart w:id="159" w:name="_Toc7270"/>
      <w:bookmarkStart w:id="160" w:name="_Toc14397"/>
      <w:r>
        <w:rPr>
          <w:rFonts w:hint="default"/>
        </w:rPr>
        <w:t>（1）正常情况下地下水环境影响分析</w:t>
      </w:r>
      <w:bookmarkEnd w:id="159"/>
      <w:bookmarkEnd w:id="160"/>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污水处理装置处理规模3万m³/d。纳污范围内工业废水经预处理后排入新疆昌吉国家农业高新技术产业示范区现代农业精深加工示范区污水处理厂改造扩容项目处理，达标后夏季用于灌溉示范区的林地，冬季储存于</w:t>
      </w:r>
      <w:r>
        <w:rPr>
          <w:rFonts w:hint="eastAsia" w:cs="Times New Roman"/>
          <w:color w:val="auto"/>
          <w:highlight w:val="none"/>
          <w:lang w:eastAsia="zh-CN"/>
        </w:rPr>
        <w:t>中水池</w:t>
      </w:r>
      <w:r>
        <w:rPr>
          <w:rFonts w:hint="default" w:ascii="Times New Roman" w:hAnsi="Times New Roman" w:cs="Times New Roman"/>
          <w:color w:val="auto"/>
          <w:highlight w:val="none"/>
        </w:rPr>
        <w:t>中，实现污水有效利用。</w:t>
      </w:r>
    </w:p>
    <w:p>
      <w:pPr>
        <w:ind w:firstLine="480"/>
        <w:rPr>
          <w:rFonts w:hint="default" w:ascii="Times New Roman" w:hAnsi="Times New Roman" w:cs="Times New Roman"/>
          <w:color w:val="auto"/>
          <w:highlight w:val="none"/>
        </w:rPr>
      </w:pPr>
      <w:r>
        <w:rPr>
          <w:rFonts w:hint="eastAsia" w:cs="Times New Roman"/>
          <w:color w:val="auto"/>
          <w:highlight w:val="none"/>
          <w:lang w:eastAsia="zh-CN"/>
        </w:rPr>
        <w:t>本项目</w:t>
      </w:r>
      <w:r>
        <w:rPr>
          <w:rFonts w:hint="default" w:ascii="Times New Roman" w:hAnsi="Times New Roman" w:cs="Times New Roman"/>
          <w:color w:val="auto"/>
          <w:highlight w:val="none"/>
        </w:rPr>
        <w:t>自身产生的生活污水经化粪池处理后，经污水管道收集后进入污水处理系统进行处理。本项目工业污水</w:t>
      </w:r>
      <w:r>
        <w:rPr>
          <w:rFonts w:hint="eastAsia" w:cs="Times New Roman"/>
          <w:color w:val="auto"/>
          <w:highlight w:val="none"/>
          <w:lang w:val="en-US" w:eastAsia="zh-CN"/>
        </w:rPr>
        <w:t>和生活污水</w:t>
      </w:r>
      <w:r>
        <w:rPr>
          <w:rFonts w:hint="default" w:ascii="Times New Roman" w:hAnsi="Times New Roman" w:cs="Times New Roman"/>
          <w:color w:val="auto"/>
          <w:highlight w:val="none"/>
        </w:rPr>
        <w:t>采用“</w:t>
      </w:r>
      <w:r>
        <w:rPr>
          <w:rFonts w:hint="eastAsia" w:cs="Times New Roman"/>
          <w:color w:val="auto"/>
          <w:highlight w:val="none"/>
          <w:lang w:eastAsia="zh-CN"/>
        </w:rPr>
        <w:t>“预处理+调节池+AAO生物池＋高效沉淀池+反硝化深床滤池+接触消毒池”</w:t>
      </w:r>
      <w:r>
        <w:rPr>
          <w:rFonts w:hint="default" w:ascii="Times New Roman" w:hAnsi="Times New Roman" w:cs="Times New Roman"/>
          <w:color w:val="auto"/>
          <w:highlight w:val="none"/>
        </w:rPr>
        <w:t>处理工艺”工艺处理，去除效率高，对来水波动适应性强，易于控制管理。在运营过程中，严格做到以下方面工作：</w:t>
      </w:r>
    </w:p>
    <w:p>
      <w:pPr>
        <w:numPr>
          <w:ilvl w:val="0"/>
          <w:numId w:val="9"/>
        </w:num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加强进、出水质管控：对工程进、出水口设置在线监测系统，对进、出水的流量及COD、NH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石油类等因子进行监控，并做好与相关部门的联网工作。确保进水水质在可接受范围内，以免高浓度污水影响处理系统的正常运行，一旦发现进水中污染物浓度高于进水水质控制要求，应迅速对进水进行阻断或应急处理，追查污染源头。</w:t>
      </w:r>
    </w:p>
    <w:p>
      <w:pPr>
        <w:numPr>
          <w:ilvl w:val="0"/>
          <w:numId w:val="9"/>
        </w:num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认真做好污水处理厂的运行管理工作，加强对员工的培训和教育，提高其工作责任心；制定各项规章制度和操作规程，避免因操作失误而造成事故排放。</w:t>
      </w:r>
    </w:p>
    <w:p>
      <w:pPr>
        <w:numPr>
          <w:ilvl w:val="0"/>
          <w:numId w:val="9"/>
        </w:num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加强对各类设备及尾水排放管道的定期检查、维护和管理，以减少事故隐患；污水处理厂应采用双回路供电，防止因停电而造成运转事故。</w:t>
      </w:r>
    </w:p>
    <w:p>
      <w:pPr>
        <w:numPr>
          <w:ilvl w:val="0"/>
          <w:numId w:val="9"/>
        </w:num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对各类污水处理设施采取防渗措施。</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在采取上述措施后，项目生活污水和生产废水渗漏的可能性不大，因此通过包气带垂直渗透进入地下水的可能性小，对地下水影响很小。</w:t>
      </w:r>
    </w:p>
    <w:p>
      <w:pPr>
        <w:bidi w:val="0"/>
        <w:rPr>
          <w:rFonts w:hint="default"/>
        </w:rPr>
      </w:pPr>
      <w:bookmarkStart w:id="161" w:name="_Toc27421"/>
      <w:bookmarkStart w:id="162" w:name="_Toc21512"/>
      <w:r>
        <w:rPr>
          <w:rFonts w:hint="default"/>
        </w:rPr>
        <w:t>（2）事故渗漏地下水环境影响预测分析</w:t>
      </w:r>
      <w:bookmarkEnd w:id="161"/>
      <w:bookmarkEnd w:id="162"/>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主要目的是针对厂区内工业污水处理装置对地下水的污染情形进行研究。主要考虑污水处理站未采取防渗措施时废水渗漏对地下水产生的影响。本次评价假设不采取防渗措施的极端情况，导致废水渗漏到地下，渗漏量假设为总排放水量的5%，则泄漏水量为1500t/d。</w:t>
      </w:r>
    </w:p>
    <w:p>
      <w:pPr>
        <w:bidi w:val="0"/>
        <w:rPr>
          <w:rFonts w:hint="default"/>
        </w:rPr>
      </w:pPr>
      <w:bookmarkStart w:id="163" w:name="_Toc28994"/>
      <w:bookmarkStart w:id="164" w:name="_Toc22046"/>
      <w:r>
        <w:rPr>
          <w:rFonts w:hint="default"/>
        </w:rPr>
        <w:t>（3）评价预测时段</w:t>
      </w:r>
      <w:bookmarkEnd w:id="163"/>
      <w:bookmarkEnd w:id="164"/>
    </w:p>
    <w:p>
      <w:pPr>
        <w:ind w:firstLine="480"/>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根据本建设项目的类型，结合《</w:t>
      </w:r>
      <w:r>
        <w:rPr>
          <w:rFonts w:hint="default" w:ascii="Times New Roman" w:hAnsi="Times New Roman" w:cs="Times New Roman"/>
          <w:b w:val="0"/>
          <w:bCs/>
          <w:color w:val="auto"/>
          <w:highlight w:val="none"/>
          <w:lang w:eastAsia="zh-CN"/>
        </w:rPr>
        <w:t>环境影响评价技术导则地下水环境</w:t>
      </w:r>
      <w:r>
        <w:rPr>
          <w:rFonts w:hint="default" w:ascii="Times New Roman" w:hAnsi="Times New Roman" w:cs="Times New Roman"/>
          <w:b w:val="0"/>
          <w:bCs/>
          <w:color w:val="auto"/>
          <w:highlight w:val="none"/>
        </w:rPr>
        <w:t>》（HJ610-2016）的规定，拟建项目的评价预测时段为发生泄漏到5000天。以工业污水处理装置中的调节池为预测点位，下游厂界距离为120m，预测厂界超标时间、到达时间。</w:t>
      </w:r>
    </w:p>
    <w:p>
      <w:pPr>
        <w:bidi w:val="0"/>
        <w:rPr>
          <w:rFonts w:hint="default"/>
        </w:rPr>
      </w:pPr>
      <w:bookmarkStart w:id="165" w:name="_Toc8234"/>
      <w:bookmarkStart w:id="166" w:name="_Toc21481"/>
      <w:r>
        <w:rPr>
          <w:rFonts w:hint="default"/>
        </w:rPr>
        <w:t>（4）污染物预测因子及相关参数</w:t>
      </w:r>
      <w:bookmarkEnd w:id="165"/>
      <w:bookmarkEnd w:id="166"/>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本次预测选取项目排放污染物COD、NH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-N作为预测因子。具体预测源强见下表：</w:t>
      </w:r>
    </w:p>
    <w:p>
      <w:pPr>
        <w:spacing w:line="240" w:lineRule="auto"/>
        <w:ind w:firstLine="48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表5.2-1</w:t>
      </w:r>
      <w:r>
        <w:rPr>
          <w:rFonts w:hint="default" w:ascii="Times New Roman" w:hAnsi="Times New Roman" w:eastAsia="黑体" w:cs="Times New Roman"/>
          <w:color w:val="auto"/>
          <w:highlight w:val="none"/>
          <w:lang w:val="en-US" w:eastAsia="zh-CN"/>
        </w:rPr>
        <w:t>5</w:t>
      </w:r>
      <w:r>
        <w:rPr>
          <w:rFonts w:hint="default" w:ascii="Times New Roman" w:hAnsi="Times New Roman" w:eastAsia="黑体" w:cs="Times New Roman"/>
          <w:color w:val="auto"/>
          <w:highlight w:val="none"/>
        </w:rPr>
        <w:t>本项目水污染物预测源强以及水质情况表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7"/>
        <w:gridCol w:w="1807"/>
        <w:gridCol w:w="1489"/>
        <w:gridCol w:w="3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249" w:type="pct"/>
            <w:vMerge w:val="restart"/>
            <w:tcBorders>
              <w:tl2br w:val="nil"/>
              <w:tr2bl w:val="nil"/>
            </w:tcBorders>
            <w:shd w:val="clear" w:color="auto" w:fill="auto"/>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名称</w:t>
            </w:r>
          </w:p>
        </w:tc>
        <w:tc>
          <w:tcPr>
            <w:tcW w:w="1051" w:type="pct"/>
            <w:vMerge w:val="restart"/>
            <w:tcBorders>
              <w:tl2br w:val="nil"/>
              <w:tr2bl w:val="nil"/>
            </w:tcBorders>
            <w:shd w:val="clear" w:color="auto" w:fill="auto"/>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水量（m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p>
        </w:tc>
        <w:tc>
          <w:tcPr>
            <w:tcW w:w="2698" w:type="pct"/>
            <w:gridSpan w:val="2"/>
            <w:tcBorders>
              <w:tl2br w:val="nil"/>
              <w:tr2bl w:val="nil"/>
            </w:tcBorders>
            <w:shd w:val="clear" w:color="auto" w:fill="auto"/>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9" w:type="pct"/>
            <w:vMerge w:val="continue"/>
            <w:tcBorders>
              <w:tl2br w:val="nil"/>
              <w:tr2bl w:val="nil"/>
            </w:tcBorders>
            <w:shd w:val="clear" w:color="auto" w:fill="auto"/>
            <w:vAlign w:val="center"/>
          </w:tcPr>
          <w:p>
            <w:pPr>
              <w:pStyle w:val="49"/>
              <w:rPr>
                <w:rFonts w:hint="default" w:ascii="Times New Roman" w:hAnsi="Times New Roman" w:cs="Times New Roman"/>
                <w:color w:val="auto"/>
                <w:highlight w:val="none"/>
              </w:rPr>
            </w:pPr>
          </w:p>
        </w:tc>
        <w:tc>
          <w:tcPr>
            <w:tcW w:w="1051" w:type="pct"/>
            <w:vMerge w:val="continue"/>
            <w:tcBorders>
              <w:tl2br w:val="nil"/>
              <w:tr2bl w:val="nil"/>
            </w:tcBorders>
            <w:shd w:val="clear" w:color="auto" w:fill="auto"/>
            <w:vAlign w:val="center"/>
          </w:tcPr>
          <w:p>
            <w:pPr>
              <w:pStyle w:val="49"/>
              <w:rPr>
                <w:rFonts w:hint="default" w:ascii="Times New Roman" w:hAnsi="Times New Roman" w:cs="Times New Roman"/>
                <w:color w:val="auto"/>
                <w:highlight w:val="none"/>
              </w:rPr>
            </w:pPr>
          </w:p>
        </w:tc>
        <w:tc>
          <w:tcPr>
            <w:tcW w:w="866" w:type="pct"/>
            <w:tcBorders>
              <w:tl2br w:val="nil"/>
              <w:tr2bl w:val="nil"/>
            </w:tcBorders>
            <w:shd w:val="clear" w:color="auto" w:fill="auto"/>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COD</w:t>
            </w:r>
          </w:p>
        </w:tc>
        <w:tc>
          <w:tcPr>
            <w:tcW w:w="1831" w:type="pct"/>
            <w:tcBorders>
              <w:tl2br w:val="nil"/>
              <w:tr2bl w:val="nil"/>
            </w:tcBorders>
            <w:shd w:val="clear" w:color="auto" w:fill="auto"/>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9" w:type="pct"/>
            <w:tcBorders>
              <w:tl2br w:val="nil"/>
              <w:tr2bl w:val="nil"/>
            </w:tcBorders>
            <w:shd w:val="clear" w:color="auto" w:fill="auto"/>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污水非正常情况</w:t>
            </w:r>
          </w:p>
        </w:tc>
        <w:tc>
          <w:tcPr>
            <w:tcW w:w="1051" w:type="pct"/>
            <w:tcBorders>
              <w:tl2br w:val="nil"/>
              <w:tr2bl w:val="nil"/>
            </w:tcBorders>
            <w:shd w:val="clear" w:color="auto" w:fill="auto"/>
            <w:vAlign w:val="center"/>
          </w:tcPr>
          <w:p>
            <w:pPr>
              <w:pStyle w:val="49"/>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1500</w:t>
            </w:r>
          </w:p>
        </w:tc>
        <w:tc>
          <w:tcPr>
            <w:tcW w:w="866" w:type="pct"/>
            <w:tcBorders>
              <w:tl2br w:val="nil"/>
              <w:tr2bl w:val="nil"/>
            </w:tcBorders>
            <w:shd w:val="clear" w:color="auto" w:fill="auto"/>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600</w:t>
            </w:r>
          </w:p>
        </w:tc>
        <w:tc>
          <w:tcPr>
            <w:tcW w:w="1831" w:type="pct"/>
            <w:tcBorders>
              <w:tl2br w:val="nil"/>
              <w:tr2bl w:val="nil"/>
            </w:tcBorders>
            <w:shd w:val="clear" w:color="auto" w:fill="auto"/>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35</w:t>
            </w:r>
          </w:p>
        </w:tc>
      </w:tr>
    </w:tbl>
    <w:p>
      <w:pPr>
        <w:bidi w:val="0"/>
        <w:rPr>
          <w:rFonts w:hint="default"/>
        </w:rPr>
      </w:pPr>
      <w:bookmarkStart w:id="167" w:name="_Toc18139"/>
      <w:bookmarkStart w:id="168" w:name="_Toc273"/>
      <w:r>
        <w:rPr>
          <w:rFonts w:hint="default"/>
        </w:rPr>
        <w:t>（5）溶质运移模型</w:t>
      </w:r>
      <w:bookmarkEnd w:id="167"/>
      <w:bookmarkEnd w:id="168"/>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污水处理站发生废水泄漏时，泄漏源为定浓度边界，预测模型采用一维稳定流二维水动力弥散方程，预测工程项目非正常排放下对周边地下水环境质量的最大影响程度，为了反映项目废水泄漏对地下水的最大影响，假定不考虑土壤对污染因子的影响，即不考虑交换吸附，微生物等地下水污染运移过程的常见影响。X取垂直流场方向，Y取水平流场方向，以工业污水处理装置中均质池为泄漏点。</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0" distR="0">
            <wp:extent cx="4846320" cy="1280160"/>
            <wp:effectExtent l="0" t="0" r="508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846320" cy="1280160"/>
                    </a:xfrm>
                    <a:prstGeom prst="rect">
                      <a:avLst/>
                    </a:prstGeom>
                    <a:noFill/>
                    <a:ln>
                      <a:noFill/>
                    </a:ln>
                  </pic:spPr>
                </pic:pic>
              </a:graphicData>
            </a:graphic>
          </wp:inline>
        </w:drawing>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式中：</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x：距驻入点的距离，报告中指距离厂界的距离（m）；</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t：时间（d）；</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C（x.t）：t时间x处的示踪剂浓度（mg</w:t>
      </w:r>
      <w:r>
        <w:rPr>
          <w:rFonts w:hint="eastAsia" w:cs="Times New Roman"/>
          <w:color w:val="auto"/>
          <w:highlight w:val="none"/>
          <w:lang w:val="en-US" w:eastAsia="zh-CN"/>
        </w:rPr>
        <w:t>/L</w:t>
      </w:r>
      <w:r>
        <w:rPr>
          <w:rFonts w:hint="default" w:ascii="Times New Roman" w:hAnsi="Times New Roman" w:cs="Times New Roman"/>
          <w:color w:val="auto"/>
          <w:highlight w:val="none"/>
        </w:rPr>
        <w:t>），t：时间（d）；</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w:t>
      </w:r>
      <w:r>
        <w:rPr>
          <w:rFonts w:hint="default" w:ascii="Times New Roman" w:hAnsi="Times New Roman" w:cs="Times New Roman"/>
          <w:color w:val="auto"/>
          <w:highlight w:val="none"/>
          <w:vertAlign w:val="subscript"/>
        </w:rPr>
        <w:t>0</w:t>
      </w:r>
      <w:r>
        <w:rPr>
          <w:rFonts w:hint="default" w:ascii="Times New Roman" w:hAnsi="Times New Roman" w:cs="Times New Roman"/>
          <w:color w:val="auto"/>
          <w:highlight w:val="none"/>
        </w:rPr>
        <w:t>：注入的示踪剂浓度（mg</w:t>
      </w:r>
      <w:r>
        <w:rPr>
          <w:rFonts w:hint="eastAsia" w:cs="Times New Roman"/>
          <w:color w:val="auto"/>
          <w:highlight w:val="none"/>
          <w:lang w:val="en-US" w:eastAsia="zh-CN"/>
        </w:rPr>
        <w:t>L</w:t>
      </w:r>
      <w:r>
        <w:rPr>
          <w:rFonts w:hint="default" w:ascii="Times New Roman" w:hAnsi="Times New Roman" w:cs="Times New Roman"/>
          <w:color w:val="auto"/>
          <w:highlight w:val="none"/>
        </w:rPr>
        <w:t>）；</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u：水流速度（m/d）；</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DL：纵向弥散系数（m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/d）；</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DT</w:t>
      </w:r>
      <w:r>
        <w:rPr>
          <w:rFonts w:hint="eastAsia" w:cs="Times New Roman"/>
          <w:color w:val="auto"/>
          <w:highlight w:val="none"/>
          <w:lang w:eastAsia="zh-CN"/>
        </w:rPr>
        <w:t>：</w:t>
      </w:r>
      <w:r>
        <w:rPr>
          <w:rFonts w:hint="default" w:ascii="Times New Roman" w:hAnsi="Times New Roman" w:cs="Times New Roman"/>
          <w:color w:val="auto"/>
          <w:highlight w:val="none"/>
        </w:rPr>
        <w:t>横向弥散系数（m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/d）；</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K</w:t>
      </w:r>
      <w:r>
        <w:rPr>
          <w:rFonts w:hint="default" w:ascii="Times New Roman" w:hAnsi="Times New Roman" w:cs="Times New Roman"/>
          <w:color w:val="auto"/>
          <w:highlight w:val="none"/>
          <w:vertAlign w:val="subscript"/>
        </w:rPr>
        <w:t>0</w:t>
      </w:r>
      <w:r>
        <w:rPr>
          <w:rFonts w:hint="default" w:ascii="Times New Roman" w:hAnsi="Times New Roman" w:cs="Times New Roman"/>
          <w:color w:val="auto"/>
          <w:highlight w:val="none"/>
        </w:rPr>
        <w:t>（β）：第二类零阶修正贝塞尔系数，《地下水动力学》中查表获得；</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W（u</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t/4D</w:t>
      </w:r>
      <w:r>
        <w:rPr>
          <w:rFonts w:hint="default" w:ascii="Times New Roman" w:hAnsi="Times New Roman" w:cs="Times New Roman"/>
          <w:color w:val="auto"/>
          <w:highlight w:val="none"/>
          <w:vertAlign w:val="subscript"/>
        </w:rPr>
        <w:t>L</w:t>
      </w:r>
      <w:r>
        <w:rPr>
          <w:rFonts w:hint="default" w:ascii="Times New Roman" w:hAnsi="Times New Roman" w:cs="Times New Roman"/>
          <w:color w:val="auto"/>
          <w:highlight w:val="none"/>
        </w:rPr>
        <w:t>）β：第一类越流系统井函数，《地下水动力学》中查表获得</w:t>
      </w:r>
    </w:p>
    <w:p>
      <w:pPr>
        <w:bidi w:val="0"/>
        <w:rPr>
          <w:rFonts w:hint="default"/>
        </w:rPr>
      </w:pPr>
      <w:bookmarkStart w:id="169" w:name="_Toc4665"/>
      <w:bookmarkStart w:id="170" w:name="_Toc11758"/>
      <w:r>
        <w:rPr>
          <w:rFonts w:hint="default"/>
        </w:rPr>
        <w:t>（7）预测结果</w:t>
      </w:r>
      <w:bookmarkEnd w:id="169"/>
      <w:bookmarkEnd w:id="170"/>
    </w:p>
    <w:p>
      <w:pPr>
        <w:ind w:firstLine="480"/>
        <w:rPr>
          <w:rFonts w:hint="default" w:ascii="Times New Roman" w:hAnsi="Times New Roman" w:cs="Times New Roman"/>
          <w:color w:val="auto"/>
          <w:highlight w:val="none"/>
        </w:rPr>
      </w:pPr>
    </w:p>
    <w:p>
      <w:pPr>
        <w:ind w:firstLine="480"/>
        <w:rPr>
          <w:rFonts w:hint="default" w:ascii="Times New Roman" w:hAnsi="Times New Roman" w:cs="Times New Roman"/>
          <w:color w:val="auto"/>
          <w:highlight w:val="none"/>
        </w:rPr>
      </w:pPr>
    </w:p>
    <w:p>
      <w:pPr>
        <w:ind w:firstLine="480"/>
        <w:rPr>
          <w:rFonts w:hint="default" w:ascii="Times New Roman" w:hAnsi="Times New Roman" w:cs="Times New Roman"/>
          <w:color w:val="auto"/>
          <w:highlight w:val="none"/>
        </w:rPr>
      </w:pPr>
    </w:p>
    <w:p>
      <w:pPr>
        <w:ind w:firstLine="480"/>
        <w:rPr>
          <w:rFonts w:hint="default" w:ascii="Times New Roman" w:hAnsi="Times New Roman" w:cs="Times New Roman"/>
          <w:color w:val="auto"/>
          <w:highlight w:val="none"/>
        </w:rPr>
      </w:pPr>
    </w:p>
    <w:p>
      <w:pPr>
        <w:ind w:firstLine="480"/>
        <w:rPr>
          <w:rFonts w:hint="default" w:ascii="Times New Roman" w:hAnsi="Times New Roman" w:cs="Times New Roman"/>
          <w:color w:val="auto"/>
          <w:highlight w:val="none"/>
        </w:rPr>
      </w:pPr>
    </w:p>
    <w:p>
      <w:pPr>
        <w:ind w:firstLine="480"/>
        <w:rPr>
          <w:rFonts w:hint="default" w:ascii="Times New Roman" w:hAnsi="Times New Roman" w:cs="Times New Roman"/>
          <w:color w:val="auto"/>
          <w:highlight w:val="none"/>
        </w:r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5"/>
        <w:gridCol w:w="4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5" w:type="dxa"/>
          </w:tcPr>
          <w:p>
            <w:pPr>
              <w:widowControl/>
              <w:autoSpaceDE/>
              <w:autoSpaceDN/>
              <w:jc w:val="both"/>
              <w:rPr>
                <w:rFonts w:hint="eastAsia" w:ascii="Times New Roman" w:hAnsi="Times New Roman" w:eastAsia="宋体" w:cs="Times New Roman"/>
                <w:color w:val="auto"/>
                <w:highlight w:val="none"/>
                <w:vertAlign w:val="baseline"/>
                <w:lang w:eastAsia="zh-CN"/>
              </w:rPr>
            </w:pPr>
            <w:r>
              <w:rPr>
                <w:rFonts w:hint="default" w:ascii="Times New Roman" w:hAnsi="Times New Roman" w:cs="Times New Roman"/>
                <w:color w:val="auto"/>
                <w:highlight w:val="none"/>
              </w:rPr>
              <w:drawing>
                <wp:inline distT="0" distB="0" distL="114300" distR="114300">
                  <wp:extent cx="2526665" cy="1694815"/>
                  <wp:effectExtent l="0" t="0" r="6985" b="635"/>
                  <wp:docPr id="109" name="图片 109" descr="1717404829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1717404829503"/>
                          <pic:cNvPicPr>
                            <a:picLocks noChangeAspect="1"/>
                          </pic:cNvPicPr>
                        </pic:nvPicPr>
                        <pic:blipFill>
                          <a:blip r:embed="rId42"/>
                          <a:stretch>
                            <a:fillRect/>
                          </a:stretch>
                        </pic:blipFill>
                        <pic:spPr>
                          <a:xfrm>
                            <a:off x="0" y="0"/>
                            <a:ext cx="2526665" cy="1694815"/>
                          </a:xfrm>
                          <a:prstGeom prst="rect">
                            <a:avLst/>
                          </a:prstGeom>
                        </pic:spPr>
                      </pic:pic>
                    </a:graphicData>
                  </a:graphic>
                </wp:inline>
              </w:drawing>
            </w:r>
          </w:p>
        </w:tc>
        <w:tc>
          <w:tcPr>
            <w:tcW w:w="4571" w:type="dxa"/>
          </w:tcPr>
          <w:p>
            <w:pPr>
              <w:widowControl/>
              <w:autoSpaceDE/>
              <w:autoSpaceDN/>
              <w:jc w:val="both"/>
              <w:rPr>
                <w:rFonts w:hint="eastAsia" w:ascii="Times New Roman" w:hAnsi="Times New Roman" w:eastAsia="宋体" w:cs="Times New Roman"/>
                <w:color w:val="auto"/>
                <w:highlight w:val="none"/>
                <w:vertAlign w:val="baseline"/>
                <w:lang w:eastAsia="zh-CN"/>
              </w:rPr>
            </w:pPr>
            <w:r>
              <w:rPr>
                <w:rFonts w:hint="default" w:ascii="Times New Roman" w:hAnsi="Times New Roman" w:cs="Times New Roman"/>
                <w:color w:val="auto"/>
                <w:highlight w:val="none"/>
              </w:rPr>
              <w:drawing>
                <wp:inline distT="0" distB="0" distL="114300" distR="114300">
                  <wp:extent cx="2298700" cy="1542415"/>
                  <wp:effectExtent l="0" t="0" r="6350" b="635"/>
                  <wp:docPr id="110" name="图片 110" descr="1717405005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1717405005997"/>
                          <pic:cNvPicPr>
                            <a:picLocks noChangeAspect="1"/>
                          </pic:cNvPicPr>
                        </pic:nvPicPr>
                        <pic:blipFill>
                          <a:blip r:embed="rId43"/>
                          <a:stretch>
                            <a:fillRect/>
                          </a:stretch>
                        </pic:blipFill>
                        <pic:spPr>
                          <a:xfrm>
                            <a:off x="0" y="0"/>
                            <a:ext cx="2298700" cy="15424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5" w:type="dxa"/>
            <w:vAlign w:val="top"/>
          </w:tcPr>
          <w:p>
            <w:pPr>
              <w:widowControl/>
              <w:autoSpaceDE/>
              <w:autoSpaceDN/>
              <w:ind w:firstLine="480" w:firstLineChars="200"/>
              <w:jc w:val="both"/>
              <w:rPr>
                <w:rFonts w:hint="eastAsia" w:ascii="Times New Roman" w:hAnsi="Times New Roman" w:eastAsia="宋体" w:cs="Times New Roman"/>
                <w:color w:val="auto"/>
                <w:highlight w:val="none"/>
                <w:vertAlign w:val="baseline"/>
                <w:lang w:eastAsia="zh-CN"/>
              </w:rPr>
            </w:pPr>
            <w:r>
              <w:rPr>
                <w:rFonts w:hint="eastAsia" w:cs="Times New Roman"/>
                <w:color w:val="auto"/>
                <w:highlight w:val="none"/>
                <w:vertAlign w:val="baseline"/>
                <w:lang w:val="en-US" w:eastAsia="zh-CN"/>
              </w:rPr>
              <w:t>100天COD</w:t>
            </w:r>
            <w:r>
              <w:rPr>
                <w:rFonts w:hint="eastAsia"/>
                <w:color w:val="auto"/>
                <w:kern w:val="0"/>
                <w:highlight w:val="none"/>
              </w:rPr>
              <w:t>迁移范围图</w:t>
            </w:r>
          </w:p>
        </w:tc>
        <w:tc>
          <w:tcPr>
            <w:tcW w:w="4571" w:type="dxa"/>
            <w:vAlign w:val="top"/>
          </w:tcPr>
          <w:p>
            <w:pPr>
              <w:widowControl/>
              <w:autoSpaceDE/>
              <w:autoSpaceDN/>
              <w:ind w:firstLine="480" w:firstLineChars="200"/>
              <w:jc w:val="both"/>
              <w:rPr>
                <w:rFonts w:hint="eastAsia" w:ascii="Times New Roman" w:hAnsi="Times New Roman" w:eastAsia="宋体" w:cs="Times New Roman"/>
                <w:color w:val="auto"/>
                <w:highlight w:val="none"/>
                <w:vertAlign w:val="baseline"/>
                <w:lang w:eastAsia="zh-CN"/>
              </w:rPr>
            </w:pPr>
            <w:r>
              <w:rPr>
                <w:rFonts w:hint="eastAsia" w:cs="Times New Roman"/>
                <w:color w:val="auto"/>
                <w:highlight w:val="none"/>
                <w:vertAlign w:val="baseline"/>
                <w:lang w:val="en-US" w:eastAsia="zh-CN"/>
              </w:rPr>
              <w:t>365天COD</w:t>
            </w:r>
            <w:r>
              <w:rPr>
                <w:rFonts w:hint="eastAsia"/>
                <w:color w:val="auto"/>
                <w:kern w:val="0"/>
                <w:highlight w:val="none"/>
              </w:rPr>
              <w:t>迁移范围图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5" w:type="dxa"/>
          </w:tcPr>
          <w:p>
            <w:pPr>
              <w:widowControl/>
              <w:autoSpaceDE/>
              <w:autoSpaceDN/>
              <w:jc w:val="both"/>
              <w:rPr>
                <w:rFonts w:hint="eastAsia" w:ascii="Times New Roman" w:hAnsi="Times New Roman" w:eastAsia="宋体" w:cs="Times New Roman"/>
                <w:color w:val="auto"/>
                <w:highlight w:val="none"/>
                <w:vertAlign w:val="baseline"/>
                <w:lang w:eastAsia="zh-CN"/>
              </w:rPr>
            </w:pPr>
            <w:r>
              <w:rPr>
                <w:rFonts w:hint="eastAsia" w:ascii="Times New Roman" w:hAnsi="Times New Roman" w:eastAsia="宋体" w:cs="Times New Roman"/>
                <w:color w:val="auto"/>
                <w:highlight w:val="none"/>
                <w:vertAlign w:val="baseline"/>
                <w:lang w:eastAsia="zh-CN"/>
              </w:rPr>
              <w:drawing>
                <wp:inline distT="0" distB="0" distL="114300" distR="114300">
                  <wp:extent cx="1959610" cy="1312545"/>
                  <wp:effectExtent l="0" t="0" r="2540" b="1905"/>
                  <wp:docPr id="112" name="图片 112" descr="171740511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1717405118681"/>
                          <pic:cNvPicPr>
                            <a:picLocks noChangeAspect="1"/>
                          </pic:cNvPicPr>
                        </pic:nvPicPr>
                        <pic:blipFill>
                          <a:blip r:embed="rId44"/>
                          <a:stretch>
                            <a:fillRect/>
                          </a:stretch>
                        </pic:blipFill>
                        <pic:spPr>
                          <a:xfrm>
                            <a:off x="0" y="0"/>
                            <a:ext cx="1959610" cy="1312545"/>
                          </a:xfrm>
                          <a:prstGeom prst="rect">
                            <a:avLst/>
                          </a:prstGeom>
                        </pic:spPr>
                      </pic:pic>
                    </a:graphicData>
                  </a:graphic>
                </wp:inline>
              </w:drawing>
            </w:r>
          </w:p>
        </w:tc>
        <w:tc>
          <w:tcPr>
            <w:tcW w:w="4571" w:type="dxa"/>
          </w:tcPr>
          <w:p>
            <w:pPr>
              <w:widowControl/>
              <w:autoSpaceDE/>
              <w:autoSpaceDN/>
              <w:jc w:val="both"/>
              <w:rPr>
                <w:rFonts w:hint="eastAsia" w:ascii="Times New Roman" w:hAnsi="Times New Roman" w:eastAsia="宋体" w:cs="Times New Roman"/>
                <w:color w:val="auto"/>
                <w:highlight w:val="none"/>
                <w:vertAlign w:val="baseline"/>
                <w:lang w:eastAsia="zh-CN"/>
              </w:rPr>
            </w:pPr>
            <w:r>
              <w:rPr>
                <w:rFonts w:hint="eastAsia" w:ascii="Times New Roman" w:hAnsi="Times New Roman" w:eastAsia="宋体" w:cs="Times New Roman"/>
                <w:color w:val="auto"/>
                <w:highlight w:val="none"/>
                <w:vertAlign w:val="baseline"/>
                <w:lang w:eastAsia="zh-CN"/>
              </w:rPr>
              <w:drawing>
                <wp:inline distT="0" distB="0" distL="114300" distR="114300">
                  <wp:extent cx="2058670" cy="1371600"/>
                  <wp:effectExtent l="0" t="0" r="17780" b="0"/>
                  <wp:docPr id="111" name="图片 111" descr="171740507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1717405072211"/>
                          <pic:cNvPicPr>
                            <a:picLocks noChangeAspect="1"/>
                          </pic:cNvPicPr>
                        </pic:nvPicPr>
                        <pic:blipFill>
                          <a:blip r:embed="rId45"/>
                          <a:stretch>
                            <a:fillRect/>
                          </a:stretch>
                        </pic:blipFill>
                        <pic:spPr>
                          <a:xfrm>
                            <a:off x="0" y="0"/>
                            <a:ext cx="2058670" cy="13716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5" w:type="dxa"/>
          </w:tcPr>
          <w:p>
            <w:pPr>
              <w:widowControl/>
              <w:autoSpaceDE/>
              <w:autoSpaceDN/>
              <w:jc w:val="both"/>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100天氨氮</w:t>
            </w:r>
            <w:r>
              <w:rPr>
                <w:rFonts w:hint="eastAsia"/>
                <w:color w:val="auto"/>
                <w:kern w:val="0"/>
                <w:highlight w:val="none"/>
              </w:rPr>
              <w:t>迁移范围图</w:t>
            </w:r>
          </w:p>
        </w:tc>
        <w:tc>
          <w:tcPr>
            <w:tcW w:w="4571" w:type="dxa"/>
          </w:tcPr>
          <w:p>
            <w:pPr>
              <w:widowControl/>
              <w:autoSpaceDE/>
              <w:autoSpaceDN/>
              <w:jc w:val="both"/>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365天氨氮</w:t>
            </w:r>
            <w:r>
              <w:rPr>
                <w:rFonts w:hint="eastAsia"/>
                <w:color w:val="auto"/>
                <w:kern w:val="0"/>
                <w:highlight w:val="none"/>
              </w:rPr>
              <w:t>迁移范围图</w:t>
            </w:r>
          </w:p>
        </w:tc>
      </w:tr>
    </w:tbl>
    <w:p>
      <w:pPr>
        <w:widowControl/>
        <w:autoSpaceDE/>
        <w:autoSpaceDN/>
        <w:ind w:firstLine="480"/>
        <w:jc w:val="both"/>
        <w:rPr>
          <w:color w:val="auto"/>
          <w:kern w:val="2"/>
          <w:highlight w:val="none"/>
          <w:lang w:val="en-US" w:bidi="ar"/>
        </w:rPr>
      </w:pPr>
      <w:r>
        <w:rPr>
          <w:color w:val="auto"/>
          <w:kern w:val="2"/>
          <w:highlight w:val="none"/>
          <w:lang w:val="en-US" w:bidi="ar"/>
        </w:rPr>
        <w:t>预测结果：</w:t>
      </w:r>
    </w:p>
    <w:p>
      <w:pPr>
        <w:spacing w:before="40" w:line="420" w:lineRule="exact"/>
        <w:ind w:firstLine="480" w:firstLineChars="200"/>
        <w:rPr>
          <w:color w:val="auto"/>
          <w:highlight w:val="none"/>
        </w:rPr>
      </w:pPr>
      <w:r>
        <w:rPr>
          <w:color w:val="auto"/>
          <w:highlight w:val="none"/>
        </w:rPr>
        <w:t>从</w:t>
      </w:r>
      <w:r>
        <w:rPr>
          <w:rFonts w:hint="eastAsia"/>
          <w:color w:val="auto"/>
          <w:highlight w:val="none"/>
          <w:lang w:eastAsia="zh-CN"/>
        </w:rPr>
        <w:t>上图</w:t>
      </w:r>
      <w:r>
        <w:rPr>
          <w:color w:val="auto"/>
          <w:highlight w:val="none"/>
        </w:rPr>
        <w:t>可知，</w:t>
      </w:r>
      <w:r>
        <w:rPr>
          <w:rFonts w:hint="eastAsia"/>
          <w:color w:val="auto"/>
          <w:highlight w:val="none"/>
          <w:lang w:eastAsia="zh-CN"/>
        </w:rPr>
        <w:t>废水输送管道</w:t>
      </w:r>
      <w:r>
        <w:rPr>
          <w:color w:val="auto"/>
          <w:kern w:val="0"/>
          <w:highlight w:val="none"/>
        </w:rPr>
        <w:t>破损发生渗漏后，</w:t>
      </w:r>
      <w:r>
        <w:rPr>
          <w:rFonts w:hint="eastAsia"/>
          <w:color w:val="auto"/>
          <w:kern w:val="0"/>
          <w:highlight w:val="none"/>
          <w:lang w:val="en-US" w:eastAsia="zh-CN"/>
        </w:rPr>
        <w:t>COD</w:t>
      </w:r>
      <w:r>
        <w:rPr>
          <w:color w:val="auto"/>
          <w:highlight w:val="none"/>
        </w:rPr>
        <w:t>随泄漏时间延续其污染羽不断向下游方向扩散，</w:t>
      </w:r>
      <w:r>
        <w:rPr>
          <w:rFonts w:hint="eastAsia"/>
          <w:color w:val="auto"/>
          <w:highlight w:val="none"/>
        </w:rPr>
        <w:t>本项目</w:t>
      </w:r>
      <w:r>
        <w:rPr>
          <w:rFonts w:hint="eastAsia"/>
          <w:color w:val="auto"/>
          <w:highlight w:val="none"/>
          <w:lang w:val="en-US" w:eastAsia="zh-CN"/>
        </w:rPr>
        <w:t>COD</w:t>
      </w:r>
      <w:r>
        <w:rPr>
          <w:rFonts w:hint="eastAsia"/>
          <w:color w:val="auto"/>
          <w:highlight w:val="none"/>
        </w:rPr>
        <w:t>在非正常状况发生100d</w:t>
      </w:r>
      <w:r>
        <w:rPr>
          <w:rFonts w:hint="eastAsia"/>
          <w:color w:val="auto"/>
          <w:highlight w:val="none"/>
          <w:lang w:val="en-US" w:eastAsia="zh-CN"/>
        </w:rPr>
        <w:t>、365</w:t>
      </w:r>
      <w:r>
        <w:rPr>
          <w:rFonts w:hint="eastAsia"/>
          <w:color w:val="auto"/>
          <w:highlight w:val="none"/>
        </w:rPr>
        <w:t>d，</w:t>
      </w:r>
      <w:r>
        <w:rPr>
          <w:rFonts w:hint="eastAsia"/>
          <w:color w:val="auto"/>
          <w:highlight w:val="none"/>
          <w:lang w:val="en-US" w:eastAsia="zh-CN"/>
        </w:rPr>
        <w:t>均为超过</w:t>
      </w:r>
      <w:r>
        <w:rPr>
          <w:rFonts w:hint="eastAsia"/>
          <w:color w:val="auto"/>
          <w:highlight w:val="none"/>
        </w:rPr>
        <w:t>标准值（GB/T14848-2017中的Ⅲ类标准，</w:t>
      </w:r>
      <w:r>
        <w:rPr>
          <w:rFonts w:hint="eastAsia"/>
          <w:color w:val="auto"/>
          <w:highlight w:val="none"/>
          <w:lang w:val="en-US" w:eastAsia="zh-CN"/>
        </w:rPr>
        <w:t>COD</w:t>
      </w:r>
      <w:r>
        <w:rPr>
          <w:rFonts w:hint="eastAsia"/>
          <w:color w:val="auto"/>
          <w:highlight w:val="none"/>
        </w:rPr>
        <w:t>≤</w:t>
      </w:r>
      <w:r>
        <w:rPr>
          <w:rFonts w:hint="eastAsia"/>
          <w:color w:val="auto"/>
          <w:highlight w:val="none"/>
          <w:lang w:val="en-US" w:eastAsia="zh-CN"/>
        </w:rPr>
        <w:t>3</w:t>
      </w:r>
      <w:r>
        <w:rPr>
          <w:rFonts w:hint="eastAsia"/>
          <w:color w:val="auto"/>
          <w:highlight w:val="none"/>
        </w:rPr>
        <w:t>mg/L）。</w:t>
      </w:r>
    </w:p>
    <w:p>
      <w:pPr>
        <w:spacing w:before="40" w:line="420" w:lineRule="exact"/>
        <w:ind w:firstLine="480" w:firstLineChars="200"/>
        <w:rPr>
          <w:rFonts w:hint="eastAsia" w:ascii="Times New Roman" w:hAnsi="Times New Roman" w:eastAsia="宋体" w:cs="Times New Roman"/>
          <w:color w:val="auto"/>
          <w:highlight w:val="none"/>
          <w:lang w:val="en-US"/>
        </w:rPr>
      </w:pPr>
      <w:r>
        <w:rPr>
          <w:rFonts w:hint="eastAsia"/>
          <w:color w:val="auto"/>
          <w:kern w:val="0"/>
          <w:highlight w:val="none"/>
          <w:lang w:eastAsia="zh-CN"/>
        </w:rPr>
        <w:t>氨氮</w:t>
      </w:r>
      <w:r>
        <w:rPr>
          <w:color w:val="auto"/>
          <w:highlight w:val="none"/>
        </w:rPr>
        <w:t>随泄漏时间延续其污染羽不断向下游方向扩散，</w:t>
      </w:r>
      <w:r>
        <w:rPr>
          <w:rFonts w:hint="eastAsia"/>
          <w:color w:val="auto"/>
          <w:highlight w:val="none"/>
        </w:rPr>
        <w:t>本项目</w:t>
      </w:r>
      <w:r>
        <w:rPr>
          <w:rFonts w:hint="eastAsia"/>
          <w:color w:val="auto"/>
          <w:highlight w:val="none"/>
          <w:lang w:eastAsia="zh-CN"/>
        </w:rPr>
        <w:t>氨氮</w:t>
      </w:r>
      <w:r>
        <w:rPr>
          <w:rFonts w:hint="eastAsia"/>
          <w:color w:val="auto"/>
          <w:highlight w:val="none"/>
        </w:rPr>
        <w:t>在非正常状况发生100d</w:t>
      </w:r>
      <w:r>
        <w:rPr>
          <w:rFonts w:hint="eastAsia"/>
          <w:color w:val="auto"/>
          <w:highlight w:val="none"/>
          <w:lang w:eastAsia="zh-CN"/>
        </w:rPr>
        <w:t>、</w:t>
      </w:r>
      <w:r>
        <w:rPr>
          <w:rFonts w:hint="eastAsia"/>
          <w:color w:val="auto"/>
          <w:highlight w:val="none"/>
          <w:lang w:val="en-US" w:eastAsia="zh-CN"/>
        </w:rPr>
        <w:t>365</w:t>
      </w:r>
      <w:r>
        <w:rPr>
          <w:rFonts w:hint="eastAsia"/>
          <w:color w:val="auto"/>
          <w:highlight w:val="none"/>
        </w:rPr>
        <w:t>d后，</w:t>
      </w:r>
      <w:r>
        <w:rPr>
          <w:rFonts w:hint="eastAsia"/>
          <w:color w:val="auto"/>
          <w:highlight w:val="none"/>
          <w:lang w:val="en-US" w:eastAsia="zh-CN"/>
        </w:rPr>
        <w:t>均为超过</w:t>
      </w:r>
      <w:r>
        <w:rPr>
          <w:rFonts w:hint="eastAsia"/>
          <w:color w:val="auto"/>
          <w:highlight w:val="none"/>
        </w:rPr>
        <w:t>标准值（</w:t>
      </w:r>
      <w:r>
        <w:rPr>
          <w:rFonts w:eastAsia="宋体" w:cs="Times New Roman"/>
          <w:color w:val="auto"/>
          <w:highlight w:val="none"/>
        </w:rPr>
        <w:t>GB/T14848-2017</w:t>
      </w:r>
      <w:r>
        <w:rPr>
          <w:rFonts w:hint="eastAsia"/>
          <w:color w:val="auto"/>
          <w:highlight w:val="none"/>
        </w:rPr>
        <w:t>中的Ⅲ类标准，</w:t>
      </w:r>
      <w:r>
        <w:rPr>
          <w:rFonts w:hint="eastAsia"/>
          <w:color w:val="auto"/>
          <w:highlight w:val="none"/>
          <w:lang w:eastAsia="zh-CN"/>
        </w:rPr>
        <w:t>氨氮</w:t>
      </w:r>
      <w:r>
        <w:rPr>
          <w:rFonts w:hint="eastAsia"/>
          <w:color w:val="auto"/>
          <w:highlight w:val="none"/>
        </w:rPr>
        <w:t>≤</w:t>
      </w:r>
      <w:r>
        <w:rPr>
          <w:rFonts w:hint="eastAsia"/>
          <w:color w:val="auto"/>
          <w:highlight w:val="none"/>
          <w:lang w:val="en-US" w:eastAsia="zh-CN"/>
        </w:rPr>
        <w:t>0.5</w:t>
      </w:r>
      <w:r>
        <w:rPr>
          <w:rFonts w:hint="eastAsia"/>
          <w:color w:val="auto"/>
          <w:highlight w:val="none"/>
        </w:rPr>
        <w:t>mg/L）</w:t>
      </w:r>
      <w:r>
        <w:rPr>
          <w:rFonts w:hint="eastAsia" w:ascii="Times New Roman" w:hAnsi="Times New Roman" w:eastAsia="宋体" w:cs="Times New Roman"/>
          <w:color w:val="auto"/>
          <w:highlight w:val="none"/>
        </w:rPr>
        <w:t>。</w:t>
      </w:r>
    </w:p>
    <w:p>
      <w:pPr>
        <w:ind w:firstLine="480"/>
        <w:rPr>
          <w:rFonts w:hint="default" w:ascii="Times New Roman" w:hAnsi="Times New Roman" w:cs="Times New Roman"/>
          <w:color w:val="auto"/>
          <w:highlight w:val="none"/>
        </w:rPr>
      </w:pPr>
      <w:bookmarkStart w:id="171" w:name="_Toc21129"/>
      <w:r>
        <w:rPr>
          <w:rFonts w:hint="default" w:ascii="Times New Roman" w:hAnsi="Times New Roman" w:cs="Times New Roman"/>
          <w:color w:val="auto"/>
          <w:highlight w:val="none"/>
        </w:rPr>
        <w:t>（8）地下水影响预测小结</w:t>
      </w:r>
      <w:bookmarkEnd w:id="171"/>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地下水污染是一个漫长的过程，在污染过程中土壤会截留大部分，并且有部分污染物会在土壤中降解、稀释，而最终进入到地下水含水层的量较少。根据预测结果，本项目对地下水的影响较小，在可接受范围内。但必须加强对污水处理厂防渗设施的监管，确保污水处理站等的防渗措施安全正常运行，并且每年例行检查，从源头上防控污水泄漏的发生。</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噪声环境影响预测与评价</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预测模型</w:t>
      </w:r>
    </w:p>
    <w:p>
      <w:pPr>
        <w:autoSpaceDE w:val="0"/>
        <w:autoSpaceDN w:val="0"/>
        <w:adjustRightInd w:val="0"/>
        <w:ind w:firstLine="48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根据项目建设内容及《</w:t>
      </w:r>
      <w:r>
        <w:rPr>
          <w:rFonts w:hint="default" w:ascii="Times New Roman" w:hAnsi="Times New Roman" w:cs="Times New Roman" w:eastAsiaTheme="minorEastAsia"/>
          <w:color w:val="auto"/>
          <w:highlight w:val="none"/>
          <w:lang w:eastAsia="zh-CN"/>
        </w:rPr>
        <w:t>环境影响评价技术导则声环境</w:t>
      </w:r>
      <w:r>
        <w:rPr>
          <w:rFonts w:hint="default" w:ascii="Times New Roman" w:hAnsi="Times New Roman" w:cs="Times New Roman" w:eastAsiaTheme="minorEastAsia"/>
          <w:color w:val="auto"/>
          <w:highlight w:val="none"/>
        </w:rPr>
        <w:t>》（HJ2.4-2021）的要求，采用模型为《环境影响评价技术导则声环境》（</w:t>
      </w:r>
      <w:r>
        <w:rPr>
          <w:rFonts w:hint="default" w:ascii="Times New Roman" w:hAnsi="Times New Roman" w:cs="Times New Roman" w:eastAsiaTheme="minorEastAsia"/>
          <w:color w:val="auto"/>
          <w:highlight w:val="none"/>
          <w:lang w:eastAsia="zh-CN"/>
        </w:rPr>
        <w:t>HJ2.4-2021</w:t>
      </w:r>
      <w:r>
        <w:rPr>
          <w:rFonts w:hint="default" w:ascii="Times New Roman" w:hAnsi="Times New Roman" w:cs="Times New Roman" w:eastAsiaTheme="minorEastAsia"/>
          <w:color w:val="auto"/>
          <w:highlight w:val="none"/>
        </w:rPr>
        <w:t>）附录A（规范性附录）户外声传播的衰减和附录B中“B.1工业噪声预测计算模型”。</w:t>
      </w:r>
    </w:p>
    <w:p>
      <w:pPr>
        <w:autoSpaceDE w:val="0"/>
        <w:autoSpaceDN w:val="0"/>
        <w:adjustRightInd w:val="0"/>
        <w:ind w:firstLine="480"/>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lang w:val="en-US" w:eastAsia="zh-CN"/>
        </w:rPr>
        <w:t>1</w:t>
      </w:r>
      <w:r>
        <w:rPr>
          <w:rFonts w:hint="eastAsia" w:ascii="宋体" w:hAnsi="宋体" w:eastAsia="宋体" w:cs="宋体"/>
          <w:b/>
          <w:bCs/>
          <w:color w:val="auto"/>
          <w:highlight w:val="none"/>
          <w:lang w:eastAsia="zh-CN"/>
        </w:rPr>
        <w:t>）</w:t>
      </w:r>
      <w:r>
        <w:rPr>
          <w:rFonts w:hint="eastAsia" w:ascii="宋体" w:hAnsi="宋体" w:eastAsia="宋体" w:cs="宋体"/>
          <w:b/>
          <w:bCs/>
          <w:color w:val="auto"/>
          <w:kern w:val="2"/>
          <w:sz w:val="24"/>
          <w:szCs w:val="24"/>
          <w:highlight w:val="none"/>
          <w:lang w:val="en-US" w:eastAsia="zh-CN" w:bidi="ar-SA"/>
        </w:rPr>
        <w:t>室内声源等效室外声源声功率级计算方法</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声源位于室内，室内声源可采用等效室外声源声功率级法进行计算。设靠近开口处（或窗户）室内、室外某倍频带的声压级或A声级分别为Lp1和Lp2。若声源所在室内声场为近似扩散声场，则室外的倍频带声压级可按下式近似求出：</w:t>
      </w:r>
    </w:p>
    <w:p>
      <w:pPr>
        <w:snapToGrid w:val="0"/>
        <w:ind w:firstLine="480"/>
        <w:rPr>
          <w:rFonts w:ascii="Times New Roman" w:hAnsi="Times New Roman" w:eastAsia="宋体"/>
          <w:color w:val="auto"/>
          <w:highlight w:val="none"/>
        </w:rPr>
      </w:pPr>
      <w:r>
        <w:rPr>
          <w:rFonts w:ascii="Times New Roman" w:hAnsi="Times New Roman" w:eastAsia="宋体"/>
          <w:color w:val="auto"/>
          <w:highlight w:val="none"/>
        </w:rPr>
        <w:drawing>
          <wp:inline distT="0" distB="0" distL="114300" distR="114300">
            <wp:extent cx="1409065" cy="246380"/>
            <wp:effectExtent l="0" t="0" r="635" b="1270"/>
            <wp:docPr id="114" name="图片 1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1"/>
                    <pic:cNvPicPr>
                      <a:picLocks noChangeAspect="1"/>
                    </pic:cNvPicPr>
                  </pic:nvPicPr>
                  <pic:blipFill>
                    <a:blip r:embed="rId46"/>
                    <a:stretch>
                      <a:fillRect/>
                    </a:stretch>
                  </pic:blipFill>
                  <pic:spPr>
                    <a:xfrm>
                      <a:off x="0" y="0"/>
                      <a:ext cx="1409065" cy="246380"/>
                    </a:xfrm>
                    <a:prstGeom prst="rect">
                      <a:avLst/>
                    </a:prstGeom>
                    <a:noFill/>
                    <a:ln>
                      <a:noFill/>
                    </a:ln>
                  </pic:spPr>
                </pic:pic>
              </a:graphicData>
            </a:graphic>
          </wp:inline>
        </w:drawing>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式中：</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L</w:t>
      </w:r>
      <w:r>
        <w:rPr>
          <w:rFonts w:hint="eastAsia" w:ascii="Times New Roman" w:hAnsi="Times New Roman" w:eastAsia="宋体"/>
          <w:color w:val="auto"/>
          <w:highlight w:val="none"/>
          <w:vertAlign w:val="subscript"/>
        </w:rPr>
        <w:t>p1</w:t>
      </w:r>
      <w:r>
        <w:rPr>
          <w:rFonts w:hint="eastAsia" w:ascii="Times New Roman" w:hAnsi="Times New Roman" w:eastAsia="宋体"/>
          <w:color w:val="auto"/>
          <w:highlight w:val="none"/>
        </w:rPr>
        <w:t>—靠近开口处（或窗户）室内某倍频带的声压级或A声级，dB；</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L</w:t>
      </w:r>
      <w:r>
        <w:rPr>
          <w:rFonts w:hint="eastAsia" w:ascii="Times New Roman" w:hAnsi="Times New Roman" w:eastAsia="宋体"/>
          <w:color w:val="auto"/>
          <w:highlight w:val="none"/>
          <w:vertAlign w:val="subscript"/>
        </w:rPr>
        <w:t>p2</w:t>
      </w:r>
      <w:r>
        <w:rPr>
          <w:rFonts w:hint="eastAsia" w:ascii="Times New Roman" w:hAnsi="Times New Roman" w:eastAsia="宋体"/>
          <w:color w:val="auto"/>
          <w:highlight w:val="none"/>
        </w:rPr>
        <w:t>—靠近开口处（或窗户）室外某倍频带的声压级或A声级，dB；</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TL—隔墙（或窗户）倍频带或A声级的隔声量，dB。然后按下列公式将室外声源的声压级和透过面积换算成等效的室外声源，计算出中心位置位于透声面积（S）处的等效声源的倍频带声功率级。</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然后按下列公式将室外声源的声压级和透过面积换算成等效的室外声源，计算出中心位置位于透声面积（S）处的等效声源的倍频带声功率级。</w:t>
      </w:r>
    </w:p>
    <w:p>
      <w:pPr>
        <w:snapToGrid w:val="0"/>
        <w:ind w:firstLine="480"/>
        <w:rPr>
          <w:rFonts w:ascii="Times New Roman" w:hAnsi="Times New Roman" w:eastAsia="宋体"/>
          <w:color w:val="auto"/>
          <w:highlight w:val="none"/>
        </w:rPr>
      </w:pPr>
      <w:r>
        <w:rPr>
          <w:rFonts w:ascii="Times New Roman" w:hAnsi="Times New Roman" w:eastAsia="宋体"/>
          <w:color w:val="auto"/>
          <w:highlight w:val="none"/>
        </w:rPr>
        <w:drawing>
          <wp:inline distT="0" distB="0" distL="114300" distR="114300">
            <wp:extent cx="1438275" cy="238125"/>
            <wp:effectExtent l="0" t="0" r="9525" b="952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47"/>
                    <a:stretch>
                      <a:fillRect/>
                    </a:stretch>
                  </pic:blipFill>
                  <pic:spPr>
                    <a:xfrm>
                      <a:off x="0" y="0"/>
                      <a:ext cx="1438275" cy="238125"/>
                    </a:xfrm>
                    <a:prstGeom prst="rect">
                      <a:avLst/>
                    </a:prstGeom>
                    <a:noFill/>
                    <a:ln>
                      <a:noFill/>
                    </a:ln>
                  </pic:spPr>
                </pic:pic>
              </a:graphicData>
            </a:graphic>
          </wp:inline>
        </w:drawing>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式中：</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Lw—中心位置位于透声面积（S）处的等效声源的倍频带声功率级，dB；</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L</w:t>
      </w:r>
      <w:r>
        <w:rPr>
          <w:rFonts w:hint="eastAsia" w:ascii="Times New Roman" w:hAnsi="Times New Roman" w:eastAsia="宋体"/>
          <w:color w:val="auto"/>
          <w:highlight w:val="none"/>
          <w:vertAlign w:val="subscript"/>
        </w:rPr>
        <w:t>p2</w:t>
      </w:r>
      <w:r>
        <w:rPr>
          <w:rFonts w:hint="eastAsia" w:ascii="Times New Roman" w:hAnsi="Times New Roman" w:eastAsia="宋体"/>
          <w:color w:val="auto"/>
          <w:highlight w:val="none"/>
        </w:rPr>
        <w:t>(T)—靠近围护结构处室外声源的声压级，dB；</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S—透声面积，m</w:t>
      </w:r>
      <w:r>
        <w:rPr>
          <w:rFonts w:hint="eastAsia" w:ascii="Times New Roman" w:hAnsi="Times New Roman" w:eastAsia="宋体"/>
          <w:color w:val="auto"/>
          <w:highlight w:val="none"/>
          <w:vertAlign w:val="superscript"/>
        </w:rPr>
        <w:t>2</w:t>
      </w:r>
      <w:r>
        <w:rPr>
          <w:rFonts w:hint="eastAsia" w:ascii="Times New Roman" w:hAnsi="Times New Roman" w:eastAsia="宋体"/>
          <w:color w:val="auto"/>
          <w:highlight w:val="none"/>
        </w:rPr>
        <w:t>。</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然后按室外声源预测方法计算预测点处的A声级。</w:t>
      </w:r>
    </w:p>
    <w:p>
      <w:pPr>
        <w:bidi w:val="0"/>
        <w:jc w:val="center"/>
        <w:rPr>
          <w:color w:val="auto"/>
          <w:highlight w:val="none"/>
          <w:lang w:val="en-US" w:eastAsia="zh-CN"/>
        </w:rPr>
      </w:pPr>
      <w:r>
        <w:rPr>
          <w:color w:val="auto"/>
          <w:highlight w:val="none"/>
          <w:lang w:val="en-US" w:eastAsia="zh-CN"/>
        </w:rPr>
        <w:drawing>
          <wp:inline distT="0" distB="0" distL="114300" distR="114300">
            <wp:extent cx="2446655" cy="1231265"/>
            <wp:effectExtent l="0" t="0" r="10795" b="6985"/>
            <wp:docPr id="116" name="图片 116" descr="D:\360MoveData\Users\admin\Desktop\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D:\360MoveData\Users\admin\Desktop\6.jpg6"/>
                    <pic:cNvPicPr>
                      <a:picLocks noChangeAspect="1"/>
                    </pic:cNvPicPr>
                  </pic:nvPicPr>
                  <pic:blipFill>
                    <a:blip r:embed="rId48"/>
                    <a:stretch>
                      <a:fillRect/>
                    </a:stretch>
                  </pic:blipFill>
                  <pic:spPr>
                    <a:xfrm>
                      <a:off x="0" y="0"/>
                      <a:ext cx="2446655" cy="1231265"/>
                    </a:xfrm>
                    <a:prstGeom prst="rect">
                      <a:avLst/>
                    </a:prstGeom>
                    <a:noFill/>
                    <a:ln>
                      <a:noFill/>
                    </a:ln>
                  </pic:spPr>
                </pic:pic>
              </a:graphicData>
            </a:graphic>
          </wp:inline>
        </w:drawing>
      </w:r>
    </w:p>
    <w:p>
      <w:pPr>
        <w:widowControl w:val="0"/>
        <w:snapToGrid w:val="0"/>
        <w:spacing w:line="360" w:lineRule="auto"/>
        <w:ind w:firstLine="0" w:firstLineChars="0"/>
        <w:jc w:val="center"/>
        <w:rPr>
          <w:rFonts w:ascii="黑体" w:hAnsi="黑体" w:eastAsia="黑体" w:cstheme="majorBidi"/>
          <w:b/>
          <w:color w:val="auto"/>
          <w:kern w:val="2"/>
          <w:sz w:val="24"/>
          <w:szCs w:val="24"/>
          <w:highlight w:val="none"/>
          <w:lang w:val="en-US" w:eastAsia="zh-CN" w:bidi="ar-SA"/>
        </w:rPr>
      </w:pPr>
      <w:r>
        <w:rPr>
          <w:rFonts w:hint="eastAsia" w:ascii="黑体" w:hAnsi="黑体" w:eastAsia="黑体" w:cstheme="majorBidi"/>
          <w:b/>
          <w:color w:val="auto"/>
          <w:kern w:val="2"/>
          <w:sz w:val="24"/>
          <w:szCs w:val="24"/>
          <w:highlight w:val="none"/>
          <w:lang w:val="en-US" w:eastAsia="zh-CN" w:bidi="ar-SA"/>
        </w:rPr>
        <w:t>图室内声源等效为室外声源图例</w:t>
      </w:r>
    </w:p>
    <w:p>
      <w:pPr>
        <w:bidi w:val="0"/>
        <w:rPr>
          <w:color w:val="auto"/>
          <w:highlight w:val="none"/>
          <w:lang w:val="en-US" w:eastAsia="zh-CN"/>
        </w:rPr>
      </w:pPr>
      <w:r>
        <w:rPr>
          <w:rFonts w:hint="eastAsia"/>
          <w:color w:val="auto"/>
          <w:highlight w:val="none"/>
          <w:lang w:val="en-US" w:eastAsia="zh-CN"/>
        </w:rPr>
        <w:t>（2）噪声户外传播衰减的计算方法</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A声级的计算公式为：</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Lp（r）=Lp（r0）+Dc-（Adiv+Aatm+Agr+Abar+Amisc）</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其中：</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Lp（r）—距声源r处的声压级，dB；</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Lp（r0）—参考位置r0处的声压级，dB；</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DC—指向性校正，它描述点声源的等效连续声压级与产生声功率级Lw的全向点声源在规定方向的声级的偏差程度，dB；</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Adiv—几何发散引起的衰减，dB；</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Aatm—大气吸收引起的衰减，dB；</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Agr—地面效应引起的衰减，dB；</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Abar—障碍物屏蔽引起的衰减，dB；</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Amisc—其他多方面效应引起的衰减，dB。</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根据现场调查，项目所在地地势较为平坦开阔，</w:t>
      </w:r>
      <w:r>
        <w:rPr>
          <w:rFonts w:hint="eastAsia"/>
          <w:color w:val="auto"/>
          <w:highlight w:val="none"/>
          <w:lang w:eastAsia="zh-CN"/>
        </w:rPr>
        <w:t>周边</w:t>
      </w:r>
      <w:r>
        <w:rPr>
          <w:rFonts w:hint="eastAsia" w:ascii="Times New Roman" w:hAnsi="Times New Roman" w:eastAsia="宋体"/>
          <w:color w:val="auto"/>
          <w:highlight w:val="none"/>
        </w:rPr>
        <w:t>植被较少，预测点主要集中在厂界外1m处，故本次评价不考虑Agr、Aatm、Amisc。</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（1）室外点声源的几何发散衰减（Adiv）</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假定项目声源位于地面时的声场为半自由声场，则：</w:t>
      </w:r>
    </w:p>
    <w:p>
      <w:pPr>
        <w:snapToGrid w:val="0"/>
        <w:ind w:firstLine="480"/>
        <w:rPr>
          <w:rFonts w:ascii="Times New Roman" w:hAnsi="Times New Roman" w:eastAsia="宋体"/>
          <w:color w:val="auto"/>
          <w:highlight w:val="none"/>
        </w:rPr>
      </w:pPr>
      <w:r>
        <w:rPr>
          <w:rFonts w:ascii="Times New Roman" w:hAnsi="Times New Roman" w:eastAsia="宋体"/>
          <w:color w:val="auto"/>
          <w:highlight w:val="none"/>
        </w:rPr>
        <w:drawing>
          <wp:inline distT="0" distB="0" distL="114300" distR="114300">
            <wp:extent cx="1449070" cy="251460"/>
            <wp:effectExtent l="0" t="0" r="17780" b="15240"/>
            <wp:docPr id="117" name="图片 1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2"/>
                    <pic:cNvPicPr>
                      <a:picLocks noChangeAspect="1"/>
                    </pic:cNvPicPr>
                  </pic:nvPicPr>
                  <pic:blipFill>
                    <a:blip r:embed="rId49"/>
                    <a:stretch>
                      <a:fillRect/>
                    </a:stretch>
                  </pic:blipFill>
                  <pic:spPr>
                    <a:xfrm>
                      <a:off x="0" y="0"/>
                      <a:ext cx="1449070" cy="251460"/>
                    </a:xfrm>
                    <a:prstGeom prst="rect">
                      <a:avLst/>
                    </a:prstGeom>
                    <a:noFill/>
                    <a:ln>
                      <a:noFill/>
                    </a:ln>
                  </pic:spPr>
                </pic:pic>
              </a:graphicData>
            </a:graphic>
          </wp:inline>
        </w:drawing>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式中：</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Lp(r)—预测点处声压级，dB；</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Lw—由点声源产生的倍频带声功率级，dB；</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r—预测点距声源的距离。</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eastAsia="zh-CN"/>
        </w:rPr>
        <w:t>2</w:t>
      </w:r>
      <w:r>
        <w:rPr>
          <w:rFonts w:hint="eastAsia" w:ascii="Times New Roman" w:hAnsi="Times New Roman" w:eastAsia="宋体"/>
          <w:color w:val="auto"/>
          <w:highlight w:val="none"/>
        </w:rPr>
        <w:t>）屏蔽引起的衰减（Abar）</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主要考虑厂房衰减的计算，采用双绕射计算，对于下图所示的双绕射情景，可由以下公式计算绕射声与直达声之间的声程差δ：</w:t>
      </w:r>
    </w:p>
    <w:p>
      <w:pPr>
        <w:snapToGrid w:val="0"/>
        <w:ind w:firstLine="480"/>
        <w:rPr>
          <w:rFonts w:ascii="Times New Roman" w:hAnsi="Times New Roman" w:eastAsia="宋体"/>
          <w:color w:val="auto"/>
          <w:highlight w:val="none"/>
        </w:rPr>
      </w:pPr>
      <w:r>
        <w:rPr>
          <w:rFonts w:ascii="Times New Roman" w:hAnsi="Times New Roman" w:eastAsia="宋体"/>
          <w:color w:val="auto"/>
          <w:highlight w:val="none"/>
        </w:rPr>
        <w:drawing>
          <wp:inline distT="0" distB="0" distL="114300" distR="114300">
            <wp:extent cx="2210435" cy="524510"/>
            <wp:effectExtent l="0" t="0" r="18415" b="8890"/>
            <wp:docPr id="118" name="图片 1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4"/>
                    <pic:cNvPicPr>
                      <a:picLocks noChangeAspect="1"/>
                    </pic:cNvPicPr>
                  </pic:nvPicPr>
                  <pic:blipFill>
                    <a:blip r:embed="rId50"/>
                    <a:stretch>
                      <a:fillRect/>
                    </a:stretch>
                  </pic:blipFill>
                  <pic:spPr>
                    <a:xfrm>
                      <a:off x="0" y="0"/>
                      <a:ext cx="2210435" cy="524510"/>
                    </a:xfrm>
                    <a:prstGeom prst="rect">
                      <a:avLst/>
                    </a:prstGeom>
                    <a:noFill/>
                    <a:ln>
                      <a:noFill/>
                    </a:ln>
                  </pic:spPr>
                </pic:pic>
              </a:graphicData>
            </a:graphic>
          </wp:inline>
        </w:drawing>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式中：</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δ—声程差，m；</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a—声源和接收点之间的距离在平行于屏障上边界的投影长度，m；</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dss—声源到第一绕射边的距离，m；</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dsr—第二绕射边到接收点的距离，m；</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e—在双绕射情况下两个绕射边界之间的距离，m；</w:t>
      </w:r>
    </w:p>
    <w:p>
      <w:pPr>
        <w:snapToGrid w:val="0"/>
        <w:ind w:firstLine="480"/>
        <w:rPr>
          <w:rFonts w:hint="default"/>
          <w:color w:val="auto"/>
          <w:highlight w:val="none"/>
        </w:rPr>
      </w:pPr>
      <w:r>
        <w:rPr>
          <w:rFonts w:hint="eastAsia" w:ascii="Times New Roman" w:hAnsi="Times New Roman" w:eastAsia="宋体"/>
          <w:color w:val="auto"/>
          <w:highlight w:val="none"/>
        </w:rPr>
        <w:t>d—声源到接收点的直线距离，m。</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预测参数</w:t>
      </w:r>
      <w:bookmarkStart w:id="172" w:name="_Toc19089"/>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（1）噪声源强</w:t>
      </w:r>
      <w:bookmarkEnd w:id="172"/>
    </w:p>
    <w:p>
      <w:pPr>
        <w:autoSpaceDE w:val="0"/>
        <w:autoSpaceDN w:val="0"/>
        <w:adjustRightInd w:val="0"/>
        <w:ind w:firstLine="480"/>
        <w:rPr>
          <w:rFonts w:hint="default" w:ascii="Times New Roman" w:hAnsi="Times New Roman" w:cs="Times New Roman"/>
          <w:color w:val="auto"/>
          <w:highlight w:val="none"/>
        </w:rPr>
      </w:pPr>
      <w:r>
        <w:rPr>
          <w:rFonts w:hint="eastAsia" w:cs="Times New Roman"/>
          <w:color w:val="auto"/>
          <w:highlight w:val="none"/>
          <w:lang w:eastAsia="zh-CN"/>
        </w:rPr>
        <w:t>本项目</w:t>
      </w:r>
      <w:r>
        <w:rPr>
          <w:rFonts w:hint="default" w:ascii="Times New Roman" w:hAnsi="Times New Roman" w:cs="Times New Roman"/>
          <w:color w:val="auto"/>
          <w:highlight w:val="none"/>
        </w:rPr>
        <w:t>的噪声主要来源于脱水机、污泥泵等各类泵，空压机等机械设备，大部分机械置于室内或埋于地下，并进行基础减振、车间封闭、设置隔声间等降噪措施，可有效缓解泵类、风机机器噪声产生的影响。经类比，各主要设备间声源情况见</w:t>
      </w:r>
      <w:r>
        <w:rPr>
          <w:rFonts w:hint="eastAsia" w:cs="Times New Roman"/>
          <w:color w:val="auto"/>
          <w:highlight w:val="none"/>
          <w:lang w:val="en-US" w:eastAsia="zh-CN"/>
        </w:rPr>
        <w:t>下</w:t>
      </w:r>
      <w:r>
        <w:rPr>
          <w:rFonts w:hint="default" w:ascii="Times New Roman" w:hAnsi="Times New Roman" w:cs="Times New Roman"/>
          <w:color w:val="auto"/>
          <w:highlight w:val="none"/>
        </w:rPr>
        <w:t>表。</w:t>
      </w:r>
    </w:p>
    <w:p>
      <w:pPr>
        <w:pStyle w:val="70"/>
        <w:rPr>
          <w:rFonts w:hint="default" w:ascii="Times New Roman" w:hAnsi="Times New Roman" w:cs="Times New Roman"/>
          <w:color w:val="auto"/>
          <w:highlight w:val="none"/>
        </w:rPr>
      </w:pPr>
      <w:r>
        <w:rPr>
          <w:rFonts w:hint="default" w:ascii="Times New Roman" w:hAnsi="Times New Roman" w:cs="Times New Roman"/>
          <w:color w:val="auto"/>
          <w:highlight w:val="none"/>
        </w:rPr>
        <w:t>表5.2-1</w:t>
      </w:r>
      <w:r>
        <w:rPr>
          <w:rFonts w:hint="eastAsia" w:cs="Times New Roman"/>
          <w:color w:val="auto"/>
          <w:highlight w:val="none"/>
          <w:lang w:val="en-US" w:eastAsia="zh-CN"/>
        </w:rPr>
        <w:t>6</w:t>
      </w:r>
      <w:r>
        <w:rPr>
          <w:rFonts w:hint="default" w:ascii="Times New Roman" w:hAnsi="Times New Roman" w:cs="Times New Roman"/>
          <w:color w:val="auto"/>
          <w:highlight w:val="none"/>
        </w:rPr>
        <w:t>各设备噪声声级</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4"/>
        <w:gridCol w:w="374"/>
        <w:gridCol w:w="531"/>
        <w:gridCol w:w="662"/>
        <w:gridCol w:w="374"/>
        <w:gridCol w:w="492"/>
        <w:gridCol w:w="492"/>
        <w:gridCol w:w="492"/>
        <w:gridCol w:w="492"/>
        <w:gridCol w:w="492"/>
        <w:gridCol w:w="492"/>
        <w:gridCol w:w="492"/>
        <w:gridCol w:w="492"/>
        <w:gridCol w:w="492"/>
        <w:gridCol w:w="492"/>
        <w:gridCol w:w="493"/>
        <w:gridCol w:w="493"/>
        <w:gridCol w:w="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exact"/>
          <w:jc w:val="center"/>
        </w:trPr>
        <w:tc>
          <w:tcPr>
            <w:tcW w:w="217" w:type="pct"/>
            <w:vMerge w:val="restart"/>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bookmarkStart w:id="173" w:name="PT_6"/>
            <w:r>
              <w:rPr>
                <w:rFonts w:hint="default" w:ascii="Times New Roman" w:hAnsi="Times New Roman" w:cs="Times New Roman"/>
                <w:b/>
                <w:color w:val="auto"/>
                <w:kern w:val="0"/>
                <w:sz w:val="21"/>
                <w:szCs w:val="21"/>
                <w:highlight w:val="none"/>
                <w:lang w:eastAsia="en-US"/>
              </w:rPr>
              <w:t>序号</w:t>
            </w:r>
          </w:p>
        </w:tc>
        <w:tc>
          <w:tcPr>
            <w:tcW w:w="217" w:type="pct"/>
            <w:vMerge w:val="restart"/>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b/>
                <w:color w:val="auto"/>
                <w:kern w:val="0"/>
                <w:sz w:val="21"/>
                <w:szCs w:val="21"/>
                <w:highlight w:val="none"/>
                <w:lang w:eastAsia="en-US"/>
              </w:rPr>
              <w:t>建筑物名称</w:t>
            </w:r>
          </w:p>
        </w:tc>
        <w:tc>
          <w:tcPr>
            <w:tcW w:w="308" w:type="pct"/>
            <w:vMerge w:val="restart"/>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b/>
                <w:color w:val="auto"/>
                <w:kern w:val="0"/>
                <w:sz w:val="21"/>
                <w:szCs w:val="21"/>
                <w:highlight w:val="none"/>
                <w:lang w:eastAsia="en-US"/>
              </w:rPr>
              <w:t>声源名称</w:t>
            </w:r>
          </w:p>
        </w:tc>
        <w:tc>
          <w:tcPr>
            <w:tcW w:w="385" w:type="pct"/>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b/>
                <w:color w:val="auto"/>
                <w:kern w:val="0"/>
                <w:sz w:val="21"/>
                <w:szCs w:val="21"/>
                <w:highlight w:val="none"/>
              </w:rPr>
              <w:t>声源源强</w:t>
            </w:r>
          </w:p>
        </w:tc>
        <w:tc>
          <w:tcPr>
            <w:tcW w:w="217" w:type="pct"/>
            <w:vMerge w:val="restart"/>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b/>
                <w:color w:val="auto"/>
                <w:kern w:val="0"/>
                <w:sz w:val="21"/>
                <w:szCs w:val="21"/>
                <w:highlight w:val="none"/>
                <w:lang w:eastAsia="en-US"/>
              </w:rPr>
              <w:t>声源控制措施</w:t>
            </w:r>
          </w:p>
        </w:tc>
        <w:tc>
          <w:tcPr>
            <w:tcW w:w="1144" w:type="pct"/>
            <w:gridSpan w:val="4"/>
            <w:vAlign w:val="center"/>
          </w:tcPr>
          <w:p>
            <w:pPr>
              <w:autoSpaceDE w:val="0"/>
              <w:autoSpaceDN w:val="0"/>
              <w:spacing w:line="240" w:lineRule="auto"/>
              <w:ind w:firstLine="0" w:firstLineChars="0"/>
              <w:jc w:val="center"/>
              <w:rPr>
                <w:rFonts w:hint="default" w:ascii="Times New Roman" w:hAnsi="Times New Roman" w:cs="Times New Roman"/>
                <w:b/>
                <w:color w:val="auto"/>
                <w:kern w:val="0"/>
                <w:sz w:val="21"/>
                <w:szCs w:val="21"/>
                <w:highlight w:val="none"/>
                <w:lang w:eastAsia="en-US"/>
              </w:rPr>
            </w:pPr>
            <w:r>
              <w:rPr>
                <w:rFonts w:hint="default" w:ascii="Times New Roman" w:hAnsi="Times New Roman" w:cs="Times New Roman"/>
                <w:b/>
                <w:color w:val="auto"/>
                <w:kern w:val="0"/>
                <w:sz w:val="21"/>
                <w:szCs w:val="21"/>
                <w:highlight w:val="none"/>
                <w:lang w:eastAsia="en-US"/>
              </w:rPr>
              <w:t>距室内边界距离/m</w:t>
            </w:r>
          </w:p>
        </w:tc>
        <w:tc>
          <w:tcPr>
            <w:tcW w:w="1144" w:type="pct"/>
            <w:gridSpan w:val="4"/>
            <w:vAlign w:val="center"/>
          </w:tcPr>
          <w:p>
            <w:pPr>
              <w:autoSpaceDE w:val="0"/>
              <w:autoSpaceDN w:val="0"/>
              <w:spacing w:line="240" w:lineRule="auto"/>
              <w:ind w:firstLine="0" w:firstLineChars="0"/>
              <w:jc w:val="center"/>
              <w:rPr>
                <w:rFonts w:hint="default" w:ascii="Times New Roman" w:hAnsi="Times New Roman" w:cs="Times New Roman"/>
                <w:b/>
                <w:color w:val="auto"/>
                <w:kern w:val="0"/>
                <w:sz w:val="21"/>
                <w:szCs w:val="21"/>
                <w:highlight w:val="none"/>
                <w:lang w:eastAsia="en-US"/>
              </w:rPr>
            </w:pPr>
            <w:r>
              <w:rPr>
                <w:rFonts w:hint="default" w:ascii="Times New Roman" w:hAnsi="Times New Roman" w:cs="Times New Roman"/>
                <w:b/>
                <w:color w:val="auto"/>
                <w:kern w:val="0"/>
                <w:sz w:val="21"/>
                <w:szCs w:val="21"/>
                <w:highlight w:val="none"/>
                <w:lang w:eastAsia="en-US"/>
              </w:rPr>
              <w:t>室内边界声级/dB(A)</w:t>
            </w:r>
          </w:p>
        </w:tc>
        <w:tc>
          <w:tcPr>
            <w:tcW w:w="1364" w:type="pct"/>
            <w:gridSpan w:val="5"/>
            <w:vAlign w:val="center"/>
          </w:tcPr>
          <w:p>
            <w:pPr>
              <w:autoSpaceDE w:val="0"/>
              <w:autoSpaceDN w:val="0"/>
              <w:spacing w:line="240" w:lineRule="auto"/>
              <w:ind w:firstLine="0" w:firstLineChars="0"/>
              <w:jc w:val="center"/>
              <w:rPr>
                <w:rFonts w:hint="default" w:ascii="Times New Roman" w:hAnsi="Times New Roman" w:cs="Times New Roman"/>
                <w:b/>
                <w:color w:val="auto"/>
                <w:kern w:val="0"/>
                <w:sz w:val="21"/>
                <w:szCs w:val="21"/>
                <w:highlight w:val="none"/>
                <w:lang w:eastAsia="en-US"/>
              </w:rPr>
            </w:pPr>
            <w:r>
              <w:rPr>
                <w:rFonts w:hint="default" w:ascii="Times New Roman" w:hAnsi="Times New Roman" w:cs="Times New Roman"/>
                <w:b/>
                <w:color w:val="auto"/>
                <w:kern w:val="0"/>
                <w:sz w:val="21"/>
                <w:szCs w:val="21"/>
                <w:highlight w:val="none"/>
                <w:lang w:eastAsia="en-US"/>
              </w:rP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66" w:hRule="atLeast"/>
          <w:jc w:val="center"/>
        </w:trPr>
        <w:tc>
          <w:tcPr>
            <w:tcW w:w="217" w:type="pct"/>
            <w:vMerge w:val="continue"/>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rPr>
            </w:pPr>
          </w:p>
        </w:tc>
        <w:tc>
          <w:tcPr>
            <w:tcW w:w="217" w:type="pct"/>
            <w:vMerge w:val="continue"/>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p>
        </w:tc>
        <w:tc>
          <w:tcPr>
            <w:tcW w:w="308" w:type="pct"/>
            <w:vMerge w:val="continue"/>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p>
        </w:tc>
        <w:tc>
          <w:tcPr>
            <w:tcW w:w="385"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声功率级/dB(A)</w:t>
            </w:r>
          </w:p>
        </w:tc>
        <w:tc>
          <w:tcPr>
            <w:tcW w:w="217" w:type="pct"/>
            <w:vMerge w:val="continue"/>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rPr>
              <w:t>东</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rPr>
              <w:t>南</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rPr>
              <w:t>西</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rPr>
              <w:t>北</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rPr>
              <w:t>东</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rPr>
              <w:t>南</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rPr>
              <w:t>西</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rPr>
              <w:t>北</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rPr>
              <w:t>东</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rPr>
              <w:t>南</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rPr>
              <w:t>西</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rPr>
              <w:t>北</w:t>
            </w:r>
          </w:p>
        </w:tc>
        <w:tc>
          <w:tcPr>
            <w:tcW w:w="218"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11" w:hRule="atLeast"/>
          <w:jc w:val="center"/>
        </w:trPr>
        <w:tc>
          <w:tcPr>
            <w:tcW w:w="217"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1</w:t>
            </w:r>
          </w:p>
        </w:tc>
        <w:tc>
          <w:tcPr>
            <w:tcW w:w="217"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提升泵房</w:t>
            </w:r>
          </w:p>
        </w:tc>
        <w:tc>
          <w:tcPr>
            <w:tcW w:w="308"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提升泵</w:t>
            </w:r>
          </w:p>
        </w:tc>
        <w:tc>
          <w:tcPr>
            <w:tcW w:w="385"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rPr>
              <w:t>10</w:t>
            </w:r>
            <w:r>
              <w:rPr>
                <w:rFonts w:hint="default" w:ascii="Times New Roman" w:hAnsi="Times New Roman" w:cs="Times New Roman"/>
                <w:color w:val="auto"/>
                <w:kern w:val="0"/>
                <w:sz w:val="21"/>
                <w:szCs w:val="21"/>
                <w:highlight w:val="none"/>
                <w:lang w:eastAsia="en-US"/>
              </w:rPr>
              <w:t>0</w:t>
            </w:r>
          </w:p>
        </w:tc>
        <w:tc>
          <w:tcPr>
            <w:tcW w:w="217"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隔声屏障</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8.3</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9.7</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7.6</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8.4</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78.9</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78.9</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78.9</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78.9</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37.9</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37.9</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37.9</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37.9</w:t>
            </w:r>
          </w:p>
        </w:tc>
        <w:tc>
          <w:tcPr>
            <w:tcW w:w="218"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11" w:hRule="atLeast"/>
          <w:jc w:val="center"/>
        </w:trPr>
        <w:tc>
          <w:tcPr>
            <w:tcW w:w="217"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2</w:t>
            </w:r>
          </w:p>
        </w:tc>
        <w:tc>
          <w:tcPr>
            <w:tcW w:w="217"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鼓风机房</w:t>
            </w:r>
          </w:p>
        </w:tc>
        <w:tc>
          <w:tcPr>
            <w:tcW w:w="308"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鼓风机</w:t>
            </w:r>
          </w:p>
        </w:tc>
        <w:tc>
          <w:tcPr>
            <w:tcW w:w="385" w:type="pct"/>
            <w:shd w:val="clear" w:color="auto" w:fill="FFFFFF"/>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10</w:t>
            </w:r>
            <w:r>
              <w:rPr>
                <w:rFonts w:hint="eastAsia" w:cs="Times New Roman"/>
                <w:color w:val="auto"/>
                <w:kern w:val="0"/>
                <w:sz w:val="21"/>
                <w:szCs w:val="21"/>
                <w:highlight w:val="none"/>
                <w:lang w:val="en-US" w:eastAsia="zh-CN"/>
              </w:rPr>
              <w:t>0</w:t>
            </w:r>
          </w:p>
        </w:tc>
        <w:tc>
          <w:tcPr>
            <w:tcW w:w="217"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rPr>
              <w:t>隔声屏障</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19.5</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9.9</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3.5</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16.1</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76.1</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76.2</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en-US"/>
              </w:rPr>
              <w:t>7</w:t>
            </w:r>
            <w:r>
              <w:rPr>
                <w:rFonts w:hint="default" w:ascii="Times New Roman" w:hAnsi="Times New Roman" w:cs="Times New Roman"/>
                <w:color w:val="auto"/>
                <w:kern w:val="0"/>
                <w:sz w:val="21"/>
                <w:szCs w:val="21"/>
                <w:highlight w:val="none"/>
              </w:rPr>
              <w:t>6.8</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76.1</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35.1</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35.2</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35.5</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35.1</w:t>
            </w:r>
          </w:p>
        </w:tc>
        <w:tc>
          <w:tcPr>
            <w:tcW w:w="218"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192" w:hRule="atLeast"/>
          <w:jc w:val="center"/>
        </w:trPr>
        <w:tc>
          <w:tcPr>
            <w:tcW w:w="217"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3</w:t>
            </w:r>
          </w:p>
        </w:tc>
        <w:tc>
          <w:tcPr>
            <w:tcW w:w="217"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脱水机房</w:t>
            </w:r>
          </w:p>
        </w:tc>
        <w:tc>
          <w:tcPr>
            <w:tcW w:w="308"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污泥脱水机、污泥泵</w:t>
            </w:r>
          </w:p>
        </w:tc>
        <w:tc>
          <w:tcPr>
            <w:tcW w:w="385" w:type="pct"/>
            <w:shd w:val="clear" w:color="auto" w:fill="FFFFFF"/>
            <w:vAlign w:val="center"/>
          </w:tcPr>
          <w:p>
            <w:pPr>
              <w:autoSpaceDE w:val="0"/>
              <w:autoSpaceDN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100</w:t>
            </w:r>
          </w:p>
        </w:tc>
        <w:tc>
          <w:tcPr>
            <w:tcW w:w="217"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rPr>
              <w:t>隔声屏障</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14.3</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13.0</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10.0</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7.1</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72.7</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72.7</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72.8</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72.8</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31.7</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31.7</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31.8</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31.8</w:t>
            </w:r>
          </w:p>
        </w:tc>
        <w:tc>
          <w:tcPr>
            <w:tcW w:w="218"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193" w:hRule="atLeast"/>
          <w:jc w:val="center"/>
        </w:trPr>
        <w:tc>
          <w:tcPr>
            <w:tcW w:w="217"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4</w:t>
            </w:r>
          </w:p>
        </w:tc>
        <w:tc>
          <w:tcPr>
            <w:tcW w:w="217"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生物除臭系统</w:t>
            </w:r>
          </w:p>
        </w:tc>
        <w:tc>
          <w:tcPr>
            <w:tcW w:w="308"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lang w:eastAsia="en-US"/>
              </w:rPr>
              <w:t>风机</w:t>
            </w:r>
          </w:p>
        </w:tc>
        <w:tc>
          <w:tcPr>
            <w:tcW w:w="385" w:type="pct"/>
            <w:shd w:val="clear" w:color="auto" w:fill="FFFFFF"/>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10</w:t>
            </w:r>
            <w:r>
              <w:rPr>
                <w:rFonts w:hint="eastAsia" w:cs="Times New Roman"/>
                <w:color w:val="auto"/>
                <w:kern w:val="0"/>
                <w:sz w:val="21"/>
                <w:szCs w:val="21"/>
                <w:highlight w:val="none"/>
                <w:lang w:val="en-US" w:eastAsia="zh-CN"/>
              </w:rPr>
              <w:t>0</w:t>
            </w:r>
          </w:p>
        </w:tc>
        <w:tc>
          <w:tcPr>
            <w:tcW w:w="217"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lang w:eastAsia="en-US"/>
              </w:rPr>
            </w:pPr>
            <w:r>
              <w:rPr>
                <w:rFonts w:hint="default" w:ascii="Times New Roman" w:hAnsi="Times New Roman" w:cs="Times New Roman"/>
                <w:color w:val="auto"/>
                <w:kern w:val="0"/>
                <w:sz w:val="21"/>
                <w:szCs w:val="21"/>
                <w:highlight w:val="none"/>
              </w:rPr>
              <w:t>减震垫</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38.3</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37.3</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38.6</w:t>
            </w:r>
          </w:p>
        </w:tc>
        <w:tc>
          <w:tcPr>
            <w:tcW w:w="286"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39.5</w:t>
            </w:r>
          </w:p>
        </w:tc>
        <w:tc>
          <w:tcPr>
            <w:tcW w:w="218" w:type="pct"/>
            <w:shd w:val="clear" w:color="auto" w:fill="FFFFFF"/>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w:t>
            </w:r>
          </w:p>
        </w:tc>
      </w:tr>
      <w:bookmarkEnd w:id="173"/>
    </w:tbl>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预测结果及影响分析</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噪声预测结果见</w:t>
      </w:r>
      <w:r>
        <w:rPr>
          <w:rFonts w:hint="eastAsia" w:cs="Times New Roman"/>
          <w:color w:val="auto"/>
          <w:highlight w:val="none"/>
          <w:lang w:val="en-US" w:eastAsia="zh-CN"/>
        </w:rPr>
        <w:t>下</w:t>
      </w:r>
      <w:r>
        <w:rPr>
          <w:rFonts w:hint="default" w:ascii="Times New Roman" w:hAnsi="Times New Roman" w:cs="Times New Roman"/>
          <w:color w:val="auto"/>
          <w:highlight w:val="none"/>
        </w:rPr>
        <w:t>表。</w:t>
      </w:r>
    </w:p>
    <w:p>
      <w:pPr>
        <w:spacing w:line="240" w:lineRule="auto"/>
        <w:ind w:firstLine="228" w:firstLineChars="95"/>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表5.2-1</w:t>
      </w:r>
      <w:r>
        <w:rPr>
          <w:rFonts w:hint="eastAsia" w:eastAsia="黑体" w:cs="Times New Roman"/>
          <w:color w:val="auto"/>
          <w:highlight w:val="none"/>
          <w:lang w:val="en-US" w:eastAsia="zh-CN"/>
        </w:rPr>
        <w:t>7</w:t>
      </w:r>
      <w:r>
        <w:rPr>
          <w:rFonts w:hint="default" w:ascii="Times New Roman" w:hAnsi="Times New Roman" w:eastAsia="黑体" w:cs="Times New Roman"/>
          <w:color w:val="auto"/>
          <w:highlight w:val="none"/>
        </w:rPr>
        <w:t>厂界噪声预测结果与达标分析表单位：dB(A)</w:t>
      </w:r>
    </w:p>
    <w:tbl>
      <w:tblPr>
        <w:tblStyle w:val="3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13"/>
        <w:gridCol w:w="513"/>
        <w:gridCol w:w="683"/>
        <w:gridCol w:w="515"/>
        <w:gridCol w:w="972"/>
        <w:gridCol w:w="891"/>
        <w:gridCol w:w="973"/>
        <w:gridCol w:w="972"/>
        <w:gridCol w:w="891"/>
        <w:gridCol w:w="9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05" w:type="pct"/>
            <w:vMerge w:val="restart"/>
            <w:tcBorders>
              <w:top w:val="single" w:color="auto" w:sz="4" w:space="0"/>
              <w:left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val="en-US" w:eastAsia="zh-CN"/>
              </w:rPr>
            </w:pPr>
            <w:r>
              <w:rPr>
                <w:rFonts w:hint="default" w:ascii="Times New Roman" w:hAnsi="Times New Roman" w:cs="Times New Roman"/>
                <w:b/>
                <w:color w:val="auto"/>
                <w:kern w:val="0"/>
                <w:sz w:val="21"/>
                <w:szCs w:val="21"/>
                <w:highlight w:val="none"/>
                <w:lang w:eastAsia="en-US"/>
              </w:rPr>
              <w:t>预测方位</w:t>
            </w:r>
          </w:p>
        </w:tc>
        <w:tc>
          <w:tcPr>
            <w:tcW w:w="298" w:type="pct"/>
            <w:vMerge w:val="restart"/>
            <w:tcBorders>
              <w:top w:val="single" w:color="auto" w:sz="4" w:space="0"/>
              <w:left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default" w:ascii="Times New Roman" w:hAnsi="Times New Roman" w:eastAsia="宋体" w:cs="Times New Roman"/>
                <w:color w:val="auto"/>
                <w:kern w:val="0"/>
                <w:sz w:val="20"/>
                <w:szCs w:val="22"/>
                <w:highlight w:val="none"/>
                <w:lang w:val="en-US" w:eastAsia="zh-CN"/>
              </w:rPr>
            </w:pPr>
            <w:r>
              <w:rPr>
                <w:rFonts w:hint="eastAsia" w:ascii="Times New Roman" w:hAnsi="Times New Roman" w:eastAsia="宋体" w:cs="Times New Roman"/>
                <w:color w:val="auto"/>
                <w:kern w:val="0"/>
                <w:sz w:val="20"/>
                <w:szCs w:val="22"/>
                <w:highlight w:val="none"/>
                <w:lang w:val="en-US" w:eastAsia="zh-CN"/>
              </w:rPr>
              <w:t>X坐标</w:t>
            </w:r>
          </w:p>
        </w:tc>
        <w:tc>
          <w:tcPr>
            <w:tcW w:w="397" w:type="pct"/>
            <w:vMerge w:val="restart"/>
            <w:tcBorders>
              <w:top w:val="single" w:color="auto" w:sz="4" w:space="0"/>
              <w:left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default" w:ascii="Times New Roman" w:hAnsi="Times New Roman" w:eastAsia="宋体" w:cs="Times New Roman"/>
                <w:color w:val="auto"/>
                <w:kern w:val="0"/>
                <w:sz w:val="20"/>
                <w:szCs w:val="22"/>
                <w:highlight w:val="none"/>
                <w:lang w:val="en-US" w:eastAsia="zh-CN"/>
              </w:rPr>
            </w:pPr>
            <w:r>
              <w:rPr>
                <w:rFonts w:hint="eastAsia" w:ascii="Times New Roman" w:hAnsi="Times New Roman" w:eastAsia="宋体" w:cs="Times New Roman"/>
                <w:color w:val="auto"/>
                <w:kern w:val="0"/>
                <w:sz w:val="20"/>
                <w:szCs w:val="22"/>
                <w:highlight w:val="none"/>
                <w:lang w:val="en-US" w:eastAsia="zh-CN"/>
              </w:rPr>
              <w:t>Y坐标</w:t>
            </w:r>
          </w:p>
        </w:tc>
        <w:tc>
          <w:tcPr>
            <w:tcW w:w="299" w:type="pct"/>
            <w:vMerge w:val="restart"/>
            <w:tcBorders>
              <w:top w:val="single" w:color="auto" w:sz="4" w:space="0"/>
              <w:left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default" w:ascii="Times New Roman" w:hAnsi="Times New Roman" w:eastAsia="宋体" w:cs="Times New Roman"/>
                <w:color w:val="auto"/>
                <w:kern w:val="0"/>
                <w:sz w:val="20"/>
                <w:szCs w:val="22"/>
                <w:highlight w:val="none"/>
                <w:lang w:val="en-US" w:eastAsia="zh-CN"/>
              </w:rPr>
            </w:pPr>
            <w:r>
              <w:rPr>
                <w:rFonts w:hint="eastAsia" w:ascii="Times New Roman" w:hAnsi="Times New Roman" w:eastAsia="宋体" w:cs="Times New Roman"/>
                <w:color w:val="auto"/>
                <w:kern w:val="0"/>
                <w:sz w:val="20"/>
                <w:szCs w:val="22"/>
                <w:highlight w:val="none"/>
                <w:lang w:val="en-US" w:eastAsia="zh-CN"/>
              </w:rPr>
              <w:t>离地高度</w:t>
            </w:r>
          </w:p>
        </w:tc>
        <w:tc>
          <w:tcPr>
            <w:tcW w:w="1649"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val="en-US" w:eastAsia="zh-CN"/>
              </w:rPr>
            </w:pPr>
            <w:r>
              <w:rPr>
                <w:rFonts w:hint="default" w:ascii="Times New Roman" w:hAnsi="Times New Roman" w:eastAsia="宋体" w:cs="Times New Roman"/>
                <w:color w:val="auto"/>
                <w:kern w:val="0"/>
                <w:sz w:val="20"/>
                <w:szCs w:val="22"/>
                <w:highlight w:val="none"/>
                <w:lang w:eastAsia="en-US"/>
              </w:rPr>
              <w:t>昼间</w:t>
            </w:r>
          </w:p>
        </w:tc>
        <w:tc>
          <w:tcPr>
            <w:tcW w:w="1649"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val="en-US" w:eastAsia="zh-CN"/>
              </w:rPr>
            </w:pPr>
            <w:r>
              <w:rPr>
                <w:rFonts w:hint="default" w:ascii="Times New Roman" w:hAnsi="Times New Roman" w:eastAsia="宋体" w:cs="Times New Roman"/>
                <w:color w:val="auto"/>
                <w:kern w:val="0"/>
                <w:sz w:val="20"/>
                <w:szCs w:val="22"/>
                <w:highlight w:val="none"/>
                <w:lang w:eastAsia="en-US"/>
              </w:rPr>
              <w:t>夜间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05" w:type="pct"/>
            <w:vMerge w:val="continue"/>
            <w:tcBorders>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default" w:ascii="Times New Roman" w:hAnsi="Times New Roman" w:cs="Times New Roman"/>
                <w:b/>
                <w:color w:val="auto"/>
                <w:kern w:val="0"/>
                <w:sz w:val="21"/>
                <w:szCs w:val="21"/>
                <w:highlight w:val="none"/>
                <w:lang w:eastAsia="en-US"/>
              </w:rPr>
            </w:pPr>
          </w:p>
        </w:tc>
        <w:tc>
          <w:tcPr>
            <w:tcW w:w="298" w:type="pct"/>
            <w:vMerge w:val="continue"/>
            <w:tcBorders>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val="en-US" w:eastAsia="zh-CN"/>
              </w:rPr>
            </w:pPr>
          </w:p>
        </w:tc>
        <w:tc>
          <w:tcPr>
            <w:tcW w:w="397" w:type="pct"/>
            <w:vMerge w:val="continue"/>
            <w:tcBorders>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val="en-US" w:eastAsia="zh-CN"/>
              </w:rPr>
            </w:pPr>
          </w:p>
        </w:tc>
        <w:tc>
          <w:tcPr>
            <w:tcW w:w="299" w:type="pct"/>
            <w:vMerge w:val="continue"/>
            <w:tcBorders>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val="en-US" w:eastAsia="zh-CN"/>
              </w:rPr>
            </w:pP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val="en-US" w:eastAsia="zh-CN"/>
              </w:rPr>
            </w:pPr>
            <w:r>
              <w:rPr>
                <w:rFonts w:hint="default" w:ascii="Times New Roman" w:hAnsi="Times New Roman" w:eastAsia="宋体" w:cs="Times New Roman"/>
                <w:color w:val="auto"/>
                <w:kern w:val="0"/>
                <w:sz w:val="20"/>
                <w:szCs w:val="22"/>
                <w:highlight w:val="none"/>
                <w:lang w:eastAsia="en-US"/>
              </w:rPr>
              <w:t>贡献值</w:t>
            </w:r>
          </w:p>
        </w:tc>
        <w:tc>
          <w:tcPr>
            <w:tcW w:w="518"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default" w:ascii="Times New Roman" w:hAnsi="Times New Roman" w:eastAsia="宋体" w:cs="Times New Roman"/>
                <w:color w:val="auto"/>
                <w:kern w:val="0"/>
                <w:sz w:val="20"/>
                <w:szCs w:val="22"/>
                <w:highlight w:val="none"/>
                <w:lang w:val="en-US" w:eastAsia="zh-CN"/>
              </w:rPr>
            </w:pPr>
            <w:r>
              <w:rPr>
                <w:rFonts w:hint="eastAsia" w:ascii="Times New Roman" w:hAnsi="Times New Roman" w:eastAsia="宋体" w:cs="Times New Roman"/>
                <w:color w:val="auto"/>
                <w:kern w:val="0"/>
                <w:sz w:val="20"/>
                <w:szCs w:val="22"/>
                <w:highlight w:val="none"/>
                <w:lang w:val="en-US" w:eastAsia="zh-CN"/>
              </w:rPr>
              <w:t>背景值</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default" w:ascii="Times New Roman" w:hAnsi="Times New Roman" w:eastAsia="宋体" w:cs="Times New Roman"/>
                <w:color w:val="auto"/>
                <w:kern w:val="0"/>
                <w:sz w:val="20"/>
                <w:szCs w:val="22"/>
                <w:highlight w:val="none"/>
                <w:lang w:val="en-US" w:eastAsia="zh-CN"/>
              </w:rPr>
            </w:pPr>
            <w:r>
              <w:rPr>
                <w:rFonts w:hint="eastAsia" w:ascii="Times New Roman" w:hAnsi="Times New Roman" w:eastAsia="宋体" w:cs="Times New Roman"/>
                <w:color w:val="auto"/>
                <w:kern w:val="0"/>
                <w:sz w:val="20"/>
                <w:szCs w:val="22"/>
                <w:highlight w:val="none"/>
                <w:lang w:val="en-US" w:eastAsia="zh-CN"/>
              </w:rPr>
              <w:t>叠加值</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val="en-US" w:eastAsia="zh-CN"/>
              </w:rPr>
            </w:pPr>
            <w:r>
              <w:rPr>
                <w:rFonts w:hint="default" w:ascii="Times New Roman" w:hAnsi="Times New Roman" w:eastAsia="宋体" w:cs="Times New Roman"/>
                <w:color w:val="auto"/>
                <w:kern w:val="0"/>
                <w:sz w:val="20"/>
                <w:szCs w:val="22"/>
                <w:highlight w:val="none"/>
                <w:lang w:eastAsia="en-US"/>
              </w:rPr>
              <w:t>贡献值</w:t>
            </w:r>
          </w:p>
        </w:tc>
        <w:tc>
          <w:tcPr>
            <w:tcW w:w="518"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val="en-US" w:eastAsia="zh-CN"/>
              </w:rPr>
            </w:pPr>
            <w:r>
              <w:rPr>
                <w:rFonts w:hint="eastAsia" w:ascii="Times New Roman" w:hAnsi="Times New Roman" w:eastAsia="宋体" w:cs="Times New Roman"/>
                <w:color w:val="auto"/>
                <w:kern w:val="0"/>
                <w:sz w:val="20"/>
                <w:szCs w:val="22"/>
                <w:highlight w:val="none"/>
                <w:lang w:val="en-US" w:eastAsia="zh-CN"/>
              </w:rPr>
              <w:t>背景值</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val="en-US" w:eastAsia="zh-CN"/>
              </w:rPr>
            </w:pPr>
            <w:r>
              <w:rPr>
                <w:rFonts w:hint="eastAsia" w:ascii="Times New Roman" w:hAnsi="Times New Roman" w:eastAsia="宋体" w:cs="Times New Roman"/>
                <w:color w:val="auto"/>
                <w:kern w:val="0"/>
                <w:sz w:val="20"/>
                <w:szCs w:val="22"/>
                <w:highlight w:val="none"/>
                <w:lang w:val="en-US" w:eastAsia="zh-CN"/>
              </w:rPr>
              <w:t>叠加值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05"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val="en-US" w:eastAsia="zh-CN"/>
              </w:rPr>
            </w:pPr>
            <w:r>
              <w:rPr>
                <w:rFonts w:hint="eastAsia" w:ascii="Times New Roman" w:hAnsi="Times New Roman" w:eastAsia="宋体" w:cs="Times New Roman"/>
                <w:color w:val="auto"/>
                <w:kern w:val="0"/>
                <w:sz w:val="20"/>
                <w:szCs w:val="22"/>
                <w:highlight w:val="none"/>
                <w:lang w:val="en-US" w:eastAsia="zh-CN"/>
              </w:rPr>
              <w:t>南</w:t>
            </w:r>
          </w:p>
        </w:tc>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-10.55</w:t>
            </w:r>
          </w:p>
        </w:tc>
        <w:tc>
          <w:tcPr>
            <w:tcW w:w="397"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-118.14</w:t>
            </w:r>
          </w:p>
        </w:tc>
        <w:tc>
          <w:tcPr>
            <w:tcW w:w="299"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1.2</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55.26</w:t>
            </w:r>
          </w:p>
        </w:tc>
        <w:tc>
          <w:tcPr>
            <w:tcW w:w="518"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39.8</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55.38</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51.67</w:t>
            </w:r>
          </w:p>
        </w:tc>
        <w:tc>
          <w:tcPr>
            <w:tcW w:w="518"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38.4</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51.87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05"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val="en-US" w:eastAsia="zh-CN"/>
              </w:rPr>
            </w:pPr>
            <w:r>
              <w:rPr>
                <w:rFonts w:hint="eastAsia" w:ascii="Times New Roman" w:hAnsi="Times New Roman" w:eastAsia="宋体" w:cs="Times New Roman"/>
                <w:color w:val="auto"/>
                <w:kern w:val="0"/>
                <w:sz w:val="20"/>
                <w:szCs w:val="22"/>
                <w:highlight w:val="none"/>
                <w:lang w:val="en-US" w:eastAsia="zh-CN"/>
              </w:rPr>
              <w:t>东</w:t>
            </w:r>
          </w:p>
        </w:tc>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141.64</w:t>
            </w:r>
          </w:p>
        </w:tc>
        <w:tc>
          <w:tcPr>
            <w:tcW w:w="397"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0.31</w:t>
            </w:r>
          </w:p>
        </w:tc>
        <w:tc>
          <w:tcPr>
            <w:tcW w:w="299"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1.2</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51.67</w:t>
            </w:r>
          </w:p>
        </w:tc>
        <w:tc>
          <w:tcPr>
            <w:tcW w:w="518"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39.8</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51.94</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54.83</w:t>
            </w:r>
          </w:p>
        </w:tc>
        <w:tc>
          <w:tcPr>
            <w:tcW w:w="518"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37.3</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54.91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05"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val="en-US" w:eastAsia="zh-CN"/>
              </w:rPr>
            </w:pPr>
            <w:r>
              <w:rPr>
                <w:rFonts w:hint="eastAsia" w:ascii="Times New Roman" w:hAnsi="Times New Roman" w:eastAsia="宋体" w:cs="Times New Roman"/>
                <w:color w:val="auto"/>
                <w:kern w:val="0"/>
                <w:sz w:val="20"/>
                <w:szCs w:val="22"/>
                <w:highlight w:val="none"/>
                <w:lang w:val="en-US" w:eastAsia="zh-CN"/>
              </w:rPr>
              <w:t>北</w:t>
            </w:r>
          </w:p>
        </w:tc>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82.41</w:t>
            </w:r>
          </w:p>
        </w:tc>
        <w:tc>
          <w:tcPr>
            <w:tcW w:w="397"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180.24</w:t>
            </w:r>
          </w:p>
        </w:tc>
        <w:tc>
          <w:tcPr>
            <w:tcW w:w="299"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1.2</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54.83</w:t>
            </w:r>
          </w:p>
        </w:tc>
        <w:tc>
          <w:tcPr>
            <w:tcW w:w="518"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38.3</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54.93</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44.87</w:t>
            </w:r>
          </w:p>
        </w:tc>
        <w:tc>
          <w:tcPr>
            <w:tcW w:w="518"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38.6</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45.79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05"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val="en-US" w:eastAsia="zh-CN"/>
              </w:rPr>
            </w:pPr>
            <w:r>
              <w:rPr>
                <w:rFonts w:hint="eastAsia" w:ascii="Times New Roman" w:hAnsi="Times New Roman" w:eastAsia="宋体" w:cs="Times New Roman"/>
                <w:color w:val="auto"/>
                <w:kern w:val="0"/>
                <w:sz w:val="20"/>
                <w:szCs w:val="22"/>
                <w:highlight w:val="none"/>
                <w:lang w:val="en-US" w:eastAsia="zh-CN"/>
              </w:rPr>
              <w:t>西</w:t>
            </w:r>
          </w:p>
        </w:tc>
        <w:tc>
          <w:tcPr>
            <w:tcW w:w="298"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-69.03</w:t>
            </w:r>
          </w:p>
        </w:tc>
        <w:tc>
          <w:tcPr>
            <w:tcW w:w="397"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31.8</w:t>
            </w:r>
          </w:p>
        </w:tc>
        <w:tc>
          <w:tcPr>
            <w:tcW w:w="299"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1.2</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44.87</w:t>
            </w:r>
          </w:p>
        </w:tc>
        <w:tc>
          <w:tcPr>
            <w:tcW w:w="518"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44</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47.47</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52.69</w:t>
            </w:r>
          </w:p>
        </w:tc>
        <w:tc>
          <w:tcPr>
            <w:tcW w:w="518"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40.3</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pPr>
              <w:autoSpaceDE w:val="0"/>
              <w:autoSpaceDN w:val="0"/>
              <w:spacing w:line="240" w:lineRule="auto"/>
              <w:ind w:firstLine="0" w:firstLineChars="0"/>
              <w:jc w:val="center"/>
              <w:rPr>
                <w:rFonts w:hint="eastAsia" w:ascii="Times New Roman" w:hAnsi="Times New Roman" w:eastAsia="宋体" w:cs="Times New Roman"/>
                <w:color w:val="auto"/>
                <w:kern w:val="0"/>
                <w:sz w:val="20"/>
                <w:szCs w:val="22"/>
                <w:highlight w:val="none"/>
                <w:lang w:eastAsia="en-US"/>
              </w:rPr>
            </w:pPr>
            <w:r>
              <w:rPr>
                <w:rFonts w:hint="eastAsia" w:ascii="Times New Roman" w:hAnsi="Times New Roman" w:eastAsia="宋体" w:cs="Times New Roman"/>
                <w:color w:val="auto"/>
                <w:kern w:val="0"/>
                <w:sz w:val="20"/>
                <w:szCs w:val="22"/>
                <w:highlight w:val="none"/>
                <w:lang w:val="en-US" w:eastAsia="zh-CN"/>
              </w:rPr>
              <w:t>52.94</w:t>
            </w:r>
          </w:p>
        </w:tc>
      </w:tr>
    </w:tbl>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从上表中的预测结果可知，拟建工程厂界昼、夜间厂界噪声值均达到《工业企业厂界环境噪声排放标准》（GB12348-2008）中3类标准要求。</w:t>
      </w:r>
    </w:p>
    <w:p>
      <w:pPr>
        <w:pStyle w:val="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声环境影响评价自查表</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根据《环境影响评价技术导则声环境》（HJ2.4-2021）要求，声环境影响评价完成后，应对声环境影响评价主要内容及结论进行自查。</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本项目声环境影响评价自查表如下</w:t>
      </w:r>
      <w:r>
        <w:rPr>
          <w:rFonts w:hint="eastAsia" w:cs="Times New Roman"/>
          <w:color w:val="auto"/>
          <w:kern w:val="2"/>
          <w:sz w:val="24"/>
          <w:szCs w:val="24"/>
          <w:highlight w:val="none"/>
          <w:lang w:val="en-US" w:eastAsia="zh-CN" w:bidi="ar-SA"/>
        </w:rPr>
        <w:t>：</w:t>
      </w:r>
    </w:p>
    <w:p>
      <w:pPr>
        <w:spacing w:line="240" w:lineRule="auto"/>
        <w:ind w:firstLine="228" w:firstLineChars="95"/>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表5.2-</w:t>
      </w:r>
      <w:r>
        <w:rPr>
          <w:rFonts w:hint="eastAsia" w:eastAsia="黑体" w:cs="Times New Roman"/>
          <w:color w:val="auto"/>
          <w:highlight w:val="none"/>
          <w:lang w:val="en-US" w:eastAsia="zh-CN"/>
        </w:rPr>
        <w:t>18</w:t>
      </w:r>
      <w:r>
        <w:rPr>
          <w:rFonts w:hint="default" w:ascii="Times New Roman" w:hAnsi="Times New Roman" w:eastAsia="黑体" w:cs="Times New Roman"/>
          <w:color w:val="auto"/>
          <w:highlight w:val="none"/>
        </w:rPr>
        <w:t>声环境影响评价自查表</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98"/>
        <w:gridCol w:w="1681"/>
        <w:gridCol w:w="1439"/>
        <w:gridCol w:w="196"/>
        <w:gridCol w:w="1021"/>
        <w:gridCol w:w="1676"/>
        <w:gridCol w:w="117"/>
        <w:gridCol w:w="12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75" w:type="pct"/>
            <w:gridSpan w:val="2"/>
            <w:noWrap w:val="0"/>
            <w:vAlign w:val="top"/>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工作内容</w:t>
            </w:r>
          </w:p>
        </w:tc>
        <w:tc>
          <w:tcPr>
            <w:tcW w:w="3325" w:type="pct"/>
            <w:gridSpan w:val="6"/>
            <w:noWrap w:val="0"/>
            <w:vAlign w:val="top"/>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自查项目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97"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评价等级与范围</w:t>
            </w:r>
          </w:p>
        </w:tc>
        <w:tc>
          <w:tcPr>
            <w:tcW w:w="978"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评价等级</w:t>
            </w:r>
          </w:p>
        </w:tc>
        <w:tc>
          <w:tcPr>
            <w:tcW w:w="3325" w:type="pct"/>
            <w:gridSpan w:val="6"/>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一级□二级</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三级</w:t>
            </w:r>
            <w:r>
              <w:rPr>
                <w:rFonts w:hint="default" w:ascii="Times New Roman" w:hAnsi="Times New Roman" w:eastAsia="宋体" w:cs="Times New Roman"/>
                <w:color w:val="auto"/>
                <w:kern w:val="0"/>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9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978"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评价范围</w:t>
            </w:r>
          </w:p>
        </w:tc>
        <w:tc>
          <w:tcPr>
            <w:tcW w:w="3325" w:type="pct"/>
            <w:gridSpan w:val="6"/>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200m□大于200m□小于200m</w:t>
            </w:r>
            <w:r>
              <w:rPr>
                <w:rFonts w:hint="default" w:ascii="Times New Roman" w:hAnsi="Times New Roman" w:eastAsia="宋体" w:cs="Times New Roman"/>
                <w:color w:val="auto"/>
                <w:kern w:val="0"/>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97"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评价因子</w:t>
            </w:r>
          </w:p>
        </w:tc>
        <w:tc>
          <w:tcPr>
            <w:tcW w:w="978"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评价因子</w:t>
            </w:r>
          </w:p>
        </w:tc>
        <w:tc>
          <w:tcPr>
            <w:tcW w:w="3325" w:type="pct"/>
            <w:gridSpan w:val="6"/>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等效连续A声级√最大A声级□计权等效连续感觉噪声级□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97"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评价标准</w:t>
            </w:r>
          </w:p>
        </w:tc>
        <w:tc>
          <w:tcPr>
            <w:tcW w:w="978"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评价标准</w:t>
            </w:r>
          </w:p>
        </w:tc>
        <w:tc>
          <w:tcPr>
            <w:tcW w:w="3325" w:type="pct"/>
            <w:gridSpan w:val="6"/>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国家标准√地方标准□国外标准□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97"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现状评价</w:t>
            </w:r>
          </w:p>
        </w:tc>
        <w:tc>
          <w:tcPr>
            <w:tcW w:w="978"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环境功能区</w:t>
            </w:r>
          </w:p>
        </w:tc>
        <w:tc>
          <w:tcPr>
            <w:tcW w:w="3325" w:type="pct"/>
            <w:gridSpan w:val="6"/>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0类区□1类区□2类区</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3类区</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4a类区□4b类区□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9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978"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评价年度</w:t>
            </w:r>
          </w:p>
        </w:tc>
        <w:tc>
          <w:tcPr>
            <w:tcW w:w="837"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初期</w:t>
            </w:r>
            <w:r>
              <w:rPr>
                <w:rFonts w:hint="default" w:ascii="Times New Roman" w:hAnsi="Times New Roman" w:eastAsia="宋体" w:cs="Times New Roman"/>
                <w:color w:val="auto"/>
                <w:kern w:val="0"/>
                <w:sz w:val="21"/>
                <w:szCs w:val="21"/>
                <w:highlight w:val="none"/>
                <w:lang w:eastAsia="zh-CN"/>
              </w:rPr>
              <w:t>☑</w:t>
            </w:r>
          </w:p>
        </w:tc>
        <w:tc>
          <w:tcPr>
            <w:tcW w:w="708" w:type="pct"/>
            <w:gridSpan w:val="2"/>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近期□</w:t>
            </w:r>
          </w:p>
        </w:tc>
        <w:tc>
          <w:tcPr>
            <w:tcW w:w="1043" w:type="pct"/>
            <w:gridSpan w:val="2"/>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中期□</w:t>
            </w:r>
          </w:p>
        </w:tc>
        <w:tc>
          <w:tcPr>
            <w:tcW w:w="737"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远期□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9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978"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现状调查方法</w:t>
            </w:r>
          </w:p>
        </w:tc>
        <w:tc>
          <w:tcPr>
            <w:tcW w:w="3325" w:type="pct"/>
            <w:gridSpan w:val="6"/>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现场实测法</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现场实测加模型计算法□收集资料□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9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978"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现状评价</w:t>
            </w:r>
          </w:p>
        </w:tc>
        <w:tc>
          <w:tcPr>
            <w:tcW w:w="837"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达标百分比</w:t>
            </w:r>
          </w:p>
        </w:tc>
        <w:tc>
          <w:tcPr>
            <w:tcW w:w="2488" w:type="pct"/>
            <w:gridSpan w:val="5"/>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97"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噪声源调查</w:t>
            </w:r>
          </w:p>
        </w:tc>
        <w:tc>
          <w:tcPr>
            <w:tcW w:w="978"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噪声源调</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查方法</w:t>
            </w:r>
          </w:p>
        </w:tc>
        <w:tc>
          <w:tcPr>
            <w:tcW w:w="3325" w:type="pct"/>
            <w:gridSpan w:val="6"/>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现场实测√已有资料□研究成果□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97"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声环境影响预测与评价</w:t>
            </w:r>
          </w:p>
        </w:tc>
        <w:tc>
          <w:tcPr>
            <w:tcW w:w="978"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预测模型</w:t>
            </w:r>
          </w:p>
        </w:tc>
        <w:tc>
          <w:tcPr>
            <w:tcW w:w="3325" w:type="pct"/>
            <w:gridSpan w:val="6"/>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导则推荐模型</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9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978"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预测范围</w:t>
            </w:r>
          </w:p>
        </w:tc>
        <w:tc>
          <w:tcPr>
            <w:tcW w:w="3325" w:type="pct"/>
            <w:gridSpan w:val="6"/>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200m□大于200m□小于200m</w:t>
            </w:r>
            <w:r>
              <w:rPr>
                <w:rFonts w:hint="default" w:ascii="Times New Roman" w:hAnsi="Times New Roman" w:eastAsia="宋体" w:cs="Times New Roman"/>
                <w:color w:val="auto"/>
                <w:kern w:val="0"/>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9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978"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预测因子</w:t>
            </w:r>
          </w:p>
        </w:tc>
        <w:tc>
          <w:tcPr>
            <w:tcW w:w="3325" w:type="pct"/>
            <w:gridSpan w:val="6"/>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等效连续A声级</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最大A声级□</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计权等效连续感觉噪声级□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9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978"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厂界噪声</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贡献值</w:t>
            </w:r>
          </w:p>
        </w:tc>
        <w:tc>
          <w:tcPr>
            <w:tcW w:w="3325" w:type="pct"/>
            <w:gridSpan w:val="6"/>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不达标□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9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978"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声环境保护目标处噪声值</w:t>
            </w:r>
          </w:p>
        </w:tc>
        <w:tc>
          <w:tcPr>
            <w:tcW w:w="3325" w:type="pct"/>
            <w:gridSpan w:val="6"/>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不达标□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97"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环境监</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测计划</w:t>
            </w:r>
          </w:p>
        </w:tc>
        <w:tc>
          <w:tcPr>
            <w:tcW w:w="978"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排放监测</w:t>
            </w:r>
          </w:p>
        </w:tc>
        <w:tc>
          <w:tcPr>
            <w:tcW w:w="3325" w:type="pct"/>
            <w:gridSpan w:val="6"/>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厂界监测</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固定位置监测□</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自动监测</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手动监测□无监测□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97"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978"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声环境保护目标处噪声监测</w:t>
            </w:r>
          </w:p>
        </w:tc>
        <w:tc>
          <w:tcPr>
            <w:tcW w:w="951" w:type="pct"/>
            <w:gridSpan w:val="2"/>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监测因子：</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Leq（A）</w:t>
            </w:r>
          </w:p>
        </w:tc>
        <w:tc>
          <w:tcPr>
            <w:tcW w:w="1569" w:type="pct"/>
            <w:gridSpan w:val="2"/>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监测点位数：（厂界四周各设1个监测点）</w:t>
            </w:r>
          </w:p>
        </w:tc>
        <w:tc>
          <w:tcPr>
            <w:tcW w:w="805" w:type="pct"/>
            <w:gridSpan w:val="2"/>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无监测□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97"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评价结论</w:t>
            </w:r>
          </w:p>
        </w:tc>
        <w:tc>
          <w:tcPr>
            <w:tcW w:w="978"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环境影响</w:t>
            </w:r>
          </w:p>
        </w:tc>
        <w:tc>
          <w:tcPr>
            <w:tcW w:w="3325" w:type="pct"/>
            <w:gridSpan w:val="6"/>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可行</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不可行□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8"/>
            <w:noWrap w:val="0"/>
            <w:vAlign w:val="top"/>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注：“□”为勾选项，可√；“（）”为内容填写项。</w:t>
            </w:r>
          </w:p>
        </w:tc>
      </w:tr>
    </w:tbl>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固体废物影响分析</w:t>
      </w:r>
    </w:p>
    <w:p>
      <w:pPr>
        <w:pStyle w:val="15"/>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固体废物来自污水处理厂产生的固体废物主要为</w:t>
      </w:r>
      <w:r>
        <w:rPr>
          <w:rFonts w:hint="eastAsia"/>
          <w:color w:val="auto"/>
          <w:highlight w:val="none"/>
          <w:lang w:val="en-US" w:eastAsia="zh-CN"/>
        </w:rPr>
        <w:t>格栅、沉沙、</w:t>
      </w:r>
      <w:r>
        <w:rPr>
          <w:rFonts w:hint="default" w:ascii="Times New Roman" w:hAnsi="Times New Roman" w:cs="Times New Roman"/>
          <w:color w:val="auto"/>
          <w:highlight w:val="none"/>
          <w:lang w:val="zh-CN"/>
        </w:rPr>
        <w:t>污泥和职工的生活垃圾、设备使用、维修过程中</w:t>
      </w:r>
      <w:r>
        <w:rPr>
          <w:rFonts w:hint="default" w:ascii="Times New Roman" w:hAnsi="Times New Roman" w:cs="Times New Roman"/>
          <w:color w:val="auto"/>
          <w:highlight w:val="none"/>
        </w:rPr>
        <w:t>产生的废</w:t>
      </w:r>
      <w:r>
        <w:rPr>
          <w:rFonts w:hint="default" w:ascii="Times New Roman" w:hAnsi="Times New Roman" w:cs="Times New Roman"/>
          <w:color w:val="auto"/>
          <w:highlight w:val="none"/>
          <w:lang w:val="zh-CN"/>
        </w:rPr>
        <w:t>润滑油、</w:t>
      </w:r>
      <w:r>
        <w:rPr>
          <w:rFonts w:hint="default" w:ascii="Times New Roman" w:hAnsi="Times New Roman" w:cs="Times New Roman"/>
          <w:color w:val="auto"/>
          <w:highlight w:val="none"/>
        </w:rPr>
        <w:t>含油废抹布</w:t>
      </w:r>
      <w:r>
        <w:rPr>
          <w:rFonts w:hint="default" w:ascii="Times New Roman" w:hAnsi="Times New Roman" w:cs="Times New Roman"/>
          <w:color w:val="auto"/>
          <w:highlight w:val="none"/>
          <w:lang w:val="zh-CN"/>
        </w:rPr>
        <w:t>。</w:t>
      </w:r>
    </w:p>
    <w:p>
      <w:pPr>
        <w:ind w:firstLine="480"/>
        <w:rPr>
          <w:rFonts w:hint="default" w:ascii="Times New Roman" w:hAnsi="Times New Roman" w:cs="Times New Roman"/>
          <w:color w:val="auto"/>
          <w:highlight w:val="none"/>
        </w:rPr>
      </w:pPr>
      <w:bookmarkStart w:id="174" w:name="_Toc15013"/>
      <w:r>
        <w:rPr>
          <w:rFonts w:hint="default" w:ascii="Times New Roman" w:hAnsi="Times New Roman" w:cs="Times New Roman"/>
          <w:color w:val="auto"/>
          <w:highlight w:val="none"/>
        </w:rPr>
        <w:t>（1）污泥</w:t>
      </w:r>
      <w:bookmarkEnd w:id="174"/>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污水处理厂产生的污泥如果处理不当，排放后会对环境造成严重的污染，因此应妥善处置。</w:t>
      </w:r>
    </w:p>
    <w:p>
      <w:pPr>
        <w:autoSpaceDE w:val="0"/>
        <w:autoSpaceDN w:val="0"/>
        <w:adjustRightInd w:val="0"/>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在污水处理过程中会产生一定量的剩余污泥，这些污泥含水率高，体积大，不稳定，易腐烂，并且具有一定的臭味，因此需经适当的污泥稳定处理后才能运出厂外，</w:t>
      </w:r>
      <w:r>
        <w:rPr>
          <w:rFonts w:hint="eastAsia" w:cs="Times New Roman"/>
          <w:color w:val="auto"/>
          <w:highlight w:val="none"/>
          <w:lang w:val="en-US" w:eastAsia="zh-CN"/>
        </w:rPr>
        <w:t>根据现有污水处理厂针对</w:t>
      </w:r>
      <w:r>
        <w:rPr>
          <w:rFonts w:hint="default" w:ascii="Times New Roman" w:hAnsi="Times New Roman" w:cs="Times New Roman"/>
          <w:color w:val="auto"/>
          <w:highlight w:val="none"/>
          <w:lang w:val="zh-CN"/>
        </w:rPr>
        <w:t>污泥危险废物鉴别实验，</w:t>
      </w:r>
      <w:r>
        <w:rPr>
          <w:rFonts w:hint="eastAsia" w:cs="Times New Roman"/>
          <w:color w:val="auto"/>
          <w:highlight w:val="none"/>
          <w:lang w:val="en-US" w:eastAsia="zh-CN"/>
        </w:rPr>
        <w:t>可知本项目污泥为一般固体废物（见附件污泥鉴别报告），</w:t>
      </w:r>
      <w:r>
        <w:rPr>
          <w:rFonts w:hint="eastAsia" w:cs="Times New Roman"/>
          <w:color w:val="auto"/>
          <w:highlight w:val="none"/>
          <w:lang w:val="zh-CN"/>
        </w:rPr>
        <w:t>污泥经脱水至含水率小于60%后，与栅渣、沉砂一起运至生活垃圾填埋场进行卫生填埋</w:t>
      </w:r>
      <w:r>
        <w:rPr>
          <w:rFonts w:hint="default" w:ascii="Times New Roman" w:hAnsi="Times New Roman" w:cs="Times New Roman"/>
          <w:color w:val="auto"/>
          <w:highlight w:val="none"/>
          <w:lang w:val="zh-CN"/>
        </w:rPr>
        <w:t>。</w:t>
      </w:r>
    </w:p>
    <w:p>
      <w:pPr>
        <w:ind w:firstLine="480"/>
        <w:rPr>
          <w:rFonts w:hint="default" w:ascii="Times New Roman" w:hAnsi="Times New Roman" w:cs="Times New Roman"/>
          <w:color w:val="auto"/>
          <w:highlight w:val="none"/>
        </w:rPr>
      </w:pPr>
      <w:bookmarkStart w:id="175" w:name="_Toc1235"/>
      <w:r>
        <w:rPr>
          <w:rFonts w:hint="default" w:ascii="Times New Roman" w:hAnsi="Times New Roman" w:cs="Times New Roman"/>
          <w:color w:val="auto"/>
          <w:highlight w:val="none"/>
        </w:rPr>
        <w:t>（2）栅渣及沉砂</w:t>
      </w:r>
      <w:bookmarkEnd w:id="175"/>
    </w:p>
    <w:p>
      <w:pPr>
        <w:autoSpaceDE w:val="0"/>
        <w:autoSpaceDN w:val="0"/>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项目污水预处理产生的栅渣及沉砂经脱水后，</w:t>
      </w:r>
      <w:r>
        <w:rPr>
          <w:rFonts w:hint="default" w:ascii="Times New Roman" w:hAnsi="Times New Roman" w:eastAsia="宋体" w:cs="Times New Roman"/>
          <w:color w:val="auto"/>
          <w:sz w:val="24"/>
          <w:szCs w:val="24"/>
          <w:highlight w:val="none"/>
        </w:rPr>
        <w:t>运至生活垃圾填埋场进行卫生填埋</w:t>
      </w:r>
      <w:r>
        <w:rPr>
          <w:rFonts w:hint="default" w:ascii="Times New Roman" w:hAnsi="Times New Roman" w:cs="Times New Roman"/>
          <w:color w:val="auto"/>
          <w:highlight w:val="none"/>
        </w:rPr>
        <w:t>，对周边环境产生的影响很小。</w:t>
      </w:r>
    </w:p>
    <w:p>
      <w:pPr>
        <w:ind w:firstLine="480"/>
        <w:rPr>
          <w:rFonts w:hint="default" w:ascii="Times New Roman" w:hAnsi="Times New Roman" w:cs="Times New Roman"/>
          <w:color w:val="auto"/>
          <w:highlight w:val="none"/>
        </w:rPr>
      </w:pPr>
      <w:bookmarkStart w:id="176" w:name="_Toc11829"/>
      <w:r>
        <w:rPr>
          <w:rFonts w:hint="default" w:ascii="Times New Roman" w:hAnsi="Times New Roman" w:cs="Times New Roman"/>
          <w:color w:val="auto"/>
          <w:highlight w:val="none"/>
        </w:rPr>
        <w:t>（3）生活垃圾</w:t>
      </w:r>
      <w:bookmarkEnd w:id="176"/>
    </w:p>
    <w:p>
      <w:pPr>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项目新增生活垃圾产生量约为</w:t>
      </w:r>
      <w:r>
        <w:rPr>
          <w:rFonts w:hint="default" w:ascii="Times New Roman" w:hAnsi="Times New Roman" w:cs="Times New Roman"/>
          <w:color w:val="auto"/>
          <w:highlight w:val="none"/>
        </w:rPr>
        <w:t>4.38</w:t>
      </w:r>
      <w:r>
        <w:rPr>
          <w:rFonts w:hint="default" w:ascii="Times New Roman" w:hAnsi="Times New Roman" w:cs="Times New Roman"/>
          <w:color w:val="auto"/>
          <w:highlight w:val="none"/>
          <w:lang w:val="zh-CN"/>
        </w:rPr>
        <w:t>t/a，分类收集后，可回收的回收再利用，不可回收的统一交由环卫部门收集统一处理，对周边环境产生的影响很小。</w:t>
      </w:r>
    </w:p>
    <w:p>
      <w:pPr>
        <w:ind w:firstLine="480"/>
        <w:rPr>
          <w:rFonts w:hint="default" w:ascii="Times New Roman" w:hAnsi="Times New Roman" w:cs="Times New Roman"/>
          <w:color w:val="auto"/>
          <w:highlight w:val="none"/>
        </w:rPr>
      </w:pPr>
      <w:bookmarkStart w:id="177" w:name="_Toc21692"/>
      <w:r>
        <w:rPr>
          <w:rFonts w:hint="default" w:ascii="Times New Roman" w:hAnsi="Times New Roman" w:cs="Times New Roman"/>
          <w:color w:val="auto"/>
          <w:highlight w:val="none"/>
        </w:rPr>
        <w:t>（4）危险废物</w:t>
      </w:r>
      <w:bookmarkEnd w:id="177"/>
    </w:p>
    <w:p>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lang w:val="zh-CN"/>
        </w:rPr>
        <w:t>本项目设备使用、维修过程中需要使用润滑油，则废油产生量约为0.1t/a，属于《国家危险废物名录（20</w:t>
      </w:r>
      <w:r>
        <w:rPr>
          <w:rFonts w:hint="default" w:ascii="Times New Roman" w:hAnsi="Times New Roman" w:cs="Times New Roman"/>
          <w:color w:val="auto"/>
          <w:highlight w:val="none"/>
        </w:rPr>
        <w:t>21</w:t>
      </w:r>
      <w:r>
        <w:rPr>
          <w:rFonts w:hint="default" w:ascii="Times New Roman" w:hAnsi="Times New Roman" w:cs="Times New Roman"/>
          <w:color w:val="auto"/>
          <w:highlight w:val="none"/>
          <w:lang w:val="zh-CN"/>
        </w:rPr>
        <w:t>）</w:t>
      </w:r>
      <w:r>
        <w:rPr>
          <w:rFonts w:hint="eastAsia"/>
          <w:color w:val="auto"/>
          <w:highlight w:val="none"/>
          <w:lang w:val="en-US" w:eastAsia="zh-CN"/>
        </w:rPr>
        <w:t>年版</w:t>
      </w:r>
      <w:r>
        <w:rPr>
          <w:rFonts w:hint="default" w:ascii="Times New Roman" w:hAnsi="Times New Roman" w:cs="Times New Roman"/>
          <w:color w:val="auto"/>
          <w:highlight w:val="none"/>
          <w:lang w:val="zh-CN"/>
        </w:rPr>
        <w:t>》中HW08类危险废物，危废代码为“900-2</w:t>
      </w:r>
      <w:r>
        <w:rPr>
          <w:rFonts w:hint="default" w:ascii="Times New Roman" w:hAnsi="Times New Roman" w:cs="Times New Roman"/>
          <w:color w:val="auto"/>
          <w:highlight w:val="none"/>
        </w:rPr>
        <w:t>14</w:t>
      </w:r>
      <w:r>
        <w:rPr>
          <w:rFonts w:hint="default" w:ascii="Times New Roman" w:hAnsi="Times New Roman" w:cs="Times New Roman"/>
          <w:color w:val="auto"/>
          <w:highlight w:val="none"/>
          <w:lang w:val="zh-CN"/>
        </w:rPr>
        <w:t>-08”，应妥善收集后交由具有相应危废资质的危废单位处理。项目生产产生的废抹布、手套约0.01t/a，属于《国家危险废物名录（20</w:t>
      </w:r>
      <w:r>
        <w:rPr>
          <w:rFonts w:hint="default" w:ascii="Times New Roman" w:hAnsi="Times New Roman" w:cs="Times New Roman"/>
          <w:color w:val="auto"/>
          <w:highlight w:val="none"/>
        </w:rPr>
        <w:t>21</w:t>
      </w:r>
      <w:r>
        <w:rPr>
          <w:rFonts w:hint="eastAsia"/>
          <w:color w:val="auto"/>
          <w:highlight w:val="none"/>
          <w:lang w:val="en-US" w:eastAsia="zh-CN"/>
        </w:rPr>
        <w:t>年版</w:t>
      </w:r>
      <w:r>
        <w:rPr>
          <w:rFonts w:hint="default" w:ascii="Times New Roman" w:hAnsi="Times New Roman" w:cs="Times New Roman"/>
          <w:color w:val="auto"/>
          <w:highlight w:val="none"/>
          <w:lang w:val="zh-CN"/>
        </w:rPr>
        <w:t>）》中</w:t>
      </w:r>
      <w:r>
        <w:rPr>
          <w:rFonts w:hint="default" w:ascii="Times New Roman" w:hAnsi="Times New Roman" w:cs="Times New Roman"/>
          <w:color w:val="auto"/>
          <w:highlight w:val="none"/>
        </w:rPr>
        <w:t>HW49类危险废物，危废代码为“900-041-49”，应妥善收集后交由具有相应危废资质的危废单位处理，对周围环境影响较小，危险废物的暂存应满足《危险废物贮存污染控制标准》（GB18597-2023）要求。</w:t>
      </w:r>
    </w:p>
    <w:p>
      <w:pPr>
        <w:pStyle w:val="5"/>
        <w:rPr>
          <w:rFonts w:hint="default" w:ascii="Times New Roman" w:hAnsi="Times New Roman" w:cs="Times New Roman"/>
          <w:color w:val="auto"/>
          <w:highlight w:val="none"/>
        </w:rPr>
      </w:pPr>
      <w:bookmarkStart w:id="178" w:name="_Toc150367022"/>
      <w:r>
        <w:rPr>
          <w:rFonts w:hint="default" w:ascii="Times New Roman" w:hAnsi="Times New Roman" w:cs="Times New Roman"/>
          <w:color w:val="auto"/>
          <w:highlight w:val="none"/>
        </w:rPr>
        <w:t>运营期土壤环境影响预测与评价</w:t>
      </w:r>
      <w:bookmarkEnd w:id="178"/>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正常工况下对土壤环境的影响分析</w:t>
      </w:r>
    </w:p>
    <w:p>
      <w:pPr>
        <w:ind w:firstLine="480"/>
        <w:rPr>
          <w:rFonts w:hint="default" w:ascii="Times New Roman" w:hAnsi="Times New Roman" w:cs="Times New Roman"/>
          <w:color w:val="auto"/>
          <w:highlight w:val="none"/>
        </w:rPr>
      </w:pPr>
      <w:bookmarkStart w:id="179" w:name="_Toc2515"/>
      <w:r>
        <w:rPr>
          <w:rFonts w:hint="default" w:ascii="Times New Roman" w:hAnsi="Times New Roman" w:cs="Times New Roman"/>
          <w:color w:val="auto"/>
          <w:highlight w:val="none"/>
        </w:rPr>
        <w:t>（1）废水对土壤环境的影响分析</w:t>
      </w:r>
      <w:bookmarkEnd w:id="179"/>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正常工况下，本污水处理厂各功能区均采取“源头控制</w:t>
      </w:r>
      <w:r>
        <w:rPr>
          <w:rFonts w:hint="eastAsia" w:cs="Times New Roman"/>
          <w:color w:val="auto"/>
          <w:highlight w:val="none"/>
          <w:lang w:eastAsia="zh-CN"/>
        </w:rPr>
        <w:t>”“</w:t>
      </w:r>
      <w:r>
        <w:rPr>
          <w:rFonts w:hint="default" w:ascii="Times New Roman" w:hAnsi="Times New Roman" w:cs="Times New Roman"/>
          <w:color w:val="auto"/>
          <w:highlight w:val="none"/>
        </w:rPr>
        <w:t>分区防控”的防渗措施，可以有效保证污染物不会进入土壤环境，防止污染土壤。在防渗系统和设备及管道正常运行的情况下，本项目废水、固体物料渗滤液向地下渗透将得到很好的控制，对土壤环境的影响较小。</w:t>
      </w:r>
    </w:p>
    <w:p>
      <w:pPr>
        <w:ind w:firstLine="480"/>
        <w:rPr>
          <w:rFonts w:hint="default" w:ascii="Times New Roman" w:hAnsi="Times New Roman" w:cs="Times New Roman"/>
          <w:color w:val="auto"/>
          <w:highlight w:val="none"/>
        </w:rPr>
      </w:pPr>
      <w:bookmarkStart w:id="180" w:name="_Toc32380"/>
      <w:r>
        <w:rPr>
          <w:rFonts w:hint="default" w:ascii="Times New Roman" w:hAnsi="Times New Roman" w:cs="Times New Roman"/>
          <w:color w:val="auto"/>
          <w:highlight w:val="none"/>
        </w:rPr>
        <w:t>（2）工业固废对土壤环境的影响分析</w:t>
      </w:r>
      <w:bookmarkEnd w:id="180"/>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项目产生的污泥、栅渣等均在</w:t>
      </w:r>
      <w:r>
        <w:rPr>
          <w:rFonts w:hint="eastAsia" w:cs="Times New Roman"/>
          <w:color w:val="auto"/>
          <w:highlight w:val="none"/>
          <w:lang w:val="en-US" w:eastAsia="zh-CN"/>
        </w:rPr>
        <w:t>一般固废暂存间</w:t>
      </w:r>
      <w:r>
        <w:rPr>
          <w:rFonts w:hint="default" w:ascii="Times New Roman" w:hAnsi="Times New Roman" w:cs="Times New Roman"/>
          <w:color w:val="auto"/>
          <w:highlight w:val="none"/>
        </w:rPr>
        <w:t>堆放，满足“防风、防雨、防晒”的要求，经收集后均进行妥善处理，不直接排入土壤环境。</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厂区设置垃圾收集桶，生活垃圾收集后每天由园区环卫部门统一清运，严禁随意扔撒垃圾。</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综上分析，拟建项目固体废物储存场所均在室内，且采取了防渗措施，不会受降水影响和风力作用转移。项目工业固体废物对周边土壤环境的影响较小。</w:t>
      </w:r>
    </w:p>
    <w:p>
      <w:pPr>
        <w:ind w:firstLine="480"/>
        <w:rPr>
          <w:rFonts w:hint="default" w:ascii="Times New Roman" w:hAnsi="Times New Roman" w:cs="Times New Roman"/>
          <w:color w:val="auto"/>
          <w:highlight w:val="none"/>
        </w:rPr>
      </w:pPr>
      <w:bookmarkStart w:id="181" w:name="_Toc31459"/>
      <w:r>
        <w:rPr>
          <w:rFonts w:hint="default" w:ascii="Times New Roman" w:hAnsi="Times New Roman" w:cs="Times New Roman"/>
          <w:color w:val="auto"/>
          <w:highlight w:val="none"/>
        </w:rPr>
        <w:t>（3）废气对土壤环境的影响分析</w:t>
      </w:r>
      <w:bookmarkEnd w:id="181"/>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项目废气主要污染因子为H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S和NH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，排放量较少。该类废气污染因子大部分在空气中会与尘埃等颗粒物结合或被其他物质分解，极少量会降落至地面，随着时间的推移被土壤自行分解，不会发生富集现象，因此，废气对土壤环境影响很小。</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非正常工况下对土壤环境的影响分析与评价</w:t>
      </w:r>
    </w:p>
    <w:p>
      <w:pPr>
        <w:ind w:firstLine="480"/>
        <w:rPr>
          <w:color w:val="auto"/>
          <w:highlight w:val="none"/>
        </w:rPr>
      </w:pPr>
      <w:r>
        <w:rPr>
          <w:rFonts w:hint="eastAsia"/>
          <w:color w:val="auto"/>
          <w:highlight w:val="none"/>
        </w:rPr>
        <w:t>本项目实施后，由于严格按照要求采取防渗措施，在正常工况下不会发生废水泄漏进入土壤。因此，垂直入渗造成土壤污染主要为事故工况下，废水垂直入渗进入土壤，其中的有害组分渗出后，很容易经过雨水淋溶、地表径流侵蚀而渗入土壤，破坏微生物、植被等与周围环境构成系统的平衡。同时这些水分经土壤渗入地下水，对地下水水质也造成污染。污染物穿越包气带的过程中，由于土壤的阻隔、吸附作用，导致土壤受到污染，导致土壤发生盐化、酸碱化。</w:t>
      </w:r>
    </w:p>
    <w:p>
      <w:pPr>
        <w:pStyle w:val="2"/>
        <w:tabs>
          <w:tab w:val="left" w:pos="420"/>
        </w:tabs>
        <w:rPr>
          <w:color w:val="auto"/>
          <w:highlight w:val="none"/>
        </w:rPr>
      </w:pPr>
      <w:r>
        <w:rPr>
          <w:rFonts w:hint="eastAsia"/>
          <w:color w:val="auto"/>
          <w:highlight w:val="none"/>
        </w:rPr>
        <w:t>预测范围</w:t>
      </w:r>
    </w:p>
    <w:p>
      <w:pPr>
        <w:ind w:firstLine="480"/>
        <w:rPr>
          <w:color w:val="auto"/>
          <w:highlight w:val="none"/>
        </w:rPr>
      </w:pPr>
      <w:r>
        <w:rPr>
          <w:rFonts w:hint="eastAsia"/>
          <w:color w:val="auto"/>
          <w:highlight w:val="none"/>
        </w:rPr>
        <w:t>拟建项目土壤环境影响预测评价范围为现状调查范围，即项目占地边界四周200m范围内。</w:t>
      </w:r>
    </w:p>
    <w:p>
      <w:pPr>
        <w:pStyle w:val="2"/>
        <w:tabs>
          <w:tab w:val="left" w:pos="420"/>
        </w:tabs>
        <w:rPr>
          <w:color w:val="auto"/>
          <w:highlight w:val="none"/>
        </w:rPr>
      </w:pPr>
      <w:r>
        <w:rPr>
          <w:rFonts w:hint="eastAsia"/>
          <w:color w:val="auto"/>
          <w:highlight w:val="none"/>
        </w:rPr>
        <w:t>预测时段</w:t>
      </w:r>
    </w:p>
    <w:p>
      <w:pPr>
        <w:ind w:firstLine="480"/>
        <w:rPr>
          <w:color w:val="auto"/>
          <w:highlight w:val="none"/>
        </w:rPr>
      </w:pPr>
      <w:r>
        <w:rPr>
          <w:rFonts w:hint="eastAsia"/>
          <w:color w:val="auto"/>
          <w:highlight w:val="none"/>
        </w:rPr>
        <w:t>根据工程分析，拟建项目对土壤环境的影响发生在施工期和运营期，主要发生在运行期，预测时段确定为运行期。</w:t>
      </w:r>
    </w:p>
    <w:p>
      <w:pPr>
        <w:pStyle w:val="2"/>
        <w:tabs>
          <w:tab w:val="left" w:pos="420"/>
        </w:tabs>
        <w:rPr>
          <w:color w:val="auto"/>
          <w:highlight w:val="none"/>
        </w:rPr>
      </w:pPr>
      <w:r>
        <w:rPr>
          <w:rFonts w:hint="eastAsia"/>
          <w:color w:val="auto"/>
          <w:highlight w:val="none"/>
        </w:rPr>
        <w:t>预测情景设定</w:t>
      </w:r>
    </w:p>
    <w:p>
      <w:pPr>
        <w:autoSpaceDE w:val="0"/>
        <w:autoSpaceDN w:val="0"/>
        <w:ind w:firstLine="480"/>
        <w:jc w:val="left"/>
        <w:rPr>
          <w:rFonts w:cs="Times New Roman"/>
          <w:color w:val="auto"/>
          <w:kern w:val="0"/>
          <w:highlight w:val="none"/>
          <w:lang w:val="zh-CN" w:bidi="zh-CN"/>
        </w:rPr>
      </w:pPr>
      <w:r>
        <w:rPr>
          <w:rFonts w:cs="Times New Roman"/>
          <w:color w:val="auto"/>
          <w:kern w:val="0"/>
          <w:highlight w:val="none"/>
          <w:lang w:val="zh-CN" w:bidi="zh-CN"/>
        </w:rPr>
        <w:t>项目</w:t>
      </w:r>
      <w:r>
        <w:rPr>
          <w:rFonts w:hint="eastAsia" w:cs="Times New Roman"/>
          <w:color w:val="auto"/>
          <w:kern w:val="0"/>
          <w:highlight w:val="none"/>
          <w:lang w:val="en-US" w:bidi="zh-CN"/>
        </w:rPr>
        <w:t>池体</w:t>
      </w:r>
      <w:r>
        <w:rPr>
          <w:rFonts w:cs="Times New Roman"/>
          <w:color w:val="auto"/>
          <w:kern w:val="0"/>
          <w:highlight w:val="none"/>
          <w:lang w:val="zh-CN" w:bidi="zh-CN"/>
        </w:rPr>
        <w:t>一旦发生破损，</w:t>
      </w:r>
      <w:r>
        <w:rPr>
          <w:rFonts w:hint="eastAsia" w:cs="Times New Roman"/>
          <w:color w:val="auto"/>
          <w:kern w:val="0"/>
          <w:highlight w:val="none"/>
          <w:lang w:val="en-US" w:eastAsia="zh-CN" w:bidi="zh-CN"/>
        </w:rPr>
        <w:t>废水</w:t>
      </w:r>
      <w:r>
        <w:rPr>
          <w:rFonts w:cs="Times New Roman"/>
          <w:color w:val="auto"/>
          <w:kern w:val="0"/>
          <w:highlight w:val="none"/>
          <w:lang w:val="zh-CN" w:bidi="zh-CN"/>
        </w:rPr>
        <w:t>可能透过水泥防渗层进入土壤，造成垂直入渗影响。</w:t>
      </w:r>
    </w:p>
    <w:p>
      <w:pPr>
        <w:autoSpaceDE w:val="0"/>
        <w:autoSpaceDN w:val="0"/>
        <w:ind w:firstLine="480"/>
        <w:jc w:val="left"/>
        <w:rPr>
          <w:rFonts w:cs="Times New Roman"/>
          <w:color w:val="auto"/>
          <w:kern w:val="0"/>
          <w:highlight w:val="none"/>
          <w:lang w:val="zh-CN" w:bidi="zh-CN"/>
        </w:rPr>
      </w:pPr>
      <w:r>
        <w:rPr>
          <w:rFonts w:cs="Times New Roman"/>
          <w:color w:val="auto"/>
          <w:kern w:val="0"/>
          <w:highlight w:val="none"/>
          <w:lang w:val="zh-CN" w:bidi="zh-CN"/>
        </w:rPr>
        <w:t>本次评价考虑非正常状况下，</w:t>
      </w:r>
      <w:r>
        <w:rPr>
          <w:rFonts w:hint="eastAsia" w:cs="Times New Roman"/>
          <w:color w:val="auto"/>
          <w:kern w:val="0"/>
          <w:highlight w:val="none"/>
          <w:lang w:val="en-US" w:eastAsia="zh-CN" w:bidi="zh-CN"/>
        </w:rPr>
        <w:t>池体</w:t>
      </w:r>
      <w:r>
        <w:rPr>
          <w:rFonts w:cs="Times New Roman"/>
          <w:color w:val="auto"/>
          <w:kern w:val="0"/>
          <w:highlight w:val="none"/>
          <w:lang w:val="zh-CN" w:bidi="zh-CN"/>
        </w:rPr>
        <w:t>破裂后，</w:t>
      </w:r>
      <w:r>
        <w:rPr>
          <w:rFonts w:hint="eastAsia" w:cs="Times New Roman"/>
          <w:color w:val="auto"/>
          <w:kern w:val="0"/>
          <w:highlight w:val="none"/>
          <w:lang w:val="en-US" w:eastAsia="zh-CN" w:bidi="zh-CN"/>
        </w:rPr>
        <w:t>废水</w:t>
      </w:r>
      <w:r>
        <w:rPr>
          <w:rFonts w:cs="Times New Roman"/>
          <w:color w:val="auto"/>
          <w:kern w:val="0"/>
          <w:highlight w:val="none"/>
          <w:lang w:val="zh-CN" w:bidi="zh-CN"/>
        </w:rPr>
        <w:t>下渗对土壤环境的影响。</w:t>
      </w:r>
    </w:p>
    <w:p>
      <w:pPr>
        <w:autoSpaceDE w:val="0"/>
        <w:autoSpaceDN w:val="0"/>
        <w:ind w:firstLine="480"/>
        <w:jc w:val="left"/>
        <w:rPr>
          <w:rFonts w:cs="Times New Roman"/>
          <w:color w:val="auto"/>
          <w:kern w:val="0"/>
          <w:highlight w:val="none"/>
          <w:lang w:val="zh-CN" w:bidi="zh-CN"/>
        </w:rPr>
      </w:pPr>
      <w:r>
        <w:rPr>
          <w:rFonts w:cs="Times New Roman"/>
          <w:color w:val="auto"/>
          <w:kern w:val="0"/>
          <w:highlight w:val="none"/>
          <w:lang w:val="zh-CN" w:bidi="zh-CN"/>
        </w:rPr>
        <w:t>预测点选取为</w:t>
      </w:r>
      <w:r>
        <w:rPr>
          <w:rFonts w:hint="eastAsia" w:cs="Times New Roman"/>
          <w:color w:val="auto"/>
          <w:kern w:val="0"/>
          <w:highlight w:val="none"/>
          <w:lang w:val="en-US" w:bidi="zh-CN"/>
        </w:rPr>
        <w:t>废水</w:t>
      </w:r>
      <w:r>
        <w:rPr>
          <w:rFonts w:cs="Times New Roman"/>
          <w:color w:val="auto"/>
          <w:kern w:val="0"/>
          <w:highlight w:val="none"/>
          <w:lang w:val="zh-CN" w:bidi="zh-CN"/>
        </w:rPr>
        <w:t>发生破裂渗漏。</w:t>
      </w:r>
    </w:p>
    <w:p>
      <w:pPr>
        <w:autoSpaceDE w:val="0"/>
        <w:autoSpaceDN w:val="0"/>
        <w:ind w:firstLine="480"/>
        <w:jc w:val="left"/>
        <w:rPr>
          <w:rFonts w:cs="Times New Roman"/>
          <w:color w:val="auto"/>
          <w:kern w:val="0"/>
          <w:highlight w:val="none"/>
          <w:lang w:val="zh-CN" w:bidi="zh-CN"/>
        </w:rPr>
      </w:pPr>
      <w:r>
        <w:rPr>
          <w:rFonts w:cs="Times New Roman"/>
          <w:color w:val="auto"/>
          <w:kern w:val="0"/>
          <w:highlight w:val="none"/>
          <w:lang w:val="zh-CN" w:bidi="zh-CN"/>
        </w:rPr>
        <w:t>采用《环境影响评价技术导则土壤环境》（HJ964-2018）附录E中一维非饱和溶质运移模型预测方法进行入渗影响预测，控制方程为：</w:t>
      </w:r>
    </w:p>
    <w:p>
      <w:pPr>
        <w:autoSpaceDE w:val="0"/>
        <w:autoSpaceDN w:val="0"/>
        <w:ind w:firstLine="480"/>
        <w:jc w:val="left"/>
        <w:rPr>
          <w:rFonts w:cs="Times New Roman"/>
          <w:color w:val="auto"/>
          <w:kern w:val="0"/>
          <w:highlight w:val="none"/>
          <w:lang w:val="zh-CN" w:bidi="zh-CN"/>
        </w:rPr>
      </w:pPr>
      <w:r>
        <w:rPr>
          <w:rFonts w:cs="Times New Roman"/>
          <w:color w:val="auto"/>
          <w:kern w:val="0"/>
          <w:highlight w:val="none"/>
          <w:lang w:val="zh-CN" w:bidi="zh-CN"/>
        </w:rPr>
        <w:drawing>
          <wp:inline distT="0" distB="0" distL="114300" distR="114300">
            <wp:extent cx="2409825" cy="469265"/>
            <wp:effectExtent l="0" t="0" r="9525" b="6985"/>
            <wp:docPr id="124" name="IM 776"/>
            <wp:cNvGraphicFramePr/>
            <a:graphic xmlns:a="http://schemas.openxmlformats.org/drawingml/2006/main">
              <a:graphicData uri="http://schemas.openxmlformats.org/drawingml/2006/picture">
                <pic:pic xmlns:pic="http://schemas.openxmlformats.org/drawingml/2006/picture">
                  <pic:nvPicPr>
                    <pic:cNvPr id="124" name="IM 776"/>
                    <pic:cNvPicPr/>
                  </pic:nvPicPr>
                  <pic:blipFill>
                    <a:blip r:embed="rId51"/>
                    <a:stretch>
                      <a:fillRect/>
                    </a:stretch>
                  </pic:blipFill>
                  <pic:spPr>
                    <a:xfrm>
                      <a:off x="0" y="0"/>
                      <a:ext cx="2409825" cy="469265"/>
                    </a:xfrm>
                    <a:prstGeom prst="rect">
                      <a:avLst/>
                    </a:prstGeom>
                    <a:noFill/>
                    <a:ln>
                      <a:noFill/>
                    </a:ln>
                  </pic:spPr>
                </pic:pic>
              </a:graphicData>
            </a:graphic>
          </wp:inline>
        </w:drawing>
      </w:r>
    </w:p>
    <w:p>
      <w:pPr>
        <w:autoSpaceDE w:val="0"/>
        <w:autoSpaceDN w:val="0"/>
        <w:ind w:firstLine="480"/>
        <w:jc w:val="left"/>
        <w:rPr>
          <w:rFonts w:cs="Times New Roman"/>
          <w:color w:val="auto"/>
          <w:kern w:val="0"/>
          <w:highlight w:val="none"/>
          <w:lang w:val="zh-CN" w:bidi="zh-CN"/>
        </w:rPr>
      </w:pPr>
      <w:r>
        <w:rPr>
          <w:rFonts w:cs="Times New Roman"/>
          <w:color w:val="auto"/>
          <w:kern w:val="0"/>
          <w:highlight w:val="none"/>
          <w:lang w:val="zh-CN" w:bidi="zh-CN"/>
        </w:rPr>
        <w:t>式中：c</w:t>
      </w:r>
      <w:r>
        <w:rPr>
          <w:rFonts w:hint="eastAsia" w:cs="Times New Roman"/>
          <w:color w:val="auto"/>
          <w:kern w:val="0"/>
          <w:highlight w:val="none"/>
          <w:lang w:val="zh-CN" w:eastAsia="zh-CN" w:bidi="zh-CN"/>
        </w:rPr>
        <w:t>-</w:t>
      </w:r>
      <w:r>
        <w:rPr>
          <w:rFonts w:cs="Times New Roman"/>
          <w:color w:val="auto"/>
          <w:kern w:val="0"/>
          <w:highlight w:val="none"/>
          <w:lang w:val="zh-CN" w:bidi="zh-CN"/>
        </w:rPr>
        <w:t>污染物介质中的浓度，mg/L；</w:t>
      </w:r>
    </w:p>
    <w:p>
      <w:pPr>
        <w:autoSpaceDE w:val="0"/>
        <w:autoSpaceDN w:val="0"/>
        <w:ind w:firstLine="480"/>
        <w:jc w:val="left"/>
        <w:rPr>
          <w:rFonts w:cs="Times New Roman"/>
          <w:color w:val="auto"/>
          <w:kern w:val="0"/>
          <w:highlight w:val="none"/>
          <w:lang w:val="zh-CN" w:bidi="zh-CN"/>
        </w:rPr>
      </w:pPr>
      <w:r>
        <w:rPr>
          <w:rFonts w:cs="Times New Roman"/>
          <w:color w:val="auto"/>
          <w:kern w:val="0"/>
          <w:highlight w:val="none"/>
          <w:lang w:val="zh-CN" w:bidi="zh-CN"/>
        </w:rPr>
        <w:t>D</w:t>
      </w:r>
      <w:r>
        <w:rPr>
          <w:rFonts w:hint="eastAsia" w:cs="Times New Roman"/>
          <w:color w:val="auto"/>
          <w:kern w:val="0"/>
          <w:highlight w:val="none"/>
          <w:lang w:val="zh-CN" w:eastAsia="zh-CN" w:bidi="zh-CN"/>
        </w:rPr>
        <w:t>-</w:t>
      </w:r>
      <w:r>
        <w:rPr>
          <w:rFonts w:cs="Times New Roman"/>
          <w:color w:val="auto"/>
          <w:kern w:val="0"/>
          <w:highlight w:val="none"/>
          <w:lang w:val="zh-CN" w:bidi="zh-CN"/>
        </w:rPr>
        <w:t>弥散系数，m</w:t>
      </w:r>
      <w:r>
        <w:rPr>
          <w:rFonts w:cs="Times New Roman"/>
          <w:color w:val="auto"/>
          <w:kern w:val="0"/>
          <w:highlight w:val="none"/>
          <w:vertAlign w:val="superscript"/>
          <w:lang w:val="zh-CN" w:bidi="zh-CN"/>
        </w:rPr>
        <w:t>2</w:t>
      </w:r>
      <w:r>
        <w:rPr>
          <w:rFonts w:cs="Times New Roman"/>
          <w:color w:val="auto"/>
          <w:kern w:val="0"/>
          <w:highlight w:val="none"/>
          <w:lang w:val="zh-CN" w:bidi="zh-CN"/>
        </w:rPr>
        <w:t>/d；</w:t>
      </w:r>
    </w:p>
    <w:p>
      <w:pPr>
        <w:autoSpaceDE w:val="0"/>
        <w:autoSpaceDN w:val="0"/>
        <w:ind w:firstLine="480"/>
        <w:jc w:val="left"/>
        <w:rPr>
          <w:rFonts w:cs="Times New Roman"/>
          <w:color w:val="auto"/>
          <w:kern w:val="0"/>
          <w:highlight w:val="none"/>
          <w:lang w:val="zh-CN" w:bidi="zh-CN"/>
        </w:rPr>
      </w:pPr>
      <w:r>
        <w:rPr>
          <w:rFonts w:cs="Times New Roman"/>
          <w:color w:val="auto"/>
          <w:kern w:val="0"/>
          <w:highlight w:val="none"/>
          <w:lang w:val="zh-CN" w:bidi="zh-CN"/>
        </w:rPr>
        <w:t>q</w:t>
      </w:r>
      <w:r>
        <w:rPr>
          <w:rFonts w:hint="eastAsia" w:cs="Times New Roman"/>
          <w:color w:val="auto"/>
          <w:kern w:val="0"/>
          <w:highlight w:val="none"/>
          <w:lang w:val="zh-CN" w:eastAsia="zh-CN" w:bidi="zh-CN"/>
        </w:rPr>
        <w:t>-</w:t>
      </w:r>
      <w:r>
        <w:rPr>
          <w:rFonts w:cs="Times New Roman"/>
          <w:color w:val="auto"/>
          <w:kern w:val="0"/>
          <w:highlight w:val="none"/>
          <w:lang w:val="zh-CN" w:bidi="zh-CN"/>
        </w:rPr>
        <w:t>渗流速率，m/d；</w:t>
      </w:r>
    </w:p>
    <w:p>
      <w:pPr>
        <w:autoSpaceDE w:val="0"/>
        <w:autoSpaceDN w:val="0"/>
        <w:ind w:firstLine="480"/>
        <w:jc w:val="left"/>
        <w:rPr>
          <w:rFonts w:cs="Times New Roman"/>
          <w:color w:val="auto"/>
          <w:kern w:val="0"/>
          <w:highlight w:val="none"/>
          <w:lang w:val="zh-CN" w:bidi="zh-CN"/>
        </w:rPr>
      </w:pPr>
      <w:r>
        <w:rPr>
          <w:rFonts w:cs="Times New Roman"/>
          <w:color w:val="auto"/>
          <w:kern w:val="0"/>
          <w:highlight w:val="none"/>
          <w:lang w:val="zh-CN" w:bidi="zh-CN"/>
        </w:rPr>
        <w:t>z</w:t>
      </w:r>
      <w:r>
        <w:rPr>
          <w:rFonts w:hint="eastAsia" w:cs="Times New Roman"/>
          <w:color w:val="auto"/>
          <w:kern w:val="0"/>
          <w:highlight w:val="none"/>
          <w:lang w:val="zh-CN" w:eastAsia="zh-CN" w:bidi="zh-CN"/>
        </w:rPr>
        <w:t>-</w:t>
      </w:r>
      <w:r>
        <w:rPr>
          <w:rFonts w:cs="Times New Roman"/>
          <w:color w:val="auto"/>
          <w:kern w:val="0"/>
          <w:highlight w:val="none"/>
          <w:lang w:val="zh-CN" w:bidi="zh-CN"/>
        </w:rPr>
        <w:t>沿z轴的距离，m；</w:t>
      </w:r>
    </w:p>
    <w:p>
      <w:pPr>
        <w:autoSpaceDE w:val="0"/>
        <w:autoSpaceDN w:val="0"/>
        <w:ind w:firstLine="480"/>
        <w:jc w:val="left"/>
        <w:rPr>
          <w:rFonts w:cs="Times New Roman"/>
          <w:color w:val="auto"/>
          <w:kern w:val="0"/>
          <w:highlight w:val="none"/>
          <w:lang w:val="zh-CN" w:bidi="zh-CN"/>
        </w:rPr>
      </w:pPr>
      <w:r>
        <w:rPr>
          <w:rFonts w:cs="Times New Roman"/>
          <w:color w:val="auto"/>
          <w:kern w:val="0"/>
          <w:highlight w:val="none"/>
          <w:lang w:val="zh-CN" w:bidi="zh-CN"/>
        </w:rPr>
        <w:t>t</w:t>
      </w:r>
      <w:r>
        <w:rPr>
          <w:rFonts w:hint="eastAsia" w:cs="Times New Roman"/>
          <w:color w:val="auto"/>
          <w:kern w:val="0"/>
          <w:highlight w:val="none"/>
          <w:lang w:val="zh-CN" w:eastAsia="zh-CN" w:bidi="zh-CN"/>
        </w:rPr>
        <w:t>-</w:t>
      </w:r>
      <w:r>
        <w:rPr>
          <w:rFonts w:cs="Times New Roman"/>
          <w:color w:val="auto"/>
          <w:kern w:val="0"/>
          <w:highlight w:val="none"/>
          <w:lang w:val="zh-CN" w:bidi="zh-CN"/>
        </w:rPr>
        <w:t>时间变量，d：</w:t>
      </w:r>
    </w:p>
    <w:p>
      <w:pPr>
        <w:autoSpaceDE w:val="0"/>
        <w:autoSpaceDN w:val="0"/>
        <w:ind w:firstLine="480"/>
        <w:jc w:val="left"/>
        <w:rPr>
          <w:rFonts w:cs="Times New Roman"/>
          <w:color w:val="auto"/>
          <w:kern w:val="0"/>
          <w:highlight w:val="none"/>
          <w:lang w:val="zh-CN" w:bidi="zh-CN"/>
        </w:rPr>
      </w:pPr>
      <w:r>
        <w:rPr>
          <w:rFonts w:cs="Times New Roman"/>
          <w:color w:val="auto"/>
          <w:kern w:val="0"/>
          <w:highlight w:val="none"/>
          <w:lang w:val="zh-CN" w:bidi="zh-CN"/>
        </w:rPr>
        <w:t>θ</w:t>
      </w:r>
      <w:r>
        <w:rPr>
          <w:rFonts w:hint="eastAsia" w:cs="Times New Roman"/>
          <w:color w:val="auto"/>
          <w:kern w:val="0"/>
          <w:highlight w:val="none"/>
          <w:lang w:val="zh-CN" w:eastAsia="zh-CN" w:bidi="zh-CN"/>
        </w:rPr>
        <w:t>-</w:t>
      </w:r>
      <w:r>
        <w:rPr>
          <w:rFonts w:cs="Times New Roman"/>
          <w:color w:val="auto"/>
          <w:kern w:val="0"/>
          <w:highlight w:val="none"/>
          <w:lang w:val="zh-CN" w:bidi="zh-CN"/>
        </w:rPr>
        <w:t>土壤含水率，%。</w:t>
      </w:r>
    </w:p>
    <w:p>
      <w:pPr>
        <w:autoSpaceDE w:val="0"/>
        <w:autoSpaceDN w:val="0"/>
        <w:ind w:firstLine="480"/>
        <w:jc w:val="left"/>
        <w:rPr>
          <w:rFonts w:cs="Times New Roman"/>
          <w:color w:val="auto"/>
          <w:kern w:val="0"/>
          <w:highlight w:val="none"/>
          <w:lang w:val="zh-CN" w:bidi="zh-CN"/>
        </w:rPr>
      </w:pPr>
      <w:r>
        <w:rPr>
          <w:rFonts w:cs="Times New Roman"/>
          <w:color w:val="auto"/>
          <w:kern w:val="0"/>
          <w:highlight w:val="none"/>
          <w:lang w:val="zh-CN" w:bidi="zh-CN"/>
        </w:rPr>
        <w:t>在本次预测与评价中应用HYDRUS软件求解包气带中的水分与溶质迁移方程。HYDRUS是由美国国家盐改中心（USSalinitylaboratory）于1991年成功开发的一套用于模拟饱和多孔介质中水分、能量、溶质运移的数值模型。经改进与完善，得到了广泛的认可与应用。能够较好地模拟水分、溶质与能量在土壤中的分布，时空变化，运移规律，分析人们普遍关注的农田灌溉、田间施肥、环境污染等实际问题。它也可以与其他地下水、地表水模型相结合，从宏观上分析水资源的转化规律。后经过众多学者的开发研究，HYDRUS的功能更加完善，已经非常成功地应用于世界各地地下饱和、非饱和带污染物</w:t>
      </w:r>
      <w:r>
        <w:rPr>
          <w:rFonts w:hint="eastAsia" w:cs="Times New Roman"/>
          <w:color w:val="auto"/>
          <w:kern w:val="0"/>
          <w:highlight w:val="none"/>
          <w:lang w:val="zh-CN" w:bidi="zh-CN"/>
        </w:rPr>
        <w:t>迁移</w:t>
      </w:r>
      <w:r>
        <w:rPr>
          <w:rFonts w:cs="Times New Roman"/>
          <w:color w:val="auto"/>
          <w:kern w:val="0"/>
          <w:highlight w:val="none"/>
          <w:lang w:val="zh-CN" w:bidi="zh-CN"/>
        </w:rPr>
        <w:t>研究。</w:t>
      </w:r>
    </w:p>
    <w:p>
      <w:pPr>
        <w:bidi w:val="0"/>
        <w:rPr>
          <w:lang w:val="zh-CN"/>
        </w:rPr>
      </w:pPr>
      <w:bookmarkStart w:id="182" w:name="_Toc10888"/>
      <w:r>
        <w:rPr>
          <w:lang w:val="zh-CN"/>
        </w:rPr>
        <w:t>1、模型建立</w:t>
      </w:r>
      <w:bookmarkEnd w:id="182"/>
    </w:p>
    <w:p>
      <w:pPr>
        <w:autoSpaceDE w:val="0"/>
        <w:autoSpaceDN w:val="0"/>
        <w:ind w:firstLine="480"/>
        <w:jc w:val="left"/>
        <w:rPr>
          <w:rFonts w:cs="Times New Roman"/>
          <w:color w:val="auto"/>
          <w:kern w:val="0"/>
          <w:highlight w:val="none"/>
          <w:lang w:val="zh-CN" w:bidi="zh-CN"/>
        </w:rPr>
      </w:pPr>
      <w:r>
        <w:rPr>
          <w:rFonts w:cs="Times New Roman"/>
          <w:color w:val="auto"/>
          <w:kern w:val="0"/>
          <w:highlight w:val="none"/>
          <w:lang w:val="zh-CN" w:bidi="zh-CN"/>
        </w:rPr>
        <w:t>（1）包气带岩性分区</w:t>
      </w:r>
    </w:p>
    <w:p>
      <w:pPr>
        <w:autoSpaceDE w:val="0"/>
        <w:autoSpaceDN w:val="0"/>
        <w:ind w:firstLine="480"/>
        <w:jc w:val="left"/>
        <w:rPr>
          <w:rFonts w:cs="Times New Roman"/>
          <w:color w:val="auto"/>
          <w:kern w:val="0"/>
          <w:highlight w:val="none"/>
          <w:lang w:val="zh-CN" w:bidi="zh-CN"/>
        </w:rPr>
      </w:pPr>
      <w:r>
        <w:rPr>
          <w:rFonts w:cs="Times New Roman"/>
          <w:color w:val="auto"/>
          <w:kern w:val="0"/>
          <w:highlight w:val="none"/>
          <w:lang w:val="zh-CN" w:bidi="zh-CN"/>
        </w:rPr>
        <w:t>根据《工程地下水环境影响评价专项环境水文地质勘查报告》，本评价区地貌成因属侵蚀堆积地貌，主要位于山前冲洪积细土平原区，总体地势北高南低，东高西低，地表较为平坦。地表岩性主要为亚砂土、亚粘土，底部泥岩可作为隔水底板，模型中假定地下水水位于隔水底板以上1m处。</w:t>
      </w:r>
    </w:p>
    <w:p>
      <w:pPr>
        <w:autoSpaceDE w:val="0"/>
        <w:autoSpaceDN w:val="0"/>
        <w:ind w:firstLine="480"/>
        <w:jc w:val="left"/>
        <w:rPr>
          <w:rFonts w:cs="Times New Roman"/>
          <w:color w:val="auto"/>
          <w:kern w:val="0"/>
          <w:highlight w:val="none"/>
          <w:lang w:val="zh-CN" w:bidi="zh-CN"/>
        </w:rPr>
      </w:pPr>
      <w:r>
        <w:rPr>
          <w:rFonts w:cs="Times New Roman"/>
          <w:color w:val="auto"/>
          <w:kern w:val="0"/>
          <w:highlight w:val="none"/>
          <w:lang w:val="zh-CN" w:bidi="zh-CN"/>
        </w:rPr>
        <w:t>因此，将本项目土壤结构概化为一层，为亚砂土，厚度约5m，上边界为地表，下边界为隔水底板，模型总厚度为5m。</w:t>
      </w:r>
    </w:p>
    <w:p>
      <w:pPr>
        <w:autoSpaceDE w:val="0"/>
        <w:autoSpaceDN w:val="0"/>
        <w:ind w:firstLine="480"/>
        <w:jc w:val="left"/>
        <w:rPr>
          <w:rFonts w:cs="Times New Roman"/>
          <w:color w:val="auto"/>
          <w:kern w:val="0"/>
          <w:highlight w:val="none"/>
          <w:lang w:val="zh-CN" w:bidi="zh-CN"/>
        </w:rPr>
      </w:pPr>
      <w:r>
        <w:rPr>
          <w:rFonts w:cs="Times New Roman"/>
          <w:color w:val="auto"/>
          <w:kern w:val="0"/>
          <w:highlight w:val="none"/>
          <w:lang w:val="zh-CN" w:bidi="zh-CN"/>
        </w:rPr>
        <w:t>（2）初始条件</w:t>
      </w:r>
    </w:p>
    <w:p>
      <w:pPr>
        <w:autoSpaceDE w:val="0"/>
        <w:autoSpaceDN w:val="0"/>
        <w:ind w:firstLine="480"/>
        <w:jc w:val="left"/>
        <w:rPr>
          <w:rFonts w:cs="Times New Roman"/>
          <w:color w:val="auto"/>
          <w:kern w:val="0"/>
          <w:highlight w:val="none"/>
          <w:lang w:val="zh-CN" w:bidi="zh-CN"/>
        </w:rPr>
      </w:pPr>
      <w:r>
        <w:rPr>
          <w:rFonts w:cs="Times New Roman"/>
          <w:color w:val="auto"/>
          <w:kern w:val="0"/>
          <w:highlight w:val="none"/>
          <w:lang w:val="zh-CN" w:bidi="zh-CN"/>
        </w:rPr>
        <w:t>水流模型：先使用插值的含水率、压力水头值进行100天的计算，以100天时的稳定计算结果作为初始条件。</w:t>
      </w:r>
    </w:p>
    <w:p>
      <w:pPr>
        <w:autoSpaceDE w:val="0"/>
        <w:autoSpaceDN w:val="0"/>
        <w:ind w:firstLine="480"/>
        <w:jc w:val="left"/>
        <w:rPr>
          <w:rFonts w:cs="Times New Roman"/>
          <w:color w:val="auto"/>
          <w:kern w:val="0"/>
          <w:highlight w:val="none"/>
          <w:lang w:val="zh-CN" w:bidi="zh-CN"/>
        </w:rPr>
      </w:pPr>
      <w:r>
        <w:rPr>
          <w:rFonts w:cs="Times New Roman"/>
          <w:color w:val="auto"/>
          <w:kern w:val="0"/>
          <w:highlight w:val="none"/>
          <w:lang w:val="zh-CN" w:bidi="zh-CN"/>
        </w:rPr>
        <w:t>溶质运移模型：模拟预测的各污染物初始浓度均设定为</w:t>
      </w:r>
      <w:r>
        <w:rPr>
          <w:rFonts w:hint="eastAsia" w:cs="Times New Roman"/>
          <w:color w:val="auto"/>
          <w:kern w:val="0"/>
          <w:highlight w:val="none"/>
          <w:lang w:val="en-US" w:bidi="zh-CN"/>
        </w:rPr>
        <w:t>600</w:t>
      </w:r>
      <w:r>
        <w:rPr>
          <w:rFonts w:cs="Times New Roman"/>
          <w:color w:val="auto"/>
          <w:kern w:val="0"/>
          <w:highlight w:val="none"/>
          <w:lang w:val="zh-CN" w:bidi="zh-CN"/>
        </w:rPr>
        <w:t>mg/L。</w:t>
      </w:r>
    </w:p>
    <w:p>
      <w:pPr>
        <w:autoSpaceDE w:val="0"/>
        <w:autoSpaceDN w:val="0"/>
        <w:ind w:firstLine="480"/>
        <w:jc w:val="left"/>
        <w:rPr>
          <w:rFonts w:cs="Times New Roman"/>
          <w:color w:val="auto"/>
          <w:kern w:val="0"/>
          <w:highlight w:val="none"/>
          <w:lang w:val="zh-CN" w:bidi="zh-CN"/>
        </w:rPr>
      </w:pPr>
      <w:r>
        <w:rPr>
          <w:rFonts w:cs="Times New Roman"/>
          <w:color w:val="auto"/>
          <w:kern w:val="0"/>
          <w:highlight w:val="none"/>
          <w:lang w:val="zh-CN" w:bidi="zh-CN"/>
        </w:rPr>
        <w:t>（3）边界条件</w:t>
      </w:r>
    </w:p>
    <w:p>
      <w:pPr>
        <w:autoSpaceDE w:val="0"/>
        <w:autoSpaceDN w:val="0"/>
        <w:ind w:firstLine="480"/>
        <w:jc w:val="left"/>
        <w:rPr>
          <w:rFonts w:cs="Times New Roman"/>
          <w:color w:val="auto"/>
          <w:kern w:val="0"/>
          <w:highlight w:val="none"/>
          <w:lang w:val="zh-CN" w:bidi="zh-CN"/>
        </w:rPr>
      </w:pPr>
      <w:r>
        <w:rPr>
          <w:rFonts w:cs="Times New Roman"/>
          <w:color w:val="auto"/>
          <w:kern w:val="0"/>
          <w:highlight w:val="none"/>
          <w:lang w:val="zh-CN" w:bidi="zh-CN"/>
        </w:rPr>
        <w:t>上边界：上边界为流量边界，设定上边界压强为大气压，计算得到流量土层的穿透作用，降水量按多年平均降水量44.9mm确定，考虑到本次预测的装置区均进行防渗处理，因此在实际运营期，包气带达到饱和含水率的时间要长于本次预测时间，预测结论为保守考虑。</w:t>
      </w:r>
    </w:p>
    <w:p>
      <w:pPr>
        <w:autoSpaceDE w:val="0"/>
        <w:autoSpaceDN w:val="0"/>
        <w:ind w:firstLine="480"/>
        <w:jc w:val="left"/>
        <w:rPr>
          <w:rFonts w:cs="Times New Roman"/>
          <w:color w:val="auto"/>
          <w:kern w:val="0"/>
          <w:highlight w:val="none"/>
          <w:lang w:val="zh-CN" w:bidi="zh-CN"/>
        </w:rPr>
      </w:pPr>
      <w:r>
        <w:rPr>
          <w:rFonts w:cs="Times New Roman"/>
          <w:color w:val="auto"/>
          <w:kern w:val="0"/>
          <w:highlight w:val="none"/>
          <w:lang w:val="zh-CN" w:bidi="zh-CN"/>
        </w:rPr>
        <w:t>本次预测考虑非正常状况的</w:t>
      </w:r>
      <w:r>
        <w:rPr>
          <w:rFonts w:hint="eastAsia" w:cs="Times New Roman"/>
          <w:color w:val="auto"/>
          <w:kern w:val="0"/>
          <w:highlight w:val="none"/>
          <w:lang w:val="en-US" w:eastAsia="zh-CN" w:bidi="zh-CN"/>
        </w:rPr>
        <w:t>废水</w:t>
      </w:r>
      <w:r>
        <w:rPr>
          <w:rFonts w:cs="Times New Roman"/>
          <w:color w:val="auto"/>
          <w:kern w:val="0"/>
          <w:highlight w:val="none"/>
          <w:lang w:val="zh-CN" w:bidi="zh-CN"/>
        </w:rPr>
        <w:t>下渗，各预测区入渗量见下表，预测持续时间设定为持续渗漏（结合土壤监测频次），上边界压力水头取各装置区的出水深度。</w:t>
      </w:r>
    </w:p>
    <w:p>
      <w:pPr>
        <w:widowControl w:val="0"/>
        <w:autoSpaceDE w:val="0"/>
        <w:autoSpaceDN w:val="0"/>
        <w:bidi w:val="0"/>
        <w:spacing w:line="240" w:lineRule="auto"/>
        <w:ind w:firstLine="0" w:firstLineChars="0"/>
        <w:jc w:val="center"/>
        <w:rPr>
          <w:rFonts w:hint="eastAsia" w:ascii="黑体" w:hAnsi="黑体" w:eastAsia="黑体" w:cs="黑体"/>
          <w:b w:val="0"/>
          <w:bCs/>
          <w:color w:val="auto"/>
          <w:sz w:val="24"/>
          <w:szCs w:val="24"/>
          <w:highlight w:val="none"/>
          <w:lang w:val="zh-CN" w:eastAsia="zh-CN" w:bidi="zh-CN"/>
        </w:rPr>
      </w:pPr>
      <w:r>
        <w:rPr>
          <w:rFonts w:hint="eastAsia" w:ascii="黑体" w:hAnsi="黑体" w:eastAsia="黑体" w:cs="黑体"/>
          <w:b w:val="0"/>
          <w:bCs/>
          <w:color w:val="auto"/>
          <w:sz w:val="24"/>
          <w:szCs w:val="24"/>
          <w:highlight w:val="none"/>
          <w:lang w:val="zh-CN" w:eastAsia="zh-CN" w:bidi="zh-CN"/>
        </w:rPr>
        <w:t>表</w:t>
      </w:r>
      <w:r>
        <w:rPr>
          <w:rFonts w:hint="eastAsia" w:ascii="黑体" w:hAnsi="黑体" w:eastAsia="黑体" w:cs="黑体"/>
          <w:b w:val="0"/>
          <w:bCs/>
          <w:color w:val="auto"/>
          <w:sz w:val="24"/>
          <w:szCs w:val="24"/>
          <w:highlight w:val="none"/>
          <w:lang w:val="en-US" w:eastAsia="zh-CN" w:bidi="zh-CN"/>
        </w:rPr>
        <w:t>5.2-19</w:t>
      </w:r>
      <w:r>
        <w:rPr>
          <w:rFonts w:hint="eastAsia" w:ascii="黑体" w:hAnsi="黑体" w:eastAsia="黑体" w:cs="黑体"/>
          <w:b w:val="0"/>
          <w:bCs/>
          <w:color w:val="auto"/>
          <w:sz w:val="24"/>
          <w:szCs w:val="24"/>
          <w:highlight w:val="none"/>
          <w:lang w:val="zh-CN" w:eastAsia="zh-CN" w:bidi="zh-CN"/>
        </w:rPr>
        <w:t>预测区域污染物渗漏浓度一览表</w:t>
      </w:r>
    </w:p>
    <w:tbl>
      <w:tblPr>
        <w:tblStyle w:val="33"/>
        <w:tblW w:w="8532" w:type="dxa"/>
        <w:tblInd w:w="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54"/>
        <w:gridCol w:w="1761"/>
        <w:gridCol w:w="2306"/>
        <w:gridCol w:w="1761"/>
        <w:gridCol w:w="135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1354" w:type="dxa"/>
            <w:tcBorders>
              <w:top w:val="single" w:color="000000" w:sz="2" w:space="0"/>
              <w:left w:val="single" w:color="000000" w:sz="2" w:space="0"/>
              <w:bottom w:val="single" w:color="000000" w:sz="4" w:space="0"/>
              <w:right w:val="single" w:color="000000" w:sz="4" w:space="0"/>
            </w:tcBorders>
            <w:shd w:val="clear" w:color="auto" w:fill="FFFFFF"/>
            <w:noWrap w:val="0"/>
            <w:vAlign w:val="center"/>
          </w:tcPr>
          <w:p>
            <w:pPr>
              <w:autoSpaceDE w:val="0"/>
              <w:autoSpaceDN w:val="0"/>
              <w:spacing w:line="240" w:lineRule="auto"/>
              <w:ind w:firstLine="0" w:firstLineChars="0"/>
              <w:jc w:val="center"/>
              <w:rPr>
                <w:rFonts w:cs="Times New Roman"/>
                <w:color w:val="auto"/>
                <w:kern w:val="0"/>
                <w:sz w:val="21"/>
                <w:szCs w:val="21"/>
                <w:highlight w:val="none"/>
                <w:lang w:val="zh-CN" w:bidi="zh-CN"/>
              </w:rPr>
            </w:pPr>
            <w:r>
              <w:rPr>
                <w:rFonts w:cs="Times New Roman"/>
                <w:color w:val="auto"/>
                <w:spacing w:val="-2"/>
                <w:kern w:val="0"/>
                <w:sz w:val="21"/>
                <w:szCs w:val="21"/>
                <w:highlight w:val="none"/>
                <w:lang w:val="zh-CN" w:bidi="zh-CN"/>
              </w:rPr>
              <w:t>情景设</w:t>
            </w:r>
            <w:r>
              <w:rPr>
                <w:rFonts w:cs="Times New Roman"/>
                <w:color w:val="auto"/>
                <w:spacing w:val="-1"/>
                <w:kern w:val="0"/>
                <w:sz w:val="21"/>
                <w:szCs w:val="21"/>
                <w:highlight w:val="none"/>
                <w:lang w:val="zh-CN" w:bidi="zh-CN"/>
              </w:rPr>
              <w:t>定</w:t>
            </w:r>
          </w:p>
        </w:tc>
        <w:tc>
          <w:tcPr>
            <w:tcW w:w="1761" w:type="dxa"/>
            <w:tcBorders>
              <w:top w:val="single" w:color="000000" w:sz="2" w:space="0"/>
              <w:left w:val="single" w:color="000000" w:sz="4" w:space="0"/>
              <w:bottom w:val="single" w:color="000000" w:sz="4" w:space="0"/>
              <w:right w:val="single" w:color="000000" w:sz="4" w:space="0"/>
            </w:tcBorders>
            <w:shd w:val="clear" w:color="auto" w:fill="FFFFFF"/>
            <w:noWrap w:val="0"/>
            <w:vAlign w:val="center"/>
          </w:tcPr>
          <w:p>
            <w:pPr>
              <w:autoSpaceDE w:val="0"/>
              <w:autoSpaceDN w:val="0"/>
              <w:spacing w:line="240" w:lineRule="auto"/>
              <w:ind w:firstLine="0" w:firstLineChars="0"/>
              <w:jc w:val="center"/>
              <w:rPr>
                <w:rFonts w:cs="Times New Roman"/>
                <w:color w:val="auto"/>
                <w:kern w:val="0"/>
                <w:sz w:val="21"/>
                <w:szCs w:val="21"/>
                <w:highlight w:val="none"/>
                <w:lang w:val="zh-CN" w:bidi="zh-CN"/>
              </w:rPr>
            </w:pPr>
            <w:r>
              <w:rPr>
                <w:rFonts w:cs="Times New Roman"/>
                <w:color w:val="auto"/>
                <w:spacing w:val="-3"/>
                <w:kern w:val="0"/>
                <w:sz w:val="21"/>
                <w:szCs w:val="21"/>
                <w:highlight w:val="none"/>
                <w:lang w:val="zh-CN" w:bidi="zh-CN"/>
              </w:rPr>
              <w:t>渗</w:t>
            </w:r>
            <w:r>
              <w:rPr>
                <w:rFonts w:cs="Times New Roman"/>
                <w:color w:val="auto"/>
                <w:spacing w:val="-2"/>
                <w:kern w:val="0"/>
                <w:sz w:val="21"/>
                <w:szCs w:val="21"/>
                <w:highlight w:val="none"/>
                <w:lang w:val="zh-CN" w:bidi="zh-CN"/>
              </w:rPr>
              <w:t>漏点</w:t>
            </w:r>
          </w:p>
        </w:tc>
        <w:tc>
          <w:tcPr>
            <w:tcW w:w="2306" w:type="dxa"/>
            <w:tcBorders>
              <w:top w:val="single" w:color="000000" w:sz="2" w:space="0"/>
              <w:left w:val="single" w:color="000000" w:sz="4" w:space="0"/>
              <w:bottom w:val="single" w:color="000000" w:sz="4" w:space="0"/>
              <w:right w:val="single" w:color="000000" w:sz="4" w:space="0"/>
            </w:tcBorders>
            <w:shd w:val="clear" w:color="auto" w:fill="auto"/>
            <w:noWrap w:val="0"/>
            <w:vAlign w:val="center"/>
          </w:tcPr>
          <w:p>
            <w:pPr>
              <w:autoSpaceDE w:val="0"/>
              <w:autoSpaceDN w:val="0"/>
              <w:spacing w:line="240" w:lineRule="auto"/>
              <w:ind w:firstLine="0" w:firstLineChars="0"/>
              <w:jc w:val="center"/>
              <w:rPr>
                <w:rFonts w:cs="Times New Roman"/>
                <w:color w:val="auto"/>
                <w:kern w:val="0"/>
                <w:sz w:val="21"/>
                <w:szCs w:val="21"/>
                <w:highlight w:val="none"/>
                <w:lang w:val="zh-CN" w:bidi="zh-CN"/>
              </w:rPr>
            </w:pPr>
            <w:r>
              <w:rPr>
                <w:rFonts w:cs="Times New Roman"/>
                <w:color w:val="auto"/>
                <w:kern w:val="0"/>
                <w:highlight w:val="none"/>
                <w:lang w:val="zh-CN" w:bidi="zh-CN"/>
              </w:rPr>
              <w:drawing>
                <wp:anchor distT="0" distB="0" distL="0" distR="0" simplePos="0" relativeHeight="251668480" behindDoc="1" locked="0" layoutInCell="1" allowOverlap="1">
                  <wp:simplePos x="0" y="0"/>
                  <wp:positionH relativeFrom="column">
                    <wp:posOffset>0</wp:posOffset>
                  </wp:positionH>
                  <wp:positionV relativeFrom="paragraph">
                    <wp:posOffset>8890</wp:posOffset>
                  </wp:positionV>
                  <wp:extent cx="1454785" cy="215900"/>
                  <wp:effectExtent l="0" t="0" r="12065" b="12700"/>
                  <wp:wrapNone/>
                  <wp:docPr id="151" name="IM 777"/>
                  <wp:cNvGraphicFramePr/>
                  <a:graphic xmlns:a="http://schemas.openxmlformats.org/drawingml/2006/main">
                    <a:graphicData uri="http://schemas.openxmlformats.org/drawingml/2006/picture">
                      <pic:pic xmlns:pic="http://schemas.openxmlformats.org/drawingml/2006/picture">
                        <pic:nvPicPr>
                          <pic:cNvPr id="151" name="IM 777"/>
                          <pic:cNvPicPr/>
                        </pic:nvPicPr>
                        <pic:blipFill>
                          <a:blip r:embed="rId52"/>
                          <a:stretch>
                            <a:fillRect/>
                          </a:stretch>
                        </pic:blipFill>
                        <pic:spPr>
                          <a:xfrm>
                            <a:off x="0" y="0"/>
                            <a:ext cx="1454785" cy="215900"/>
                          </a:xfrm>
                          <a:prstGeom prst="rect">
                            <a:avLst/>
                          </a:prstGeom>
                          <a:noFill/>
                          <a:ln>
                            <a:noFill/>
                          </a:ln>
                        </pic:spPr>
                      </pic:pic>
                    </a:graphicData>
                  </a:graphic>
                </wp:anchor>
              </w:drawing>
            </w:r>
            <w:r>
              <w:rPr>
                <w:rFonts w:cs="Times New Roman"/>
                <w:color w:val="auto"/>
                <w:spacing w:val="-2"/>
                <w:kern w:val="0"/>
                <w:sz w:val="21"/>
                <w:szCs w:val="21"/>
                <w:highlight w:val="none"/>
                <w:lang w:val="zh-CN" w:bidi="zh-CN"/>
              </w:rPr>
              <w:t>特征</w:t>
            </w:r>
            <w:r>
              <w:rPr>
                <w:rFonts w:cs="Times New Roman"/>
                <w:color w:val="auto"/>
                <w:spacing w:val="-1"/>
                <w:kern w:val="0"/>
                <w:sz w:val="21"/>
                <w:szCs w:val="21"/>
                <w:highlight w:val="none"/>
                <w:lang w:val="zh-CN" w:bidi="zh-CN"/>
              </w:rPr>
              <w:t>污染物</w:t>
            </w:r>
          </w:p>
        </w:tc>
        <w:tc>
          <w:tcPr>
            <w:tcW w:w="1761" w:type="dxa"/>
            <w:tcBorders>
              <w:top w:val="single" w:color="000000" w:sz="2" w:space="0"/>
              <w:left w:val="single" w:color="000000" w:sz="4" w:space="0"/>
              <w:bottom w:val="single" w:color="000000" w:sz="4" w:space="0"/>
              <w:right w:val="single" w:color="000000" w:sz="4" w:space="0"/>
            </w:tcBorders>
            <w:shd w:val="clear" w:color="auto" w:fill="FFFFFF"/>
            <w:noWrap w:val="0"/>
            <w:vAlign w:val="center"/>
          </w:tcPr>
          <w:p>
            <w:pPr>
              <w:autoSpaceDE w:val="0"/>
              <w:autoSpaceDN w:val="0"/>
              <w:spacing w:line="240" w:lineRule="auto"/>
              <w:ind w:firstLine="0" w:firstLineChars="0"/>
              <w:jc w:val="center"/>
              <w:rPr>
                <w:rFonts w:cs="Times New Roman"/>
                <w:color w:val="auto"/>
                <w:kern w:val="0"/>
                <w:sz w:val="21"/>
                <w:szCs w:val="21"/>
                <w:highlight w:val="none"/>
                <w:lang w:val="zh-CN" w:bidi="zh-CN"/>
              </w:rPr>
            </w:pPr>
            <w:r>
              <w:rPr>
                <w:rFonts w:cs="Times New Roman"/>
                <w:color w:val="auto"/>
                <w:spacing w:val="20"/>
                <w:kern w:val="0"/>
                <w:position w:val="2"/>
                <w:sz w:val="21"/>
                <w:szCs w:val="21"/>
                <w:highlight w:val="none"/>
                <w:lang w:val="zh-CN" w:bidi="zh-CN"/>
              </w:rPr>
              <w:t>浓</w:t>
            </w:r>
            <w:r>
              <w:rPr>
                <w:rFonts w:cs="Times New Roman"/>
                <w:color w:val="auto"/>
                <w:spacing w:val="19"/>
                <w:kern w:val="0"/>
                <w:position w:val="2"/>
                <w:sz w:val="21"/>
                <w:szCs w:val="21"/>
                <w:highlight w:val="none"/>
                <w:lang w:val="zh-CN" w:bidi="zh-CN"/>
              </w:rPr>
              <w:t>度（</w:t>
            </w:r>
            <w:r>
              <w:rPr>
                <w:rFonts w:eastAsia="Times New Roman" w:cs="Times New Roman"/>
                <w:color w:val="auto"/>
                <w:kern w:val="0"/>
                <w:position w:val="2"/>
                <w:sz w:val="21"/>
                <w:szCs w:val="21"/>
                <w:highlight w:val="none"/>
                <w:lang w:val="zh-CN" w:bidi="zh-CN"/>
              </w:rPr>
              <w:t>mg</w:t>
            </w:r>
            <w:r>
              <w:rPr>
                <w:rFonts w:eastAsia="Times New Roman" w:cs="Times New Roman"/>
                <w:color w:val="auto"/>
                <w:spacing w:val="19"/>
                <w:kern w:val="0"/>
                <w:position w:val="2"/>
                <w:sz w:val="21"/>
                <w:szCs w:val="21"/>
                <w:highlight w:val="none"/>
                <w:lang w:val="zh-CN" w:bidi="zh-CN"/>
              </w:rPr>
              <w:t>/</w:t>
            </w:r>
            <w:r>
              <w:rPr>
                <w:rFonts w:eastAsia="Times New Roman" w:cs="Times New Roman"/>
                <w:color w:val="auto"/>
                <w:kern w:val="0"/>
                <w:position w:val="2"/>
                <w:sz w:val="21"/>
                <w:szCs w:val="21"/>
                <w:highlight w:val="none"/>
                <w:lang w:val="zh-CN" w:bidi="zh-CN"/>
              </w:rPr>
              <w:t>L</w:t>
            </w:r>
            <w:r>
              <w:rPr>
                <w:rFonts w:cs="Times New Roman"/>
                <w:color w:val="auto"/>
                <w:spacing w:val="19"/>
                <w:kern w:val="0"/>
                <w:position w:val="2"/>
                <w:sz w:val="21"/>
                <w:szCs w:val="21"/>
                <w:highlight w:val="none"/>
                <w:lang w:val="zh-CN" w:bidi="zh-CN"/>
              </w:rPr>
              <w:t>）</w:t>
            </w:r>
          </w:p>
        </w:tc>
        <w:tc>
          <w:tcPr>
            <w:tcW w:w="1350" w:type="dxa"/>
            <w:tcBorders>
              <w:top w:val="single" w:color="000000" w:sz="2" w:space="0"/>
              <w:left w:val="single" w:color="000000" w:sz="4" w:space="0"/>
              <w:bottom w:val="single" w:color="000000" w:sz="4" w:space="0"/>
              <w:right w:val="single" w:color="000000" w:sz="2" w:space="0"/>
            </w:tcBorders>
            <w:shd w:val="clear" w:color="auto" w:fill="FFFFFF"/>
            <w:noWrap w:val="0"/>
            <w:vAlign w:val="center"/>
          </w:tcPr>
          <w:p>
            <w:pPr>
              <w:autoSpaceDE w:val="0"/>
              <w:autoSpaceDN w:val="0"/>
              <w:spacing w:line="240" w:lineRule="auto"/>
              <w:ind w:firstLine="0" w:firstLineChars="0"/>
              <w:jc w:val="center"/>
              <w:rPr>
                <w:rFonts w:cs="Times New Roman"/>
                <w:color w:val="auto"/>
                <w:kern w:val="0"/>
                <w:sz w:val="21"/>
                <w:szCs w:val="21"/>
                <w:highlight w:val="none"/>
                <w:lang w:val="zh-CN" w:bidi="zh-CN"/>
              </w:rPr>
            </w:pPr>
            <w:r>
              <w:rPr>
                <w:rFonts w:cs="Times New Roman"/>
                <w:color w:val="auto"/>
                <w:spacing w:val="-2"/>
                <w:kern w:val="0"/>
                <w:sz w:val="21"/>
                <w:szCs w:val="21"/>
                <w:highlight w:val="none"/>
                <w:lang w:val="zh-CN" w:bidi="zh-CN"/>
              </w:rPr>
              <w:t>渗漏特</w:t>
            </w:r>
            <w:r>
              <w:rPr>
                <w:rFonts w:cs="Times New Roman"/>
                <w:color w:val="auto"/>
                <w:spacing w:val="-1"/>
                <w:kern w:val="0"/>
                <w:sz w:val="21"/>
                <w:szCs w:val="21"/>
                <w:highlight w:val="none"/>
                <w:lang w:val="zh-CN" w:bidi="zh-CN"/>
              </w:rPr>
              <w:t>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 w:hRule="atLeast"/>
        </w:trPr>
        <w:tc>
          <w:tcPr>
            <w:tcW w:w="1354" w:type="dxa"/>
            <w:tcBorders>
              <w:top w:val="single" w:color="000000" w:sz="4" w:space="0"/>
              <w:left w:val="single" w:color="000000" w:sz="2" w:space="0"/>
              <w:right w:val="single" w:color="000000" w:sz="4" w:space="0"/>
            </w:tcBorders>
            <w:shd w:val="clear" w:color="auto" w:fill="FFFFFF"/>
            <w:noWrap w:val="0"/>
            <w:vAlign w:val="center"/>
          </w:tcPr>
          <w:p>
            <w:pPr>
              <w:autoSpaceDE w:val="0"/>
              <w:autoSpaceDN w:val="0"/>
              <w:spacing w:line="240" w:lineRule="auto"/>
              <w:ind w:firstLine="0" w:firstLineChars="0"/>
              <w:jc w:val="center"/>
              <w:rPr>
                <w:rFonts w:cs="Times New Roman"/>
                <w:color w:val="auto"/>
                <w:kern w:val="0"/>
                <w:sz w:val="21"/>
                <w:szCs w:val="21"/>
                <w:highlight w:val="none"/>
                <w:lang w:val="zh-CN" w:bidi="zh-CN"/>
              </w:rPr>
            </w:pPr>
            <w:r>
              <w:rPr>
                <w:rFonts w:cs="Times New Roman"/>
                <w:color w:val="auto"/>
                <w:spacing w:val="-2"/>
                <w:kern w:val="0"/>
                <w:sz w:val="21"/>
                <w:szCs w:val="21"/>
                <w:highlight w:val="none"/>
                <w:lang w:val="zh-CN" w:bidi="zh-CN"/>
              </w:rPr>
              <w:t>非正常状况</w:t>
            </w:r>
          </w:p>
        </w:tc>
        <w:tc>
          <w:tcPr>
            <w:tcW w:w="176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utoSpaceDE w:val="0"/>
              <w:autoSpaceDN w:val="0"/>
              <w:spacing w:line="240" w:lineRule="auto"/>
              <w:ind w:firstLine="0" w:firstLineChars="0"/>
              <w:jc w:val="center"/>
              <w:rPr>
                <w:rFonts w:hint="default" w:eastAsia="宋体" w:cs="Times New Roman"/>
                <w:color w:val="auto"/>
                <w:kern w:val="0"/>
                <w:sz w:val="21"/>
                <w:szCs w:val="21"/>
                <w:highlight w:val="none"/>
                <w:lang w:val="en-US" w:eastAsia="zh-CN" w:bidi="zh-CN"/>
              </w:rPr>
            </w:pPr>
            <w:r>
              <w:rPr>
                <w:rFonts w:hint="eastAsia" w:cs="Times New Roman"/>
                <w:color w:val="auto"/>
                <w:kern w:val="0"/>
                <w:sz w:val="21"/>
                <w:szCs w:val="21"/>
                <w:highlight w:val="none"/>
                <w:lang w:val="en-US" w:eastAsia="zh-CN" w:bidi="zh-CN"/>
              </w:rPr>
              <w:t>生化池</w:t>
            </w:r>
          </w:p>
        </w:tc>
        <w:tc>
          <w:tcPr>
            <w:tcW w:w="23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utoSpaceDE w:val="0"/>
              <w:autoSpaceDN w:val="0"/>
              <w:spacing w:line="240" w:lineRule="auto"/>
              <w:ind w:firstLine="0" w:firstLineChars="0"/>
              <w:jc w:val="center"/>
              <w:rPr>
                <w:rFonts w:ascii="Times New Roman" w:hAnsi="Times New Roman" w:eastAsia="宋体" w:cs="Times New Roman"/>
                <w:color w:val="auto"/>
                <w:kern w:val="0"/>
                <w:sz w:val="21"/>
                <w:szCs w:val="21"/>
                <w:highlight w:val="none"/>
                <w:lang w:val="zh-CN" w:eastAsia="zh-CN" w:bidi="zh-CN"/>
              </w:rPr>
            </w:pPr>
            <w:r>
              <w:rPr>
                <w:rFonts w:hint="default"/>
                <w:color w:val="auto"/>
                <w:highlight w:val="none"/>
                <w:lang w:eastAsia="en-US"/>
              </w:rPr>
              <w:t>COD</w:t>
            </w:r>
            <w:r>
              <w:rPr>
                <w:rFonts w:cs="Times New Roman"/>
                <w:color w:val="auto"/>
                <w:kern w:val="0"/>
                <w:highlight w:val="none"/>
                <w:lang w:val="zh-CN" w:bidi="zh-CN"/>
              </w:rPr>
              <w:drawing>
                <wp:anchor distT="0" distB="0" distL="0" distR="0" simplePos="0" relativeHeight="251669504" behindDoc="1" locked="0" layoutInCell="1" allowOverlap="1">
                  <wp:simplePos x="0" y="0"/>
                  <wp:positionH relativeFrom="column">
                    <wp:posOffset>0</wp:posOffset>
                  </wp:positionH>
                  <wp:positionV relativeFrom="paragraph">
                    <wp:posOffset>5715</wp:posOffset>
                  </wp:positionV>
                  <wp:extent cx="1454785" cy="215900"/>
                  <wp:effectExtent l="0" t="0" r="12065" b="12700"/>
                  <wp:wrapNone/>
                  <wp:docPr id="152" name="IM 778"/>
                  <wp:cNvGraphicFramePr/>
                  <a:graphic xmlns:a="http://schemas.openxmlformats.org/drawingml/2006/main">
                    <a:graphicData uri="http://schemas.openxmlformats.org/drawingml/2006/picture">
                      <pic:pic xmlns:pic="http://schemas.openxmlformats.org/drawingml/2006/picture">
                        <pic:nvPicPr>
                          <pic:cNvPr id="152" name="IM 778"/>
                          <pic:cNvPicPr/>
                        </pic:nvPicPr>
                        <pic:blipFill>
                          <a:blip r:embed="rId52"/>
                          <a:stretch>
                            <a:fillRect/>
                          </a:stretch>
                        </pic:blipFill>
                        <pic:spPr>
                          <a:xfrm>
                            <a:off x="0" y="0"/>
                            <a:ext cx="1454785" cy="215900"/>
                          </a:xfrm>
                          <a:prstGeom prst="rect">
                            <a:avLst/>
                          </a:prstGeom>
                          <a:noFill/>
                          <a:ln>
                            <a:noFill/>
                          </a:ln>
                        </pic:spPr>
                      </pic:pic>
                    </a:graphicData>
                  </a:graphic>
                </wp:anchor>
              </w:drawing>
            </w:r>
          </w:p>
        </w:tc>
        <w:tc>
          <w:tcPr>
            <w:tcW w:w="176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utoSpaceDE w:val="0"/>
              <w:autoSpaceDN w:val="0"/>
              <w:spacing w:line="240" w:lineRule="auto"/>
              <w:ind w:firstLine="0" w:firstLineChars="0"/>
              <w:jc w:val="center"/>
              <w:rPr>
                <w:rFonts w:hint="default" w:ascii="Times New Roman" w:hAnsi="Times New Roman" w:eastAsia="Times New Roman" w:cs="Times New Roman"/>
                <w:color w:val="auto"/>
                <w:kern w:val="0"/>
                <w:sz w:val="21"/>
                <w:szCs w:val="21"/>
                <w:highlight w:val="none"/>
                <w:lang w:val="en-US" w:eastAsia="zh-CN" w:bidi="zh-CN"/>
              </w:rPr>
            </w:pPr>
            <w:r>
              <w:rPr>
                <w:rFonts w:hint="eastAsia" w:eastAsia="Times New Roman" w:cs="Times New Roman"/>
                <w:color w:val="auto"/>
                <w:spacing w:val="-3"/>
                <w:kern w:val="0"/>
                <w:sz w:val="21"/>
                <w:szCs w:val="21"/>
                <w:highlight w:val="none"/>
                <w:lang w:val="en-US" w:bidi="zh-CN"/>
              </w:rPr>
              <w:t>600</w:t>
            </w:r>
          </w:p>
        </w:tc>
        <w:tc>
          <w:tcPr>
            <w:tcW w:w="1350" w:type="dxa"/>
            <w:tcBorders>
              <w:top w:val="single" w:color="000000" w:sz="4" w:space="0"/>
              <w:left w:val="single" w:color="000000" w:sz="4" w:space="0"/>
              <w:bottom w:val="single" w:color="000000" w:sz="4" w:space="0"/>
              <w:right w:val="single" w:color="000000" w:sz="2" w:space="0"/>
            </w:tcBorders>
            <w:shd w:val="clear" w:color="auto" w:fill="FFFFFF"/>
            <w:noWrap w:val="0"/>
            <w:vAlign w:val="center"/>
          </w:tcPr>
          <w:p>
            <w:pPr>
              <w:autoSpaceDE w:val="0"/>
              <w:autoSpaceDN w:val="0"/>
              <w:spacing w:line="240" w:lineRule="auto"/>
              <w:ind w:firstLine="0" w:firstLineChars="0"/>
              <w:jc w:val="center"/>
              <w:rPr>
                <w:rFonts w:ascii="Times New Roman" w:hAnsi="Times New Roman" w:eastAsia="宋体" w:cs="Times New Roman"/>
                <w:color w:val="auto"/>
                <w:kern w:val="0"/>
                <w:sz w:val="21"/>
                <w:szCs w:val="21"/>
                <w:highlight w:val="none"/>
                <w:lang w:val="zh-CN" w:eastAsia="zh-CN" w:bidi="zh-CN"/>
              </w:rPr>
            </w:pPr>
            <w:r>
              <w:rPr>
                <w:rFonts w:cs="Times New Roman"/>
                <w:color w:val="auto"/>
                <w:spacing w:val="-4"/>
                <w:kern w:val="0"/>
                <w:sz w:val="21"/>
                <w:szCs w:val="21"/>
                <w:highlight w:val="none"/>
                <w:lang w:val="zh-CN" w:bidi="zh-CN"/>
              </w:rPr>
              <w:t>持</w:t>
            </w:r>
            <w:r>
              <w:rPr>
                <w:rFonts w:cs="Times New Roman"/>
                <w:color w:val="auto"/>
                <w:spacing w:val="-2"/>
                <w:kern w:val="0"/>
                <w:sz w:val="21"/>
                <w:szCs w:val="21"/>
                <w:highlight w:val="none"/>
                <w:lang w:val="zh-CN" w:bidi="zh-CN"/>
              </w:rPr>
              <w:t>续</w:t>
            </w:r>
          </w:p>
        </w:tc>
      </w:tr>
    </w:tbl>
    <w:p>
      <w:pPr>
        <w:autoSpaceDE w:val="0"/>
        <w:autoSpaceDN w:val="0"/>
        <w:ind w:firstLine="480"/>
        <w:jc w:val="left"/>
        <w:rPr>
          <w:rFonts w:cs="Times New Roman"/>
          <w:color w:val="auto"/>
          <w:kern w:val="0"/>
          <w:highlight w:val="none"/>
          <w:lang w:val="zh-CN" w:bidi="zh-CN"/>
        </w:rPr>
      </w:pPr>
      <w:r>
        <w:rPr>
          <w:rFonts w:cs="Times New Roman"/>
          <w:color w:val="auto"/>
          <w:kern w:val="0"/>
          <w:highlight w:val="none"/>
          <w:lang w:val="zh-CN" w:bidi="zh-CN"/>
        </w:rPr>
        <w:t>下边界：下边界为地下水面，设定为自由排水边界（FreeDrainage）</w:t>
      </w:r>
    </w:p>
    <w:p>
      <w:pPr>
        <w:autoSpaceDE w:val="0"/>
        <w:autoSpaceDN w:val="0"/>
        <w:ind w:firstLine="480"/>
        <w:jc w:val="left"/>
        <w:rPr>
          <w:rFonts w:cs="Times New Roman"/>
          <w:color w:val="auto"/>
          <w:kern w:val="0"/>
          <w:highlight w:val="none"/>
          <w:lang w:val="zh-CN" w:bidi="zh-CN"/>
        </w:rPr>
      </w:pPr>
      <w:r>
        <w:rPr>
          <w:rFonts w:cs="Times New Roman"/>
          <w:color w:val="auto"/>
          <w:kern w:val="0"/>
          <w:highlight w:val="none"/>
          <w:lang w:val="zh-CN" w:bidi="zh-CN"/>
        </w:rPr>
        <w:t>（4）参数选取</w:t>
      </w:r>
    </w:p>
    <w:p>
      <w:pPr>
        <w:autoSpaceDE w:val="0"/>
        <w:autoSpaceDN w:val="0"/>
        <w:ind w:firstLine="480"/>
        <w:jc w:val="left"/>
        <w:rPr>
          <w:rFonts w:cs="Times New Roman"/>
          <w:color w:val="auto"/>
          <w:kern w:val="0"/>
          <w:highlight w:val="none"/>
          <w:lang w:val="zh-CN" w:bidi="zh-CN"/>
        </w:rPr>
      </w:pPr>
      <w:r>
        <w:rPr>
          <w:rFonts w:cs="Times New Roman"/>
          <w:color w:val="auto"/>
          <w:kern w:val="0"/>
          <w:highlight w:val="none"/>
          <w:lang w:val="zh-CN" w:bidi="zh-CN"/>
        </w:rPr>
        <w:t>①渗透系数</w:t>
      </w:r>
    </w:p>
    <w:p>
      <w:pPr>
        <w:autoSpaceDE w:val="0"/>
        <w:autoSpaceDN w:val="0"/>
        <w:ind w:firstLine="480"/>
        <w:jc w:val="left"/>
        <w:rPr>
          <w:rFonts w:cs="Times New Roman"/>
          <w:color w:val="auto"/>
          <w:kern w:val="0"/>
          <w:highlight w:val="none"/>
          <w:lang w:val="zh-CN" w:bidi="zh-CN"/>
        </w:rPr>
      </w:pPr>
      <w:r>
        <w:rPr>
          <w:rFonts w:cs="Times New Roman"/>
          <w:color w:val="auto"/>
          <w:kern w:val="0"/>
          <w:highlight w:val="none"/>
          <w:lang w:val="zh-CN" w:bidi="zh-CN"/>
        </w:rPr>
        <w:t>根据该软件自带的土壤类型渗透系数，亚砂土的平均垂向渗透系数为31.44cm/d。</w:t>
      </w:r>
    </w:p>
    <w:p>
      <w:pPr>
        <w:autoSpaceDE w:val="0"/>
        <w:autoSpaceDN w:val="0"/>
        <w:ind w:firstLine="480"/>
        <w:jc w:val="left"/>
        <w:rPr>
          <w:rFonts w:cs="Times New Roman"/>
          <w:color w:val="auto"/>
          <w:kern w:val="0"/>
          <w:highlight w:val="none"/>
          <w:lang w:val="zh-CN" w:bidi="zh-CN"/>
        </w:rPr>
      </w:pPr>
      <w:r>
        <w:rPr>
          <w:rFonts w:cs="Times New Roman"/>
          <w:color w:val="auto"/>
          <w:kern w:val="0"/>
          <w:highlight w:val="none"/>
          <w:lang w:val="zh-CN" w:bidi="zh-CN"/>
        </w:rPr>
        <w:t>②弥散系数</w:t>
      </w:r>
    </w:p>
    <w:p>
      <w:pPr>
        <w:autoSpaceDE w:val="0"/>
        <w:autoSpaceDN w:val="0"/>
        <w:ind w:firstLine="480"/>
        <w:jc w:val="left"/>
        <w:rPr>
          <w:rFonts w:cs="Times New Roman"/>
          <w:color w:val="auto"/>
          <w:kern w:val="0"/>
          <w:highlight w:val="none"/>
          <w:lang w:val="zh-CN" w:bidi="zh-CN"/>
        </w:rPr>
      </w:pPr>
      <w:r>
        <w:rPr>
          <w:rFonts w:cs="Times New Roman"/>
          <w:color w:val="auto"/>
          <w:kern w:val="0"/>
          <w:highlight w:val="none"/>
          <w:lang w:val="zh-CN" w:bidi="zh-CN"/>
        </w:rPr>
        <w:t>本次污染模拟过程未考虑污染物在包气带中的吸附、挥发、生物化学反应，模型中各项参数予以保守型考虑。</w:t>
      </w:r>
    </w:p>
    <w:p>
      <w:pPr>
        <w:autoSpaceDE w:val="0"/>
        <w:autoSpaceDN w:val="0"/>
        <w:ind w:firstLine="480"/>
        <w:jc w:val="left"/>
        <w:rPr>
          <w:rFonts w:cs="Times New Roman"/>
          <w:color w:val="auto"/>
          <w:kern w:val="0"/>
          <w:highlight w:val="none"/>
          <w:lang w:val="zh-CN" w:bidi="zh-CN"/>
        </w:rPr>
      </w:pPr>
      <w:r>
        <w:rPr>
          <w:rFonts w:cs="Times New Roman"/>
          <w:color w:val="auto"/>
          <w:kern w:val="0"/>
          <w:highlight w:val="none"/>
          <w:lang w:val="zh-CN" w:bidi="zh-CN"/>
        </w:rPr>
        <w:t>将世界范围内所收集到的百余个水质模型中所使用的纵向弥散度αL绘在对数坐标纸上，从图上可以看出纵向弥散度αL从整体上随着尺度的增加而增大。许多研究者都曾用类似的图说明水动力弥散的尺度效应。根据模型所计算出的孔隙介质的纵向弥散度αL及有关资料与参数作出的lgαL-lgLs图示于图5.6-1。基准尺度Ls是指研究区大小的度量，一般用溶质运移到观测孔的最大距离表示，或用计算区的近似最大内径长度代替。</w:t>
      </w:r>
    </w:p>
    <w:p>
      <w:pPr>
        <w:autoSpaceDE w:val="0"/>
        <w:autoSpaceDN w:val="0"/>
        <w:ind w:firstLine="480"/>
        <w:jc w:val="left"/>
        <w:rPr>
          <w:rFonts w:cs="Times New Roman"/>
          <w:color w:val="auto"/>
          <w:kern w:val="0"/>
          <w:highlight w:val="none"/>
          <w:lang w:val="zh-CN" w:bidi="zh-CN"/>
        </w:rPr>
      </w:pPr>
      <w:r>
        <w:rPr>
          <w:rFonts w:cs="Times New Roman"/>
          <w:color w:val="auto"/>
          <w:kern w:val="0"/>
          <w:highlight w:val="none"/>
          <w:lang w:val="zh-CN" w:bidi="zh-CN"/>
        </w:rPr>
        <w:t>如前述分析，由于水动力弥散尺度效应的存在，难以通过野外或室内弥散试验获得真实的弥散度。因此，本次工作参考前人的研究成果，对应的纵向弥散度应介于1-10之间，从保守角度考虑，本次模拟弥散度参数值取</w:t>
      </w:r>
      <w:r>
        <w:rPr>
          <w:rFonts w:hint="eastAsia" w:cs="Times New Roman"/>
          <w:color w:val="auto"/>
          <w:kern w:val="0"/>
          <w:highlight w:val="none"/>
          <w:lang w:val="en-US" w:bidi="zh-CN"/>
        </w:rPr>
        <w:t>5</w:t>
      </w:r>
      <w:r>
        <w:rPr>
          <w:rFonts w:cs="Times New Roman"/>
          <w:color w:val="auto"/>
          <w:kern w:val="0"/>
          <w:highlight w:val="none"/>
          <w:lang w:val="zh-CN" w:bidi="zh-CN"/>
        </w:rPr>
        <w:t>。</w:t>
      </w:r>
    </w:p>
    <w:p>
      <w:pPr>
        <w:autoSpaceDE w:val="0"/>
        <w:autoSpaceDN w:val="0"/>
        <w:ind w:firstLine="480"/>
        <w:jc w:val="center"/>
        <w:rPr>
          <w:rFonts w:cs="Times New Roman"/>
          <w:color w:val="auto"/>
          <w:kern w:val="0"/>
          <w:highlight w:val="none"/>
          <w:lang w:val="zh-CN" w:bidi="zh-CN"/>
        </w:rPr>
      </w:pPr>
      <w:r>
        <w:rPr>
          <w:rFonts w:cs="Times New Roman"/>
          <w:color w:val="auto"/>
          <w:kern w:val="0"/>
          <w:highlight w:val="none"/>
          <w:lang w:val="zh-CN" w:bidi="zh-CN"/>
        </w:rPr>
        <w:drawing>
          <wp:inline distT="0" distB="0" distL="114300" distR="114300">
            <wp:extent cx="3114675" cy="1945640"/>
            <wp:effectExtent l="0" t="0" r="9525" b="16510"/>
            <wp:docPr id="153"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68"/>
                    <pic:cNvPicPr>
                      <a:picLocks noChangeAspect="1"/>
                    </pic:cNvPicPr>
                  </pic:nvPicPr>
                  <pic:blipFill>
                    <a:blip r:embed="rId53"/>
                    <a:stretch>
                      <a:fillRect/>
                    </a:stretch>
                  </pic:blipFill>
                  <pic:spPr>
                    <a:xfrm>
                      <a:off x="0" y="0"/>
                      <a:ext cx="3114675" cy="1945640"/>
                    </a:xfrm>
                    <a:prstGeom prst="rect">
                      <a:avLst/>
                    </a:prstGeom>
                    <a:noFill/>
                    <a:ln>
                      <a:noFill/>
                    </a:ln>
                  </pic:spPr>
                </pic:pic>
              </a:graphicData>
            </a:graphic>
          </wp:inline>
        </w:drawing>
      </w:r>
    </w:p>
    <w:p>
      <w:pPr>
        <w:widowControl w:val="0"/>
        <w:autoSpaceDE w:val="0"/>
        <w:autoSpaceDN w:val="0"/>
        <w:bidi w:val="0"/>
        <w:spacing w:after="50" w:afterLines="50" w:line="240" w:lineRule="auto"/>
        <w:ind w:firstLine="0" w:firstLineChars="0"/>
        <w:jc w:val="center"/>
        <w:rPr>
          <w:rFonts w:hint="eastAsia" w:ascii="Times New Roman" w:hAnsi="Times New Roman" w:eastAsia="宋体" w:cs="Times New Roman"/>
          <w:b/>
          <w:bCs/>
          <w:color w:val="auto"/>
          <w:sz w:val="21"/>
          <w:szCs w:val="21"/>
          <w:highlight w:val="none"/>
          <w:lang w:val="zh-CN" w:eastAsia="zh-CN" w:bidi="zh-CN"/>
        </w:rPr>
      </w:pPr>
      <w:r>
        <w:rPr>
          <w:rFonts w:hint="eastAsia" w:ascii="Times New Roman" w:hAnsi="Times New Roman" w:eastAsia="宋体" w:cs="Times New Roman"/>
          <w:b/>
          <w:bCs/>
          <w:color w:val="auto"/>
          <w:sz w:val="21"/>
          <w:szCs w:val="21"/>
          <w:highlight w:val="none"/>
          <w:lang w:val="zh-CN" w:eastAsia="zh-CN" w:bidi="zh-CN"/>
        </w:rPr>
        <w:t>孔隙介质数值模型的lgαL-lgLs图</w:t>
      </w:r>
    </w:p>
    <w:p>
      <w:pPr>
        <w:autoSpaceDE w:val="0"/>
        <w:autoSpaceDN w:val="0"/>
        <w:ind w:firstLine="480"/>
        <w:jc w:val="left"/>
        <w:rPr>
          <w:rFonts w:cs="Times New Roman"/>
          <w:color w:val="auto"/>
          <w:kern w:val="0"/>
          <w:highlight w:val="none"/>
          <w:lang w:val="zh-CN" w:bidi="zh-CN"/>
        </w:rPr>
      </w:pPr>
      <w:r>
        <w:rPr>
          <w:rFonts w:cs="Times New Roman"/>
          <w:color w:val="auto"/>
          <w:kern w:val="0"/>
          <w:highlight w:val="none"/>
          <w:lang w:val="zh-CN" w:bidi="zh-CN"/>
        </w:rPr>
        <w:t>根据相关研究成果并结合评价区水文地质条件设定包气带溶质运移参数：亚砂土弥散系数取10m</w:t>
      </w:r>
      <w:r>
        <w:rPr>
          <w:rFonts w:cs="Times New Roman"/>
          <w:color w:val="auto"/>
          <w:kern w:val="0"/>
          <w:highlight w:val="none"/>
          <w:vertAlign w:val="superscript"/>
          <w:lang w:val="zh-CN" w:bidi="zh-CN"/>
        </w:rPr>
        <w:t>2</w:t>
      </w:r>
      <w:r>
        <w:rPr>
          <w:rFonts w:cs="Times New Roman"/>
          <w:color w:val="auto"/>
          <w:kern w:val="0"/>
          <w:highlight w:val="none"/>
          <w:lang w:val="zh-CN" w:bidi="zh-CN"/>
        </w:rPr>
        <w:t>/d。</w:t>
      </w:r>
    </w:p>
    <w:p>
      <w:pPr>
        <w:autoSpaceDE w:val="0"/>
        <w:autoSpaceDN w:val="0"/>
        <w:ind w:firstLine="480"/>
        <w:jc w:val="left"/>
        <w:rPr>
          <w:rFonts w:cs="Times New Roman"/>
          <w:color w:val="auto"/>
          <w:kern w:val="0"/>
          <w:highlight w:val="none"/>
          <w:lang w:val="zh-CN" w:bidi="zh-CN"/>
        </w:rPr>
      </w:pPr>
      <w:r>
        <w:rPr>
          <w:rFonts w:cs="Times New Roman"/>
          <w:color w:val="auto"/>
          <w:kern w:val="0"/>
          <w:highlight w:val="none"/>
          <w:lang w:val="zh-CN" w:bidi="zh-CN"/>
        </w:rPr>
        <w:t>（</w:t>
      </w:r>
      <w:r>
        <w:rPr>
          <w:rFonts w:cs="Times New Roman"/>
          <w:color w:val="auto"/>
          <w:kern w:val="0"/>
          <w:highlight w:val="none"/>
          <w:lang w:val="en-US" w:bidi="zh-CN"/>
        </w:rPr>
        <w:t>5</w:t>
      </w:r>
      <w:r>
        <w:rPr>
          <w:rFonts w:cs="Times New Roman"/>
          <w:color w:val="auto"/>
          <w:kern w:val="0"/>
          <w:highlight w:val="none"/>
          <w:lang w:val="zh-CN" w:bidi="zh-CN"/>
        </w:rPr>
        <w:t>）模拟预测</w:t>
      </w:r>
    </w:p>
    <w:p>
      <w:pPr>
        <w:autoSpaceDE w:val="0"/>
        <w:autoSpaceDN w:val="0"/>
        <w:ind w:firstLine="480"/>
        <w:jc w:val="left"/>
        <w:rPr>
          <w:rFonts w:hint="eastAsia" w:eastAsia="宋体" w:cs="Times New Roman"/>
          <w:color w:val="auto"/>
          <w:kern w:val="0"/>
          <w:highlight w:val="none"/>
          <w:lang w:val="zh-CN" w:eastAsia="zh-CN" w:bidi="zh-CN"/>
        </w:rPr>
      </w:pPr>
      <w:r>
        <w:rPr>
          <w:rFonts w:hint="eastAsia" w:eastAsia="宋体" w:cs="Times New Roman"/>
          <w:color w:val="auto"/>
          <w:kern w:val="0"/>
          <w:highlight w:val="none"/>
          <w:lang w:val="zh-CN" w:eastAsia="zh-CN" w:bidi="zh-CN"/>
        </w:rPr>
        <w:drawing>
          <wp:inline distT="0" distB="0" distL="114300" distR="114300">
            <wp:extent cx="5305425" cy="2200910"/>
            <wp:effectExtent l="0" t="0" r="9525" b="8890"/>
            <wp:docPr id="157" name="图片 157" descr="折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折线图"/>
                    <pic:cNvPicPr>
                      <a:picLocks noChangeAspect="1"/>
                    </pic:cNvPicPr>
                  </pic:nvPicPr>
                  <pic:blipFill>
                    <a:blip r:embed="rId54"/>
                    <a:stretch>
                      <a:fillRect/>
                    </a:stretch>
                  </pic:blipFill>
                  <pic:spPr>
                    <a:xfrm>
                      <a:off x="0" y="0"/>
                      <a:ext cx="5305425" cy="2200910"/>
                    </a:xfrm>
                    <a:prstGeom prst="rect">
                      <a:avLst/>
                    </a:prstGeom>
                  </pic:spPr>
                </pic:pic>
              </a:graphicData>
            </a:graphic>
          </wp:inline>
        </w:drawing>
      </w:r>
    </w:p>
    <w:p>
      <w:pPr>
        <w:autoSpaceDE w:val="0"/>
        <w:autoSpaceDN w:val="0"/>
        <w:ind w:left="480" w:leftChars="200" w:firstLine="0" w:firstLineChars="0"/>
        <w:jc w:val="center"/>
        <w:rPr>
          <w:rFonts w:hint="default" w:eastAsia="宋体" w:cs="Times New Roman"/>
          <w:b/>
          <w:bCs/>
          <w:color w:val="auto"/>
          <w:kern w:val="0"/>
          <w:highlight w:val="none"/>
          <w:lang w:val="en-US" w:eastAsia="zh-CN" w:bidi="zh-CN"/>
        </w:rPr>
      </w:pPr>
      <w:r>
        <w:rPr>
          <w:rFonts w:hint="eastAsia" w:cs="Times New Roman"/>
          <w:b/>
          <w:bCs/>
          <w:color w:val="auto"/>
          <w:kern w:val="0"/>
          <w:highlight w:val="none"/>
          <w:lang w:val="en-US" w:eastAsia="zh-CN" w:bidi="zh-CN"/>
        </w:rPr>
        <w:t>各观测点信息图</w:t>
      </w:r>
    </w:p>
    <w:p>
      <w:pPr>
        <w:autoSpaceDE w:val="0"/>
        <w:autoSpaceDN w:val="0"/>
        <w:ind w:firstLine="480"/>
        <w:jc w:val="left"/>
        <w:rPr>
          <w:rFonts w:cs="Times New Roman"/>
          <w:color w:val="auto"/>
          <w:kern w:val="0"/>
          <w:highlight w:val="none"/>
          <w:lang w:val="zh-CN" w:bidi="zh-CN"/>
        </w:rPr>
      </w:pPr>
    </w:p>
    <w:p>
      <w:pPr>
        <w:autoSpaceDE w:val="0"/>
        <w:autoSpaceDN w:val="0"/>
        <w:ind w:left="480" w:leftChars="200" w:firstLine="0" w:firstLineChars="0"/>
        <w:jc w:val="both"/>
        <w:rPr>
          <w:rFonts w:cs="Times New Roman"/>
          <w:color w:val="auto"/>
          <w:kern w:val="0"/>
          <w:highlight w:val="none"/>
          <w:lang w:val="zh-CN" w:bidi="zh-CN"/>
        </w:rPr>
      </w:pPr>
      <w:r>
        <w:rPr>
          <w:rFonts w:cs="Times New Roman"/>
          <w:color w:val="auto"/>
          <w:kern w:val="0"/>
          <w:highlight w:val="none"/>
          <w:lang w:val="zh-CN" w:bidi="zh-CN"/>
        </w:rPr>
        <w:drawing>
          <wp:inline distT="0" distB="0" distL="114300" distR="114300">
            <wp:extent cx="5305425" cy="2200910"/>
            <wp:effectExtent l="0" t="0" r="9525" b="8890"/>
            <wp:docPr id="158" name="图片 158" descr="折线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折线图 (1)"/>
                    <pic:cNvPicPr>
                      <a:picLocks noChangeAspect="1"/>
                    </pic:cNvPicPr>
                  </pic:nvPicPr>
                  <pic:blipFill>
                    <a:blip r:embed="rId55"/>
                    <a:stretch>
                      <a:fillRect/>
                    </a:stretch>
                  </pic:blipFill>
                  <pic:spPr>
                    <a:xfrm>
                      <a:off x="0" y="0"/>
                      <a:ext cx="5305425" cy="2200910"/>
                    </a:xfrm>
                    <a:prstGeom prst="rect">
                      <a:avLst/>
                    </a:prstGeom>
                  </pic:spPr>
                </pic:pic>
              </a:graphicData>
            </a:graphic>
          </wp:inline>
        </w:drawing>
      </w:r>
    </w:p>
    <w:p>
      <w:pPr>
        <w:autoSpaceDE w:val="0"/>
        <w:autoSpaceDN w:val="0"/>
        <w:ind w:left="480" w:leftChars="200" w:firstLine="0" w:firstLineChars="0"/>
        <w:jc w:val="center"/>
        <w:rPr>
          <w:rFonts w:hint="default" w:eastAsia="宋体" w:cs="Times New Roman"/>
          <w:b/>
          <w:bCs/>
          <w:color w:val="auto"/>
          <w:kern w:val="0"/>
          <w:highlight w:val="none"/>
          <w:lang w:val="en-US" w:eastAsia="zh-CN" w:bidi="zh-CN"/>
        </w:rPr>
      </w:pPr>
      <w:r>
        <w:rPr>
          <w:rFonts w:hint="eastAsia" w:cs="Times New Roman"/>
          <w:b/>
          <w:bCs/>
          <w:color w:val="auto"/>
          <w:kern w:val="0"/>
          <w:highlight w:val="none"/>
          <w:lang w:val="en-US" w:eastAsia="zh-CN" w:bidi="zh-CN"/>
        </w:rPr>
        <w:t>溶质信息图</w:t>
      </w:r>
    </w:p>
    <w:p>
      <w:pPr>
        <w:autoSpaceDE w:val="0"/>
        <w:autoSpaceDN w:val="0"/>
        <w:ind w:firstLine="400"/>
        <w:jc w:val="both"/>
        <w:rPr>
          <w:rFonts w:cs="Times New Roman"/>
          <w:color w:val="auto"/>
          <w:kern w:val="0"/>
          <w:highlight w:val="none"/>
          <w:lang w:val="zh-CN" w:bidi="zh-CN"/>
        </w:rPr>
      </w:pPr>
      <w:r>
        <w:rPr>
          <w:rFonts w:cs="Times New Roman"/>
          <w:color w:val="auto"/>
          <w:kern w:val="0"/>
          <w:highlight w:val="none"/>
          <w:lang w:val="zh-CN" w:bidi="zh-CN"/>
        </w:rPr>
        <w:t>根据预测结果，</w:t>
      </w:r>
      <w:r>
        <w:rPr>
          <w:rFonts w:hint="eastAsia" w:cs="Times New Roman"/>
          <w:color w:val="auto"/>
          <w:kern w:val="0"/>
          <w:highlight w:val="none"/>
          <w:lang w:val="en-US" w:eastAsia="zh-CN" w:bidi="zh-CN"/>
        </w:rPr>
        <w:t>废水</w:t>
      </w:r>
      <w:r>
        <w:rPr>
          <w:rFonts w:cs="Times New Roman"/>
          <w:color w:val="auto"/>
          <w:kern w:val="0"/>
          <w:highlight w:val="none"/>
          <w:lang w:val="zh-CN" w:bidi="zh-CN"/>
        </w:rPr>
        <w:t>泄漏后污染物</w:t>
      </w:r>
      <w:r>
        <w:rPr>
          <w:rFonts w:hint="eastAsia" w:cs="Times New Roman"/>
          <w:color w:val="auto"/>
          <w:kern w:val="0"/>
          <w:highlight w:val="none"/>
          <w:lang w:val="en-US" w:bidi="zh-CN"/>
        </w:rPr>
        <w:t>氨氮和COD</w:t>
      </w:r>
      <w:r>
        <w:rPr>
          <w:rFonts w:cs="Times New Roman"/>
          <w:color w:val="auto"/>
          <w:kern w:val="0"/>
          <w:highlight w:val="none"/>
          <w:lang w:val="zh-CN" w:bidi="zh-CN"/>
        </w:rPr>
        <w:t>在第</w:t>
      </w:r>
      <w:r>
        <w:rPr>
          <w:rFonts w:hint="eastAsia" w:cs="Times New Roman"/>
          <w:color w:val="auto"/>
          <w:kern w:val="0"/>
          <w:highlight w:val="none"/>
          <w:lang w:val="en-US" w:eastAsia="zh-CN" w:bidi="zh-CN"/>
        </w:rPr>
        <w:t>100</w:t>
      </w:r>
      <w:r>
        <w:rPr>
          <w:rFonts w:cs="Times New Roman"/>
          <w:color w:val="auto"/>
          <w:kern w:val="0"/>
          <w:highlight w:val="none"/>
          <w:lang w:val="zh-CN" w:bidi="zh-CN"/>
        </w:rPr>
        <w:t>天后表层达到峰值（</w:t>
      </w:r>
      <w:r>
        <w:rPr>
          <w:rFonts w:hint="eastAsia" w:cs="Times New Roman"/>
          <w:color w:val="auto"/>
          <w:kern w:val="0"/>
          <w:highlight w:val="none"/>
          <w:lang w:val="zh-CN" w:bidi="zh-CN"/>
        </w:rPr>
        <w:t>349.50</w:t>
      </w:r>
      <w:r>
        <w:rPr>
          <w:rFonts w:cs="Times New Roman"/>
          <w:color w:val="auto"/>
          <w:kern w:val="0"/>
          <w:highlight w:val="none"/>
          <w:lang w:val="zh-CN" w:bidi="zh-CN"/>
        </w:rPr>
        <w:t>mg/L）。</w:t>
      </w:r>
      <w:r>
        <w:rPr>
          <w:rFonts w:hint="eastAsia" w:cs="Times New Roman"/>
          <w:color w:val="auto"/>
          <w:kern w:val="0"/>
          <w:highlight w:val="none"/>
          <w:lang w:val="en-US" w:bidi="zh-CN"/>
        </w:rPr>
        <w:t>废水</w:t>
      </w:r>
      <w:r>
        <w:rPr>
          <w:rFonts w:cs="Times New Roman"/>
          <w:color w:val="auto"/>
          <w:kern w:val="0"/>
          <w:highlight w:val="none"/>
          <w:lang w:val="zh-CN" w:bidi="zh-CN"/>
        </w:rPr>
        <w:t>泄漏后污染物</w:t>
      </w:r>
      <w:r>
        <w:rPr>
          <w:rFonts w:hint="eastAsia" w:cs="Times New Roman"/>
          <w:color w:val="auto"/>
          <w:kern w:val="0"/>
          <w:highlight w:val="none"/>
          <w:lang w:val="en-US" w:bidi="zh-CN"/>
        </w:rPr>
        <w:t>COD</w:t>
      </w:r>
      <w:r>
        <w:rPr>
          <w:rFonts w:cs="Times New Roman"/>
          <w:color w:val="auto"/>
          <w:kern w:val="0"/>
          <w:highlight w:val="none"/>
          <w:lang w:val="zh-CN" w:bidi="zh-CN"/>
        </w:rPr>
        <w:t>在土壤中浓度随着时间增加不断增大，污染物将最终透过包气带，</w:t>
      </w:r>
      <w:r>
        <w:rPr>
          <w:rFonts w:hint="eastAsia" w:cs="Times New Roman"/>
          <w:color w:val="auto"/>
          <w:kern w:val="0"/>
          <w:highlight w:val="none"/>
          <w:lang w:val="zh-CN" w:bidi="zh-CN"/>
        </w:rPr>
        <w:t>进入</w:t>
      </w:r>
      <w:r>
        <w:rPr>
          <w:rFonts w:cs="Times New Roman"/>
          <w:color w:val="auto"/>
          <w:kern w:val="0"/>
          <w:highlight w:val="none"/>
          <w:lang w:val="zh-CN" w:bidi="zh-CN"/>
        </w:rPr>
        <w:t>含水层中。</w:t>
      </w:r>
    </w:p>
    <w:p>
      <w:pPr>
        <w:bidi w:val="0"/>
        <w:rPr>
          <w:rFonts w:hint="default" w:ascii="Times New Roman" w:hAnsi="Times New Roman"/>
          <w:color w:val="auto"/>
          <w:highlight w:val="none"/>
          <w:lang w:eastAsia="en-US"/>
        </w:rPr>
      </w:pPr>
      <w:bookmarkStart w:id="183" w:name="_Toc25092"/>
      <w:bookmarkStart w:id="184" w:name="_Toc15882"/>
      <w:bookmarkStart w:id="185" w:name="_Toc12869"/>
      <w:bookmarkStart w:id="186" w:name="_Toc18048"/>
      <w:bookmarkStart w:id="187" w:name="_Toc30242"/>
      <w:bookmarkStart w:id="188" w:name="_Toc9455"/>
      <w:bookmarkStart w:id="189" w:name="_Toc3806"/>
      <w:bookmarkStart w:id="190" w:name="_Toc861"/>
      <w:bookmarkStart w:id="191" w:name="_Toc12969"/>
      <w:r>
        <w:rPr>
          <w:rFonts w:hint="default" w:ascii="Times New Roman" w:hAnsi="Times New Roman"/>
          <w:color w:val="auto"/>
          <w:highlight w:val="none"/>
          <w:lang w:eastAsia="en-US"/>
        </w:rPr>
        <w:t>本项目对废水、固废严格控制，按照监测计划定期监测土壤，同时对厂区可能产生污染的区域均按要求进行相应等级的防渗，事故情况下立即采取相应的应急处理措施，切断污染源，采取措施后，项目运行期对土壤环境的污染影响较小。</w:t>
      </w:r>
    </w:p>
    <w:p>
      <w:pPr>
        <w:pStyle w:val="2"/>
        <w:bidi w:val="0"/>
        <w:rPr>
          <w:rFonts w:hint="default"/>
          <w:color w:val="auto"/>
          <w:highlight w:val="none"/>
        </w:rPr>
      </w:pPr>
      <w:r>
        <w:rPr>
          <w:rFonts w:hint="eastAsia"/>
          <w:color w:val="auto"/>
          <w:highlight w:val="none"/>
          <w:lang w:val="en-US" w:eastAsia="zh-CN"/>
        </w:rPr>
        <w:t>土壤自查表</w:t>
      </w:r>
    </w:p>
    <w:p>
      <w:pPr>
        <w:pStyle w:val="111"/>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黑体" w:cs="Times New Roman"/>
          <w:b w:val="0"/>
          <w:bCs/>
          <w:color w:val="auto"/>
          <w:sz w:val="24"/>
          <w:szCs w:val="24"/>
          <w:highlight w:val="none"/>
        </w:rPr>
      </w:pPr>
      <w:r>
        <w:rPr>
          <w:rFonts w:hint="default" w:ascii="Times New Roman" w:hAnsi="Times New Roman" w:eastAsia="黑体" w:cs="Times New Roman"/>
          <w:b w:val="0"/>
          <w:bCs/>
          <w:color w:val="auto"/>
          <w:sz w:val="24"/>
          <w:szCs w:val="24"/>
          <w:highlight w:val="none"/>
        </w:rPr>
        <w:t>表5.</w:t>
      </w:r>
      <w:r>
        <w:rPr>
          <w:rFonts w:hint="default" w:ascii="Times New Roman" w:hAnsi="Times New Roman" w:eastAsia="黑体" w:cs="Times New Roman"/>
          <w:b w:val="0"/>
          <w:bCs/>
          <w:color w:val="auto"/>
          <w:sz w:val="24"/>
          <w:szCs w:val="24"/>
          <w:highlight w:val="none"/>
          <w:lang w:val="en-US" w:eastAsia="zh-CN"/>
        </w:rPr>
        <w:t>2-2</w:t>
      </w:r>
      <w:r>
        <w:rPr>
          <w:rFonts w:hint="eastAsia" w:eastAsia="黑体" w:cs="Times New Roman"/>
          <w:b w:val="0"/>
          <w:bCs/>
          <w:color w:val="auto"/>
          <w:sz w:val="24"/>
          <w:szCs w:val="24"/>
          <w:highlight w:val="none"/>
          <w:lang w:val="en-US" w:eastAsia="zh-CN"/>
        </w:rPr>
        <w:t>0</w:t>
      </w:r>
      <w:r>
        <w:rPr>
          <w:rFonts w:hint="default" w:ascii="Times New Roman" w:hAnsi="Times New Roman" w:eastAsia="黑体" w:cs="Times New Roman"/>
          <w:b w:val="0"/>
          <w:bCs/>
          <w:color w:val="auto"/>
          <w:sz w:val="24"/>
          <w:szCs w:val="24"/>
          <w:highlight w:val="none"/>
        </w:rPr>
        <w:t>土壤环境影响评价自查表</w:t>
      </w:r>
      <w:bookmarkEnd w:id="183"/>
      <w:bookmarkEnd w:id="184"/>
      <w:bookmarkEnd w:id="185"/>
      <w:bookmarkEnd w:id="186"/>
      <w:bookmarkEnd w:id="187"/>
      <w:bookmarkEnd w:id="188"/>
      <w:bookmarkEnd w:id="189"/>
      <w:bookmarkEnd w:id="190"/>
      <w:bookmarkEnd w:id="191"/>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1729"/>
        <w:gridCol w:w="1002"/>
        <w:gridCol w:w="282"/>
        <w:gridCol w:w="1012"/>
        <w:gridCol w:w="1017"/>
        <w:gridCol w:w="497"/>
        <w:gridCol w:w="1188"/>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6" w:type="pct"/>
            <w:gridSpan w:val="2"/>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工作内容</w:t>
            </w:r>
          </w:p>
        </w:tc>
        <w:tc>
          <w:tcPr>
            <w:tcW w:w="2908" w:type="pct"/>
            <w:gridSpan w:val="6"/>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完成情况</w:t>
            </w:r>
          </w:p>
        </w:tc>
        <w:tc>
          <w:tcPr>
            <w:tcW w:w="83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restar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影响识别</w:t>
            </w:r>
          </w:p>
        </w:tc>
        <w:tc>
          <w:tcPr>
            <w:tcW w:w="100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影响类型</w:t>
            </w:r>
          </w:p>
        </w:tc>
        <w:tc>
          <w:tcPr>
            <w:tcW w:w="2908" w:type="pct"/>
            <w:gridSpan w:val="6"/>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污染影响型</w:t>
            </w:r>
            <w:r>
              <w:rPr>
                <w:rFonts w:hint="default" w:ascii="Times New Roman" w:hAnsi="Times New Roman" w:cs="Times New Roman"/>
                <w:color w:val="auto"/>
                <w:sz w:val="21"/>
                <w:szCs w:val="21"/>
                <w:highlight w:val="none"/>
              </w:rPr>
              <w:sym w:font="Wingdings" w:char="00FE"/>
            </w:r>
            <w:r>
              <w:rPr>
                <w:rFonts w:hint="default" w:ascii="Times New Roman" w:hAnsi="Times New Roman" w:cs="Times New Roman"/>
                <w:color w:val="auto"/>
                <w:sz w:val="21"/>
                <w:szCs w:val="21"/>
                <w:highlight w:val="none"/>
              </w:rPr>
              <w:t>；生态影响型</w:t>
            </w:r>
            <w:r>
              <w:rPr>
                <w:rFonts w:hint="default" w:ascii="Times New Roman" w:hAnsi="Times New Roman" w:cs="Times New Roman"/>
                <w:color w:val="auto"/>
                <w:sz w:val="21"/>
                <w:szCs w:val="21"/>
                <w:highlight w:val="none"/>
              </w:rPr>
              <w:sym w:font="Wingdings" w:char="00A8"/>
            </w:r>
            <w:r>
              <w:rPr>
                <w:rFonts w:hint="default" w:ascii="Times New Roman" w:hAnsi="Times New Roman" w:cs="Times New Roman"/>
                <w:color w:val="auto"/>
                <w:sz w:val="21"/>
                <w:szCs w:val="21"/>
                <w:highlight w:val="none"/>
              </w:rPr>
              <w:t>；两种兼有</w:t>
            </w:r>
            <w:r>
              <w:rPr>
                <w:rFonts w:hint="default" w:ascii="Times New Roman" w:hAnsi="Times New Roman" w:cs="Times New Roman"/>
                <w:color w:val="auto"/>
                <w:sz w:val="21"/>
                <w:szCs w:val="21"/>
                <w:highlight w:val="none"/>
              </w:rPr>
              <w:sym w:font="Wingdings" w:char="00A8"/>
            </w:r>
          </w:p>
        </w:tc>
        <w:tc>
          <w:tcPr>
            <w:tcW w:w="83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0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土地利用类型</w:t>
            </w:r>
          </w:p>
        </w:tc>
        <w:tc>
          <w:tcPr>
            <w:tcW w:w="2908" w:type="pct"/>
            <w:gridSpan w:val="6"/>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建设用地</w:t>
            </w:r>
            <w:r>
              <w:rPr>
                <w:rFonts w:hint="default" w:ascii="Times New Roman" w:hAnsi="Times New Roman" w:cs="Times New Roman"/>
                <w:color w:val="auto"/>
                <w:sz w:val="21"/>
                <w:szCs w:val="21"/>
                <w:highlight w:val="none"/>
              </w:rPr>
              <w:sym w:font="Wingdings" w:char="00FE"/>
            </w:r>
            <w:r>
              <w:rPr>
                <w:rFonts w:hint="default" w:ascii="Times New Roman" w:hAnsi="Times New Roman" w:cs="Times New Roman"/>
                <w:color w:val="auto"/>
                <w:sz w:val="21"/>
                <w:szCs w:val="21"/>
                <w:highlight w:val="none"/>
              </w:rPr>
              <w:t>；农用地</w:t>
            </w:r>
            <w:r>
              <w:rPr>
                <w:rFonts w:hint="default" w:ascii="Times New Roman" w:hAnsi="Times New Roman" w:cs="Times New Roman"/>
                <w:color w:val="auto"/>
                <w:sz w:val="21"/>
                <w:szCs w:val="21"/>
                <w:highlight w:val="none"/>
              </w:rPr>
              <w:sym w:font="Wingdings" w:char="00A8"/>
            </w:r>
            <w:r>
              <w:rPr>
                <w:rFonts w:hint="default" w:ascii="Times New Roman" w:hAnsi="Times New Roman" w:cs="Times New Roman"/>
                <w:color w:val="auto"/>
                <w:sz w:val="21"/>
                <w:szCs w:val="21"/>
                <w:highlight w:val="none"/>
              </w:rPr>
              <w:t>；未利用地</w:t>
            </w:r>
            <w:r>
              <w:rPr>
                <w:rFonts w:hint="default" w:ascii="Times New Roman" w:hAnsi="Times New Roman" w:cs="Times New Roman"/>
                <w:color w:val="auto"/>
                <w:sz w:val="21"/>
                <w:szCs w:val="21"/>
                <w:highlight w:val="none"/>
              </w:rPr>
              <w:sym w:font="Wingdings" w:char="00A8"/>
            </w:r>
          </w:p>
        </w:tc>
        <w:tc>
          <w:tcPr>
            <w:tcW w:w="83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0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占地规模</w:t>
            </w:r>
          </w:p>
        </w:tc>
        <w:tc>
          <w:tcPr>
            <w:tcW w:w="2908" w:type="pct"/>
            <w:gridSpan w:val="6"/>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zh-CN"/>
              </w:rPr>
              <w:t>4.9044</w:t>
            </w:r>
            <w:r>
              <w:rPr>
                <w:rFonts w:hint="default" w:ascii="Times New Roman" w:hAnsi="Times New Roman" w:cs="Times New Roman"/>
                <w:color w:val="auto"/>
                <w:sz w:val="21"/>
                <w:szCs w:val="21"/>
                <w:highlight w:val="none"/>
              </w:rPr>
              <w:t>）hm</w:t>
            </w:r>
            <w:r>
              <w:rPr>
                <w:rFonts w:hint="default" w:ascii="Times New Roman" w:hAnsi="Times New Roman" w:cs="Times New Roman"/>
                <w:color w:val="auto"/>
                <w:sz w:val="21"/>
                <w:szCs w:val="21"/>
                <w:highlight w:val="none"/>
                <w:vertAlign w:val="superscript"/>
              </w:rPr>
              <w:t>2</w:t>
            </w:r>
          </w:p>
        </w:tc>
        <w:tc>
          <w:tcPr>
            <w:tcW w:w="83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0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敏感目标信息</w:t>
            </w:r>
          </w:p>
        </w:tc>
        <w:tc>
          <w:tcPr>
            <w:tcW w:w="2908" w:type="pct"/>
            <w:gridSpan w:val="6"/>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敏感目标（/）、方位（/）、距离（/）</w:t>
            </w:r>
          </w:p>
        </w:tc>
        <w:tc>
          <w:tcPr>
            <w:tcW w:w="83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0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影响途径</w:t>
            </w:r>
          </w:p>
        </w:tc>
        <w:tc>
          <w:tcPr>
            <w:tcW w:w="2908" w:type="pct"/>
            <w:gridSpan w:val="6"/>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大气沉降</w:t>
            </w:r>
            <w:r>
              <w:rPr>
                <w:rFonts w:hint="default" w:ascii="Times New Roman" w:hAnsi="Times New Roman" w:cs="Times New Roman"/>
                <w:color w:val="auto"/>
                <w:sz w:val="21"/>
                <w:szCs w:val="21"/>
                <w:highlight w:val="none"/>
              </w:rPr>
              <w:sym w:font="Wingdings" w:char="00A8"/>
            </w:r>
            <w:r>
              <w:rPr>
                <w:rFonts w:hint="default" w:ascii="Times New Roman" w:hAnsi="Times New Roman" w:cs="Times New Roman"/>
                <w:color w:val="auto"/>
                <w:sz w:val="21"/>
                <w:szCs w:val="21"/>
                <w:highlight w:val="none"/>
              </w:rPr>
              <w:t>；地面漫流</w:t>
            </w:r>
            <w:r>
              <w:rPr>
                <w:rFonts w:hint="default" w:ascii="Times New Roman" w:hAnsi="Times New Roman" w:cs="Times New Roman"/>
                <w:color w:val="auto"/>
                <w:sz w:val="21"/>
                <w:szCs w:val="21"/>
                <w:highlight w:val="none"/>
              </w:rPr>
              <w:sym w:font="Wingdings" w:char="00A8"/>
            </w:r>
            <w:r>
              <w:rPr>
                <w:rFonts w:hint="default" w:ascii="Times New Roman" w:hAnsi="Times New Roman" w:cs="Times New Roman"/>
                <w:color w:val="auto"/>
                <w:sz w:val="21"/>
                <w:szCs w:val="21"/>
                <w:highlight w:val="none"/>
              </w:rPr>
              <w:t>；垂直入渗</w:t>
            </w:r>
            <w:r>
              <w:rPr>
                <w:rFonts w:hint="default" w:ascii="Times New Roman" w:hAnsi="Times New Roman" w:cs="Times New Roman"/>
                <w:color w:val="auto"/>
                <w:sz w:val="21"/>
                <w:szCs w:val="21"/>
                <w:highlight w:val="none"/>
              </w:rPr>
              <w:sym w:font="Wingdings" w:char="00A8"/>
            </w:r>
            <w:r>
              <w:rPr>
                <w:rFonts w:hint="default" w:ascii="Times New Roman" w:hAnsi="Times New Roman" w:cs="Times New Roman"/>
                <w:color w:val="auto"/>
                <w:sz w:val="21"/>
                <w:szCs w:val="21"/>
                <w:highlight w:val="none"/>
              </w:rPr>
              <w:t>；地下水位</w:t>
            </w:r>
            <w:r>
              <w:rPr>
                <w:rFonts w:hint="default" w:ascii="Times New Roman" w:hAnsi="Times New Roman" w:cs="Times New Roman"/>
                <w:color w:val="auto"/>
                <w:sz w:val="21"/>
                <w:szCs w:val="21"/>
                <w:highlight w:val="none"/>
              </w:rPr>
              <w:sym w:font="Wingdings" w:char="00A8"/>
            </w:r>
            <w:r>
              <w:rPr>
                <w:rFonts w:hint="default" w:ascii="Times New Roman" w:hAnsi="Times New Roman" w:cs="Times New Roman"/>
                <w:color w:val="auto"/>
                <w:sz w:val="21"/>
                <w:szCs w:val="21"/>
                <w:highlight w:val="none"/>
              </w:rPr>
              <w:t>；其他（/）</w:t>
            </w:r>
          </w:p>
        </w:tc>
        <w:tc>
          <w:tcPr>
            <w:tcW w:w="83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0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全部污染物</w:t>
            </w:r>
          </w:p>
        </w:tc>
        <w:tc>
          <w:tcPr>
            <w:tcW w:w="2908" w:type="pct"/>
            <w:gridSpan w:val="6"/>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83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0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特征因子</w:t>
            </w:r>
          </w:p>
        </w:tc>
        <w:tc>
          <w:tcPr>
            <w:tcW w:w="2908" w:type="pct"/>
            <w:gridSpan w:val="6"/>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83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0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所属土壤环境影响评价项目类别</w:t>
            </w:r>
          </w:p>
        </w:tc>
        <w:tc>
          <w:tcPr>
            <w:tcW w:w="2908" w:type="pct"/>
            <w:gridSpan w:val="6"/>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1 \* ROMAN \* MERGEFORMAT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I</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rPr>
              <w:t>类</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2 \* ROMAN \* MERGEFORMAT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II</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rPr>
              <w:t>类</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3 \* ROMAN \* MERGEFORMAT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III</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rPr>
              <w:t>类</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4 \* ROMAN \* MERGEFORMAT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IV</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rPr>
              <w:t>类</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w:t>
            </w:r>
          </w:p>
        </w:tc>
        <w:tc>
          <w:tcPr>
            <w:tcW w:w="83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0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敏感程度</w:t>
            </w:r>
          </w:p>
        </w:tc>
        <w:tc>
          <w:tcPr>
            <w:tcW w:w="2908" w:type="pct"/>
            <w:gridSpan w:val="6"/>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敏感</w:t>
            </w:r>
            <w:r>
              <w:rPr>
                <w:rFonts w:hint="default" w:ascii="Times New Roman" w:hAnsi="Times New Roman" w:cs="Times New Roman"/>
                <w:color w:val="auto"/>
                <w:sz w:val="21"/>
                <w:szCs w:val="21"/>
                <w:highlight w:val="none"/>
              </w:rPr>
              <w:sym w:font="Wingdings" w:char="00A8"/>
            </w:r>
            <w:r>
              <w:rPr>
                <w:rFonts w:hint="default" w:ascii="Times New Roman" w:hAnsi="Times New Roman" w:cs="Times New Roman"/>
                <w:color w:val="auto"/>
                <w:sz w:val="21"/>
                <w:szCs w:val="21"/>
                <w:highlight w:val="none"/>
              </w:rPr>
              <w:t>；较敏感</w:t>
            </w:r>
            <w:r>
              <w:rPr>
                <w:rFonts w:hint="default" w:ascii="Times New Roman" w:hAnsi="Times New Roman" w:cs="Times New Roman"/>
                <w:color w:val="auto"/>
                <w:sz w:val="21"/>
                <w:szCs w:val="21"/>
                <w:highlight w:val="none"/>
              </w:rPr>
              <w:sym w:font="Wingdings" w:char="00A8"/>
            </w:r>
            <w:r>
              <w:rPr>
                <w:rFonts w:hint="default" w:ascii="Times New Roman" w:hAnsi="Times New Roman" w:cs="Times New Roman"/>
                <w:color w:val="auto"/>
                <w:sz w:val="21"/>
                <w:szCs w:val="21"/>
                <w:highlight w:val="none"/>
              </w:rPr>
              <w:t>；不敏感</w:t>
            </w:r>
            <w:r>
              <w:rPr>
                <w:rFonts w:hint="default" w:ascii="Times New Roman" w:hAnsi="Times New Roman" w:cs="Times New Roman"/>
                <w:color w:val="auto"/>
                <w:sz w:val="21"/>
                <w:szCs w:val="21"/>
                <w:highlight w:val="none"/>
              </w:rPr>
              <w:sym w:font="Wingdings" w:char="00FE"/>
            </w:r>
          </w:p>
        </w:tc>
        <w:tc>
          <w:tcPr>
            <w:tcW w:w="83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6" w:type="pct"/>
            <w:gridSpan w:val="2"/>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评价工作等级</w:t>
            </w:r>
          </w:p>
        </w:tc>
        <w:tc>
          <w:tcPr>
            <w:tcW w:w="2908" w:type="pct"/>
            <w:gridSpan w:val="6"/>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w:t>
            </w:r>
            <w:r>
              <w:rPr>
                <w:rFonts w:hint="default" w:ascii="Times New Roman" w:hAnsi="Times New Roman" w:cs="Times New Roman"/>
                <w:color w:val="auto"/>
                <w:sz w:val="21"/>
                <w:szCs w:val="21"/>
                <w:highlight w:val="none"/>
              </w:rPr>
              <w:sym w:font="Wingdings" w:char="00A8"/>
            </w:r>
            <w:r>
              <w:rPr>
                <w:rFonts w:hint="default" w:ascii="Times New Roman" w:hAnsi="Times New Roman" w:cs="Times New Roman"/>
                <w:color w:val="auto"/>
                <w:sz w:val="21"/>
                <w:szCs w:val="21"/>
                <w:highlight w:val="none"/>
              </w:rPr>
              <w:t>；二级</w:t>
            </w:r>
            <w:r>
              <w:rPr>
                <w:rFonts w:hint="default" w:ascii="Times New Roman" w:hAnsi="Times New Roman" w:cs="Times New Roman"/>
                <w:color w:val="auto"/>
                <w:sz w:val="21"/>
                <w:szCs w:val="21"/>
                <w:highlight w:val="none"/>
              </w:rPr>
              <w:sym w:font="Wingdings" w:char="00A8"/>
            </w:r>
            <w:r>
              <w:rPr>
                <w:rFonts w:hint="default" w:ascii="Times New Roman" w:hAnsi="Times New Roman" w:cs="Times New Roman"/>
                <w:color w:val="auto"/>
                <w:sz w:val="21"/>
                <w:szCs w:val="21"/>
                <w:highlight w:val="none"/>
              </w:rPr>
              <w:t>；三级</w:t>
            </w:r>
            <w:r>
              <w:rPr>
                <w:rFonts w:hint="default" w:ascii="Times New Roman" w:hAnsi="Times New Roman" w:cs="Times New Roman"/>
                <w:color w:val="auto"/>
                <w:sz w:val="21"/>
                <w:szCs w:val="21"/>
                <w:highlight w:val="none"/>
              </w:rPr>
              <w:sym w:font="Wingdings" w:char="00A8"/>
            </w:r>
          </w:p>
        </w:tc>
        <w:tc>
          <w:tcPr>
            <w:tcW w:w="83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restar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现状调查内容</w:t>
            </w:r>
          </w:p>
        </w:tc>
        <w:tc>
          <w:tcPr>
            <w:tcW w:w="100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资料收集</w:t>
            </w:r>
          </w:p>
        </w:tc>
        <w:tc>
          <w:tcPr>
            <w:tcW w:w="2908" w:type="pct"/>
            <w:gridSpan w:val="6"/>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sym w:font="Wingdings" w:char="00A8"/>
            </w:r>
            <w:r>
              <w:rPr>
                <w:rFonts w:hint="default" w:ascii="Times New Roman" w:hAnsi="Times New Roman" w:cs="Times New Roman"/>
                <w:color w:val="auto"/>
                <w:sz w:val="21"/>
                <w:szCs w:val="21"/>
                <w:highlight w:val="none"/>
              </w:rPr>
              <w:t>；b</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sym w:font="Wingdings" w:char="00FE"/>
            </w:r>
            <w:r>
              <w:rPr>
                <w:rFonts w:hint="default" w:ascii="Times New Roman" w:hAnsi="Times New Roman" w:cs="Times New Roman"/>
                <w:color w:val="auto"/>
                <w:sz w:val="21"/>
                <w:szCs w:val="21"/>
                <w:highlight w:val="none"/>
              </w:rPr>
              <w:t>；c</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sym w:font="Wingdings" w:char="00A8"/>
            </w:r>
            <w:r>
              <w:rPr>
                <w:rFonts w:hint="default" w:ascii="Times New Roman" w:hAnsi="Times New Roman" w:cs="Times New Roman"/>
                <w:color w:val="auto"/>
                <w:sz w:val="21"/>
                <w:szCs w:val="21"/>
                <w:highlight w:val="none"/>
              </w:rPr>
              <w:t>；d</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sym w:font="Wingdings" w:char="00A8"/>
            </w:r>
            <w:r>
              <w:rPr>
                <w:rFonts w:hint="default" w:ascii="Times New Roman" w:hAnsi="Times New Roman" w:cs="Times New Roman"/>
                <w:color w:val="auto"/>
                <w:sz w:val="21"/>
                <w:szCs w:val="21"/>
                <w:highlight w:val="none"/>
              </w:rPr>
              <w:t>；</w:t>
            </w:r>
          </w:p>
        </w:tc>
        <w:tc>
          <w:tcPr>
            <w:tcW w:w="83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0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理化特征</w:t>
            </w:r>
          </w:p>
        </w:tc>
        <w:tc>
          <w:tcPr>
            <w:tcW w:w="2908" w:type="pct"/>
            <w:gridSpan w:val="6"/>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83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同附录C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05" w:type="pct"/>
            <w:vMerge w:val="restar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现状监测点位</w:t>
            </w:r>
          </w:p>
        </w:tc>
        <w:tc>
          <w:tcPr>
            <w:tcW w:w="583"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53" w:type="pct"/>
            <w:gridSpan w:val="2"/>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占地范围内</w:t>
            </w:r>
          </w:p>
        </w:tc>
        <w:tc>
          <w:tcPr>
            <w:tcW w:w="881" w:type="pct"/>
            <w:gridSpan w:val="2"/>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占地单位外</w:t>
            </w:r>
          </w:p>
        </w:tc>
        <w:tc>
          <w:tcPr>
            <w:tcW w:w="689"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深度</w:t>
            </w:r>
          </w:p>
        </w:tc>
        <w:tc>
          <w:tcPr>
            <w:tcW w:w="83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点位布置图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05"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583"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表层样点数</w:t>
            </w:r>
          </w:p>
        </w:tc>
        <w:tc>
          <w:tcPr>
            <w:tcW w:w="753" w:type="pct"/>
            <w:gridSpan w:val="2"/>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w:t>
            </w:r>
          </w:p>
        </w:tc>
        <w:tc>
          <w:tcPr>
            <w:tcW w:w="881" w:type="pct"/>
            <w:gridSpan w:val="2"/>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w:t>
            </w:r>
          </w:p>
        </w:tc>
        <w:tc>
          <w:tcPr>
            <w:tcW w:w="689"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w:t>
            </w:r>
          </w:p>
        </w:tc>
        <w:tc>
          <w:tcPr>
            <w:tcW w:w="83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05"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583"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柱状样点数</w:t>
            </w:r>
          </w:p>
        </w:tc>
        <w:tc>
          <w:tcPr>
            <w:tcW w:w="753" w:type="pct"/>
            <w:gridSpan w:val="2"/>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881" w:type="pct"/>
            <w:gridSpan w:val="2"/>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689"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83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0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现状监测因子</w:t>
            </w:r>
          </w:p>
        </w:tc>
        <w:tc>
          <w:tcPr>
            <w:tcW w:w="2908" w:type="pct"/>
            <w:gridSpan w:val="6"/>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重金属+45基本项</w:t>
            </w:r>
          </w:p>
        </w:tc>
        <w:tc>
          <w:tcPr>
            <w:tcW w:w="83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restar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现状评价</w:t>
            </w:r>
          </w:p>
        </w:tc>
        <w:tc>
          <w:tcPr>
            <w:tcW w:w="100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评价因子</w:t>
            </w:r>
          </w:p>
        </w:tc>
        <w:tc>
          <w:tcPr>
            <w:tcW w:w="2908" w:type="pct"/>
            <w:gridSpan w:val="6"/>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宋体" w:hAnsi="宋体" w:cs="宋体"/>
                <w:snapToGrid w:val="0"/>
                <w:color w:val="auto"/>
                <w:spacing w:val="9"/>
                <w:kern w:val="0"/>
                <w:sz w:val="21"/>
                <w:szCs w:val="21"/>
                <w:highlight w:val="none"/>
                <w:lang w:val="en-US" w:eastAsia="zh-CN" w:bidi="ar-SA"/>
              </w:rPr>
              <w:t>COD</w:t>
            </w:r>
            <w:r>
              <w:rPr>
                <w:rFonts w:ascii="宋体" w:hAnsi="宋体" w:eastAsia="宋体" w:cs="宋体"/>
                <w:snapToGrid w:val="0"/>
                <w:color w:val="auto"/>
                <w:spacing w:val="9"/>
                <w:kern w:val="0"/>
                <w:sz w:val="21"/>
                <w:szCs w:val="21"/>
                <w:highlight w:val="none"/>
                <w:lang w:val="en-US" w:eastAsia="en-US" w:bidi="ar-SA"/>
              </w:rPr>
              <w:t>、氨氮</w:t>
            </w:r>
          </w:p>
        </w:tc>
        <w:tc>
          <w:tcPr>
            <w:tcW w:w="83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0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评价标准</w:t>
            </w:r>
          </w:p>
        </w:tc>
        <w:tc>
          <w:tcPr>
            <w:tcW w:w="2908" w:type="pct"/>
            <w:gridSpan w:val="6"/>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GB15618</w:t>
            </w:r>
            <w:r>
              <w:rPr>
                <w:rFonts w:hint="default" w:ascii="Times New Roman" w:hAnsi="Times New Roman" w:cs="Times New Roman"/>
                <w:color w:val="auto"/>
                <w:sz w:val="21"/>
                <w:szCs w:val="21"/>
                <w:highlight w:val="none"/>
              </w:rPr>
              <w:sym w:font="Wingdings" w:char="00A8"/>
            </w:r>
            <w:r>
              <w:rPr>
                <w:rFonts w:hint="default" w:ascii="Times New Roman" w:hAnsi="Times New Roman" w:cs="Times New Roman"/>
                <w:color w:val="auto"/>
                <w:sz w:val="21"/>
                <w:szCs w:val="21"/>
                <w:highlight w:val="none"/>
              </w:rPr>
              <w:t>；GB36600</w:t>
            </w:r>
            <w:r>
              <w:rPr>
                <w:rFonts w:hint="default" w:ascii="Times New Roman" w:hAnsi="Times New Roman" w:cs="Times New Roman"/>
                <w:color w:val="auto"/>
                <w:sz w:val="21"/>
                <w:szCs w:val="21"/>
                <w:highlight w:val="none"/>
              </w:rPr>
              <w:sym w:font="Wingdings" w:char="00FE"/>
            </w:r>
            <w:r>
              <w:rPr>
                <w:rFonts w:hint="default" w:ascii="Times New Roman" w:hAnsi="Times New Roman" w:cs="Times New Roman"/>
                <w:color w:val="auto"/>
                <w:sz w:val="21"/>
                <w:szCs w:val="21"/>
                <w:highlight w:val="none"/>
              </w:rPr>
              <w:t>；表D.1</w:t>
            </w:r>
            <w:r>
              <w:rPr>
                <w:rFonts w:hint="default" w:ascii="Times New Roman" w:hAnsi="Times New Roman" w:cs="Times New Roman"/>
                <w:color w:val="auto"/>
                <w:sz w:val="21"/>
                <w:szCs w:val="21"/>
                <w:highlight w:val="none"/>
              </w:rPr>
              <w:sym w:font="Wingdings" w:char="00A8"/>
            </w:r>
            <w:r>
              <w:rPr>
                <w:rFonts w:hint="default" w:ascii="Times New Roman" w:hAnsi="Times New Roman" w:cs="Times New Roman"/>
                <w:color w:val="auto"/>
                <w:sz w:val="21"/>
                <w:szCs w:val="21"/>
                <w:highlight w:val="none"/>
              </w:rPr>
              <w:t>；表D.2</w:t>
            </w:r>
            <w:r>
              <w:rPr>
                <w:rFonts w:hint="default" w:ascii="Times New Roman" w:hAnsi="Times New Roman" w:cs="Times New Roman"/>
                <w:color w:val="auto"/>
                <w:sz w:val="21"/>
                <w:szCs w:val="21"/>
                <w:highlight w:val="none"/>
              </w:rPr>
              <w:sym w:font="Wingdings" w:char="00A8"/>
            </w:r>
            <w:r>
              <w:rPr>
                <w:rFonts w:hint="default" w:ascii="Times New Roman" w:hAnsi="Times New Roman" w:cs="Times New Roman"/>
                <w:color w:val="auto"/>
                <w:sz w:val="21"/>
                <w:szCs w:val="21"/>
                <w:highlight w:val="none"/>
              </w:rPr>
              <w:t>；其他（）</w:t>
            </w:r>
          </w:p>
        </w:tc>
        <w:tc>
          <w:tcPr>
            <w:tcW w:w="83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0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现状评价结论</w:t>
            </w:r>
          </w:p>
        </w:tc>
        <w:tc>
          <w:tcPr>
            <w:tcW w:w="2908" w:type="pct"/>
            <w:gridSpan w:val="6"/>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w:t>
            </w:r>
          </w:p>
        </w:tc>
        <w:tc>
          <w:tcPr>
            <w:tcW w:w="83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restar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影响预测</w:t>
            </w:r>
          </w:p>
        </w:tc>
        <w:tc>
          <w:tcPr>
            <w:tcW w:w="100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评价因子</w:t>
            </w:r>
          </w:p>
        </w:tc>
        <w:tc>
          <w:tcPr>
            <w:tcW w:w="2908" w:type="pct"/>
            <w:gridSpan w:val="6"/>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宋体" w:hAnsi="宋体" w:cs="宋体"/>
                <w:snapToGrid w:val="0"/>
                <w:color w:val="auto"/>
                <w:spacing w:val="9"/>
                <w:kern w:val="0"/>
                <w:sz w:val="21"/>
                <w:szCs w:val="21"/>
                <w:highlight w:val="none"/>
                <w:lang w:val="en-US" w:eastAsia="zh-CN" w:bidi="ar-SA"/>
              </w:rPr>
              <w:t>COD</w:t>
            </w:r>
            <w:r>
              <w:rPr>
                <w:rFonts w:ascii="宋体" w:hAnsi="宋体" w:eastAsia="宋体" w:cs="宋体"/>
                <w:snapToGrid w:val="0"/>
                <w:color w:val="auto"/>
                <w:spacing w:val="9"/>
                <w:kern w:val="0"/>
                <w:sz w:val="21"/>
                <w:szCs w:val="21"/>
                <w:highlight w:val="none"/>
                <w:lang w:val="en-US" w:eastAsia="en-US" w:bidi="ar-SA"/>
              </w:rPr>
              <w:t>、氨氮</w:t>
            </w:r>
          </w:p>
        </w:tc>
        <w:tc>
          <w:tcPr>
            <w:tcW w:w="83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0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预测方法</w:t>
            </w:r>
          </w:p>
        </w:tc>
        <w:tc>
          <w:tcPr>
            <w:tcW w:w="2908" w:type="pct"/>
            <w:gridSpan w:val="6"/>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附录</w:t>
            </w:r>
            <w:r>
              <w:rPr>
                <w:rFonts w:hint="default" w:ascii="Times New Roman" w:hAnsi="Times New Roman" w:cs="Times New Roman"/>
                <w:color w:val="auto"/>
                <w:sz w:val="21"/>
                <w:szCs w:val="21"/>
                <w:highlight w:val="none"/>
              </w:rPr>
              <w:sym w:font="Wingdings" w:char="00A8"/>
            </w:r>
            <w:r>
              <w:rPr>
                <w:rFonts w:hint="default" w:ascii="Times New Roman" w:hAnsi="Times New Roman" w:cs="Times New Roman"/>
                <w:color w:val="auto"/>
                <w:sz w:val="21"/>
                <w:szCs w:val="21"/>
                <w:highlight w:val="none"/>
              </w:rPr>
              <w:t>E；附录F</w:t>
            </w:r>
            <w:r>
              <w:rPr>
                <w:rFonts w:hint="default" w:ascii="Times New Roman" w:hAnsi="Times New Roman" w:cs="Times New Roman"/>
                <w:color w:val="auto"/>
                <w:sz w:val="21"/>
                <w:szCs w:val="21"/>
                <w:highlight w:val="none"/>
              </w:rPr>
              <w:sym w:font="Wingdings" w:char="00A8"/>
            </w:r>
            <w:r>
              <w:rPr>
                <w:rFonts w:hint="default" w:ascii="Times New Roman" w:hAnsi="Times New Roman" w:cs="Times New Roman"/>
                <w:color w:val="auto"/>
                <w:sz w:val="21"/>
                <w:szCs w:val="21"/>
                <w:highlight w:val="none"/>
              </w:rPr>
              <w:t>；其他（）</w:t>
            </w:r>
          </w:p>
        </w:tc>
        <w:tc>
          <w:tcPr>
            <w:tcW w:w="83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0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预测分析内容</w:t>
            </w:r>
          </w:p>
        </w:tc>
        <w:tc>
          <w:tcPr>
            <w:tcW w:w="2908" w:type="pct"/>
            <w:gridSpan w:val="6"/>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影响范围（）影响程度（）</w:t>
            </w:r>
          </w:p>
        </w:tc>
        <w:tc>
          <w:tcPr>
            <w:tcW w:w="83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0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预测结论</w:t>
            </w:r>
          </w:p>
        </w:tc>
        <w:tc>
          <w:tcPr>
            <w:tcW w:w="2908" w:type="pct"/>
            <w:gridSpan w:val="6"/>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bookmarkStart w:id="192" w:name="_Toc14750"/>
            <w:bookmarkStart w:id="193" w:name="_Toc23621"/>
            <w:bookmarkStart w:id="194" w:name="_Toc20636"/>
            <w:bookmarkStart w:id="195" w:name="_Toc10636"/>
            <w:bookmarkStart w:id="196" w:name="_Toc10451"/>
            <w:bookmarkStart w:id="197" w:name="_Toc24906"/>
            <w:r>
              <w:rPr>
                <w:rFonts w:hint="default" w:ascii="Times New Roman" w:hAnsi="Times New Roman" w:cs="Times New Roman"/>
                <w:color w:val="auto"/>
                <w:sz w:val="21"/>
                <w:szCs w:val="21"/>
                <w:highlight w:val="none"/>
              </w:rPr>
              <w:t>达标结论：a)</w:t>
            </w:r>
            <w:r>
              <w:rPr>
                <w:rFonts w:hint="default" w:ascii="Times New Roman" w:hAnsi="Times New Roman" w:cs="Times New Roman"/>
                <w:color w:val="auto"/>
                <w:sz w:val="21"/>
                <w:szCs w:val="21"/>
                <w:highlight w:val="none"/>
              </w:rPr>
              <w:sym w:font="Wingdings" w:char="00FE"/>
            </w:r>
            <w:r>
              <w:rPr>
                <w:rFonts w:hint="default" w:ascii="Times New Roman" w:hAnsi="Times New Roman" w:cs="Times New Roman"/>
                <w:color w:val="auto"/>
                <w:sz w:val="21"/>
                <w:szCs w:val="21"/>
                <w:highlight w:val="none"/>
              </w:rPr>
              <w:t>;b)</w:t>
            </w:r>
            <w:r>
              <w:rPr>
                <w:rFonts w:hint="default" w:ascii="Times New Roman" w:hAnsi="Times New Roman" w:cs="Times New Roman"/>
                <w:color w:val="auto"/>
                <w:sz w:val="21"/>
                <w:szCs w:val="21"/>
                <w:highlight w:val="none"/>
              </w:rPr>
              <w:sym w:font="Wingdings" w:char="00A8"/>
            </w: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rPr>
              <w:sym w:font="Wingdings" w:char="00A8"/>
            </w:r>
            <w:r>
              <w:rPr>
                <w:rFonts w:hint="default" w:ascii="Times New Roman" w:hAnsi="Times New Roman" w:cs="Times New Roman"/>
                <w:color w:val="auto"/>
                <w:sz w:val="21"/>
                <w:szCs w:val="21"/>
                <w:highlight w:val="none"/>
              </w:rPr>
              <w:t>不达标结论：a)</w:t>
            </w:r>
            <w:r>
              <w:rPr>
                <w:rFonts w:hint="default" w:ascii="Times New Roman" w:hAnsi="Times New Roman" w:cs="Times New Roman"/>
                <w:color w:val="auto"/>
                <w:sz w:val="21"/>
                <w:szCs w:val="21"/>
                <w:highlight w:val="none"/>
              </w:rPr>
              <w:sym w:font="Wingdings" w:char="00A8"/>
            </w:r>
            <w:r>
              <w:rPr>
                <w:rFonts w:hint="default" w:ascii="Times New Roman" w:hAnsi="Times New Roman" w:cs="Times New Roman"/>
                <w:color w:val="auto"/>
                <w:sz w:val="21"/>
                <w:szCs w:val="21"/>
                <w:highlight w:val="none"/>
              </w:rPr>
              <w:t>;b)</w:t>
            </w:r>
            <w:bookmarkEnd w:id="192"/>
            <w:bookmarkEnd w:id="193"/>
            <w:bookmarkEnd w:id="194"/>
            <w:bookmarkEnd w:id="195"/>
            <w:bookmarkEnd w:id="196"/>
            <w:bookmarkEnd w:id="197"/>
            <w:r>
              <w:rPr>
                <w:rFonts w:hint="default" w:ascii="Times New Roman" w:hAnsi="Times New Roman" w:cs="Times New Roman"/>
                <w:color w:val="auto"/>
                <w:sz w:val="21"/>
                <w:szCs w:val="21"/>
                <w:highlight w:val="none"/>
              </w:rPr>
              <w:sym w:font="Wingdings" w:char="00A8"/>
            </w:r>
          </w:p>
        </w:tc>
        <w:tc>
          <w:tcPr>
            <w:tcW w:w="83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restar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防治措施</w:t>
            </w:r>
          </w:p>
        </w:tc>
        <w:tc>
          <w:tcPr>
            <w:tcW w:w="100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防控措施</w:t>
            </w:r>
          </w:p>
        </w:tc>
        <w:tc>
          <w:tcPr>
            <w:tcW w:w="2908" w:type="pct"/>
            <w:gridSpan w:val="6"/>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土壤环境质量现状保障；源头控制；过程防控；其他</w:t>
            </w:r>
          </w:p>
        </w:tc>
        <w:tc>
          <w:tcPr>
            <w:tcW w:w="83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05" w:type="pct"/>
            <w:vMerge w:val="restar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跟踪监测</w:t>
            </w:r>
          </w:p>
        </w:tc>
        <w:tc>
          <w:tcPr>
            <w:tcW w:w="747" w:type="pct"/>
            <w:gridSpan w:val="2"/>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监测点位</w:t>
            </w:r>
          </w:p>
        </w:tc>
        <w:tc>
          <w:tcPr>
            <w:tcW w:w="1181" w:type="pct"/>
            <w:gridSpan w:val="2"/>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监测指标</w:t>
            </w:r>
          </w:p>
        </w:tc>
        <w:tc>
          <w:tcPr>
            <w:tcW w:w="979" w:type="pct"/>
            <w:gridSpan w:val="2"/>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监测频次</w:t>
            </w:r>
          </w:p>
        </w:tc>
        <w:tc>
          <w:tcPr>
            <w:tcW w:w="83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05"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47" w:type="pct"/>
            <w:gridSpan w:val="2"/>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181" w:type="pct"/>
            <w:gridSpan w:val="2"/>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979" w:type="pct"/>
            <w:gridSpan w:val="2"/>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83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vMerge w:val="continue"/>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0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信息公开指标</w:t>
            </w:r>
          </w:p>
        </w:tc>
        <w:tc>
          <w:tcPr>
            <w:tcW w:w="2908" w:type="pct"/>
            <w:gridSpan w:val="6"/>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83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6" w:type="pct"/>
            <w:gridSpan w:val="2"/>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评价结论</w:t>
            </w:r>
          </w:p>
        </w:tc>
        <w:tc>
          <w:tcPr>
            <w:tcW w:w="2908" w:type="pct"/>
            <w:gridSpan w:val="6"/>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项目选址内的土壤达标</w:t>
            </w:r>
          </w:p>
        </w:tc>
        <w:tc>
          <w:tcPr>
            <w:tcW w:w="835" w:type="pct"/>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9"/>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注1：“”为勾选项，可；“（）”为内容填写项；“备注”为其他补充内容。</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注2：需要分别开展土壤环境影响评价工作的，分别填写自查表。</w:t>
            </w:r>
          </w:p>
        </w:tc>
      </w:tr>
    </w:tbl>
    <w:p>
      <w:pPr>
        <w:pStyle w:val="5"/>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营运期污泥运输环境影响分析</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污泥运输对环境敏感点的影响主要是恶臭。污泥运输过程中产生的恶臭，对沿途居民会产生心理上及感官上的不良影响。据调查，一般运输污泥车辆的恶臭影响范围在道路两侧50m内，因此对道路两侧50m范围内的居民有一定影响，但该恶臭源为非固定源，随着运输车辆的离开，影响也逐渐消失，一般情况下影响时间较短，在1-2min左右。本项目污泥外运主要采取专用污泥运输车运输，并加强运输过程管理，则对周围居民环境敏感点的影响有限。</w:t>
      </w:r>
    </w:p>
    <w:p>
      <w:pPr>
        <w:pStyle w:val="4"/>
        <w:bidi w:val="0"/>
        <w:rPr>
          <w:rFonts w:hint="default"/>
          <w:color w:val="auto"/>
          <w:highlight w:val="none"/>
        </w:rPr>
      </w:pPr>
      <w:bookmarkStart w:id="198" w:name="_Toc9408"/>
      <w:bookmarkStart w:id="199" w:name="_Toc5336"/>
      <w:bookmarkStart w:id="200" w:name="_Toc29243"/>
      <w:bookmarkStart w:id="201" w:name="_Toc31296"/>
      <w:r>
        <w:rPr>
          <w:rFonts w:hint="default"/>
          <w:color w:val="auto"/>
          <w:highlight w:val="none"/>
        </w:rPr>
        <w:t>环境风险分析</w:t>
      </w:r>
      <w:bookmarkEnd w:id="198"/>
      <w:bookmarkEnd w:id="199"/>
      <w:bookmarkEnd w:id="200"/>
    </w:p>
    <w:p>
      <w:pPr>
        <w:pStyle w:val="5"/>
        <w:rPr>
          <w:rFonts w:hint="default" w:ascii="Times New Roman" w:hAnsi="Times New Roman" w:cs="Times New Roman"/>
          <w:color w:val="auto"/>
          <w:highlight w:val="none"/>
        </w:rPr>
      </w:pPr>
      <w:bookmarkStart w:id="202" w:name="_Toc31498"/>
      <w:bookmarkStart w:id="203" w:name="_Toc18861"/>
      <w:bookmarkStart w:id="204" w:name="_Toc430014780"/>
      <w:r>
        <w:rPr>
          <w:rFonts w:hint="default" w:ascii="Times New Roman" w:hAnsi="Times New Roman" w:cs="Times New Roman"/>
          <w:color w:val="auto"/>
          <w:highlight w:val="none"/>
        </w:rPr>
        <w:t>环境风险识别</w:t>
      </w:r>
      <w:bookmarkEnd w:id="202"/>
      <w:bookmarkEnd w:id="203"/>
      <w:bookmarkEnd w:id="204"/>
    </w:p>
    <w:p>
      <w:pPr>
        <w:pStyle w:val="2"/>
        <w:rPr>
          <w:rFonts w:hint="default" w:ascii="Times New Roman" w:hAnsi="Times New Roman" w:cs="Times New Roman"/>
          <w:color w:val="auto"/>
          <w:highlight w:val="none"/>
        </w:rPr>
      </w:pPr>
      <w:bookmarkStart w:id="205" w:name="_Toc429399071"/>
      <w:r>
        <w:rPr>
          <w:rFonts w:hint="default" w:ascii="Times New Roman" w:hAnsi="Times New Roman" w:cs="Times New Roman"/>
          <w:color w:val="auto"/>
          <w:highlight w:val="none"/>
        </w:rPr>
        <w:t>物质风险识别</w:t>
      </w:r>
      <w:bookmarkEnd w:id="205"/>
    </w:p>
    <w:p>
      <w:pPr>
        <w:snapToGrid w:val="0"/>
        <w:ind w:firstLine="480"/>
        <w:rPr>
          <w:rFonts w:ascii="Times New Roman" w:hAnsi="Times New Roman" w:eastAsia="宋体"/>
          <w:color w:val="auto"/>
          <w:highlight w:val="none"/>
        </w:rPr>
      </w:pPr>
      <w:r>
        <w:rPr>
          <w:rFonts w:hint="eastAsia" w:cs="Times New Roman"/>
          <w:color w:val="auto"/>
          <w:highlight w:val="none"/>
          <w:lang w:eastAsia="zh-CN"/>
        </w:rPr>
        <w:t>本项目</w:t>
      </w:r>
      <w:r>
        <w:rPr>
          <w:rFonts w:hint="default" w:ascii="Times New Roman" w:hAnsi="Times New Roman" w:cs="Times New Roman"/>
          <w:color w:val="auto"/>
          <w:highlight w:val="none"/>
        </w:rPr>
        <w:t>二氧化氯</w:t>
      </w:r>
      <w:r>
        <w:rPr>
          <w:rFonts w:hint="eastAsia" w:cs="Times New Roman"/>
          <w:color w:val="auto"/>
          <w:highlight w:val="none"/>
          <w:lang w:val="en-US" w:eastAsia="zh-CN"/>
        </w:rPr>
        <w:t>不在厂区内储存，采用电解食盐生产二氧化氯。直接加入废水中</w:t>
      </w:r>
      <w:r>
        <w:rPr>
          <w:rFonts w:hint="default" w:ascii="Times New Roman" w:hAnsi="Times New Roman" w:cs="Times New Roman"/>
          <w:color w:val="auto"/>
          <w:highlight w:val="none"/>
        </w:rPr>
        <w:t>。</w:t>
      </w:r>
      <w:r>
        <w:rPr>
          <w:rFonts w:hint="eastAsia" w:ascii="Times New Roman" w:hAnsi="Times New Roman" w:eastAsia="宋体"/>
          <w:color w:val="auto"/>
          <w:highlight w:val="none"/>
        </w:rPr>
        <w:t>本项目所使用的物料有混凝剂和净水剂（PAC</w:t>
      </w:r>
      <w:r>
        <w:rPr>
          <w:rFonts w:hint="eastAsia"/>
          <w:color w:val="auto"/>
          <w:highlight w:val="none"/>
          <w:lang w:eastAsia="zh-CN"/>
        </w:rPr>
        <w:t>）</w:t>
      </w:r>
      <w:r>
        <w:rPr>
          <w:rFonts w:hint="eastAsia" w:ascii="Times New Roman" w:hAnsi="Times New Roman" w:eastAsia="宋体"/>
          <w:color w:val="auto"/>
          <w:highlight w:val="none"/>
        </w:rPr>
        <w:t>、PAM，它们部分是腐蚀性强、易燃的物质，在使用、贮存、运输过程中一旦发生意外泄漏或事故性溢出，易导致爆炸、中毒腐蚀事故的发生。</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本项目生产过程中所用的主要物料具体工程分析内容，主要物料特征及危险特性见</w:t>
      </w:r>
      <w:r>
        <w:rPr>
          <w:rFonts w:hint="eastAsia"/>
          <w:color w:val="auto"/>
          <w:highlight w:val="none"/>
          <w:lang w:val="en-US" w:eastAsia="zh-CN"/>
        </w:rPr>
        <w:t>下</w:t>
      </w:r>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w:instrText>
      </w:r>
      <w:r>
        <w:rPr>
          <w:rFonts w:hint="eastAsia" w:ascii="Times New Roman" w:hAnsi="Times New Roman" w:eastAsia="宋体"/>
          <w:color w:val="auto"/>
          <w:highlight w:val="none"/>
        </w:rPr>
        <w:instrText xml:space="preserve">REF _Ref149660606 \h</w:instrText>
      </w:r>
      <w:r>
        <w:rPr>
          <w:rFonts w:ascii="Times New Roman" w:hAnsi="Times New Roman" w:eastAsia="宋体"/>
          <w:color w:val="auto"/>
          <w:highlight w:val="none"/>
        </w:rPr>
        <w:instrText xml:space="preserve"> </w:instrText>
      </w:r>
      <w:r>
        <w:rPr>
          <w:rFonts w:ascii="Times New Roman" w:hAnsi="Times New Roman" w:eastAsia="宋体"/>
          <w:color w:val="auto"/>
          <w:highlight w:val="none"/>
        </w:rPr>
        <w:fldChar w:fldCharType="separate"/>
      </w:r>
      <w:r>
        <w:rPr>
          <w:rFonts w:hint="eastAsia" w:ascii="Times New Roman" w:hAnsi="Times New Roman" w:eastAsia="宋体"/>
          <w:color w:val="auto"/>
          <w:highlight w:val="none"/>
        </w:rPr>
        <w:t>表</w:t>
      </w:r>
      <w:r>
        <w:rPr>
          <w:rFonts w:ascii="Times New Roman" w:hAnsi="Times New Roman" w:eastAsia="宋体"/>
          <w:color w:val="auto"/>
          <w:highlight w:val="none"/>
        </w:rPr>
        <w:fldChar w:fldCharType="end"/>
      </w:r>
      <w:r>
        <w:rPr>
          <w:rFonts w:hint="eastAsia" w:ascii="Times New Roman" w:hAnsi="Times New Roman" w:eastAsia="宋体"/>
          <w:color w:val="auto"/>
          <w:highlight w:val="none"/>
        </w:rPr>
        <w:t>。</w:t>
      </w:r>
    </w:p>
    <w:p>
      <w:pPr>
        <w:keepNext/>
        <w:widowControl w:val="0"/>
        <w:snapToGrid w:val="0"/>
        <w:spacing w:line="360" w:lineRule="auto"/>
        <w:ind w:firstLine="0" w:firstLineChars="0"/>
        <w:jc w:val="center"/>
        <w:rPr>
          <w:rFonts w:ascii="黑体" w:hAnsi="黑体" w:eastAsia="黑体" w:cstheme="majorBidi"/>
          <w:b/>
          <w:color w:val="auto"/>
          <w:kern w:val="2"/>
          <w:sz w:val="24"/>
          <w:szCs w:val="24"/>
          <w:highlight w:val="none"/>
          <w:lang w:val="en-US" w:eastAsia="zh-CN" w:bidi="ar-SA"/>
        </w:rPr>
      </w:pPr>
      <w:bookmarkStart w:id="206" w:name="_Ref149660606"/>
      <w:r>
        <w:rPr>
          <w:rFonts w:hint="eastAsia" w:ascii="黑体" w:hAnsi="黑体" w:eastAsia="黑体" w:cstheme="majorBidi"/>
          <w:b/>
          <w:color w:val="auto"/>
          <w:kern w:val="2"/>
          <w:sz w:val="24"/>
          <w:szCs w:val="24"/>
          <w:highlight w:val="none"/>
          <w:lang w:val="en-US" w:eastAsia="zh-CN" w:bidi="ar-SA"/>
        </w:rPr>
        <w:t>表5.3</w:t>
      </w:r>
      <w:r>
        <w:rPr>
          <w:rFonts w:ascii="黑体" w:hAnsi="黑体" w:eastAsia="黑体" w:cstheme="majorBidi"/>
          <w:b/>
          <w:color w:val="auto"/>
          <w:kern w:val="2"/>
          <w:sz w:val="24"/>
          <w:szCs w:val="24"/>
          <w:highlight w:val="none"/>
          <w:lang w:val="en-US" w:eastAsia="zh-CN" w:bidi="ar-SA"/>
        </w:rPr>
        <w:noBreakHyphen/>
      </w:r>
      <w:r>
        <w:rPr>
          <w:rFonts w:ascii="黑体" w:hAnsi="黑体" w:eastAsia="黑体" w:cstheme="majorBidi"/>
          <w:b/>
          <w:color w:val="auto"/>
          <w:kern w:val="2"/>
          <w:sz w:val="24"/>
          <w:szCs w:val="24"/>
          <w:highlight w:val="none"/>
          <w:lang w:val="en-US" w:eastAsia="zh-CN" w:bidi="ar-SA"/>
        </w:rPr>
        <w:fldChar w:fldCharType="begin"/>
      </w:r>
      <w:r>
        <w:rPr>
          <w:rFonts w:ascii="黑体" w:hAnsi="黑体" w:eastAsia="黑体" w:cstheme="majorBidi"/>
          <w:b/>
          <w:color w:val="auto"/>
          <w:kern w:val="2"/>
          <w:sz w:val="24"/>
          <w:szCs w:val="24"/>
          <w:highlight w:val="none"/>
          <w:lang w:val="en-US" w:eastAsia="zh-CN" w:bidi="ar-SA"/>
        </w:rPr>
        <w:instrText xml:space="preserve"> </w:instrText>
      </w:r>
      <w:r>
        <w:rPr>
          <w:rFonts w:hint="eastAsia" w:ascii="黑体" w:hAnsi="黑体" w:eastAsia="黑体" w:cstheme="majorBidi"/>
          <w:b/>
          <w:color w:val="auto"/>
          <w:kern w:val="2"/>
          <w:sz w:val="24"/>
          <w:szCs w:val="24"/>
          <w:highlight w:val="none"/>
          <w:lang w:val="en-US" w:eastAsia="zh-CN" w:bidi="ar-SA"/>
        </w:rPr>
        <w:instrText xml:space="preserve">SEQ 表 \* ARABIC \s 3</w:instrText>
      </w:r>
      <w:r>
        <w:rPr>
          <w:rFonts w:ascii="黑体" w:hAnsi="黑体" w:eastAsia="黑体" w:cstheme="majorBidi"/>
          <w:b/>
          <w:color w:val="auto"/>
          <w:kern w:val="2"/>
          <w:sz w:val="24"/>
          <w:szCs w:val="24"/>
          <w:highlight w:val="none"/>
          <w:lang w:val="en-US" w:eastAsia="zh-CN" w:bidi="ar-SA"/>
        </w:rPr>
        <w:instrText xml:space="preserve"> </w:instrText>
      </w:r>
      <w:r>
        <w:rPr>
          <w:rFonts w:ascii="黑体" w:hAnsi="黑体" w:eastAsia="黑体" w:cstheme="majorBidi"/>
          <w:b/>
          <w:color w:val="auto"/>
          <w:kern w:val="2"/>
          <w:sz w:val="24"/>
          <w:szCs w:val="24"/>
          <w:highlight w:val="none"/>
          <w:lang w:val="en-US" w:eastAsia="zh-CN" w:bidi="ar-SA"/>
        </w:rPr>
        <w:fldChar w:fldCharType="separate"/>
      </w:r>
      <w:r>
        <w:rPr>
          <w:rFonts w:ascii="黑体" w:hAnsi="黑体" w:eastAsia="黑体" w:cstheme="majorBidi"/>
          <w:b/>
          <w:color w:val="auto"/>
          <w:kern w:val="2"/>
          <w:sz w:val="24"/>
          <w:szCs w:val="24"/>
          <w:highlight w:val="none"/>
          <w:lang w:val="en-US" w:eastAsia="zh-CN" w:bidi="ar-SA"/>
        </w:rPr>
        <w:t>1</w:t>
      </w:r>
      <w:r>
        <w:rPr>
          <w:rFonts w:ascii="黑体" w:hAnsi="黑体" w:eastAsia="黑体" w:cstheme="majorBidi"/>
          <w:b/>
          <w:color w:val="auto"/>
          <w:kern w:val="2"/>
          <w:sz w:val="24"/>
          <w:szCs w:val="24"/>
          <w:highlight w:val="none"/>
          <w:lang w:val="en-US" w:eastAsia="zh-CN" w:bidi="ar-SA"/>
        </w:rPr>
        <w:fldChar w:fldCharType="end"/>
      </w:r>
      <w:bookmarkEnd w:id="206"/>
      <w:r>
        <w:rPr>
          <w:rFonts w:ascii="黑体" w:hAnsi="黑体" w:eastAsia="黑体" w:cstheme="majorBidi"/>
          <w:b/>
          <w:color w:val="auto"/>
          <w:kern w:val="2"/>
          <w:sz w:val="24"/>
          <w:szCs w:val="24"/>
          <w:highlight w:val="none"/>
          <w:lang w:val="en-US" w:eastAsia="zh-CN" w:bidi="ar-SA"/>
        </w:rPr>
        <w:t>主要物料特征及危险危害特性</w:t>
      </w:r>
    </w:p>
    <w:tbl>
      <w:tblPr>
        <w:tblStyle w:val="34"/>
        <w:tblW w:w="501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614"/>
        <w:gridCol w:w="828"/>
        <w:gridCol w:w="3043"/>
        <w:gridCol w:w="3043"/>
        <w:gridCol w:w="9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1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序号</w:t>
            </w:r>
          </w:p>
        </w:tc>
        <w:tc>
          <w:tcPr>
            <w:tcW w:w="82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名称</w:t>
            </w:r>
          </w:p>
        </w:tc>
        <w:tc>
          <w:tcPr>
            <w:tcW w:w="303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理化性质</w:t>
            </w:r>
          </w:p>
        </w:tc>
        <w:tc>
          <w:tcPr>
            <w:tcW w:w="303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风险特性</w:t>
            </w:r>
          </w:p>
        </w:tc>
        <w:tc>
          <w:tcPr>
            <w:tcW w:w="90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风险识别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1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1</w:t>
            </w:r>
          </w:p>
        </w:tc>
        <w:tc>
          <w:tcPr>
            <w:tcW w:w="82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PAM</w:t>
            </w:r>
          </w:p>
        </w:tc>
        <w:tc>
          <w:tcPr>
            <w:tcW w:w="303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丙烯酰胺均聚物或与其他单体共聚的聚合物统称，可以用作有效的絮凝剂，增稠剂，纸张增强剂，以及液体的减阻剂等，外观是白微黄色粉末，粒径小于4mm，分子量在300-800万。</w:t>
            </w:r>
          </w:p>
        </w:tc>
        <w:tc>
          <w:tcPr>
            <w:tcW w:w="303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该物质无环境危害特性，对健康无危害，不会造成人体中毒，与皮肤接触后用肥皂水和清水彻底冲洗皮肤，与眼睛接触后提起眼睑，用流动清水或生理盐水冲洗。该品易燃，燃烧后无有害产物，用水灭火即可。</w:t>
            </w:r>
          </w:p>
        </w:tc>
        <w:tc>
          <w:tcPr>
            <w:tcW w:w="90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无毒性</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无腐蚀性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1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2</w:t>
            </w:r>
          </w:p>
        </w:tc>
        <w:tc>
          <w:tcPr>
            <w:tcW w:w="82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混凝剂、净水剂（PAC</w:t>
            </w:r>
            <w:r>
              <w:rPr>
                <w:rFonts w:hint="eastAsia" w:cstheme="minorBidi"/>
                <w:color w:val="auto"/>
                <w:kern w:val="2"/>
                <w:sz w:val="21"/>
                <w:szCs w:val="24"/>
                <w:highlight w:val="none"/>
                <w:lang w:val="en-US" w:eastAsia="zh-CN" w:bidi="ar-SA"/>
              </w:rPr>
              <w:t>）</w:t>
            </w:r>
          </w:p>
        </w:tc>
        <w:tc>
          <w:tcPr>
            <w:tcW w:w="303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外观为淡黄色或微带浅灰色或颗粒，熔点为190℃，沸点为178℃，极易溶于水及水解，水解生成[Al(OH)3(OH2)3]，沉淀水解过程中伴随有电化学、凝聚、吸附、沉淀等物理化学过程。聚合氯化铝是目前应用前景最广的絮凝剂之一。作为水处理的絮凝剂，聚合氯化铝具有用量少、沉降速度快、颗粒密实、除色效果等显著点。</w:t>
            </w:r>
          </w:p>
        </w:tc>
        <w:tc>
          <w:tcPr>
            <w:tcW w:w="303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该品性质稳定，不易燃，但具有腐蚀性，当与眼睛、皮肤接触时会造成灼伤，还会引起过敏性皮炎。与皮肤接触后立即用大量流动水冲洗，之后用0.5％碳酸氢钠溶液冲洗，紧急处理完后送医务室急救。对其进行操作时戴橡胶手套。</w:t>
            </w:r>
          </w:p>
        </w:tc>
        <w:tc>
          <w:tcPr>
            <w:tcW w:w="90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ascii="Times New Roman" w:hAnsi="Times New Roman" w:eastAsia="宋体" w:cstheme="minorBidi"/>
                <w:color w:val="auto"/>
                <w:kern w:val="2"/>
                <w:sz w:val="21"/>
                <w:szCs w:val="24"/>
                <w:highlight w:val="none"/>
                <w:lang w:val="en-US" w:eastAsia="zh-CN" w:bidi="ar-SA"/>
              </w:rPr>
              <w:t>无毒性</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具有刺激性</w:t>
            </w:r>
          </w:p>
        </w:tc>
      </w:tr>
    </w:tbl>
    <w:p>
      <w:pPr>
        <w:pStyle w:val="5"/>
        <w:bidi w:val="0"/>
        <w:rPr>
          <w:color w:val="auto"/>
          <w:highlight w:val="none"/>
          <w:lang w:val="en-US" w:eastAsia="zh-CN"/>
        </w:rPr>
      </w:pPr>
      <w:r>
        <w:rPr>
          <w:color w:val="auto"/>
          <w:highlight w:val="none"/>
          <w:lang w:val="en-US" w:eastAsia="zh-CN"/>
        </w:rPr>
        <w:t>生产过程风险识别</w:t>
      </w:r>
    </w:p>
    <w:p>
      <w:pPr>
        <w:snapToGrid w:val="0"/>
        <w:ind w:firstLine="480"/>
        <w:rPr>
          <w:rFonts w:ascii="Times New Roman" w:hAnsi="Times New Roman" w:eastAsia="宋体"/>
          <w:color w:val="auto"/>
          <w:highlight w:val="none"/>
        </w:rPr>
      </w:pPr>
      <w:r>
        <w:rPr>
          <w:rFonts w:ascii="Times New Roman" w:hAnsi="Times New Roman" w:eastAsia="宋体"/>
          <w:color w:val="auto"/>
          <w:highlight w:val="none"/>
        </w:rPr>
        <w:t>根据污水处理行业的特性，本工程主要由污水预处理单元、水解酸化单元生化单元、污泥脱水系统、加药系统等工艺单元及尾水排放管组成。</w:t>
      </w:r>
    </w:p>
    <w:p>
      <w:pPr>
        <w:snapToGrid w:val="0"/>
        <w:ind w:firstLine="480"/>
        <w:rPr>
          <w:rFonts w:ascii="Times New Roman" w:hAnsi="Times New Roman" w:eastAsia="宋体"/>
          <w:color w:val="auto"/>
          <w:highlight w:val="none"/>
        </w:rPr>
      </w:pPr>
      <w:r>
        <w:rPr>
          <w:rFonts w:hint="eastAsia" w:ascii="宋体" w:hAnsi="宋体" w:eastAsia="宋体" w:cs="宋体"/>
          <w:color w:val="auto"/>
          <w:highlight w:val="none"/>
        </w:rPr>
        <w:t>（1）厂</w:t>
      </w:r>
      <w:r>
        <w:rPr>
          <w:rFonts w:ascii="Times New Roman" w:hAnsi="Times New Roman" w:eastAsia="宋体"/>
          <w:color w:val="auto"/>
          <w:highlight w:val="none"/>
        </w:rPr>
        <w:t>区工程风险分析</w:t>
      </w:r>
    </w:p>
    <w:p>
      <w:pPr>
        <w:snapToGrid w:val="0"/>
        <w:ind w:firstLine="480"/>
        <w:rPr>
          <w:rFonts w:ascii="Times New Roman" w:hAnsi="Times New Roman" w:eastAsia="宋体"/>
          <w:color w:val="auto"/>
          <w:highlight w:val="none"/>
        </w:rPr>
      </w:pPr>
      <w:r>
        <w:rPr>
          <w:rFonts w:ascii="Times New Roman" w:hAnsi="Times New Roman" w:eastAsia="宋体"/>
          <w:color w:val="auto"/>
          <w:highlight w:val="none"/>
        </w:rPr>
        <w:t>生产过程中主要由于操作失误、装置损坏、阀门损坏等原因，导致混凝剂和净水剂（PAC</w:t>
      </w:r>
      <w:r>
        <w:rPr>
          <w:rFonts w:hint="eastAsia"/>
          <w:color w:val="auto"/>
          <w:highlight w:val="none"/>
          <w:lang w:eastAsia="zh-CN"/>
        </w:rPr>
        <w:t>）</w:t>
      </w:r>
      <w:r>
        <w:rPr>
          <w:rFonts w:ascii="Times New Roman" w:hAnsi="Times New Roman" w:eastAsia="宋体"/>
          <w:color w:val="auto"/>
          <w:highlight w:val="none"/>
        </w:rPr>
        <w:t>、PAM的泄漏，以及遇明火造成火灾爆炸、中毒等事故。</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（2）</w:t>
      </w:r>
      <w:r>
        <w:rPr>
          <w:rFonts w:ascii="Times New Roman" w:hAnsi="Times New Roman" w:eastAsia="宋体"/>
          <w:color w:val="auto"/>
          <w:highlight w:val="none"/>
        </w:rPr>
        <w:t>厂外工程风险分析</w:t>
      </w:r>
    </w:p>
    <w:p>
      <w:pPr>
        <w:snapToGrid w:val="0"/>
        <w:ind w:firstLine="480"/>
        <w:rPr>
          <w:rFonts w:ascii="Times New Roman" w:hAnsi="Times New Roman" w:eastAsia="宋体"/>
          <w:color w:val="auto"/>
          <w:highlight w:val="none"/>
        </w:rPr>
      </w:pPr>
      <w:r>
        <w:rPr>
          <w:rFonts w:ascii="Times New Roman" w:hAnsi="Times New Roman" w:eastAsia="宋体"/>
          <w:color w:val="auto"/>
          <w:highlight w:val="none"/>
        </w:rPr>
        <w:t>本项目管道分为厂外浓水排放管线、厂外尾水排放管线。浓水、尾水排放管线破裂造成输送介质泄漏或者库区渗漏造成储存介质泄漏，对地下水水质和水位造成影响。</w:t>
      </w:r>
    </w:p>
    <w:p>
      <w:pPr>
        <w:pStyle w:val="5"/>
        <w:bidi w:val="0"/>
        <w:rPr>
          <w:color w:val="auto"/>
          <w:highlight w:val="none"/>
          <w:lang w:val="en-US" w:eastAsia="zh-CN"/>
        </w:rPr>
      </w:pPr>
      <w:r>
        <w:rPr>
          <w:rFonts w:hint="eastAsia"/>
          <w:color w:val="auto"/>
          <w:highlight w:val="none"/>
          <w:lang w:val="en-US" w:eastAsia="zh-CN"/>
        </w:rPr>
        <w:t>扩散途径识别</w:t>
      </w:r>
    </w:p>
    <w:p>
      <w:pPr>
        <w:snapToGrid w:val="0"/>
        <w:ind w:firstLine="480"/>
        <w:rPr>
          <w:rFonts w:ascii="Times New Roman" w:hAnsi="Times New Roman" w:eastAsia="宋体"/>
          <w:color w:val="auto"/>
          <w:highlight w:val="none"/>
        </w:rPr>
      </w:pPr>
      <w:r>
        <w:rPr>
          <w:rFonts w:ascii="Times New Roman" w:hAnsi="Times New Roman" w:eastAsia="宋体"/>
          <w:color w:val="auto"/>
          <w:highlight w:val="none"/>
        </w:rPr>
        <w:t>通过以上物质识别、生产设施识别过程看出，本工程所涉及的危险物质的扩散途径主要有：</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（1）</w:t>
      </w:r>
      <w:r>
        <w:rPr>
          <w:rFonts w:ascii="Times New Roman" w:hAnsi="Times New Roman" w:eastAsia="宋体"/>
          <w:color w:val="auto"/>
          <w:highlight w:val="none"/>
        </w:rPr>
        <w:t>加药间有毒有害物质泄漏后直接扩散进入环境空气，对大气环境的影响，主要是</w:t>
      </w:r>
      <w:r>
        <w:rPr>
          <w:rFonts w:hint="eastAsia" w:ascii="Times New Roman" w:hAnsi="Times New Roman" w:eastAsia="宋体"/>
          <w:color w:val="auto"/>
          <w:highlight w:val="none"/>
          <w:lang w:val="en-US" w:eastAsia="zh-CN"/>
        </w:rPr>
        <w:t>二氧化氯</w:t>
      </w:r>
      <w:r>
        <w:rPr>
          <w:rFonts w:ascii="Times New Roman" w:hAnsi="Times New Roman" w:eastAsia="宋体"/>
          <w:color w:val="auto"/>
          <w:highlight w:val="none"/>
        </w:rPr>
        <w:t>。</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（2）</w:t>
      </w:r>
      <w:r>
        <w:rPr>
          <w:rFonts w:ascii="Times New Roman" w:hAnsi="Times New Roman" w:eastAsia="宋体"/>
          <w:color w:val="auto"/>
          <w:highlight w:val="none"/>
        </w:rPr>
        <w:t>加氯间发生泄漏及火灾爆炸事故后产生的消防废水没有及时收集处理，对土壤及地下水环境造成影响，主要是</w:t>
      </w:r>
      <w:r>
        <w:rPr>
          <w:rFonts w:hint="eastAsia" w:ascii="Times New Roman" w:hAnsi="Times New Roman" w:eastAsia="宋体"/>
          <w:color w:val="auto"/>
          <w:highlight w:val="none"/>
        </w:rPr>
        <w:t>PAM、PAC等</w:t>
      </w:r>
      <w:r>
        <w:rPr>
          <w:rFonts w:ascii="Times New Roman" w:hAnsi="Times New Roman" w:eastAsia="宋体"/>
          <w:color w:val="auto"/>
          <w:highlight w:val="none"/>
        </w:rPr>
        <w:t>。</w:t>
      </w:r>
    </w:p>
    <w:p>
      <w:pPr>
        <w:snapToGrid w:val="0"/>
        <w:ind w:firstLine="480"/>
        <w:rPr>
          <w:rFonts w:ascii="Times New Roman" w:hAnsi="Times New Roman" w:eastAsia="宋体"/>
          <w:color w:val="auto"/>
          <w:highlight w:val="none"/>
        </w:rPr>
      </w:pPr>
      <w:r>
        <w:rPr>
          <w:rFonts w:hint="eastAsia" w:ascii="Times New Roman" w:hAnsi="Times New Roman" w:eastAsia="宋体"/>
          <w:color w:val="auto"/>
          <w:highlight w:val="none"/>
        </w:rPr>
        <w:t>（3）</w:t>
      </w:r>
      <w:r>
        <w:rPr>
          <w:rFonts w:ascii="Times New Roman" w:hAnsi="Times New Roman" w:eastAsia="宋体"/>
          <w:color w:val="auto"/>
          <w:highlight w:val="none"/>
        </w:rPr>
        <w:t>排放管线破裂，造成输送介质泄漏，对地下水水质和水位造成影响，对地下水水质和水位造成影响。</w:t>
      </w:r>
    </w:p>
    <w:p>
      <w:pPr>
        <w:pStyle w:val="5"/>
        <w:bidi w:val="0"/>
        <w:rPr>
          <w:rFonts w:hint="default"/>
          <w:color w:val="auto"/>
          <w:highlight w:val="none"/>
        </w:rPr>
      </w:pPr>
      <w:r>
        <w:rPr>
          <w:rFonts w:hint="default"/>
          <w:color w:val="auto"/>
          <w:highlight w:val="none"/>
        </w:rPr>
        <w:t>危险物质数量与临界量比值（Q）</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计算所涉及的每种危险物质在厂界内的最大存在总量与其在附录B中对应临界量的比值</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Q。在不同厂区的同一种物质，按其在厂界内的最大存在总量计算。对于长输管线项目，按照</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两个截断阀室之间管段危险物质最大存在总量计算。</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当只涉及一种危险物质时，计算该物质的总量与其临界量比值，即为Q；</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当存在多种危险物质时，则按式（C.1）计算物质总量与其临界量比值（Q）：</w:t>
      </w:r>
    </w:p>
    <w:p>
      <w:pPr>
        <w:ind w:firstLine="48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q</w:t>
      </w:r>
      <w:r>
        <w:rPr>
          <w:rFonts w:hint="default" w:ascii="Times New Roman" w:hAnsi="Times New Roman" w:cs="Times New Roman"/>
          <w:color w:val="auto"/>
          <w:highlight w:val="none"/>
          <w:vertAlign w:val="subscript"/>
        </w:rPr>
        <w:t>1</w:t>
      </w:r>
      <w:r>
        <w:rPr>
          <w:rFonts w:hint="default" w:ascii="Times New Roman" w:hAnsi="Times New Roman" w:cs="Times New Roman"/>
          <w:color w:val="auto"/>
          <w:highlight w:val="none"/>
        </w:rPr>
        <w:t>/Q</w:t>
      </w:r>
      <w:r>
        <w:rPr>
          <w:rFonts w:hint="default" w:ascii="Times New Roman" w:hAnsi="Times New Roman" w:cs="Times New Roman"/>
          <w:color w:val="auto"/>
          <w:highlight w:val="none"/>
          <w:vertAlign w:val="subscript"/>
        </w:rPr>
        <w:t>1</w:t>
      </w:r>
      <w:r>
        <w:rPr>
          <w:rFonts w:hint="default" w:ascii="Times New Roman" w:hAnsi="Times New Roman" w:cs="Times New Roman"/>
          <w:color w:val="auto"/>
          <w:highlight w:val="none"/>
        </w:rPr>
        <w:t>+q</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/Q</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+q</w:t>
      </w:r>
      <w:r>
        <w:rPr>
          <w:rFonts w:hint="default" w:ascii="Times New Roman" w:hAnsi="Times New Roman" w:cs="Times New Roman"/>
          <w:color w:val="auto"/>
          <w:highlight w:val="none"/>
          <w:vertAlign w:val="subscript"/>
        </w:rPr>
        <w:t>n</w:t>
      </w:r>
      <w:r>
        <w:rPr>
          <w:rFonts w:hint="default" w:ascii="Times New Roman" w:hAnsi="Times New Roman" w:cs="Times New Roman"/>
          <w:color w:val="auto"/>
          <w:highlight w:val="none"/>
        </w:rPr>
        <w:t>/Q</w:t>
      </w:r>
      <w:r>
        <w:rPr>
          <w:rFonts w:hint="default" w:ascii="Times New Roman" w:hAnsi="Times New Roman" w:cs="Times New Roman"/>
          <w:color w:val="auto"/>
          <w:highlight w:val="none"/>
          <w:vertAlign w:val="subscript"/>
        </w:rPr>
        <w:t>n</w:t>
      </w:r>
      <w:r>
        <w:rPr>
          <w:rFonts w:hint="default" w:ascii="Times New Roman" w:hAnsi="Times New Roman" w:cs="Times New Roman"/>
          <w:color w:val="auto"/>
          <w:highlight w:val="none"/>
        </w:rPr>
        <w:t>≥1</w:t>
      </w:r>
    </w:p>
    <w:p>
      <w:pPr>
        <w:ind w:firstLine="960" w:firstLineChars="400"/>
        <w:rPr>
          <w:rFonts w:hint="default" w:ascii="Times New Roman" w:hAnsi="Times New Roman" w:cs="Times New Roman"/>
          <w:color w:val="auto"/>
          <w:highlight w:val="none"/>
        </w:rPr>
      </w:pPr>
      <w:r>
        <w:rPr>
          <w:rFonts w:hint="default" w:ascii="Times New Roman" w:hAnsi="Times New Roman" w:cs="Times New Roman"/>
          <w:color w:val="auto"/>
          <w:highlight w:val="none"/>
        </w:rPr>
        <w:t>式中q</w:t>
      </w:r>
      <w:r>
        <w:rPr>
          <w:rFonts w:hint="default" w:ascii="Times New Roman" w:hAnsi="Times New Roman" w:cs="Times New Roman"/>
          <w:color w:val="auto"/>
          <w:highlight w:val="none"/>
          <w:vertAlign w:val="subscript"/>
        </w:rPr>
        <w:t>1</w:t>
      </w:r>
      <w:r>
        <w:rPr>
          <w:rFonts w:hint="default" w:ascii="Times New Roman" w:hAnsi="Times New Roman" w:cs="Times New Roman"/>
          <w:color w:val="auto"/>
          <w:highlight w:val="none"/>
        </w:rPr>
        <w:t>，q</w:t>
      </w:r>
      <w:r>
        <w:rPr>
          <w:rFonts w:hint="default" w:ascii="Times New Roman" w:hAnsi="Times New Roman" w:cs="Times New Roman"/>
          <w:color w:val="auto"/>
          <w:highlight w:val="none"/>
          <w:vertAlign w:val="subscript"/>
        </w:rPr>
        <w:t>1</w:t>
      </w:r>
      <w:r>
        <w:rPr>
          <w:rFonts w:hint="default" w:ascii="Times New Roman" w:hAnsi="Times New Roman" w:cs="Times New Roman"/>
          <w:color w:val="auto"/>
          <w:highlight w:val="none"/>
        </w:rPr>
        <w:t>…，q</w:t>
      </w:r>
      <w:r>
        <w:rPr>
          <w:rFonts w:hint="default" w:ascii="Times New Roman" w:hAnsi="Times New Roman" w:cs="Times New Roman"/>
          <w:color w:val="auto"/>
          <w:highlight w:val="none"/>
          <w:vertAlign w:val="subscript"/>
        </w:rPr>
        <w:t>n</w:t>
      </w:r>
      <w:r>
        <w:rPr>
          <w:rFonts w:hint="default" w:ascii="Times New Roman" w:hAnsi="Times New Roman" w:cs="Times New Roman"/>
          <w:color w:val="auto"/>
          <w:highlight w:val="none"/>
        </w:rPr>
        <w:t>为每种危险物质实际存在量，t；</w:t>
      </w:r>
    </w:p>
    <w:p>
      <w:pPr>
        <w:ind w:firstLine="1440" w:firstLineChars="600"/>
        <w:rPr>
          <w:rFonts w:hint="default" w:ascii="Times New Roman" w:hAnsi="Times New Roman" w:cs="Times New Roman"/>
          <w:color w:val="auto"/>
          <w:highlight w:val="none"/>
        </w:rPr>
      </w:pPr>
      <w:r>
        <w:rPr>
          <w:rFonts w:hint="default" w:ascii="Times New Roman" w:hAnsi="Times New Roman" w:cs="Times New Roman"/>
          <w:color w:val="auto"/>
          <w:highlight w:val="none"/>
        </w:rPr>
        <w:t>Q</w:t>
      </w:r>
      <w:r>
        <w:rPr>
          <w:rFonts w:hint="default" w:ascii="Times New Roman" w:hAnsi="Times New Roman" w:cs="Times New Roman"/>
          <w:color w:val="auto"/>
          <w:highlight w:val="none"/>
          <w:vertAlign w:val="subscript"/>
        </w:rPr>
        <w:t>1</w:t>
      </w:r>
      <w:r>
        <w:rPr>
          <w:rFonts w:hint="default" w:ascii="Times New Roman" w:hAnsi="Times New Roman" w:cs="Times New Roman"/>
          <w:color w:val="auto"/>
          <w:highlight w:val="none"/>
        </w:rPr>
        <w:t>，Q</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…，Q</w:t>
      </w:r>
      <w:r>
        <w:rPr>
          <w:rFonts w:hint="default" w:ascii="Times New Roman" w:hAnsi="Times New Roman" w:cs="Times New Roman"/>
          <w:color w:val="auto"/>
          <w:highlight w:val="none"/>
          <w:vertAlign w:val="subscript"/>
        </w:rPr>
        <w:t>n</w:t>
      </w:r>
      <w:r>
        <w:rPr>
          <w:rFonts w:hint="default" w:ascii="Times New Roman" w:hAnsi="Times New Roman" w:cs="Times New Roman"/>
          <w:color w:val="auto"/>
          <w:highlight w:val="none"/>
        </w:rPr>
        <w:t>为与各危险物质相对应的临界量，t。</w:t>
      </w:r>
    </w:p>
    <w:p>
      <w:pPr>
        <w:ind w:firstLine="480"/>
        <w:rPr>
          <w:rFonts w:hint="default" w:ascii="Times New Roman" w:hAnsi="Times New Roman" w:cs="Times New Roman"/>
          <w:color w:val="auto"/>
          <w:highlight w:val="none"/>
        </w:rPr>
      </w:pPr>
      <w:bookmarkStart w:id="207" w:name="_Toc12481"/>
      <w:bookmarkStart w:id="208" w:name="_Toc31135"/>
      <w:bookmarkStart w:id="209" w:name="_Toc371785839"/>
      <w:bookmarkStart w:id="210" w:name="_Toc430014782"/>
      <w:r>
        <w:rPr>
          <w:rFonts w:hint="default" w:ascii="Times New Roman" w:hAnsi="Times New Roman" w:cs="Times New Roman"/>
          <w:color w:val="auto"/>
          <w:highlight w:val="none"/>
          <w:lang w:val="en-US" w:eastAsia="zh-CN"/>
        </w:rPr>
        <w:t>Q</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时，该项目环境风险潜势为Ⅰ。</w:t>
      </w:r>
    </w:p>
    <w:p>
      <w:pPr>
        <w:ind w:firstLine="48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当</w:t>
      </w:r>
      <w:r>
        <w:rPr>
          <w:rFonts w:hint="default" w:ascii="Times New Roman" w:hAnsi="Times New Roman" w:cs="Times New Roman"/>
          <w:color w:val="auto"/>
          <w:highlight w:val="none"/>
          <w:lang w:val="en-US" w:eastAsia="zh-CN"/>
        </w:rPr>
        <w:t>Q</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时，将</w:t>
      </w:r>
      <w:r>
        <w:rPr>
          <w:rFonts w:hint="default" w:ascii="Times New Roman" w:hAnsi="Times New Roman" w:cs="Times New Roman"/>
          <w:color w:val="auto"/>
          <w:highlight w:val="none"/>
          <w:lang w:val="en-US" w:eastAsia="zh-CN"/>
        </w:rPr>
        <w:t>Q</w:t>
      </w:r>
      <w:r>
        <w:rPr>
          <w:rFonts w:hint="eastAsia" w:ascii="Times New Roman" w:hAnsi="Times New Roman" w:cs="Times New Roman"/>
          <w:color w:val="auto"/>
          <w:highlight w:val="none"/>
          <w:lang w:val="en-US" w:eastAsia="zh-CN"/>
        </w:rPr>
        <w:t>值划分为：（</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Q</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10</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2</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10</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Q</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100</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3</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Q</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100</w:t>
      </w:r>
      <w:r>
        <w:rPr>
          <w:rFonts w:hint="eastAsia" w:ascii="Times New Roman" w:hAnsi="Times New Roman" w:cs="Times New Roman"/>
          <w:color w:val="auto"/>
          <w:highlight w:val="none"/>
          <w:lang w:val="en-US" w:eastAsia="zh-CN"/>
        </w:rPr>
        <w:t>。</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风险评价工作等级</w:t>
      </w:r>
      <w:bookmarkEnd w:id="207"/>
      <w:bookmarkEnd w:id="208"/>
      <w:bookmarkEnd w:id="209"/>
      <w:bookmarkEnd w:id="210"/>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根据《建设项目环境风险评价技术导则》（HJ169-2018）附录B风险物质及临界量比值计算结果详见下表。</w:t>
      </w:r>
    </w:p>
    <w:p>
      <w:pPr>
        <w:pStyle w:val="16"/>
        <w:ind w:firstLine="480"/>
        <w:rPr>
          <w:rFonts w:hint="default" w:ascii="Times New Roman" w:hAnsi="Times New Roman" w:cs="Times New Roman"/>
          <w:color w:val="auto"/>
          <w:highlight w:val="none"/>
        </w:rPr>
      </w:pPr>
      <w:r>
        <w:rPr>
          <w:rFonts w:hint="default" w:ascii="Times New Roman" w:hAnsi="Times New Roman" w:eastAsia="黑体" w:cs="Times New Roman"/>
          <w:color w:val="auto"/>
          <w:highlight w:val="none"/>
        </w:rPr>
        <w:t>表</w:t>
      </w:r>
      <w:r>
        <w:rPr>
          <w:rFonts w:hint="default" w:ascii="Times New Roman" w:hAnsi="Times New Roman" w:eastAsia="黑体" w:cs="Times New Roman"/>
          <w:color w:val="auto"/>
          <w:highlight w:val="none"/>
          <w:lang w:val="en-US" w:eastAsia="zh-CN"/>
        </w:rPr>
        <w:t>5</w:t>
      </w:r>
      <w:r>
        <w:rPr>
          <w:rFonts w:hint="default" w:ascii="Times New Roman" w:hAnsi="Times New Roman" w:eastAsia="黑体" w:cs="Times New Roman"/>
          <w:color w:val="auto"/>
          <w:highlight w:val="none"/>
        </w:rPr>
        <w:t>.3-</w:t>
      </w:r>
      <w:r>
        <w:rPr>
          <w:rFonts w:hint="eastAsia" w:eastAsia="黑体" w:cs="Times New Roman"/>
          <w:color w:val="auto"/>
          <w:highlight w:val="none"/>
          <w:lang w:val="en-US" w:eastAsia="zh-CN"/>
        </w:rPr>
        <w:t>2</w:t>
      </w:r>
      <w:r>
        <w:rPr>
          <w:rFonts w:hint="default" w:ascii="Times New Roman" w:hAnsi="Times New Roman" w:eastAsia="黑体" w:cs="Times New Roman"/>
          <w:color w:val="auto"/>
          <w:highlight w:val="none"/>
        </w:rPr>
        <w:t>风险物质与临界量比值一览表</w:t>
      </w:r>
    </w:p>
    <w:tbl>
      <w:tblPr>
        <w:tblStyle w:val="33"/>
        <w:tblW w:w="4998" w:type="pct"/>
        <w:jc w:val="center"/>
        <w:tblBorders>
          <w:top w:val="single" w:color="auto" w:sz="8" w:space="0"/>
          <w:left w:val="single" w:color="auto" w:sz="8" w:space="0"/>
          <w:bottom w:val="single" w:color="auto" w:sz="8" w:space="0"/>
          <w:right w:val="single" w:color="auto" w:sz="8" w:space="0"/>
          <w:insideH w:val="single" w:color="000000" w:sz="2" w:space="0"/>
          <w:insideV w:val="single" w:color="000000" w:sz="2" w:space="0"/>
        </w:tblBorders>
        <w:shd w:val="clear" w:color="auto" w:fill="CED7E7"/>
        <w:tblLayout w:type="autofit"/>
        <w:tblCellMar>
          <w:top w:w="0" w:type="dxa"/>
          <w:left w:w="0" w:type="dxa"/>
          <w:bottom w:w="0" w:type="dxa"/>
          <w:right w:w="0" w:type="dxa"/>
        </w:tblCellMar>
      </w:tblPr>
      <w:tblGrid>
        <w:gridCol w:w="559"/>
        <w:gridCol w:w="1361"/>
        <w:gridCol w:w="736"/>
        <w:gridCol w:w="886"/>
        <w:gridCol w:w="857"/>
        <w:gridCol w:w="937"/>
        <w:gridCol w:w="843"/>
        <w:gridCol w:w="2358"/>
      </w:tblGrid>
      <w:tr>
        <w:tblPrEx>
          <w:tblBorders>
            <w:top w:val="single" w:color="auto" w:sz="8" w:space="0"/>
            <w:left w:val="single" w:color="auto" w:sz="8" w:space="0"/>
            <w:bottom w:val="single" w:color="auto" w:sz="8" w:space="0"/>
            <w:right w:val="single" w:color="auto" w:sz="8"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330" w:type="pct"/>
            <w:vMerge w:val="restart"/>
            <w:shd w:val="clear" w:color="auto" w:fill="auto"/>
            <w:tcMar>
              <w:top w:w="80" w:type="dxa"/>
              <w:left w:w="80" w:type="dxa"/>
              <w:bottom w:w="80" w:type="dxa"/>
              <w:right w:w="80" w:type="dxa"/>
            </w:tcMar>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序号</w:t>
            </w:r>
          </w:p>
        </w:tc>
        <w:tc>
          <w:tcPr>
            <w:tcW w:w="799" w:type="pct"/>
            <w:vMerge w:val="restart"/>
            <w:shd w:val="clear" w:color="auto" w:fill="auto"/>
            <w:tcMar>
              <w:top w:w="80" w:type="dxa"/>
              <w:left w:w="80" w:type="dxa"/>
              <w:bottom w:w="80" w:type="dxa"/>
              <w:right w:w="80" w:type="dxa"/>
            </w:tcMar>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物质名称</w:t>
            </w:r>
          </w:p>
        </w:tc>
        <w:tc>
          <w:tcPr>
            <w:tcW w:w="433" w:type="pct"/>
            <w:vMerge w:val="restart"/>
            <w:shd w:val="clear" w:color="auto" w:fill="auto"/>
            <w:tcMar>
              <w:top w:w="80" w:type="dxa"/>
              <w:left w:w="80" w:type="dxa"/>
              <w:bottom w:w="80" w:type="dxa"/>
              <w:right w:w="80" w:type="dxa"/>
            </w:tcMar>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物态</w:t>
            </w:r>
          </w:p>
        </w:tc>
        <w:tc>
          <w:tcPr>
            <w:tcW w:w="521" w:type="pct"/>
            <w:vMerge w:val="restart"/>
            <w:shd w:val="clear" w:color="auto" w:fill="auto"/>
            <w:tcMar>
              <w:top w:w="80" w:type="dxa"/>
              <w:left w:w="80" w:type="dxa"/>
              <w:bottom w:w="80" w:type="dxa"/>
              <w:right w:w="80" w:type="dxa"/>
            </w:tcMar>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所在位置</w:t>
            </w:r>
          </w:p>
        </w:tc>
        <w:tc>
          <w:tcPr>
            <w:tcW w:w="504" w:type="pct"/>
            <w:vMerge w:val="restart"/>
            <w:shd w:val="clear" w:color="auto" w:fill="auto"/>
            <w:tcMar>
              <w:top w:w="80" w:type="dxa"/>
              <w:left w:w="80" w:type="dxa"/>
              <w:bottom w:w="80" w:type="dxa"/>
              <w:right w:w="80" w:type="dxa"/>
            </w:tcMar>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最大在线量</w:t>
            </w:r>
            <w:r>
              <w:rPr>
                <w:rFonts w:hint="default" w:ascii="Times New Roman" w:hAnsi="Times New Roman" w:cs="Times New Roman"/>
                <w:color w:val="auto"/>
                <w:kern w:val="2"/>
                <w:highlight w:val="none"/>
                <w:lang w:val="de-DE"/>
              </w:rPr>
              <w:t>t</w:t>
            </w:r>
          </w:p>
        </w:tc>
        <w:tc>
          <w:tcPr>
            <w:tcW w:w="2409" w:type="pct"/>
            <w:gridSpan w:val="3"/>
            <w:shd w:val="clear" w:color="auto" w:fill="auto"/>
            <w:tcMar>
              <w:top w:w="80" w:type="dxa"/>
              <w:left w:w="80" w:type="dxa"/>
              <w:bottom w:w="80" w:type="dxa"/>
              <w:right w:w="80" w:type="dxa"/>
            </w:tcMar>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《建设项目环境风险评价技术导则》（HJ169-2018）附录B</w:t>
            </w:r>
          </w:p>
        </w:tc>
      </w:tr>
      <w:tr>
        <w:tblPrEx>
          <w:tblBorders>
            <w:top w:val="single" w:color="auto" w:sz="8" w:space="0"/>
            <w:left w:val="single" w:color="auto" w:sz="8" w:space="0"/>
            <w:bottom w:val="single" w:color="auto" w:sz="8" w:space="0"/>
            <w:right w:val="single" w:color="auto" w:sz="8" w:space="0"/>
            <w:insideH w:val="single" w:color="000000" w:sz="2" w:space="0"/>
            <w:insideV w:val="single" w:color="000000" w:sz="2" w:space="0"/>
          </w:tblBorders>
          <w:shd w:val="clear" w:color="auto" w:fill="CED7E7"/>
          <w:tblCellMar>
            <w:top w:w="0" w:type="dxa"/>
            <w:left w:w="0" w:type="dxa"/>
            <w:bottom w:w="0" w:type="dxa"/>
            <w:right w:w="0" w:type="dxa"/>
          </w:tblCellMar>
        </w:tblPrEx>
        <w:trPr>
          <w:trHeight w:val="216" w:hRule="atLeast"/>
          <w:jc w:val="center"/>
        </w:trPr>
        <w:tc>
          <w:tcPr>
            <w:tcW w:w="330" w:type="pct"/>
            <w:vMerge w:val="continue"/>
            <w:shd w:val="clear" w:color="auto" w:fill="auto"/>
            <w:vAlign w:val="center"/>
          </w:tcPr>
          <w:p>
            <w:pPr>
              <w:pStyle w:val="74"/>
              <w:rPr>
                <w:rFonts w:hint="default" w:ascii="Times New Roman" w:hAnsi="Times New Roman" w:cs="Times New Roman"/>
                <w:color w:val="auto"/>
                <w:kern w:val="2"/>
                <w:highlight w:val="none"/>
              </w:rPr>
            </w:pPr>
          </w:p>
        </w:tc>
        <w:tc>
          <w:tcPr>
            <w:tcW w:w="799" w:type="pct"/>
            <w:vMerge w:val="continue"/>
            <w:shd w:val="clear" w:color="auto" w:fill="auto"/>
            <w:vAlign w:val="center"/>
          </w:tcPr>
          <w:p>
            <w:pPr>
              <w:pStyle w:val="74"/>
              <w:rPr>
                <w:rFonts w:hint="default" w:ascii="Times New Roman" w:hAnsi="Times New Roman" w:cs="Times New Roman"/>
                <w:color w:val="auto"/>
                <w:kern w:val="2"/>
                <w:highlight w:val="none"/>
              </w:rPr>
            </w:pPr>
          </w:p>
        </w:tc>
        <w:tc>
          <w:tcPr>
            <w:tcW w:w="433" w:type="pct"/>
            <w:vMerge w:val="continue"/>
            <w:shd w:val="clear" w:color="auto" w:fill="auto"/>
            <w:vAlign w:val="center"/>
          </w:tcPr>
          <w:p>
            <w:pPr>
              <w:pStyle w:val="74"/>
              <w:rPr>
                <w:rFonts w:hint="default" w:ascii="Times New Roman" w:hAnsi="Times New Roman" w:cs="Times New Roman"/>
                <w:color w:val="auto"/>
                <w:kern w:val="2"/>
                <w:highlight w:val="none"/>
              </w:rPr>
            </w:pPr>
          </w:p>
        </w:tc>
        <w:tc>
          <w:tcPr>
            <w:tcW w:w="521" w:type="pct"/>
            <w:vMerge w:val="continue"/>
            <w:shd w:val="clear" w:color="auto" w:fill="auto"/>
            <w:vAlign w:val="center"/>
          </w:tcPr>
          <w:p>
            <w:pPr>
              <w:pStyle w:val="74"/>
              <w:rPr>
                <w:rFonts w:hint="default" w:ascii="Times New Roman" w:hAnsi="Times New Roman" w:cs="Times New Roman"/>
                <w:color w:val="auto"/>
                <w:kern w:val="2"/>
                <w:highlight w:val="none"/>
              </w:rPr>
            </w:pPr>
          </w:p>
        </w:tc>
        <w:tc>
          <w:tcPr>
            <w:tcW w:w="504" w:type="pct"/>
            <w:vMerge w:val="continue"/>
            <w:shd w:val="clear" w:color="auto" w:fill="auto"/>
            <w:vAlign w:val="center"/>
          </w:tcPr>
          <w:p>
            <w:pPr>
              <w:pStyle w:val="74"/>
              <w:rPr>
                <w:rFonts w:hint="default" w:ascii="Times New Roman" w:hAnsi="Times New Roman" w:cs="Times New Roman"/>
                <w:color w:val="auto"/>
                <w:kern w:val="2"/>
                <w:highlight w:val="none"/>
              </w:rPr>
            </w:pPr>
          </w:p>
        </w:tc>
        <w:tc>
          <w:tcPr>
            <w:tcW w:w="548" w:type="pct"/>
            <w:shd w:val="clear" w:color="auto" w:fill="auto"/>
            <w:tcMar>
              <w:top w:w="80" w:type="dxa"/>
              <w:left w:w="80" w:type="dxa"/>
              <w:bottom w:w="80" w:type="dxa"/>
              <w:right w:w="80" w:type="dxa"/>
            </w:tcMar>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临界量t</w:t>
            </w:r>
          </w:p>
        </w:tc>
        <w:tc>
          <w:tcPr>
            <w:tcW w:w="477" w:type="pct"/>
            <w:shd w:val="clear" w:color="auto" w:fill="auto"/>
            <w:tcMar>
              <w:top w:w="80" w:type="dxa"/>
              <w:left w:w="80" w:type="dxa"/>
              <w:bottom w:w="80" w:type="dxa"/>
              <w:right w:w="80" w:type="dxa"/>
            </w:tcMar>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Q</w:t>
            </w:r>
          </w:p>
        </w:tc>
        <w:tc>
          <w:tcPr>
            <w:tcW w:w="1383" w:type="pct"/>
            <w:shd w:val="clear" w:color="auto" w:fill="auto"/>
            <w:tcMar>
              <w:top w:w="80" w:type="dxa"/>
              <w:left w:w="80" w:type="dxa"/>
              <w:bottom w:w="80" w:type="dxa"/>
              <w:right w:w="80" w:type="dxa"/>
            </w:tcMar>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所属类别</w:t>
            </w:r>
          </w:p>
        </w:tc>
      </w:tr>
      <w:tr>
        <w:tblPrEx>
          <w:tblBorders>
            <w:top w:val="single" w:color="auto" w:sz="8" w:space="0"/>
            <w:left w:val="single" w:color="auto" w:sz="8" w:space="0"/>
            <w:bottom w:val="single" w:color="auto" w:sz="8" w:space="0"/>
            <w:right w:val="single" w:color="auto" w:sz="8" w:space="0"/>
            <w:insideH w:val="single" w:color="000000" w:sz="2" w:space="0"/>
            <w:insideV w:val="single" w:color="000000" w:sz="2" w:space="0"/>
          </w:tblBorders>
          <w:tblCellMar>
            <w:top w:w="0" w:type="dxa"/>
            <w:left w:w="0" w:type="dxa"/>
            <w:bottom w:w="0" w:type="dxa"/>
            <w:right w:w="0" w:type="dxa"/>
          </w:tblCellMar>
        </w:tblPrEx>
        <w:trPr>
          <w:trHeight w:val="302" w:hRule="atLeast"/>
          <w:jc w:val="center"/>
        </w:trPr>
        <w:tc>
          <w:tcPr>
            <w:tcW w:w="330" w:type="pct"/>
            <w:shd w:val="clear" w:color="auto" w:fill="auto"/>
            <w:vAlign w:val="center"/>
          </w:tcPr>
          <w:p>
            <w:pPr>
              <w:pStyle w:val="74"/>
              <w:rPr>
                <w:rFonts w:hint="eastAsia" w:ascii="Times New Roman" w:hAnsi="Times New Roman" w:eastAsia="宋体" w:cs="Times New Roman"/>
                <w:color w:val="auto"/>
                <w:kern w:val="2"/>
                <w:highlight w:val="none"/>
                <w:lang w:val="en-US" w:eastAsia="zh-CN"/>
              </w:rPr>
            </w:pPr>
            <w:r>
              <w:rPr>
                <w:rFonts w:hint="eastAsia" w:cs="Times New Roman"/>
                <w:color w:val="auto"/>
                <w:kern w:val="2"/>
                <w:highlight w:val="none"/>
                <w:lang w:val="en-US" w:eastAsia="zh-CN"/>
              </w:rPr>
              <w:t>1</w:t>
            </w:r>
          </w:p>
        </w:tc>
        <w:tc>
          <w:tcPr>
            <w:tcW w:w="799" w:type="pct"/>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危险废物</w:t>
            </w:r>
          </w:p>
        </w:tc>
        <w:tc>
          <w:tcPr>
            <w:tcW w:w="433" w:type="pct"/>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固态</w:t>
            </w:r>
          </w:p>
        </w:tc>
        <w:tc>
          <w:tcPr>
            <w:tcW w:w="521" w:type="pct"/>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危废间</w:t>
            </w:r>
          </w:p>
        </w:tc>
        <w:tc>
          <w:tcPr>
            <w:tcW w:w="504" w:type="pct"/>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0.11</w:t>
            </w:r>
          </w:p>
        </w:tc>
        <w:tc>
          <w:tcPr>
            <w:tcW w:w="548" w:type="pct"/>
            <w:shd w:val="clear" w:color="auto" w:fill="auto"/>
            <w:tcMar>
              <w:top w:w="80" w:type="dxa"/>
              <w:left w:w="80" w:type="dxa"/>
              <w:bottom w:w="80" w:type="dxa"/>
              <w:right w:w="80" w:type="dxa"/>
            </w:tcMar>
            <w:vAlign w:val="center"/>
          </w:tcPr>
          <w:p>
            <w:pPr>
              <w:pStyle w:val="74"/>
              <w:rPr>
                <w:rFonts w:hint="default" w:ascii="Times New Roman" w:hAnsi="Times New Roman" w:eastAsia="宋体" w:cs="Times New Roman"/>
                <w:color w:val="auto"/>
                <w:kern w:val="2"/>
                <w:highlight w:val="none"/>
                <w:lang w:val="en-US" w:eastAsia="zh-CN"/>
              </w:rPr>
            </w:pPr>
            <w:r>
              <w:rPr>
                <w:rFonts w:hint="eastAsia" w:cs="Times New Roman"/>
                <w:color w:val="auto"/>
                <w:kern w:val="2"/>
                <w:highlight w:val="none"/>
                <w:lang w:val="en-US" w:eastAsia="zh-CN"/>
              </w:rPr>
              <w:t>2500</w:t>
            </w:r>
          </w:p>
        </w:tc>
        <w:tc>
          <w:tcPr>
            <w:tcW w:w="477" w:type="pct"/>
            <w:shd w:val="clear" w:color="auto" w:fill="auto"/>
            <w:tcMar>
              <w:top w:w="80" w:type="dxa"/>
              <w:left w:w="80" w:type="dxa"/>
              <w:bottom w:w="80" w:type="dxa"/>
              <w:right w:w="80" w:type="dxa"/>
            </w:tcMar>
            <w:vAlign w:val="center"/>
          </w:tcPr>
          <w:p>
            <w:pPr>
              <w:pStyle w:val="74"/>
              <w:rPr>
                <w:rFonts w:hint="default" w:ascii="Times New Roman" w:hAnsi="Times New Roman" w:eastAsia="宋体" w:cs="Times New Roman"/>
                <w:color w:val="auto"/>
                <w:kern w:val="2"/>
                <w:highlight w:val="none"/>
                <w:lang w:val="en-US" w:eastAsia="zh-CN"/>
              </w:rPr>
            </w:pPr>
            <w:r>
              <w:rPr>
                <w:rFonts w:hint="default" w:ascii="Times New Roman" w:hAnsi="Times New Roman" w:cs="Times New Roman"/>
                <w:color w:val="auto"/>
                <w:kern w:val="2"/>
                <w:highlight w:val="none"/>
              </w:rPr>
              <w:t>0.0</w:t>
            </w:r>
            <w:r>
              <w:rPr>
                <w:rFonts w:hint="eastAsia" w:cs="Times New Roman"/>
                <w:color w:val="auto"/>
                <w:kern w:val="2"/>
                <w:highlight w:val="none"/>
                <w:lang w:val="en-US" w:eastAsia="zh-CN"/>
              </w:rPr>
              <w:t>0004</w:t>
            </w:r>
          </w:p>
        </w:tc>
        <w:tc>
          <w:tcPr>
            <w:tcW w:w="1383" w:type="pct"/>
            <w:shd w:val="clear" w:color="auto" w:fill="auto"/>
            <w:tcMar>
              <w:top w:w="80" w:type="dxa"/>
              <w:left w:w="80" w:type="dxa"/>
              <w:bottom w:w="80" w:type="dxa"/>
              <w:right w:w="80" w:type="dxa"/>
            </w:tcMar>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健康危害急性毒性物质</w:t>
            </w:r>
          </w:p>
        </w:tc>
      </w:tr>
      <w:tr>
        <w:tblPrEx>
          <w:tblBorders>
            <w:top w:val="single" w:color="auto" w:sz="8" w:space="0"/>
            <w:left w:val="single" w:color="auto" w:sz="8" w:space="0"/>
            <w:bottom w:val="single" w:color="auto" w:sz="8" w:space="0"/>
            <w:right w:val="single" w:color="auto" w:sz="8" w:space="0"/>
            <w:insideH w:val="single" w:color="000000" w:sz="2" w:space="0"/>
            <w:insideV w:val="single" w:color="000000" w:sz="2" w:space="0"/>
          </w:tblBorders>
          <w:shd w:val="clear" w:color="auto" w:fill="CED7E7"/>
          <w:tblCellMar>
            <w:top w:w="0" w:type="dxa"/>
            <w:left w:w="0" w:type="dxa"/>
            <w:bottom w:w="0" w:type="dxa"/>
            <w:right w:w="0" w:type="dxa"/>
          </w:tblCellMar>
        </w:tblPrEx>
        <w:trPr>
          <w:trHeight w:val="302" w:hRule="atLeast"/>
          <w:jc w:val="center"/>
        </w:trPr>
        <w:tc>
          <w:tcPr>
            <w:tcW w:w="330" w:type="pct"/>
            <w:shd w:val="clear" w:color="auto" w:fill="auto"/>
            <w:vAlign w:val="center"/>
          </w:tcPr>
          <w:p>
            <w:pPr>
              <w:pStyle w:val="74"/>
              <w:rPr>
                <w:rFonts w:hint="eastAsia" w:cs="Times New Roman"/>
                <w:color w:val="auto"/>
                <w:kern w:val="2"/>
                <w:highlight w:val="none"/>
                <w:lang w:val="en-US" w:eastAsia="zh-CN"/>
              </w:rPr>
            </w:pPr>
            <w:r>
              <w:rPr>
                <w:rFonts w:hint="eastAsia" w:cs="Times New Roman"/>
                <w:color w:val="auto"/>
                <w:kern w:val="2"/>
                <w:highlight w:val="none"/>
                <w:lang w:val="en-US" w:eastAsia="zh-CN"/>
              </w:rPr>
              <w:t>2</w:t>
            </w:r>
          </w:p>
        </w:tc>
        <w:tc>
          <w:tcPr>
            <w:tcW w:w="799" w:type="pct"/>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spacing w:val="-6"/>
                <w:sz w:val="24"/>
                <w:highlight w:val="none"/>
              </w:rPr>
              <w:t>二氧化氯</w:t>
            </w:r>
          </w:p>
        </w:tc>
        <w:tc>
          <w:tcPr>
            <w:tcW w:w="433" w:type="pct"/>
            <w:shd w:val="clear" w:color="auto" w:fill="auto"/>
            <w:vAlign w:val="center"/>
          </w:tcPr>
          <w:p>
            <w:pPr>
              <w:pStyle w:val="74"/>
              <w:rPr>
                <w:rFonts w:hint="eastAsia" w:ascii="Times New Roman" w:hAnsi="Times New Roman" w:eastAsia="宋体" w:cs="Times New Roman"/>
                <w:color w:val="auto"/>
                <w:kern w:val="2"/>
                <w:highlight w:val="none"/>
                <w:lang w:val="en-US" w:eastAsia="zh-CN"/>
              </w:rPr>
            </w:pPr>
            <w:r>
              <w:rPr>
                <w:rFonts w:hint="eastAsia" w:cs="Times New Roman"/>
                <w:color w:val="auto"/>
                <w:kern w:val="2"/>
                <w:highlight w:val="none"/>
                <w:lang w:val="en-US" w:eastAsia="zh-CN"/>
              </w:rPr>
              <w:t>液态</w:t>
            </w:r>
          </w:p>
        </w:tc>
        <w:tc>
          <w:tcPr>
            <w:tcW w:w="521" w:type="pct"/>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highlight w:val="none"/>
              </w:rPr>
              <w:t>二氧化氯</w:t>
            </w:r>
            <w:r>
              <w:rPr>
                <w:rFonts w:hint="eastAsia" w:cs="Times New Roman"/>
                <w:color w:val="auto"/>
                <w:highlight w:val="none"/>
                <w:lang w:val="en-US" w:eastAsia="zh-CN"/>
              </w:rPr>
              <w:t>发生器</w:t>
            </w:r>
          </w:p>
        </w:tc>
        <w:tc>
          <w:tcPr>
            <w:tcW w:w="504" w:type="pct"/>
            <w:shd w:val="clear" w:color="auto" w:fill="auto"/>
            <w:vAlign w:val="center"/>
          </w:tcPr>
          <w:p>
            <w:pPr>
              <w:pStyle w:val="74"/>
              <w:rPr>
                <w:rFonts w:hint="default" w:ascii="Times New Roman" w:hAnsi="Times New Roman" w:eastAsia="宋体" w:cs="Times New Roman"/>
                <w:color w:val="auto"/>
                <w:kern w:val="2"/>
                <w:highlight w:val="none"/>
                <w:lang w:val="en-US" w:eastAsia="zh-CN"/>
              </w:rPr>
            </w:pPr>
            <w:r>
              <w:rPr>
                <w:rFonts w:hint="eastAsia" w:cs="Times New Roman"/>
                <w:color w:val="auto"/>
                <w:kern w:val="2"/>
                <w:highlight w:val="none"/>
                <w:lang w:val="en-US" w:eastAsia="zh-CN"/>
              </w:rPr>
              <w:t>0.3</w:t>
            </w:r>
          </w:p>
        </w:tc>
        <w:tc>
          <w:tcPr>
            <w:tcW w:w="548" w:type="pct"/>
            <w:shd w:val="clear" w:color="auto" w:fill="auto"/>
            <w:tcMar>
              <w:top w:w="80" w:type="dxa"/>
              <w:left w:w="80" w:type="dxa"/>
              <w:bottom w:w="80" w:type="dxa"/>
              <w:right w:w="80" w:type="dxa"/>
            </w:tcMar>
            <w:vAlign w:val="center"/>
          </w:tcPr>
          <w:p>
            <w:pPr>
              <w:pStyle w:val="74"/>
              <w:rPr>
                <w:rFonts w:hint="default" w:ascii="Times New Roman" w:hAnsi="Times New Roman" w:cs="Times New Roman"/>
                <w:color w:val="auto"/>
                <w:kern w:val="2"/>
                <w:highlight w:val="none"/>
              </w:rPr>
            </w:pPr>
            <w:r>
              <w:rPr>
                <w:rFonts w:hint="eastAsia" w:cs="Times New Roman"/>
                <w:color w:val="auto"/>
                <w:kern w:val="2"/>
                <w:highlight w:val="none"/>
                <w:lang w:val="en-US" w:eastAsia="zh-CN"/>
              </w:rPr>
              <w:t>0.5</w:t>
            </w:r>
          </w:p>
        </w:tc>
        <w:tc>
          <w:tcPr>
            <w:tcW w:w="477" w:type="pct"/>
            <w:shd w:val="clear" w:color="auto" w:fill="auto"/>
            <w:tcMar>
              <w:top w:w="80" w:type="dxa"/>
              <w:left w:w="80" w:type="dxa"/>
              <w:bottom w:w="80" w:type="dxa"/>
              <w:right w:w="80" w:type="dxa"/>
            </w:tcMar>
            <w:vAlign w:val="center"/>
          </w:tcPr>
          <w:p>
            <w:pPr>
              <w:pStyle w:val="74"/>
              <w:rPr>
                <w:rFonts w:hint="default" w:ascii="Times New Roman" w:hAnsi="Times New Roman" w:eastAsia="宋体" w:cs="Times New Roman"/>
                <w:color w:val="auto"/>
                <w:kern w:val="2"/>
                <w:highlight w:val="none"/>
                <w:lang w:val="en-US" w:eastAsia="zh-CN"/>
              </w:rPr>
            </w:pPr>
            <w:r>
              <w:rPr>
                <w:rFonts w:hint="eastAsia" w:cs="Times New Roman"/>
                <w:color w:val="auto"/>
                <w:kern w:val="2"/>
                <w:highlight w:val="none"/>
                <w:lang w:val="en-US" w:eastAsia="zh-CN"/>
              </w:rPr>
              <w:t>0.6</w:t>
            </w:r>
          </w:p>
        </w:tc>
        <w:tc>
          <w:tcPr>
            <w:tcW w:w="1383" w:type="pct"/>
            <w:shd w:val="clear" w:color="auto" w:fill="auto"/>
            <w:tcMar>
              <w:top w:w="80" w:type="dxa"/>
              <w:left w:w="80" w:type="dxa"/>
              <w:bottom w:w="80" w:type="dxa"/>
              <w:right w:w="80" w:type="dxa"/>
            </w:tcMar>
            <w:vAlign w:val="center"/>
          </w:tcPr>
          <w:p>
            <w:pPr>
              <w:pStyle w:val="74"/>
              <w:rPr>
                <w:rFonts w:hint="default" w:ascii="Times New Roman" w:hAnsi="Times New Roman" w:cs="Times New Roman"/>
                <w:color w:val="auto"/>
                <w:kern w:val="2"/>
                <w:highlight w:val="none"/>
              </w:rPr>
            </w:pPr>
          </w:p>
        </w:tc>
      </w:tr>
      <w:tr>
        <w:tblPrEx>
          <w:tblBorders>
            <w:top w:val="single" w:color="auto" w:sz="8" w:space="0"/>
            <w:left w:val="single" w:color="auto" w:sz="8" w:space="0"/>
            <w:bottom w:val="single" w:color="auto" w:sz="8" w:space="0"/>
            <w:right w:val="single" w:color="auto" w:sz="8" w:space="0"/>
            <w:insideH w:val="single" w:color="000000" w:sz="2" w:space="0"/>
            <w:insideV w:val="single" w:color="000000" w:sz="2" w:space="0"/>
          </w:tblBorders>
          <w:shd w:val="clear" w:color="auto" w:fill="CED7E7"/>
          <w:tblCellMar>
            <w:top w:w="0" w:type="dxa"/>
            <w:left w:w="0" w:type="dxa"/>
            <w:bottom w:w="0" w:type="dxa"/>
            <w:right w:w="0" w:type="dxa"/>
          </w:tblCellMar>
        </w:tblPrEx>
        <w:trPr>
          <w:trHeight w:val="267" w:hRule="atLeast"/>
          <w:jc w:val="center"/>
        </w:trPr>
        <w:tc>
          <w:tcPr>
            <w:tcW w:w="330" w:type="pct"/>
            <w:shd w:val="clear" w:color="auto" w:fill="auto"/>
            <w:tcMar>
              <w:top w:w="80" w:type="dxa"/>
              <w:left w:w="80" w:type="dxa"/>
              <w:bottom w:w="80" w:type="dxa"/>
              <w:right w:w="80" w:type="dxa"/>
            </w:tcMar>
            <w:vAlign w:val="center"/>
          </w:tcPr>
          <w:p>
            <w:pPr>
              <w:pStyle w:val="74"/>
              <w:rPr>
                <w:rFonts w:hint="default" w:ascii="Times New Roman" w:hAnsi="Times New Roman" w:eastAsia="宋体" w:cs="Times New Roman"/>
                <w:color w:val="auto"/>
                <w:kern w:val="2"/>
                <w:highlight w:val="none"/>
                <w:lang w:val="en-US" w:eastAsia="zh-CN"/>
              </w:rPr>
            </w:pPr>
            <w:r>
              <w:rPr>
                <w:rFonts w:hint="eastAsia" w:cs="Times New Roman"/>
                <w:color w:val="auto"/>
                <w:kern w:val="2"/>
                <w:highlight w:val="none"/>
                <w:lang w:val="en-US" w:eastAsia="zh-CN"/>
              </w:rPr>
              <w:t>3</w:t>
            </w:r>
          </w:p>
        </w:tc>
        <w:tc>
          <w:tcPr>
            <w:tcW w:w="2808" w:type="pct"/>
            <w:gridSpan w:val="5"/>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合计</w:t>
            </w:r>
          </w:p>
        </w:tc>
        <w:tc>
          <w:tcPr>
            <w:tcW w:w="477" w:type="pct"/>
            <w:shd w:val="clear" w:color="auto" w:fill="auto"/>
            <w:tcMar>
              <w:top w:w="80" w:type="dxa"/>
              <w:left w:w="80" w:type="dxa"/>
              <w:bottom w:w="80" w:type="dxa"/>
              <w:right w:w="80" w:type="dxa"/>
            </w:tcMar>
            <w:vAlign w:val="center"/>
          </w:tcPr>
          <w:p>
            <w:pPr>
              <w:pStyle w:val="74"/>
              <w:rPr>
                <w:rFonts w:hint="default" w:ascii="Times New Roman" w:hAnsi="Times New Roman" w:cs="Times New Roman"/>
                <w:color w:val="auto"/>
                <w:kern w:val="2"/>
                <w:highlight w:val="none"/>
                <w:lang w:val="en-US"/>
              </w:rPr>
            </w:pPr>
            <w:r>
              <w:rPr>
                <w:rFonts w:hint="default" w:ascii="Times New Roman" w:hAnsi="Times New Roman" w:cs="Times New Roman"/>
                <w:color w:val="auto"/>
                <w:kern w:val="2"/>
                <w:highlight w:val="none"/>
                <w:u w:val="single"/>
              </w:rPr>
              <w:t>0.</w:t>
            </w:r>
            <w:r>
              <w:rPr>
                <w:rFonts w:hint="eastAsia" w:cs="Times New Roman"/>
                <w:color w:val="auto"/>
                <w:kern w:val="2"/>
                <w:highlight w:val="none"/>
                <w:u w:val="single"/>
                <w:lang w:val="en-US" w:eastAsia="zh-CN"/>
              </w:rPr>
              <w:t>60004</w:t>
            </w:r>
          </w:p>
        </w:tc>
        <w:tc>
          <w:tcPr>
            <w:tcW w:w="1383" w:type="pct"/>
            <w:shd w:val="clear" w:color="auto" w:fill="auto"/>
            <w:tcMar>
              <w:top w:w="80" w:type="dxa"/>
              <w:left w:w="80" w:type="dxa"/>
              <w:bottom w:w="80" w:type="dxa"/>
              <w:right w:w="80" w:type="dxa"/>
            </w:tcMar>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Q0</w:t>
            </w:r>
          </w:p>
        </w:tc>
      </w:tr>
    </w:tbl>
    <w:p>
      <w:pPr>
        <w:ind w:firstLine="48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rPr>
        <w:t>根据《建设项目环境风险评价技术导则》（HJ169-2018）附录C，</w:t>
      </w:r>
      <w:r>
        <w:rPr>
          <w:rFonts w:hint="default" w:ascii="Times New Roman" w:hAnsi="Times New Roman" w:cs="Times New Roman"/>
          <w:color w:val="auto"/>
          <w:highlight w:val="none"/>
          <w:u w:val="single"/>
        </w:rPr>
        <w:t>本项目Q值为0.</w:t>
      </w:r>
      <w:r>
        <w:rPr>
          <w:rFonts w:hint="eastAsia" w:cs="Times New Roman"/>
          <w:color w:val="auto"/>
          <w:highlight w:val="none"/>
          <w:u w:val="single"/>
          <w:lang w:val="en-US" w:eastAsia="zh-CN"/>
        </w:rPr>
        <w:t>60004</w:t>
      </w:r>
      <w:r>
        <w:rPr>
          <w:rFonts w:hint="default" w:ascii="Times New Roman" w:hAnsi="Times New Roman" w:cs="Times New Roman"/>
          <w:color w:val="auto"/>
          <w:highlight w:val="none"/>
          <w:u w:val="single"/>
        </w:rPr>
        <w:t>＜1，项目环境风险潜质为Ⅰ。不做等级判定，进行简单分析。</w:t>
      </w:r>
    </w:p>
    <w:p>
      <w:pPr>
        <w:pStyle w:val="5"/>
        <w:rPr>
          <w:rFonts w:hint="default" w:ascii="Times New Roman" w:hAnsi="Times New Roman" w:cs="Times New Roman"/>
          <w:color w:val="auto"/>
          <w:highlight w:val="none"/>
        </w:rPr>
      </w:pPr>
      <w:bookmarkStart w:id="211" w:name="_Toc430014783"/>
      <w:bookmarkStart w:id="212" w:name="_Toc29093"/>
      <w:bookmarkStart w:id="213" w:name="_Toc12925"/>
      <w:r>
        <w:rPr>
          <w:rFonts w:hint="default" w:ascii="Times New Roman" w:hAnsi="Times New Roman" w:cs="Times New Roman"/>
          <w:color w:val="auto"/>
          <w:highlight w:val="none"/>
        </w:rPr>
        <w:t>风险事故分析</w:t>
      </w:r>
      <w:bookmarkEnd w:id="211"/>
      <w:bookmarkEnd w:id="212"/>
      <w:bookmarkEnd w:id="213"/>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综合环境风险识别和一般污水处理厂运行期发生的环境风险事故，本项目运行期可能发生的环境风险事件主要为：</w:t>
      </w:r>
    </w:p>
    <w:p>
      <w:pPr>
        <w:ind w:firstLine="480"/>
        <w:rPr>
          <w:rFonts w:hint="default" w:ascii="Times New Roman" w:hAnsi="Times New Roman" w:cs="Times New Roman"/>
          <w:color w:val="auto"/>
          <w:spacing w:val="-6"/>
          <w:sz w:val="24"/>
          <w:highlight w:val="none"/>
        </w:rPr>
      </w:pPr>
      <w:r>
        <w:rPr>
          <w:rFonts w:hint="default" w:ascii="Times New Roman" w:hAnsi="Times New Roman" w:cs="Times New Roman"/>
          <w:color w:val="auto"/>
          <w:spacing w:val="-6"/>
          <w:sz w:val="24"/>
          <w:highlight w:val="none"/>
        </w:rPr>
        <w:t>（1）风险物质（</w:t>
      </w:r>
      <w:r>
        <w:rPr>
          <w:rFonts w:ascii="Times New Roman" w:hAnsi="Times New Roman" w:eastAsia="宋体"/>
          <w:color w:val="auto"/>
          <w:highlight w:val="none"/>
        </w:rPr>
        <w:t>PAC、PAM</w:t>
      </w:r>
      <w:r>
        <w:rPr>
          <w:rFonts w:hint="eastAsia"/>
          <w:color w:val="auto"/>
          <w:highlight w:val="none"/>
          <w:lang w:eastAsia="zh-CN"/>
        </w:rPr>
        <w:t>、</w:t>
      </w:r>
      <w:r>
        <w:rPr>
          <w:rFonts w:hint="default" w:ascii="Times New Roman" w:hAnsi="Times New Roman" w:cs="Times New Roman"/>
          <w:color w:val="auto"/>
          <w:spacing w:val="-6"/>
          <w:sz w:val="24"/>
          <w:highlight w:val="none"/>
        </w:rPr>
        <w:t>二氧化氯、废润滑油）泄漏至外环境，造成水环境污染影响。</w:t>
      </w:r>
    </w:p>
    <w:p>
      <w:pPr>
        <w:ind w:firstLine="480"/>
        <w:rPr>
          <w:rFonts w:hint="default" w:ascii="Times New Roman" w:hAnsi="Times New Roman" w:cs="Times New Roman"/>
          <w:color w:val="auto"/>
          <w:spacing w:val="-6"/>
          <w:sz w:val="24"/>
          <w:highlight w:val="none"/>
        </w:rPr>
      </w:pPr>
      <w:r>
        <w:rPr>
          <w:rFonts w:hint="default" w:ascii="Times New Roman" w:hAnsi="Times New Roman" w:cs="Times New Roman"/>
          <w:color w:val="auto"/>
          <w:spacing w:val="-6"/>
          <w:sz w:val="24"/>
          <w:highlight w:val="none"/>
        </w:rPr>
        <w:t>（2）由于污水进水水质突然变化、操作不当、设备故障、管道断裂、停车检修等原因，导致本项目所接纳的废水未经处理后直接外排的废水非正常排放事件。</w:t>
      </w:r>
    </w:p>
    <w:p>
      <w:pPr>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zh-CN"/>
        </w:rPr>
        <w:t>项目生物除臭装置故障，废气收集后直排</w:t>
      </w:r>
      <w:r>
        <w:rPr>
          <w:rFonts w:hint="eastAsia" w:cs="Times New Roman"/>
          <w:color w:val="auto"/>
          <w:highlight w:val="none"/>
          <w:lang w:val="zh-CN"/>
        </w:rPr>
        <w:t>，形</w:t>
      </w:r>
      <w:r>
        <w:rPr>
          <w:rFonts w:hint="default" w:ascii="Times New Roman" w:hAnsi="Times New Roman" w:cs="Times New Roman"/>
          <w:color w:val="auto"/>
          <w:highlight w:val="none"/>
          <w:lang w:val="zh-CN"/>
        </w:rPr>
        <w:t>成恶臭污染物的局部污染事件。</w:t>
      </w:r>
    </w:p>
    <w:p>
      <w:pPr>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zh-CN"/>
        </w:rPr>
        <w:t>）排水管道因</w:t>
      </w:r>
      <w:r>
        <w:rPr>
          <w:rFonts w:hint="default" w:ascii="Times New Roman" w:hAnsi="Times New Roman" w:cs="Times New Roman"/>
          <w:color w:val="auto"/>
          <w:highlight w:val="none"/>
        </w:rPr>
        <w:t>工人操作失误、地温冷热变化、人为破坏等原因发生破裂或渗漏风险事件。</w:t>
      </w:r>
    </w:p>
    <w:p>
      <w:pPr>
        <w:pStyle w:val="2"/>
        <w:rPr>
          <w:rFonts w:hint="default" w:ascii="Times New Roman" w:hAnsi="Times New Roman" w:cs="Times New Roman"/>
          <w:color w:val="auto"/>
          <w:highlight w:val="none"/>
        </w:rPr>
      </w:pPr>
      <w:bookmarkStart w:id="214" w:name="_Toc429399076"/>
      <w:bookmarkStart w:id="215" w:name="_Toc2843262"/>
      <w:r>
        <w:rPr>
          <w:rFonts w:hint="default" w:ascii="Times New Roman" w:hAnsi="Times New Roman" w:cs="Times New Roman"/>
          <w:color w:val="auto"/>
          <w:highlight w:val="none"/>
        </w:rPr>
        <w:t>风险物质泄漏影响分析</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本项目风险物质主要为</w:t>
      </w:r>
      <w:r>
        <w:rPr>
          <w:rFonts w:ascii="Times New Roman" w:hAnsi="Times New Roman" w:eastAsia="宋体"/>
          <w:color w:val="auto"/>
          <w:highlight w:val="none"/>
        </w:rPr>
        <w:t>PAC、PAM</w:t>
      </w:r>
      <w:r>
        <w:rPr>
          <w:rFonts w:hint="eastAsia"/>
          <w:color w:val="auto"/>
          <w:highlight w:val="none"/>
          <w:lang w:eastAsia="zh-CN"/>
        </w:rPr>
        <w:t>、</w:t>
      </w:r>
      <w:r>
        <w:rPr>
          <w:rFonts w:hint="default" w:ascii="Times New Roman" w:hAnsi="Times New Roman" w:cs="Times New Roman"/>
          <w:color w:val="auto"/>
          <w:highlight w:val="none"/>
        </w:rPr>
        <w:t>二氧化氯及少量危险废物。</w:t>
      </w:r>
      <w:r>
        <w:rPr>
          <w:rFonts w:hint="eastAsia" w:cs="Times New Roman"/>
          <w:color w:val="auto"/>
          <w:highlight w:val="none"/>
          <w:lang w:eastAsia="zh-CN"/>
        </w:rPr>
        <w:t>本项目</w:t>
      </w:r>
      <w:r>
        <w:rPr>
          <w:rFonts w:hint="default" w:ascii="Times New Roman" w:hAnsi="Times New Roman" w:cs="Times New Roman"/>
          <w:color w:val="auto"/>
          <w:highlight w:val="none"/>
        </w:rPr>
        <w:t>涉及的二氧化氯为碱性溶液，因此二氧化氯的主要风险为发生泄漏对水环境造成影响，危险废物主要为危废暂存间暂存的少量废润滑油。本项目二氧化氯</w:t>
      </w:r>
      <w:r>
        <w:rPr>
          <w:rFonts w:hint="eastAsia" w:cs="Times New Roman"/>
          <w:color w:val="auto"/>
          <w:highlight w:val="none"/>
          <w:lang w:val="en-US" w:eastAsia="zh-CN"/>
        </w:rPr>
        <w:t>在存储，采用电解食盐水生产，直接进入废水中</w:t>
      </w:r>
      <w:r>
        <w:rPr>
          <w:rFonts w:hint="default" w:ascii="Times New Roman" w:hAnsi="Times New Roman" w:cs="Times New Roman"/>
          <w:color w:val="auto"/>
          <w:highlight w:val="none"/>
        </w:rPr>
        <w:t>，二氧化氯为碱性溶液，一旦泄漏至水环境，会造成水中pH升高，危害水生生物安全。二氧化氯</w:t>
      </w:r>
      <w:r>
        <w:rPr>
          <w:rFonts w:hint="eastAsia" w:cs="Times New Roman"/>
          <w:color w:val="auto"/>
          <w:highlight w:val="none"/>
          <w:lang w:val="en-US" w:eastAsia="zh-CN"/>
        </w:rPr>
        <w:t>发生器</w:t>
      </w:r>
      <w:r>
        <w:rPr>
          <w:rFonts w:hint="default" w:ascii="Times New Roman" w:hAnsi="Times New Roman" w:cs="Times New Roman"/>
          <w:color w:val="auto"/>
          <w:highlight w:val="none"/>
        </w:rPr>
        <w:t>周边应设置围堰，一旦发生大规模泄漏，可截留在围堰中，不会进入厂区排水管道。若已进入排水管道，应及时关闭排水出口管阀门，对管道内泄漏溶液进行处理后再恢复排水。废润滑油储存于危废暂存间，暂存量少，危废间设置防渗及托盘，一旦泄漏可截留在危废间内。</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废水非正常排放影响分析</w:t>
      </w:r>
      <w:bookmarkEnd w:id="214"/>
      <w:bookmarkEnd w:id="215"/>
    </w:p>
    <w:p>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污水处理系统由于员工违规操作、极端天气情况、停电等原因导致设备出现故障或无法运行，以及设备自身出现故障且备用设备无法启用的情况下，污水处理系统出现停运或处理效率降低，不能保证出水水质达标，会造成环境污染事件。</w:t>
      </w:r>
    </w:p>
    <w:p>
      <w:pPr>
        <w:ind w:firstLine="480"/>
        <w:jc w:val="left"/>
        <w:rPr>
          <w:rFonts w:hint="default" w:ascii="Times New Roman" w:hAnsi="Times New Roman" w:cs="Times New Roman"/>
          <w:color w:val="0000FF"/>
          <w:highlight w:val="none"/>
        </w:rPr>
      </w:pPr>
      <w:r>
        <w:rPr>
          <w:rFonts w:hint="default" w:ascii="Times New Roman" w:hAnsi="Times New Roman" w:cs="Times New Roman"/>
          <w:color w:val="auto"/>
          <w:highlight w:val="none"/>
        </w:rPr>
        <w:t>当出现污水处理系统故障时，现场人员立即报告部门负责人和应急指挥部，</w:t>
      </w:r>
      <w:r>
        <w:rPr>
          <w:rFonts w:hint="default" w:ascii="Times New Roman" w:hAnsi="Times New Roman" w:cs="Times New Roman"/>
          <w:color w:val="0000FF"/>
          <w:highlight w:val="none"/>
        </w:rPr>
        <w:t>即时启动应急预案；</w:t>
      </w:r>
    </w:p>
    <w:p>
      <w:pPr>
        <w:ind w:firstLine="480"/>
        <w:jc w:val="left"/>
        <w:rPr>
          <w:rFonts w:hint="default" w:ascii="Times New Roman" w:hAnsi="Times New Roman" w:cs="Times New Roman"/>
          <w:color w:val="0000FF"/>
          <w:highlight w:val="none"/>
        </w:rPr>
      </w:pPr>
      <w:r>
        <w:rPr>
          <w:rFonts w:hint="eastAsia" w:cs="Times New Roman"/>
          <w:color w:val="0000FF"/>
          <w:highlight w:val="none"/>
          <w:lang w:val="en-US" w:eastAsia="zh-CN"/>
        </w:rPr>
        <w:t>参考</w:t>
      </w:r>
      <w:r>
        <w:rPr>
          <w:rFonts w:hint="default" w:ascii="Times New Roman" w:hAnsi="Times New Roman" w:cs="Times New Roman"/>
          <w:color w:val="0000FF"/>
          <w:highlight w:val="none"/>
        </w:rPr>
        <w:t>《印染企业环境守法导则》印染企业的废水处理厂(站)内应设置事故池。因操作失误、非正常工沉、停电等事故造成废水排放量和浓度异常时，废水应排入事故池。事故池容积应大于一个生产周期的废水量，或大于4小时废水产生量。</w:t>
      </w:r>
    </w:p>
    <w:p>
      <w:pPr>
        <w:ind w:firstLine="480"/>
        <w:jc w:val="left"/>
        <w:rPr>
          <w:rFonts w:hint="default" w:ascii="Times New Roman" w:hAnsi="Times New Roman" w:cs="Times New Roman"/>
          <w:color w:val="0000FF"/>
          <w:highlight w:val="none"/>
        </w:rPr>
      </w:pPr>
      <w:r>
        <w:rPr>
          <w:rFonts w:hint="default" w:ascii="Times New Roman" w:hAnsi="Times New Roman" w:cs="Times New Roman"/>
          <w:color w:val="0000FF"/>
          <w:highlight w:val="none"/>
        </w:rPr>
        <w:t>考虑到本项目的调节池也有容纳事故废水的功能，因此本项目按4小时计算事故池容积，4小时废水流量为</w:t>
      </w:r>
      <w:r>
        <w:rPr>
          <w:rFonts w:hint="eastAsia" w:cs="Times New Roman"/>
          <w:color w:val="0000FF"/>
          <w:highlight w:val="none"/>
          <w:lang w:val="en-US" w:eastAsia="zh-CN"/>
        </w:rPr>
        <w:t>5000</w:t>
      </w:r>
      <w:r>
        <w:rPr>
          <w:rFonts w:hint="default" w:ascii="Times New Roman" w:hAnsi="Times New Roman" w:cs="Times New Roman"/>
          <w:color w:val="0000FF"/>
          <w:highlight w:val="none"/>
        </w:rPr>
        <w:t>m</w:t>
      </w:r>
      <w:r>
        <w:rPr>
          <w:rFonts w:hint="eastAsia" w:cs="Times New Roman"/>
          <w:color w:val="0000FF"/>
          <w:highlight w:val="none"/>
          <w:vertAlign w:val="superscript"/>
          <w:lang w:val="en-US" w:eastAsia="zh-CN"/>
        </w:rPr>
        <w:t>3</w:t>
      </w:r>
      <w:r>
        <w:rPr>
          <w:rFonts w:hint="default" w:ascii="Times New Roman" w:hAnsi="Times New Roman" w:cs="Times New Roman"/>
          <w:color w:val="0000FF"/>
          <w:highlight w:val="none"/>
        </w:rPr>
        <w:t>，建设方需建设不小于</w:t>
      </w:r>
      <w:r>
        <w:rPr>
          <w:rFonts w:hint="eastAsia" w:cs="Times New Roman"/>
          <w:color w:val="0000FF"/>
          <w:highlight w:val="none"/>
          <w:lang w:val="en-US" w:eastAsia="zh-CN"/>
        </w:rPr>
        <w:t>5500m</w:t>
      </w:r>
      <w:r>
        <w:rPr>
          <w:rFonts w:hint="eastAsia" w:cs="Times New Roman"/>
          <w:color w:val="0000FF"/>
          <w:highlight w:val="none"/>
          <w:vertAlign w:val="superscript"/>
          <w:lang w:val="en-US" w:eastAsia="zh-CN"/>
        </w:rPr>
        <w:t>3</w:t>
      </w:r>
      <w:r>
        <w:rPr>
          <w:rFonts w:hint="default" w:ascii="Times New Roman" w:hAnsi="Times New Roman" w:cs="Times New Roman"/>
          <w:color w:val="0000FF"/>
          <w:highlight w:val="none"/>
        </w:rPr>
        <w:t>的事故水池，用于贮存污水站事故状态下的废水</w:t>
      </w:r>
      <w:r>
        <w:rPr>
          <w:rFonts w:hint="eastAsia" w:cs="Times New Roman"/>
          <w:color w:val="0000FF"/>
          <w:highlight w:val="none"/>
          <w:lang w:eastAsia="zh-CN"/>
        </w:rPr>
        <w:t>，</w:t>
      </w:r>
      <w:r>
        <w:rPr>
          <w:rFonts w:hint="default" w:ascii="Times New Roman" w:hAnsi="Times New Roman" w:cs="Times New Roman"/>
          <w:color w:val="0000FF"/>
          <w:highlight w:val="none"/>
        </w:rPr>
        <w:t>事故池容积</w:t>
      </w:r>
      <w:r>
        <w:rPr>
          <w:rFonts w:hint="eastAsia" w:cs="Times New Roman"/>
          <w:color w:val="0000FF"/>
          <w:highlight w:val="none"/>
          <w:lang w:val="en-US" w:eastAsia="zh-CN"/>
        </w:rPr>
        <w:t>不</w:t>
      </w:r>
      <w:r>
        <w:rPr>
          <w:rFonts w:hint="default" w:ascii="Times New Roman" w:hAnsi="Times New Roman" w:cs="Times New Roman"/>
          <w:color w:val="0000FF"/>
          <w:highlight w:val="none"/>
        </w:rPr>
        <w:t>满足应急要求</w:t>
      </w:r>
      <w:r>
        <w:rPr>
          <w:rFonts w:hint="eastAsia" w:cs="Times New Roman"/>
          <w:color w:val="0000FF"/>
          <w:highlight w:val="none"/>
          <w:lang w:eastAsia="zh-CN"/>
        </w:rPr>
        <w:t>，</w:t>
      </w:r>
      <w:r>
        <w:rPr>
          <w:rFonts w:hint="default" w:ascii="Times New Roman" w:hAnsi="Times New Roman" w:cs="Times New Roman"/>
          <w:color w:val="0000FF"/>
          <w:highlight w:val="none"/>
        </w:rPr>
        <w:t>事故池</w:t>
      </w:r>
      <w:r>
        <w:rPr>
          <w:rFonts w:hint="eastAsia" w:cs="Times New Roman"/>
          <w:color w:val="0000FF"/>
          <w:highlight w:val="none"/>
          <w:lang w:val="en-US" w:eastAsia="zh-CN"/>
        </w:rPr>
        <w:t>扩大容积1700m</w:t>
      </w:r>
      <w:r>
        <w:rPr>
          <w:rFonts w:hint="eastAsia" w:cs="Times New Roman"/>
          <w:color w:val="0000FF"/>
          <w:highlight w:val="none"/>
          <w:vertAlign w:val="superscript"/>
          <w:lang w:val="en-US" w:eastAsia="zh-CN"/>
        </w:rPr>
        <w:t>3</w:t>
      </w:r>
      <w:r>
        <w:rPr>
          <w:rFonts w:hint="default" w:ascii="Times New Roman" w:hAnsi="Times New Roman" w:cs="Times New Roman"/>
          <w:color w:val="0000FF"/>
          <w:highlight w:val="none"/>
        </w:rPr>
        <w:t>。</w:t>
      </w:r>
    </w:p>
    <w:p>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污水厂设备采用“一备一用”方案，配备了备用设备，紧急情况下启用备用设备，确定修复时间，根据修理时间及管网情况确定能否容纳入厂的废水，如不能，及时通报昌吉市生态环境分局，尽量督促各个企业提高排污标准。</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另外，本项目应加强运营期管理，建立应急预案和风险防范措施，确保事故发生时，能将污水堵截在厂内，禁止废水超标排放。</w:t>
      </w:r>
    </w:p>
    <w:p>
      <w:pPr>
        <w:pStyle w:val="2"/>
        <w:rPr>
          <w:rFonts w:hint="default" w:ascii="Times New Roman" w:hAnsi="Times New Roman" w:cs="Times New Roman"/>
          <w:color w:val="auto"/>
          <w:highlight w:val="none"/>
        </w:rPr>
      </w:pPr>
      <w:bookmarkStart w:id="216" w:name="_Toc429399077"/>
      <w:bookmarkStart w:id="217" w:name="_Toc2843263"/>
      <w:r>
        <w:rPr>
          <w:rFonts w:hint="default" w:ascii="Times New Roman" w:hAnsi="Times New Roman" w:cs="Times New Roman"/>
          <w:color w:val="auto"/>
          <w:highlight w:val="none"/>
        </w:rPr>
        <w:t>恶臭非正常排放影响分析</w:t>
      </w:r>
      <w:bookmarkEnd w:id="216"/>
      <w:bookmarkEnd w:id="217"/>
    </w:p>
    <w:p>
      <w:pPr>
        <w:autoSpaceDE w:val="0"/>
        <w:autoSpaceDN w:val="0"/>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生物除臭装置故障等原因，导致收集的恶臭物质未经处理直接外排。根据5.2.1章节废气非正常排放的预测结果，非正常工况下，新增工业污水臭气排气筒废气中NH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S一次最大浓度值预测值均能满足《</w:t>
      </w:r>
      <w:r>
        <w:rPr>
          <w:rFonts w:hint="default" w:ascii="Times New Roman" w:hAnsi="Times New Roman" w:cs="Times New Roman"/>
          <w:color w:val="auto"/>
          <w:highlight w:val="none"/>
          <w:lang w:eastAsia="zh-CN"/>
        </w:rPr>
        <w:t>环境影响评价技术导则大气环境</w:t>
      </w:r>
      <w:r>
        <w:rPr>
          <w:rFonts w:hint="default" w:ascii="Times New Roman" w:hAnsi="Times New Roman" w:cs="Times New Roman"/>
          <w:color w:val="auto"/>
          <w:highlight w:val="none"/>
        </w:rPr>
        <w:t>》（HJ2.2-2018）附录D其他污染物空气质量浓度参考限值要求，但是NH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S落地浓度和占标率比正常工况情况时明显增大。因此，建设单位应定期检查臭气收集和各级处理装置，避免废气的非正常排放。</w:t>
      </w:r>
    </w:p>
    <w:p>
      <w:pPr>
        <w:pStyle w:val="2"/>
        <w:rPr>
          <w:rFonts w:hint="default" w:ascii="Times New Roman" w:hAnsi="Times New Roman" w:cs="Times New Roman"/>
          <w:color w:val="auto"/>
          <w:highlight w:val="none"/>
        </w:rPr>
      </w:pPr>
      <w:bookmarkStart w:id="218" w:name="_Toc2843264"/>
      <w:r>
        <w:rPr>
          <w:rFonts w:hint="default" w:ascii="Times New Roman" w:hAnsi="Times New Roman" w:cs="Times New Roman"/>
          <w:color w:val="auto"/>
          <w:highlight w:val="none"/>
        </w:rPr>
        <w:t>排水管道泄漏事件影响分析</w:t>
      </w:r>
      <w:bookmarkEnd w:id="218"/>
    </w:p>
    <w:p>
      <w:pPr>
        <w:ind w:firstLine="480"/>
        <w:rPr>
          <w:rFonts w:hint="default" w:ascii="Times New Roman" w:hAnsi="Times New Roman" w:cs="Times New Roman"/>
          <w:color w:val="auto"/>
          <w:highlight w:val="none"/>
          <w:lang w:val="zh-CN"/>
        </w:rPr>
      </w:pPr>
      <w:r>
        <w:rPr>
          <w:rFonts w:hint="eastAsia" w:cs="Times New Roman"/>
          <w:color w:val="auto"/>
          <w:highlight w:val="none"/>
          <w:lang w:val="zh-CN"/>
        </w:rPr>
        <w:t>本项目</w:t>
      </w:r>
      <w:r>
        <w:rPr>
          <w:rFonts w:hint="default" w:ascii="Times New Roman" w:hAnsi="Times New Roman" w:cs="Times New Roman"/>
          <w:color w:val="auto"/>
          <w:highlight w:val="none"/>
          <w:lang w:val="zh-CN"/>
        </w:rPr>
        <w:t>废水处理达标后，</w:t>
      </w:r>
      <w:r>
        <w:rPr>
          <w:rFonts w:hint="default" w:ascii="Times New Roman" w:hAnsi="Times New Roman" w:cs="Times New Roman"/>
          <w:color w:val="auto"/>
          <w:highlight w:val="none"/>
        </w:rPr>
        <w:t>采用</w:t>
      </w:r>
      <w:r>
        <w:rPr>
          <w:rFonts w:hint="default" w:ascii="Times New Roman" w:hAnsi="Times New Roman" w:cs="Times New Roman"/>
          <w:color w:val="auto"/>
          <w:highlight w:val="none"/>
          <w:lang w:val="zh-CN"/>
        </w:rPr>
        <w:t>专用排水管道夏季用于灌溉示范区</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zh-CN"/>
        </w:rPr>
        <w:t>的林地，冬季储存于</w:t>
      </w:r>
      <w:r>
        <w:rPr>
          <w:rFonts w:hint="eastAsia" w:cs="Times New Roman"/>
          <w:color w:val="auto"/>
          <w:highlight w:val="none"/>
          <w:lang w:val="zh-CN"/>
        </w:rPr>
        <w:t>中水池</w:t>
      </w:r>
      <w:r>
        <w:rPr>
          <w:rFonts w:hint="default" w:ascii="Times New Roman" w:hAnsi="Times New Roman" w:cs="Times New Roman"/>
          <w:color w:val="auto"/>
          <w:highlight w:val="none"/>
          <w:lang w:val="zh-CN"/>
        </w:rPr>
        <w:t>中，实现污水有效利用。，排水管道长约</w:t>
      </w:r>
      <w:r>
        <w:rPr>
          <w:rFonts w:hint="default" w:ascii="Times New Roman" w:hAnsi="Times New Roman" w:cs="Times New Roman"/>
          <w:color w:val="auto"/>
          <w:highlight w:val="none"/>
        </w:rPr>
        <w:t>0.2</w:t>
      </w:r>
      <w:r>
        <w:rPr>
          <w:rFonts w:hint="default" w:ascii="Times New Roman" w:hAnsi="Times New Roman" w:cs="Times New Roman"/>
          <w:color w:val="auto"/>
          <w:highlight w:val="none"/>
          <w:lang w:val="zh-CN"/>
        </w:rPr>
        <w:t>km。排水管道可能因</w:t>
      </w:r>
      <w:r>
        <w:rPr>
          <w:rFonts w:hint="default" w:ascii="Times New Roman" w:hAnsi="Times New Roman" w:cs="Times New Roman"/>
          <w:color w:val="auto"/>
          <w:highlight w:val="none"/>
        </w:rPr>
        <w:t>工人操作失误、地温冷热变化、人为破坏等原因发生破裂或渗漏风险事件。</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若排水管道发生破裂或渗漏，尾水进入土壤，渗入地下，会对地下水造成一定的污染，冒出地面水可能在死角处汇集滋生蚊虫、散发恶臭，对周围居民的生活产生较大的影响，流入农田还会改变土壤性质，降低农作物产量，对沿线居民的生产生活造成影响。</w:t>
      </w:r>
    </w:p>
    <w:p>
      <w:pPr>
        <w:pStyle w:val="2"/>
        <w:rPr>
          <w:rFonts w:hint="default" w:ascii="Times New Roman" w:hAnsi="Times New Roman" w:cs="Times New Roman"/>
          <w:color w:val="auto"/>
          <w:highlight w:val="none"/>
        </w:rPr>
      </w:pPr>
      <w:bookmarkStart w:id="219" w:name="_Toc429399078"/>
      <w:bookmarkStart w:id="220" w:name="_Toc2843265"/>
      <w:r>
        <w:rPr>
          <w:rFonts w:hint="default" w:ascii="Times New Roman" w:hAnsi="Times New Roman" w:cs="Times New Roman"/>
          <w:color w:val="auto"/>
          <w:highlight w:val="none"/>
        </w:rPr>
        <w:t>其他风险事件分析</w:t>
      </w:r>
      <w:bookmarkEnd w:id="219"/>
      <w:bookmarkEnd w:id="220"/>
    </w:p>
    <w:p>
      <w:pPr>
        <w:autoSpaceDE w:val="0"/>
        <w:autoSpaceDN w:val="0"/>
        <w:adjustRightInd w:val="0"/>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（1）电力及机械故障</w:t>
      </w:r>
    </w:p>
    <w:p>
      <w:pPr>
        <w:autoSpaceDE w:val="0"/>
        <w:autoSpaceDN w:val="0"/>
        <w:adjustRightInd w:val="0"/>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污水处理厂主体建筑建成运行后，一旦出现机械设施或电力故障即会造成污水处理设施不能正常运行，导致大量污水事故排放，影响</w:t>
      </w:r>
      <w:r>
        <w:rPr>
          <w:rFonts w:hint="default" w:ascii="Times New Roman" w:hAnsi="Times New Roman" w:cs="Times New Roman"/>
          <w:color w:val="auto"/>
          <w:highlight w:val="none"/>
        </w:rPr>
        <w:t>地下水</w:t>
      </w:r>
      <w:r>
        <w:rPr>
          <w:rFonts w:hint="default" w:ascii="Times New Roman" w:hAnsi="Times New Roman" w:cs="Times New Roman"/>
          <w:color w:val="auto"/>
          <w:highlight w:val="none"/>
          <w:lang w:val="zh-CN"/>
        </w:rPr>
        <w:t>水质。</w:t>
      </w:r>
    </w:p>
    <w:p>
      <w:pPr>
        <w:autoSpaceDE w:val="0"/>
        <w:autoSpaceDN w:val="0"/>
        <w:adjustRightInd w:val="0"/>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本污水处理厂设计中供电采用双电源设计，</w:t>
      </w:r>
      <w:r>
        <w:rPr>
          <w:rFonts w:hint="default" w:ascii="Times New Roman" w:hAnsi="Times New Roman" w:cs="Times New Roman"/>
          <w:color w:val="auto"/>
          <w:highlight w:val="none"/>
        </w:rPr>
        <w:t>同时设有柴油发电机，</w:t>
      </w:r>
      <w:r>
        <w:rPr>
          <w:rFonts w:hint="default" w:ascii="Times New Roman" w:hAnsi="Times New Roman" w:cs="Times New Roman"/>
          <w:color w:val="auto"/>
          <w:highlight w:val="none"/>
          <w:lang w:val="zh-CN"/>
        </w:rPr>
        <w:t>电力有保障。机械设备选型采用先进产品，其自控水平很高，因此由于电力机械故障造成的事故几率很低。</w:t>
      </w:r>
    </w:p>
    <w:p>
      <w:pPr>
        <w:autoSpaceDE w:val="0"/>
        <w:autoSpaceDN w:val="0"/>
        <w:adjustRightInd w:val="0"/>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（2）污水处理厂停车检修</w:t>
      </w:r>
    </w:p>
    <w:p>
      <w:pPr>
        <w:autoSpaceDE w:val="0"/>
        <w:autoSpaceDN w:val="0"/>
        <w:adjustRightInd w:val="0"/>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在维护污水系统正常运行过程中产生的维修风险，可能会给维护系统的工作人员带来较大的健康损害。当污水系统某一构筑物出现运行异常，必须立即予以排除，此时需操作人员进入井下操作；污水中的各类以气体形式存在的有毒污染物质会产生劳动安全上的危害风险。</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（3）原辅料罐泄漏</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二氧化氯储罐罐体及运输管线，可能因操作失误、设备失修、腐蚀或设备自身的原因等，导致破损破裂、阀门损坏引起物品泄漏，且可能泄漏的部分物质间可发生化学反应。虽本项目上述物质储存量不大，但仍存在发生环境污染的风险。项目建设单位应对各类物质储罐分别设置围堰，并配备相应的应急物资，减轻可能发生的泄漏事件引起的环境污染。</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（4）污泥的影响</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本项目每天有湿污泥产生，污泥中含有一定有机物、微生物及其它污染物质，如不进行及时、恰当的处置，将可能散发臭气，或随地表径流进入地表水体，对环境造成二次污染，对人体健康产生危害。</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（5）防洪影响</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新疆昌吉国家农业高新技术产业示范区现代农业精深加工示范区污水处理厂改造扩容项目位于新疆昌吉国家农业高新技术产业示范区（中心经纬度为东经：111.63；北纬28.25），从现状防洪调查来看，厂址区没有被淹没过的记录，区域洪水对厂址的影响较小。</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（6）极端天气情况下的环境风险</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在高温或低温等极端天气状况下，污水处理厂存在污泥失效的情况，由于温度过高或者过低，细菌受影响失活，影响处理能力。在高温天气状况下，厂区可采取洒水、喷雾等方式降温，低温天气状况下，可采取降低污泥负荷、延长污泥龄、增加水力停留时间和采取池体升温或保温等方式保温升温，确保污泥细菌活性与处理能力。</w:t>
      </w:r>
    </w:p>
    <w:p>
      <w:pPr>
        <w:pStyle w:val="5"/>
        <w:rPr>
          <w:rFonts w:hint="default" w:ascii="Times New Roman" w:hAnsi="Times New Roman" w:cs="Times New Roman"/>
          <w:color w:val="auto"/>
          <w:highlight w:val="none"/>
        </w:rPr>
      </w:pPr>
      <w:bookmarkStart w:id="221" w:name="_Toc2684"/>
      <w:bookmarkStart w:id="222" w:name="_Toc6400"/>
      <w:bookmarkStart w:id="223" w:name="_Toc430014784"/>
      <w:r>
        <w:rPr>
          <w:rFonts w:hint="default" w:ascii="Times New Roman" w:hAnsi="Times New Roman" w:cs="Times New Roman"/>
          <w:color w:val="auto"/>
          <w:highlight w:val="none"/>
        </w:rPr>
        <w:t>风险防范措施</w:t>
      </w:r>
      <w:bookmarkEnd w:id="221"/>
      <w:bookmarkEnd w:id="222"/>
      <w:bookmarkEnd w:id="223"/>
    </w:p>
    <w:p>
      <w:pPr>
        <w:autoSpaceDE w:val="0"/>
        <w:autoSpaceDN w:val="0"/>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根据风险分析，提出防止风险事故措施对策如下：</w:t>
      </w:r>
    </w:p>
    <w:p>
      <w:pPr>
        <w:autoSpaceDE w:val="0"/>
        <w:autoSpaceDN w:val="0"/>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（1）污水处理厂采用双路供电，</w:t>
      </w:r>
      <w:r>
        <w:rPr>
          <w:rFonts w:hint="default" w:ascii="Times New Roman" w:hAnsi="Times New Roman" w:cs="Times New Roman"/>
          <w:color w:val="auto"/>
          <w:highlight w:val="none"/>
          <w:lang w:val="zh-CN"/>
        </w:rPr>
        <w:t>在计划停电或突发停电时及时启用备用电源，确保电力供应正常</w:t>
      </w:r>
      <w:r>
        <w:rPr>
          <w:rFonts w:hint="default" w:ascii="Times New Roman" w:hAnsi="Times New Roman" w:cs="Times New Roman"/>
          <w:color w:val="auto"/>
          <w:highlight w:val="none"/>
        </w:rPr>
        <w:t>，机械设备采用性能可靠优质产品。</w:t>
      </w:r>
    </w:p>
    <w:p>
      <w:pPr>
        <w:autoSpaceDE w:val="0"/>
        <w:autoSpaceDN w:val="0"/>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（2）为使在事故状态下污水处理厂能够迅速恢复正常运行，应在主要水工建筑物的容积上留有相应的缓冲能力，并配有相应的设备（如回流泵、回流管道、阀门及仪表等）。</w:t>
      </w:r>
    </w:p>
    <w:p>
      <w:pPr>
        <w:autoSpaceDE w:val="0"/>
        <w:autoSpaceDN w:val="0"/>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（3）选用优质设备，对污水处理厂各种机械电器、仪表等设备，必须选择质量优良、事故率低、便于维修的产品。关键设备应一备一用，易损部件要有备用件，在出现事故时能及时更换。</w:t>
      </w:r>
    </w:p>
    <w:p>
      <w:pPr>
        <w:autoSpaceDE w:val="0"/>
        <w:autoSpaceDN w:val="0"/>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（4）加强事故苗头监控，定期巡检、调节、保养、维修。及时发现有可能引起事故的异常运行苗头，消除事故隐患。</w:t>
      </w:r>
    </w:p>
    <w:p>
      <w:pPr>
        <w:autoSpaceDE w:val="0"/>
        <w:autoSpaceDN w:val="0"/>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严格控制处理单元的水量、水质、停留时间、负荷强度等工艺参数，确保处理效果的稳定性。配备流量、水质自动分析监控仪器，定期取样监测。操作人员及时调整，使设备处于最佳工况。如发现不正常现象，就需立即采取预防措施。</w:t>
      </w:r>
    </w:p>
    <w:p>
      <w:pPr>
        <w:autoSpaceDE w:val="0"/>
        <w:autoSpaceDN w:val="0"/>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（6）各类原辅料储罐分别单独设置围堰，针对不同物质的特性，配备相应的应急物资。</w:t>
      </w:r>
    </w:p>
    <w:p>
      <w:pPr>
        <w:autoSpaceDE w:val="0"/>
        <w:autoSpaceDN w:val="0"/>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7）建立由污水处理厂厂长负责制的环境管理机构，从上到下建立起环境目标责任制，规范各部门的运行管理。对工作人员进行必要的审查，组织操作人员进行上岗前的专业培训。组织专业技术人员提前进岗，参与污水处理厂施工、安装、调试和验收的全过程，为今后的正常运行管理奠定基础。</w:t>
      </w:r>
    </w:p>
    <w:p>
      <w:pPr>
        <w:autoSpaceDE w:val="0"/>
        <w:autoSpaceDN w:val="0"/>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（8）主动接受和协助地方环保局和其他相关部门的监督和管理。鼓励公众参与对污水处理厂的监督，最大程度</w:t>
      </w:r>
      <w:r>
        <w:rPr>
          <w:rFonts w:hint="eastAsia" w:cs="Times New Roman"/>
          <w:color w:val="auto"/>
          <w:highlight w:val="none"/>
          <w:lang w:eastAsia="zh-CN"/>
        </w:rPr>
        <w:t>减少</w:t>
      </w:r>
      <w:r>
        <w:rPr>
          <w:rFonts w:hint="default" w:ascii="Times New Roman" w:hAnsi="Times New Roman" w:cs="Times New Roman"/>
          <w:color w:val="auto"/>
          <w:highlight w:val="none"/>
        </w:rPr>
        <w:t>不正常排放的可能性。加强运行管理和进出水的监测工作，未经处理达标的污水严禁外排。</w:t>
      </w:r>
    </w:p>
    <w:p>
      <w:pPr>
        <w:autoSpaceDE w:val="0"/>
        <w:autoSpaceDN w:val="0"/>
        <w:adjustRightInd w:val="0"/>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9</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主要恶臭产生场所应设有恶臭气体监测仪，并配备必要的通风装置。恶臭气体</w:t>
      </w:r>
      <w:r>
        <w:rPr>
          <w:rFonts w:hint="default" w:ascii="Times New Roman" w:hAnsi="Times New Roman" w:cs="Times New Roman"/>
          <w:color w:val="auto"/>
          <w:highlight w:val="none"/>
          <w:lang w:val="zh-CN"/>
        </w:rPr>
        <w:t>生物除臭装置应加强维护管理，同时为防止生物除臭装置发生事故，应设一套应急生物除臭装置备用。</w:t>
      </w:r>
    </w:p>
    <w:p>
      <w:pPr>
        <w:autoSpaceDE w:val="0"/>
        <w:autoSpaceDN w:val="0"/>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zh-CN"/>
        </w:rPr>
        <w:t>（1</w:t>
      </w:r>
      <w:r>
        <w:rPr>
          <w:rFonts w:hint="default" w:ascii="Times New Roman" w:hAnsi="Times New Roman" w:cs="Times New Roman"/>
          <w:color w:val="auto"/>
          <w:highlight w:val="none"/>
        </w:rPr>
        <w:t>0</w:t>
      </w:r>
      <w:r>
        <w:rPr>
          <w:rFonts w:hint="default" w:ascii="Times New Roman" w:hAnsi="Times New Roman" w:cs="Times New Roman"/>
          <w:color w:val="auto"/>
          <w:highlight w:val="none"/>
          <w:lang w:val="zh-CN"/>
        </w:rPr>
        <w:t>）污泥等脱水处理后，应及时清运，采用专用密闭运输车辆，避免散发臭气，</w:t>
      </w:r>
      <w:r>
        <w:rPr>
          <w:rFonts w:hint="eastAsia" w:cs="Times New Roman"/>
          <w:color w:val="auto"/>
          <w:highlight w:val="none"/>
          <w:lang w:val="zh-CN"/>
        </w:rPr>
        <w:t>洒落</w:t>
      </w:r>
      <w:r>
        <w:rPr>
          <w:rFonts w:hint="default" w:ascii="Times New Roman" w:hAnsi="Times New Roman" w:cs="Times New Roman"/>
          <w:color w:val="auto"/>
          <w:highlight w:val="none"/>
          <w:lang w:val="zh-CN"/>
        </w:rPr>
        <w:t>，污染环境。加强污泥处理装置的检查维护，及时发现问题并处理，同时配备必要的药剂防止发生污泥发酵，减少恶臭气体排放。</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zh-CN"/>
        </w:rPr>
        <w:t>（1</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zh-CN"/>
        </w:rPr>
        <w:t>）确定排水管道运行维护</w:t>
      </w:r>
      <w:r>
        <w:rPr>
          <w:rFonts w:hint="default" w:ascii="Times New Roman" w:hAnsi="Times New Roman" w:cs="Times New Roman"/>
          <w:color w:val="auto"/>
          <w:highlight w:val="none"/>
        </w:rPr>
        <w:t>工程人员，为使管道系统正常运行及定期检修，对专业技术人员和工人进行定向培训，使他们有良好的环境意识，熟悉管道操作规程，了解所使用设备的技术性能和保养、操作方法，熟悉掌握设备的维修。</w:t>
      </w:r>
    </w:p>
    <w:p>
      <w:pPr>
        <w:autoSpaceDE w:val="0"/>
        <w:autoSpaceDN w:val="0"/>
        <w:adjustRightInd w:val="0"/>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（1</w:t>
      </w:r>
      <w:r>
        <w:rPr>
          <w:rFonts w:hint="default" w:ascii="Times New Roman" w:hAnsi="Times New Roman" w:cs="Times New Roman"/>
          <w:color w:val="auto"/>
          <w:highlight w:val="none"/>
        </w:rPr>
        <w:t>2</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当管道</w:t>
      </w:r>
      <w:r>
        <w:rPr>
          <w:rFonts w:hint="eastAsia" w:cs="Times New Roman"/>
          <w:color w:val="auto"/>
          <w:highlight w:val="none"/>
          <w:lang w:eastAsia="zh-CN"/>
        </w:rPr>
        <w:t>泄漏事故</w:t>
      </w:r>
      <w:r>
        <w:rPr>
          <w:rFonts w:hint="default" w:ascii="Times New Roman" w:hAnsi="Times New Roman" w:cs="Times New Roman"/>
          <w:color w:val="auto"/>
          <w:highlight w:val="none"/>
        </w:rPr>
        <w:t>发生后，发现人在最短的时间内向应急事故处理领导小组报告，并采取应急措施防止事故扩大。</w:t>
      </w:r>
    </w:p>
    <w:p>
      <w:pPr>
        <w:pStyle w:val="5"/>
        <w:rPr>
          <w:rFonts w:hint="default" w:ascii="Times New Roman" w:hAnsi="Times New Roman" w:cs="Times New Roman"/>
          <w:color w:val="auto"/>
          <w:highlight w:val="none"/>
        </w:rPr>
      </w:pPr>
      <w:bookmarkStart w:id="224" w:name="_Toc24144"/>
      <w:bookmarkStart w:id="225" w:name="_Toc430014785"/>
      <w:bookmarkStart w:id="226" w:name="_Toc26398"/>
      <w:r>
        <w:rPr>
          <w:rFonts w:hint="default" w:ascii="Times New Roman" w:hAnsi="Times New Roman" w:cs="Times New Roman"/>
          <w:color w:val="auto"/>
          <w:highlight w:val="none"/>
        </w:rPr>
        <w:t>应急预案</w:t>
      </w:r>
      <w:bookmarkEnd w:id="224"/>
      <w:bookmarkEnd w:id="225"/>
      <w:bookmarkEnd w:id="226"/>
    </w:p>
    <w:p>
      <w:pPr>
        <w:autoSpaceDE w:val="0"/>
        <w:autoSpaceDN w:val="0"/>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工程建设运营后，运营单位为本项目环境风险预防和控制的责任主体，应依据有关法律、行政法规以及《国家突发公共事件总体应急预案》，编制突发环境事件应急预案，并报相关部门备案。</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（1）制定风险事故应急预案的目的</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制定风险事故应急预案的目的是在发生风险事故时，能以最快的速度发挥最大的效能，有序的实施救援，尽快控制事态的发展，降低事故造成的危害，减少事故造成的损失。</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（2）风险事故应急预案的基本要求</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风险事故应急预案的基本要求包括：科学性、实用性和权威性。风险事故的应急救援工作是一项科学性很强的工作，必须开展科学分析和论证，制定严密、统一、完整的应急预案；应急预案应符合项目的客观情况，具有实用、简单、易掌握等特性，便于实施；对事故处置过程中职责、权限、任务、工作标准、奖励与处罚等做出明确规定，使之成为企业的一项制度，确保其权威性。</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（3）风险事故处理程序</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项目风险事故处理应当有完整的处理程序图，一旦发生应急事故，必须依照风险事故处理程序图进行操作。企业应根据自身实际情况建立风险事故应急组织系统。</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（4）风险事故处理措施</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为了有效地处理风险事故，应有切实可行的处置措施。项目风险事故应急措施包括设备器材、事故现场指挥、救护、通讯等系统的建立、现场应急措施方案、事故危害监测队伍、现场撤离和善后措施方案等。</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设立报警、通讯系统以及事故处置领导体系，在全厂建立联锁预警系统，当出现风险事故时，发生事故的装置立即停止生产，最大限度减少污染物的排放；</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制定有效处理事故的应急行动方案，并得到有关部门的认可，能与有关部门有效配合；</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明确职责，并落实到单位和有关人员；</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制定控制和减少事故影响范围、程度以及补救行动的实施计划；</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对事故现场管理以及事故处置全过程的监督，应由富有事故处置经验的人员或有关部门工作人员承担；</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为提高事故处置队伍的协同救援水平和实战能力，检验救援体系的应急综合运作状态，提高其实战水平，应进行应急救援演练。</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（5）风险事故应急计划</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拟建项目必须在平时拟定事故应急预案，以应对可能发生的应急危害事故，一旦发生事故，即可以在有充分准备的情况下，对事故进行紧急处理。</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风险事故的应急计划包括应急状态分类、应急计划区和事故等级水平、应急防护、应急医学处理等。因此，风险事故应急计划应当包括以下内容：</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在生产过程中所使用以及产生的有毒化学品、危险源的概况；</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应急计划实施区域；</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应急和事故灾害控制的组织、责任、授权人；</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应急状态分类以及应急响应程序；</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应急设备、设施、材料和人员调动系统和程序；</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应急通知和与授权人、有关人员、相关方面的通讯系统和程序；</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应急环境监测和事故环境影响评价；</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应急防护措施，清除泄漏物的措施、方法和使用器材；</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提供应急人员接触剂量控制、人员撤离、医疗救护与公众健康保证的系统和程序；</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应急状态终止与事故影响的恢复措施；</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应急人员培训、演练和试验应急系统的程序；</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应急事故的公众教育以及事故信息公布程序；</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调动第三方资源进行应急支持的安排和程序；</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事故的记录和报告程序。</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本项目具体的环境风险应急预案，建设单位应按相关法律法规另行制定，并在相应级别的环境保护部门备案。</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bookmarkEnd w:id="201"/>
    <w:p>
      <w:pPr>
        <w:pStyle w:val="3"/>
        <w:bidi w:val="0"/>
        <w:rPr>
          <w:rFonts w:hint="default"/>
          <w:color w:val="auto"/>
          <w:highlight w:val="none"/>
          <w:lang w:val="en-US" w:eastAsia="zh-CN"/>
        </w:rPr>
      </w:pPr>
      <w:bookmarkStart w:id="227" w:name="_Toc13947"/>
      <w:bookmarkStart w:id="228" w:name="_Toc27587"/>
      <w:bookmarkStart w:id="229" w:name="_Toc30516"/>
      <w:r>
        <w:rPr>
          <w:rFonts w:hint="eastAsia"/>
          <w:color w:val="auto"/>
          <w:highlight w:val="none"/>
          <w:lang w:val="en-US" w:eastAsia="zh-CN"/>
        </w:rPr>
        <w:t>环境保护措施及其可行性论证</w:t>
      </w:r>
      <w:bookmarkEnd w:id="227"/>
    </w:p>
    <w:p>
      <w:pPr>
        <w:pStyle w:val="4"/>
        <w:bidi w:val="0"/>
        <w:rPr>
          <w:rFonts w:hint="default"/>
          <w:color w:val="auto"/>
          <w:highlight w:val="none"/>
        </w:rPr>
      </w:pPr>
      <w:bookmarkStart w:id="230" w:name="_Toc28618"/>
      <w:r>
        <w:rPr>
          <w:rFonts w:hint="default"/>
          <w:color w:val="auto"/>
          <w:highlight w:val="none"/>
        </w:rPr>
        <w:t>6.1施工期污染防治措施分析</w:t>
      </w:r>
      <w:bookmarkEnd w:id="228"/>
      <w:bookmarkEnd w:id="229"/>
      <w:bookmarkEnd w:id="230"/>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施工期空气污染防治措施</w:t>
      </w:r>
    </w:p>
    <w:p>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为使建设项目在建设期间对周围环境的影响减少到尽可能小的限度，建议采取以下防护措施：</w:t>
      </w:r>
    </w:p>
    <w:p>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（1）施工设置</w:t>
      </w:r>
      <w:r>
        <w:rPr>
          <w:rFonts w:hint="eastAsia" w:cs="Times New Roman"/>
          <w:color w:val="auto"/>
          <w:highlight w:val="none"/>
          <w:lang w:eastAsia="zh-CN"/>
        </w:rPr>
        <w:t>围挡</w:t>
      </w:r>
      <w:r>
        <w:rPr>
          <w:rFonts w:hint="default" w:ascii="Times New Roman" w:hAnsi="Times New Roman" w:cs="Times New Roman"/>
          <w:color w:val="auto"/>
          <w:highlight w:val="none"/>
        </w:rPr>
        <w:t>，尤其在易产尘处。</w:t>
      </w:r>
    </w:p>
    <w:p>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（2）开挖、钻孔过程中，洒水使作业保持一定的湿度；回填土方时，在表层土质干燥时应适当洒水，防止粉尘飞扬。</w:t>
      </w:r>
    </w:p>
    <w:p>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（3）加强回填土方堆放场的管理，要制定土方表面压实、定期喷水、覆盖等措施；不需要的泥土，建筑材料弃渣应及时运走，不宜长时间堆积。</w:t>
      </w:r>
    </w:p>
    <w:p>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（4）运土卡车及建筑材料运输车应按规定配置防撒装备，装载不宜过满，保证运输过程中不散落；并规划好运输车辆的运行路线与时间，尽量避免在繁华区、交通集中区和居民住宅等敏感区行驶。</w:t>
      </w:r>
    </w:p>
    <w:p>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（5）运输车辆加蓬盖，且出装、卸场地前将先冲洗干净，减少车轮、底盘等携带泥土散落路面。</w:t>
      </w:r>
    </w:p>
    <w:p>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（6）对运输过程中洒落在路面上的泥土要及时清扫，以减少运行过程中的扬尘。</w:t>
      </w:r>
    </w:p>
    <w:p>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（7）施工过程中，应严禁将废弃的建筑材料作为燃料燃烧。</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（8）施工结束时，应及时对施工占用场地恢复地面道路及植被。</w:t>
      </w:r>
    </w:p>
    <w:p>
      <w:pPr>
        <w:pStyle w:val="5"/>
        <w:bidi w:val="0"/>
        <w:rPr>
          <w:rFonts w:hint="default"/>
          <w:color w:val="auto"/>
          <w:highlight w:val="none"/>
        </w:rPr>
      </w:pPr>
      <w:r>
        <w:rPr>
          <w:rFonts w:hint="default"/>
          <w:color w:val="auto"/>
          <w:highlight w:val="none"/>
        </w:rPr>
        <w:t>施工期污水防治措施</w:t>
      </w:r>
    </w:p>
    <w:p>
      <w:pPr>
        <w:ind w:firstLine="480"/>
        <w:rPr>
          <w:rFonts w:hint="default"/>
          <w:color w:val="auto"/>
          <w:highlight w:val="none"/>
        </w:rPr>
      </w:pPr>
      <w:r>
        <w:rPr>
          <w:rFonts w:hint="default" w:ascii="Times New Roman" w:hAnsi="Times New Roman" w:cs="Times New Roman"/>
          <w:color w:val="auto"/>
          <w:highlight w:val="none"/>
        </w:rPr>
        <w:t>工程施工期间，施工单位应严格执行《建设工程施工场地文明施工及环境管理暂行规定》，对地面水的排放进行组织设计，严禁乱排、乱流污染周边环境。施工时产生的泥浆水及冲孔钻孔桩产生的泥浆未经处理不得随意排放，在场地内修建多处格栅、沉砂池，施工污水经除油、沉淀后，或作为施工场区洒水抑尘和车辆清洗补充水使用。施工生活污水</w:t>
      </w:r>
      <w:r>
        <w:rPr>
          <w:rFonts w:hint="eastAsia" w:cs="Times New Roman"/>
          <w:color w:val="auto"/>
          <w:highlight w:val="none"/>
          <w:lang w:eastAsia="zh-CN"/>
        </w:rPr>
        <w:t>依托污水处理厂生活设施处理</w:t>
      </w:r>
      <w:r>
        <w:rPr>
          <w:rFonts w:hint="default" w:ascii="Times New Roman" w:hAnsi="Times New Roman" w:cs="Times New Roman"/>
          <w:color w:val="auto"/>
          <w:highlight w:val="none"/>
        </w:rPr>
        <w:t>。</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施工期间噪声污染防治措施</w:t>
      </w:r>
    </w:p>
    <w:p>
      <w:pPr>
        <w:ind w:firstLine="480"/>
        <w:jc w:val="left"/>
        <w:rPr>
          <w:rFonts w:hint="default" w:ascii="Times New Roman" w:hAnsi="Times New Roman" w:cs="Times New Roman"/>
          <w:color w:val="auto"/>
          <w:highlight w:val="none"/>
        </w:rPr>
      </w:pPr>
      <w:r>
        <w:rPr>
          <w:rFonts w:hint="eastAsia" w:cs="Times New Roman"/>
          <w:color w:val="auto"/>
          <w:highlight w:val="none"/>
          <w:lang w:eastAsia="zh-CN"/>
        </w:rPr>
        <w:t>本项目</w:t>
      </w:r>
      <w:r>
        <w:rPr>
          <w:rFonts w:hint="default" w:ascii="Times New Roman" w:hAnsi="Times New Roman" w:cs="Times New Roman"/>
          <w:color w:val="auto"/>
          <w:highlight w:val="none"/>
        </w:rPr>
        <w:t>施工期间所产生的噪声绝大多数超过《建筑施工场界环境噪声排放标准》（GB12523-2011）要求，为减小其噪声对周围环境的影响，建设单位和工程施工单位必须按照当地环境噪声污染防治条例的规定。另外，建议建设单位从以下几方面着手，采取适当的实施措施来减轻其噪声的影响。</w:t>
      </w:r>
    </w:p>
    <w:p>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（1）避免在夜间的时间进行厂址的土方开挖工作。</w:t>
      </w:r>
    </w:p>
    <w:p>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（2）严禁高噪声设备在作息时间（中午、夜间）作业。</w:t>
      </w:r>
    </w:p>
    <w:p>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（3）尽量选用低噪声机械设备或带隔声、消声的设备。</w:t>
      </w:r>
    </w:p>
    <w:p>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（4）施工部门应合理安排施工时间和施工场所，高噪声作业区应远离声环境敏感区（居民住宅楼），并对设备定期保养，严格操作规范。</w:t>
      </w:r>
    </w:p>
    <w:p>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（5）施工运输车辆进出应合理安排，尽量远离居民点。</w:t>
      </w:r>
    </w:p>
    <w:p>
      <w:pPr>
        <w:pStyle w:val="5"/>
        <w:rPr>
          <w:rFonts w:hint="default" w:ascii="Times New Roman" w:hAnsi="Times New Roman" w:cs="Times New Roman"/>
          <w:color w:val="auto"/>
          <w:highlight w:val="none"/>
        </w:rPr>
      </w:pPr>
      <w:bookmarkStart w:id="231" w:name="_Toc244746524"/>
      <w:r>
        <w:rPr>
          <w:rFonts w:hint="default" w:ascii="Times New Roman" w:hAnsi="Times New Roman" w:cs="Times New Roman"/>
          <w:color w:val="auto"/>
          <w:highlight w:val="none"/>
        </w:rPr>
        <w:t>施工期固体废物防治措施</w:t>
      </w:r>
      <w:bookmarkEnd w:id="231"/>
    </w:p>
    <w:p>
      <w:pPr>
        <w:ind w:firstLine="480"/>
        <w:rPr>
          <w:rFonts w:hint="default" w:ascii="Times New Roman" w:hAnsi="Times New Roman" w:cs="Times New Roman"/>
          <w:color w:val="auto"/>
          <w:highlight w:val="none"/>
        </w:rPr>
      </w:pPr>
      <w:r>
        <w:rPr>
          <w:rFonts w:hint="eastAsia" w:cs="Times New Roman"/>
          <w:color w:val="auto"/>
          <w:highlight w:val="none"/>
          <w:lang w:eastAsia="zh-CN"/>
        </w:rPr>
        <w:t>本项目</w:t>
      </w:r>
      <w:r>
        <w:rPr>
          <w:rFonts w:hint="default" w:ascii="Times New Roman" w:hAnsi="Times New Roman" w:cs="Times New Roman"/>
          <w:color w:val="auto"/>
          <w:highlight w:val="none"/>
        </w:rPr>
        <w:t>的施工应按照挖填结合、相互平衡的原则，堆土不得形成陆地土山，不得影响景观，应及时运走。堆土应不影响公路交通，不增加水中悬浮物数量。为减少弃土在堆放和运输过程中对环境的影响，建议采取如下措施：施工单位必须严格执行有关规定，按规定办理好余泥渣土排放的手续，获得批准后方可在指定的受纳地点弃土。车辆运输散体物和废弃物时，必须密封、包扎、覆盖，不得沿途撒漏；填方取土必须按采石取土的相关管理规定执行，运载土方的车辆必须在规定得时间内，按指定路段行驶。建设过程中应加强管理，文明施工，以减少建设期间施工对周围环境的影响，使建设期间对周围环境的影响减少到较低限度，做到发展与保护环境相协调。</w:t>
      </w:r>
    </w:p>
    <w:p>
      <w:pPr>
        <w:ind w:firstLine="480"/>
        <w:jc w:val="left"/>
        <w:rPr>
          <w:rFonts w:hint="default"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昌吉市森淼建筑工程有限公司建筑垃圾和砂厂固废加工处理项目位于新疆昌吉市三工镇常胜四队99号。项目区地理中心坐标东经87°11′50.652″，北纬43°59′17.970″。主要建设年加工8万t建筑垃圾和砂厂固废生产线及其配套的全封闭成品库及原料库</w:t>
      </w:r>
      <w:r>
        <w:rPr>
          <w:rFonts w:hint="eastAsia" w:cs="Times New Roman"/>
          <w:color w:val="auto"/>
          <w:sz w:val="24"/>
          <w:szCs w:val="24"/>
          <w:highlight w:val="none"/>
          <w:lang w:val="en-US" w:eastAsia="zh-CN"/>
        </w:rPr>
        <w:t>于2022年3月31日取得《关于昌吉市森淼建筑工程有限公司建筑垃圾和砂厂固废加工处理项目环境影响报告表的批复》</w:t>
      </w:r>
      <w:r>
        <w:rPr>
          <w:rFonts w:ascii="Segoe UI" w:hAnsi="Segoe UI" w:eastAsia="Segoe UI" w:cs="Segoe UI"/>
          <w:i w:val="0"/>
          <w:iCs w:val="0"/>
          <w:caps w:val="0"/>
          <w:color w:val="auto"/>
          <w:spacing w:val="0"/>
          <w:sz w:val="24"/>
          <w:szCs w:val="24"/>
          <w:highlight w:val="none"/>
          <w:shd w:val="clear" w:fill="FFFFFF"/>
        </w:rPr>
        <w:t>昌州环评〔2022〕41号</w:t>
      </w:r>
      <w:r>
        <w:rPr>
          <w:rFonts w:hint="eastAsia" w:ascii="Segoe UI" w:hAnsi="Segoe UI" w:eastAsia="宋体" w:cs="Segoe UI"/>
          <w:i w:val="0"/>
          <w:iCs w:val="0"/>
          <w:caps w:val="0"/>
          <w:color w:val="auto"/>
          <w:spacing w:val="0"/>
          <w:sz w:val="24"/>
          <w:szCs w:val="24"/>
          <w:highlight w:val="none"/>
          <w:shd w:val="clear" w:fill="FFFFFF"/>
          <w:lang w:eastAsia="zh-CN"/>
        </w:rPr>
        <w:t>，</w:t>
      </w:r>
      <w:r>
        <w:rPr>
          <w:rFonts w:hint="eastAsia" w:ascii="Segoe UI" w:hAnsi="Segoe UI" w:eastAsia="宋体" w:cs="Segoe UI"/>
          <w:i w:val="0"/>
          <w:iCs w:val="0"/>
          <w:caps w:val="0"/>
          <w:color w:val="auto"/>
          <w:spacing w:val="0"/>
          <w:sz w:val="24"/>
          <w:szCs w:val="24"/>
          <w:highlight w:val="none"/>
          <w:shd w:val="clear" w:fill="FFFFFF"/>
          <w:lang w:val="en-US" w:eastAsia="zh-CN"/>
        </w:rPr>
        <w:t>本项目产生的建筑垃圾委托</w:t>
      </w:r>
      <w:r>
        <w:rPr>
          <w:rFonts w:hint="eastAsia" w:ascii="Segoe UI" w:hAnsi="Segoe UI" w:cs="Segoe UI"/>
          <w:i w:val="0"/>
          <w:iCs w:val="0"/>
          <w:caps w:val="0"/>
          <w:color w:val="auto"/>
          <w:spacing w:val="0"/>
          <w:sz w:val="24"/>
          <w:szCs w:val="24"/>
          <w:highlight w:val="none"/>
          <w:shd w:val="clear" w:fill="FFFFFF"/>
          <w:lang w:val="en-US" w:eastAsia="zh-CN"/>
        </w:rPr>
        <w:t>该</w:t>
      </w:r>
      <w:r>
        <w:rPr>
          <w:rFonts w:hint="eastAsia" w:ascii="Segoe UI" w:hAnsi="Segoe UI" w:eastAsia="宋体" w:cs="Segoe UI"/>
          <w:i w:val="0"/>
          <w:iCs w:val="0"/>
          <w:caps w:val="0"/>
          <w:color w:val="auto"/>
          <w:spacing w:val="0"/>
          <w:sz w:val="24"/>
          <w:szCs w:val="24"/>
          <w:highlight w:val="none"/>
          <w:shd w:val="clear" w:fill="FFFFFF"/>
          <w:lang w:val="en-US" w:eastAsia="zh-CN"/>
        </w:rPr>
        <w:t>公司处理可行。</w:t>
      </w:r>
    </w:p>
    <w:p>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安排专人负责施工场地生活垃圾的清理，生活垃圾经垃圾桶收集后委托环卫部门统一清运。</w:t>
      </w:r>
    </w:p>
    <w:p>
      <w:pPr>
        <w:pStyle w:val="5"/>
        <w:rPr>
          <w:rFonts w:hint="default" w:ascii="Times New Roman" w:hAnsi="Times New Roman" w:cs="Times New Roman"/>
          <w:color w:val="auto"/>
          <w:highlight w:val="none"/>
        </w:rPr>
      </w:pPr>
      <w:bookmarkStart w:id="232" w:name="_Toc244746527"/>
      <w:r>
        <w:rPr>
          <w:rFonts w:hint="default" w:ascii="Times New Roman" w:hAnsi="Times New Roman" w:cs="Times New Roman"/>
          <w:color w:val="auto"/>
          <w:highlight w:val="none"/>
        </w:rPr>
        <w:t>施工期</w:t>
      </w:r>
      <w:bookmarkEnd w:id="232"/>
      <w:r>
        <w:rPr>
          <w:rFonts w:hint="default" w:ascii="Times New Roman" w:hAnsi="Times New Roman" w:cs="Times New Roman"/>
          <w:color w:val="auto"/>
          <w:highlight w:val="none"/>
        </w:rPr>
        <w:t>生态保护措施</w:t>
      </w:r>
    </w:p>
    <w:p>
      <w:pPr>
        <w:ind w:firstLine="480"/>
        <w:jc w:val="left"/>
        <w:rPr>
          <w:rFonts w:hint="default" w:ascii="Times New Roman" w:hAnsi="Times New Roman" w:cs="Times New Roman"/>
          <w:color w:val="auto"/>
          <w:spacing w:val="-6"/>
          <w:sz w:val="24"/>
          <w:highlight w:val="none"/>
        </w:rPr>
      </w:pPr>
      <w:r>
        <w:rPr>
          <w:rFonts w:hint="default" w:ascii="Times New Roman" w:hAnsi="Times New Roman" w:cs="Times New Roman"/>
          <w:color w:val="auto"/>
          <w:spacing w:val="-6"/>
          <w:sz w:val="24"/>
          <w:highlight w:val="none"/>
        </w:rPr>
        <w:t>工程建设期间发生的水土流失，首先对工程的顺利进行会构成一定的威胁，如发生坡面崩溃等；为了减少土壤流失量，在工程建设期间应采取一定的水土保持措施：</w:t>
      </w:r>
    </w:p>
    <w:p>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（1）减缓推送的土壤边坡坡度，及早将松土压实。</w:t>
      </w:r>
    </w:p>
    <w:p>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2</w:t>
      </w:r>
      <w:r>
        <w:rPr>
          <w:rFonts w:hint="default" w:ascii="Times New Roman" w:hAnsi="Times New Roman" w:cs="Times New Roman"/>
          <w:color w:val="auto"/>
          <w:highlight w:val="none"/>
        </w:rPr>
        <w:t>）建立工程与植被相结合的复合式挡土墙。除工程砌拦、拦土坝外，在边坡营造乔灌草多层次的植物，以提高水土流失的防治效果。</w:t>
      </w:r>
    </w:p>
    <w:p>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3</w:t>
      </w:r>
      <w:r>
        <w:rPr>
          <w:rFonts w:hint="default" w:ascii="Times New Roman" w:hAnsi="Times New Roman" w:cs="Times New Roman"/>
          <w:color w:val="auto"/>
          <w:highlight w:val="none"/>
        </w:rPr>
        <w:t>）对于已完成的填土区，应加强绿化工作，尽快归还绿地和各种裸露地面的绿化工作；一些备用的工程建设用地，在工程项目无法马上开工的情况下，也应进行临时性的绿化覆盖，降低水土流失的可能性。</w:t>
      </w:r>
    </w:p>
    <w:p>
      <w:pPr>
        <w:ind w:firstLine="480"/>
        <w:jc w:val="left"/>
        <w:rPr>
          <w:rFonts w:hint="default" w:ascii="Times New Roman" w:hAnsi="Times New Roman" w:cs="Times New Roman"/>
          <w:color w:val="auto"/>
          <w:spacing w:val="-6"/>
          <w:sz w:val="24"/>
          <w:highlight w:val="none"/>
        </w:rPr>
      </w:pPr>
      <w:r>
        <w:rPr>
          <w:rFonts w:hint="default" w:ascii="Times New Roman" w:hAnsi="Times New Roman" w:cs="Times New Roman"/>
          <w:color w:val="auto"/>
          <w:spacing w:val="-6"/>
          <w:sz w:val="24"/>
          <w:highlight w:val="none"/>
        </w:rPr>
        <w:t>（</w:t>
      </w:r>
      <w:r>
        <w:rPr>
          <w:rFonts w:hint="eastAsia" w:cs="Times New Roman"/>
          <w:color w:val="auto"/>
          <w:spacing w:val="-6"/>
          <w:sz w:val="24"/>
          <w:highlight w:val="none"/>
          <w:lang w:val="en-US" w:eastAsia="zh-CN"/>
        </w:rPr>
        <w:t>5</w:t>
      </w:r>
      <w:r>
        <w:rPr>
          <w:rFonts w:hint="default" w:ascii="Times New Roman" w:hAnsi="Times New Roman" w:cs="Times New Roman"/>
          <w:color w:val="auto"/>
          <w:spacing w:val="-6"/>
          <w:sz w:val="24"/>
          <w:highlight w:val="none"/>
        </w:rPr>
        <w:t>）严格规定施工车辆的行驶便道，防止施工车辆在有植被的地段任意行驶。</w:t>
      </w:r>
    </w:p>
    <w:p>
      <w:pPr>
        <w:ind w:firstLine="480"/>
        <w:jc w:val="left"/>
        <w:rPr>
          <w:rFonts w:hint="default" w:ascii="Times New Roman" w:hAnsi="Times New Roman" w:cs="Times New Roman"/>
          <w:color w:val="auto"/>
          <w:spacing w:val="-6"/>
          <w:sz w:val="24"/>
          <w:highlight w:val="none"/>
        </w:rPr>
      </w:pPr>
      <w:r>
        <w:rPr>
          <w:rFonts w:hint="default" w:ascii="Times New Roman" w:hAnsi="Times New Roman" w:cs="Times New Roman"/>
          <w:color w:val="auto"/>
          <w:spacing w:val="-6"/>
          <w:sz w:val="24"/>
          <w:highlight w:val="none"/>
        </w:rPr>
        <w:t>（</w:t>
      </w:r>
      <w:r>
        <w:rPr>
          <w:rFonts w:hint="eastAsia" w:cs="Times New Roman"/>
          <w:color w:val="auto"/>
          <w:spacing w:val="-6"/>
          <w:sz w:val="24"/>
          <w:highlight w:val="none"/>
          <w:lang w:val="en-US" w:eastAsia="zh-CN"/>
        </w:rPr>
        <w:t>6</w:t>
      </w:r>
      <w:r>
        <w:rPr>
          <w:rFonts w:hint="default" w:ascii="Times New Roman" w:hAnsi="Times New Roman" w:cs="Times New Roman"/>
          <w:color w:val="auto"/>
          <w:spacing w:val="-6"/>
          <w:sz w:val="24"/>
          <w:highlight w:val="none"/>
        </w:rPr>
        <w:t>）加强监督，把水土流失控制到最低范围，做好施工的整体规划和布局。加强现场施工、物料及建筑材料的堆放和车辆的管理，尽量减少对乡镇景观的影响。</w:t>
      </w:r>
    </w:p>
    <w:p>
      <w:pPr>
        <w:pStyle w:val="4"/>
        <w:bidi w:val="0"/>
        <w:rPr>
          <w:rFonts w:hint="default"/>
          <w:color w:val="auto"/>
          <w:highlight w:val="none"/>
        </w:rPr>
      </w:pPr>
      <w:bookmarkStart w:id="233" w:name="_Toc22794"/>
      <w:bookmarkStart w:id="234" w:name="_Toc14048"/>
      <w:bookmarkStart w:id="235" w:name="_Toc31692"/>
      <w:r>
        <w:rPr>
          <w:rFonts w:hint="default"/>
          <w:color w:val="auto"/>
          <w:highlight w:val="none"/>
        </w:rPr>
        <w:t>运营期污染防治措施分析</w:t>
      </w:r>
      <w:bookmarkEnd w:id="233"/>
      <w:bookmarkEnd w:id="234"/>
      <w:bookmarkEnd w:id="235"/>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运营期废气污染防治措施</w:t>
      </w:r>
    </w:p>
    <w:p>
      <w:pPr>
        <w:pStyle w:val="2"/>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恶臭污染物</w:t>
      </w:r>
      <w:r>
        <w:rPr>
          <w:rFonts w:hint="default" w:ascii="Times New Roman" w:hAnsi="Times New Roman" w:cs="Times New Roman"/>
          <w:color w:val="auto"/>
          <w:highlight w:val="none"/>
          <w:lang w:val="en-US" w:eastAsia="zh-CN"/>
        </w:rPr>
        <w:t>治理方案</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工程在污水生化处理过程中，由于有机物生物降解，在预处理及二级生物处理（格栅渠、沉砂池、调节池、AAO池（厌氧段、缺氧段））和污泥处理部分（污泥脱水机房、贮泥池等）过程中产生恶臭物质。</w:t>
      </w:r>
    </w:p>
    <w:p>
      <w:pPr>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本项目建设单位拟在格栅渠、沉砂池、调节池、水解酸化池、AAO池、污泥脱水机房、贮泥池加盖密闭，将臭气收集，并设置1套臭气处理装置，处理规模为10000Nm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/h，采用生物滤池一体化设备+15m排气筒。</w:t>
      </w:r>
      <w:r>
        <w:rPr>
          <w:rFonts w:hint="default" w:ascii="Times New Roman" w:hAnsi="Times New Roman" w:cs="Times New Roman"/>
          <w:color w:val="auto"/>
          <w:highlight w:val="none"/>
          <w:lang w:val="zh-CN"/>
        </w:rPr>
        <w:t>臭气收集率按9</w:t>
      </w:r>
      <w:r>
        <w:rPr>
          <w:rFonts w:hint="default" w:ascii="Times New Roman" w:hAnsi="Times New Roman" w:cs="Times New Roman"/>
          <w:color w:val="auto"/>
          <w:highlight w:val="none"/>
        </w:rPr>
        <w:t>0</w:t>
      </w:r>
      <w:r>
        <w:rPr>
          <w:rFonts w:hint="default" w:ascii="Times New Roman" w:hAnsi="Times New Roman" w:cs="Times New Roman"/>
          <w:color w:val="auto"/>
          <w:highlight w:val="none"/>
          <w:lang w:val="zh-CN"/>
        </w:rPr>
        <w:t>%计，</w:t>
      </w:r>
      <w:r>
        <w:rPr>
          <w:rFonts w:hint="default" w:ascii="Times New Roman" w:hAnsi="Times New Roman" w:cs="Times New Roman"/>
          <w:color w:val="auto"/>
          <w:highlight w:val="none"/>
        </w:rPr>
        <w:t>生物滤池一体化设备</w:t>
      </w:r>
      <w:r>
        <w:rPr>
          <w:rFonts w:hint="default" w:ascii="Times New Roman" w:hAnsi="Times New Roman" w:cs="Times New Roman"/>
          <w:color w:val="auto"/>
          <w:highlight w:val="none"/>
          <w:lang w:val="zh-CN"/>
        </w:rPr>
        <w:t>除臭对硫化氢和氨的去除率为90%，风机总风量为</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zh-CN"/>
        </w:rPr>
        <w:t>0000Nm</w:t>
      </w:r>
      <w:r>
        <w:rPr>
          <w:rFonts w:hint="default" w:ascii="Times New Roman" w:hAnsi="Times New Roman" w:cs="Times New Roman"/>
          <w:color w:val="auto"/>
          <w:highlight w:val="none"/>
          <w:vertAlign w:val="superscript"/>
          <w:lang w:val="zh-CN"/>
        </w:rPr>
        <w:t>3</w:t>
      </w:r>
      <w:r>
        <w:rPr>
          <w:rFonts w:hint="default" w:ascii="Times New Roman" w:hAnsi="Times New Roman" w:cs="Times New Roman"/>
          <w:color w:val="auto"/>
          <w:highlight w:val="none"/>
          <w:lang w:val="zh-CN"/>
        </w:rPr>
        <w:t>/h。未经收集的</w:t>
      </w:r>
      <w:r>
        <w:rPr>
          <w:rFonts w:hint="default" w:ascii="Times New Roman" w:hAnsi="Times New Roman" w:cs="Times New Roman"/>
          <w:color w:val="auto"/>
          <w:highlight w:val="none"/>
        </w:rPr>
        <w:t>10</w:t>
      </w:r>
      <w:r>
        <w:rPr>
          <w:rFonts w:hint="default" w:ascii="Times New Roman" w:hAnsi="Times New Roman" w:cs="Times New Roman"/>
          <w:color w:val="auto"/>
          <w:highlight w:val="none"/>
          <w:lang w:val="zh-CN"/>
        </w:rPr>
        <w:t>%恶臭污染物属于无组织排放。</w:t>
      </w:r>
    </w:p>
    <w:p>
      <w:pPr>
        <w:widowControl/>
        <w:kinsoku w:val="0"/>
        <w:autoSpaceDE w:val="0"/>
        <w:autoSpaceDN w:val="0"/>
        <w:ind w:firstLine="472"/>
        <w:jc w:val="left"/>
        <w:textAlignment w:val="baseline"/>
        <w:rPr>
          <w:rFonts w:hint="default" w:ascii="Times New Roman" w:hAnsi="Times New Roman" w:cs="Times New Roman"/>
          <w:snapToGrid w:val="0"/>
          <w:color w:val="auto"/>
          <w:kern w:val="0"/>
          <w:highlight w:val="none"/>
        </w:rPr>
      </w:pPr>
      <w:r>
        <w:rPr>
          <w:rFonts w:hint="default" w:ascii="Times New Roman" w:hAnsi="Times New Roman" w:cs="Times New Roman"/>
          <w:snapToGrid w:val="0"/>
          <w:color w:val="auto"/>
          <w:spacing w:val="-2"/>
          <w:kern w:val="0"/>
          <w:highlight w:val="none"/>
        </w:rPr>
        <w:t>①工艺原</w:t>
      </w:r>
      <w:r>
        <w:rPr>
          <w:rFonts w:hint="default" w:ascii="Times New Roman" w:hAnsi="Times New Roman" w:cs="Times New Roman"/>
          <w:snapToGrid w:val="0"/>
          <w:color w:val="auto"/>
          <w:spacing w:val="-1"/>
          <w:kern w:val="0"/>
          <w:highlight w:val="none"/>
        </w:rPr>
        <w:t>理</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生物滤池法除臭工艺是一种安全可靠的处理方法，除臭效率大于90%。其原理是污水处理过程中所产生的臭气经收集系统收集后集中送至生物滤池除臭装置处理，臭气通过湿润、多孔和充满活性微生物的滤层，利用微生物细胞对恶臭物质的吸附、吸收和降解功能，微生物的细胞个体小、表面积大、吸附性强、代谢类型多样的特点，将恶臭物质吸附后分解成C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O、H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4</w:t>
      </w:r>
      <w:r>
        <w:rPr>
          <w:rFonts w:hint="default" w:ascii="Times New Roman" w:hAnsi="Times New Roman" w:cs="Times New Roman"/>
          <w:color w:val="auto"/>
          <w:highlight w:val="none"/>
        </w:rPr>
        <w:t>、HNO</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等简单无机物。</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生物滤池除臭原理见图6.2-1。</w:t>
      </w:r>
    </w:p>
    <w:p>
      <w:pPr>
        <w:widowControl/>
        <w:kinsoku w:val="0"/>
        <w:autoSpaceDE w:val="0"/>
        <w:autoSpaceDN w:val="0"/>
        <w:adjustRightInd w:val="0"/>
        <w:snapToGrid w:val="0"/>
        <w:spacing w:before="156" w:line="448" w:lineRule="exact"/>
        <w:ind w:firstLine="1617" w:firstLineChars="0"/>
        <w:jc w:val="left"/>
        <w:textAlignment w:val="center"/>
        <w:rPr>
          <w:rFonts w:hint="default" w:ascii="Times New Roman" w:hAnsi="Times New Roman" w:eastAsia="Arial" w:cs="Times New Roman"/>
          <w:snapToGrid w:val="0"/>
          <w:color w:val="auto"/>
          <w:kern w:val="0"/>
          <w:sz w:val="21"/>
          <w:szCs w:val="21"/>
          <w:highlight w:val="none"/>
        </w:rPr>
      </w:pPr>
      <w:r>
        <w:rPr>
          <w:rFonts w:hint="default" w:ascii="Times New Roman" w:hAnsi="Times New Roman" w:eastAsia="Arial" w:cs="Times New Roman"/>
          <w:snapToGrid w:val="0"/>
          <w:color w:val="auto"/>
          <w:kern w:val="0"/>
          <w:sz w:val="21"/>
          <w:szCs w:val="21"/>
          <w:highlight w:val="none"/>
        </w:rPr>
        <w:drawing>
          <wp:inline distT="0" distB="0" distL="0" distR="0">
            <wp:extent cx="3562350" cy="284480"/>
            <wp:effectExtent l="0" t="0" r="6350" b="7620"/>
            <wp:docPr id="63" name="IM 63"/>
            <wp:cNvGraphicFramePr/>
            <a:graphic xmlns:a="http://schemas.openxmlformats.org/drawingml/2006/main">
              <a:graphicData uri="http://schemas.openxmlformats.org/drawingml/2006/picture">
                <pic:pic xmlns:pic="http://schemas.openxmlformats.org/drawingml/2006/picture">
                  <pic:nvPicPr>
                    <pic:cNvPr id="63" name="IM 63"/>
                    <pic:cNvPicPr/>
                  </pic:nvPicPr>
                  <pic:blipFill>
                    <a:blip r:embed="rId56" cstate="print"/>
                    <a:stretch>
                      <a:fillRect/>
                    </a:stretch>
                  </pic:blipFill>
                  <pic:spPr>
                    <a:xfrm>
                      <a:off x="0" y="0"/>
                      <a:ext cx="3562350" cy="284480"/>
                    </a:xfrm>
                    <a:prstGeom prst="rect">
                      <a:avLst/>
                    </a:prstGeom>
                  </pic:spPr>
                </pic:pic>
              </a:graphicData>
            </a:graphic>
          </wp:inline>
        </w:drawing>
      </w:r>
    </w:p>
    <w:p>
      <w:pPr>
        <w:ind w:firstLine="482"/>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图6.2-1生物滤池除臭原理图</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生物除臭过程主要以三个步骤进行：（1）水溶渗透；（2）生物吸收；（3）生物氧化。</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第一步：水溶渗透过程。滤料表面覆盖有水层，臭气中的化学物质与滤料接触后在表层溶解，并从气相转化为水相，以利于滤料中的细菌作进一步的吸收和分解。另外，滤料的多孔性使其具有超大的比表面积，使气、水两相有更大的接触面积，有效增大了气相化学物质在水相中的传送扩散速率（经实验测试所得，其产生的瞬时效应是化学清洗的好几百倍）。所以，水溶渗透过程其实是</w:t>
      </w:r>
      <w:r>
        <w:rPr>
          <w:rFonts w:hint="eastAsia" w:cs="Times New Roman"/>
          <w:color w:val="auto"/>
          <w:highlight w:val="none"/>
          <w:lang w:eastAsia="zh-CN"/>
        </w:rPr>
        <w:t>一个</w:t>
      </w:r>
      <w:r>
        <w:rPr>
          <w:rFonts w:hint="default" w:ascii="Times New Roman" w:hAnsi="Times New Roman" w:cs="Times New Roman"/>
          <w:color w:val="auto"/>
          <w:highlight w:val="none"/>
        </w:rPr>
        <w:t>物理作用过程，高速的传送扩散意味着滤料可迅速将臭气的浓度降至极低的水平。</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第二步：水溶液中的恶臭成分被微生物吸附、吸收，恶臭成分从水中转移至微生物体内。</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第三步：通过生物氧化来降解污染物的过程。滤料中的专性细菌（根据臭源的类型筛选而得到的处理菌种）将以污染物为食，把污染物转化为自身的营养物质，使碳、氢、氧、氮、硫等元素从化合物的形式转化为游离态，进入微生物的自身循环过程，从而达到降解的目的。与此同时，专性细菌等微生物又可实现自身的繁殖过程。当作为食物的污染化合物与专性细菌的营养需要达到平衡，而水分、温度、酸碱程度等条件均符合微生物所需时，专性细菌的代谢繁殖将会达到一稳定的平衡，而最终的产物是无污染的二氧化碳、水和盐，从而使污染物得以去除。</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生物滤池除臭工艺流程见图6.2-2，除臭装置示意图见图6.2-3。</w:t>
      </w:r>
    </w:p>
    <w:p>
      <w:pPr>
        <w:widowControl/>
        <w:kinsoku w:val="0"/>
        <w:autoSpaceDE w:val="0"/>
        <w:autoSpaceDN w:val="0"/>
        <w:adjustRightInd w:val="0"/>
        <w:snapToGrid w:val="0"/>
        <w:spacing w:before="99" w:line="1185" w:lineRule="exact"/>
        <w:ind w:firstLine="0" w:firstLineChars="0"/>
        <w:jc w:val="center"/>
        <w:textAlignment w:val="center"/>
        <w:rPr>
          <w:rFonts w:hint="default" w:ascii="Times New Roman" w:hAnsi="Times New Roman" w:eastAsia="Arial" w:cs="Times New Roman"/>
          <w:snapToGrid w:val="0"/>
          <w:color w:val="auto"/>
          <w:kern w:val="0"/>
          <w:sz w:val="21"/>
          <w:szCs w:val="21"/>
          <w:highlight w:val="none"/>
        </w:rPr>
      </w:pPr>
      <w:r>
        <w:rPr>
          <w:rFonts w:hint="default" w:ascii="Times New Roman" w:hAnsi="Times New Roman" w:eastAsia="Arial" w:cs="Times New Roman"/>
          <w:snapToGrid w:val="0"/>
          <w:color w:val="auto"/>
          <w:kern w:val="0"/>
          <w:sz w:val="21"/>
          <w:szCs w:val="21"/>
          <w:highlight w:val="none"/>
        </w:rPr>
        <w:drawing>
          <wp:inline distT="0" distB="0" distL="0" distR="0">
            <wp:extent cx="4543425" cy="752475"/>
            <wp:effectExtent l="0" t="0" r="3175" b="9525"/>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57" cstate="print"/>
                    <a:stretch>
                      <a:fillRect/>
                    </a:stretch>
                  </pic:blipFill>
                  <pic:spPr>
                    <a:xfrm>
                      <a:off x="0" y="0"/>
                      <a:ext cx="4544059" cy="752475"/>
                    </a:xfrm>
                    <a:prstGeom prst="rect">
                      <a:avLst/>
                    </a:prstGeom>
                  </pic:spPr>
                </pic:pic>
              </a:graphicData>
            </a:graphic>
          </wp:inline>
        </w:drawing>
      </w:r>
    </w:p>
    <w:p>
      <w:pPr>
        <w:ind w:firstLine="482"/>
        <w:jc w:val="center"/>
        <w:rPr>
          <w:rFonts w:hint="default" w:ascii="Times New Roman" w:hAnsi="Times New Roman" w:eastAsia="黑体" w:cs="Times New Roman"/>
          <w:snapToGrid w:val="0"/>
          <w:color w:val="auto"/>
          <w:kern w:val="0"/>
          <w:highlight w:val="none"/>
        </w:rPr>
      </w:pPr>
      <w:r>
        <w:rPr>
          <w:rFonts w:hint="default" w:ascii="Times New Roman" w:hAnsi="Times New Roman" w:cs="Times New Roman"/>
          <w:b/>
          <w:bCs/>
          <w:color w:val="auto"/>
          <w:highlight w:val="none"/>
        </w:rPr>
        <w:t>图6.2-2生物滤池除臭工艺流程图</w:t>
      </w:r>
    </w:p>
    <w:p>
      <w:pPr>
        <w:ind w:firstLine="480"/>
        <w:rPr>
          <w:rFonts w:hint="default" w:ascii="Times New Roman" w:hAnsi="Times New Roman" w:cs="Times New Roman"/>
          <w:color w:val="auto"/>
          <w:highlight w:val="none"/>
        </w:rPr>
        <w:sectPr>
          <w:footerReference r:id="rId20" w:type="default"/>
          <w:pgSz w:w="11907" w:h="16839"/>
          <w:pgMar w:top="1088" w:right="1757" w:bottom="1398" w:left="1770" w:header="1078" w:footer="1237" w:gutter="0"/>
          <w:pgBorders>
            <w:top w:val="none" w:sz="0" w:space="0"/>
            <w:left w:val="none" w:sz="0" w:space="0"/>
            <w:bottom w:val="none" w:sz="0" w:space="0"/>
            <w:right w:val="none" w:sz="0" w:space="0"/>
          </w:pgBorders>
          <w:pgNumType w:fmt="numberInDash"/>
          <w:cols w:space="720" w:num="1"/>
        </w:sectPr>
      </w:pPr>
    </w:p>
    <w:p>
      <w:pPr>
        <w:widowControl/>
        <w:kinsoku w:val="0"/>
        <w:autoSpaceDE w:val="0"/>
        <w:autoSpaceDN w:val="0"/>
        <w:adjustRightInd w:val="0"/>
        <w:snapToGrid w:val="0"/>
        <w:spacing w:line="351" w:lineRule="auto"/>
        <w:ind w:firstLine="0" w:firstLineChars="0"/>
        <w:jc w:val="left"/>
        <w:textAlignment w:val="baseline"/>
        <w:rPr>
          <w:rFonts w:hint="default" w:ascii="Times New Roman" w:hAnsi="Times New Roman" w:eastAsia="Arial" w:cs="Times New Roman"/>
          <w:snapToGrid w:val="0"/>
          <w:color w:val="auto"/>
          <w:kern w:val="0"/>
          <w:sz w:val="21"/>
          <w:szCs w:val="21"/>
          <w:highlight w:val="none"/>
        </w:rPr>
      </w:pPr>
    </w:p>
    <w:p>
      <w:pPr>
        <w:widowControl/>
        <w:kinsoku w:val="0"/>
        <w:autoSpaceDE w:val="0"/>
        <w:autoSpaceDN w:val="0"/>
        <w:adjustRightInd w:val="0"/>
        <w:snapToGrid w:val="0"/>
        <w:spacing w:line="3114" w:lineRule="exact"/>
        <w:ind w:firstLine="1585" w:firstLineChars="0"/>
        <w:jc w:val="left"/>
        <w:textAlignment w:val="center"/>
        <w:rPr>
          <w:rFonts w:hint="default" w:ascii="Times New Roman" w:hAnsi="Times New Roman" w:eastAsia="Arial" w:cs="Times New Roman"/>
          <w:snapToGrid w:val="0"/>
          <w:color w:val="auto"/>
          <w:kern w:val="0"/>
          <w:sz w:val="21"/>
          <w:szCs w:val="21"/>
          <w:highlight w:val="none"/>
        </w:rPr>
      </w:pPr>
      <w:r>
        <w:rPr>
          <w:rFonts w:hint="default" w:ascii="Times New Roman" w:hAnsi="Times New Roman" w:eastAsia="Arial" w:cs="Times New Roman"/>
          <w:snapToGrid w:val="0"/>
          <w:color w:val="auto"/>
          <w:kern w:val="0"/>
          <w:sz w:val="21"/>
          <w:szCs w:val="21"/>
          <w:highlight w:val="none"/>
        </w:rPr>
        <w:drawing>
          <wp:inline distT="0" distB="0" distL="0" distR="0">
            <wp:extent cx="3603625" cy="1977390"/>
            <wp:effectExtent l="0" t="0" r="3175" b="3810"/>
            <wp:docPr id="65" name="IM 65"/>
            <wp:cNvGraphicFramePr/>
            <a:graphic xmlns:a="http://schemas.openxmlformats.org/drawingml/2006/main">
              <a:graphicData uri="http://schemas.openxmlformats.org/drawingml/2006/picture">
                <pic:pic xmlns:pic="http://schemas.openxmlformats.org/drawingml/2006/picture">
                  <pic:nvPicPr>
                    <pic:cNvPr id="65" name="IM 65"/>
                    <pic:cNvPicPr/>
                  </pic:nvPicPr>
                  <pic:blipFill>
                    <a:blip r:embed="rId58" cstate="print"/>
                    <a:stretch>
                      <a:fillRect/>
                    </a:stretch>
                  </pic:blipFill>
                  <pic:spPr>
                    <a:xfrm>
                      <a:off x="0" y="0"/>
                      <a:ext cx="3603625" cy="1977390"/>
                    </a:xfrm>
                    <a:prstGeom prst="rect">
                      <a:avLst/>
                    </a:prstGeom>
                  </pic:spPr>
                </pic:pic>
              </a:graphicData>
            </a:graphic>
          </wp:inline>
        </w:drawing>
      </w:r>
    </w:p>
    <w:p>
      <w:pPr>
        <w:ind w:firstLine="482"/>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图6.2-3生物滤池除臭装置示意图</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生物滤池除臭装置的前端设置预处理单元，其作用是把恶臭气体中的大颗粒的灰尘洗掉，同时通过喷淋将恶臭气体中可溶解于水的成分去除，并将恶臭气体加湿。采用玻璃钢材料制作。预处理单元侧面带有观察窗，便于观察和检修。预处理单元配有循环喷淋系统和循环水泵，循环喷淋系统包括所有循环管道、喷嘴、接头、支撑件等。主要用于去除气体中固体污染物、调节空气的湿度和温度。喷头所喷的水呈雾状，能覆盖整个预洗池，没有死角。预洗池中装有填料，用水可循环使用。预处理单元作为一个有效的缓冲器，可降低高浓度污染负荷的峰值。</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生物滤池除臭装置填料采用以天然植物骸体或火山岩为主的多种级配的有机和无机混合填料，其通透性和结构稳定性良好，具有吸附污染物和微生物生长的最佳环境，具有运行费用低，维护简单等优势，适宜于处理5℃~40℃的废气。混合填料不易腐烂，具有良好的保湿性和透气性，载体表面为亲水性。为了优化填料性能，在填料中添加了少部分无机混合物，这些物质可以提高填料的通透性、吸水性，并起到防止板结、均衡营养、缓冲酸性防止酸化等作用。由于填料本身存在大量的可供利用的碳源、木质素、纤维素等，运行过程中无需添加营养液，运行的浓度负荷范围较宽，相对较容易维护。尤其是长时间停机后，生物滤池无需特殊的操作，再启动到正常运行所需的时间较短。在生物滤池启用前，该填料需要用含有专用微生物的溶液进行处理，在运行过程中无需添加任何营养液。填料使用寿命不低于8~10年。</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经过预处理单元并调节了湿度的空气进入到生物除臭池体，在其中微生物将致臭的污染物降解成无臭的化合物。生物滤池为模块式，外壳采用玻璃钢制造，耐腐蚀，尤其耐脂肪酸腐蚀，并可使塔体具有足够的强度和刚度。滤池配置风管接口、管道接口、填料支撑板、填料、检修口、喷淋加湿装置等完善的附件。生物滤池顶部加带有排气孔的顶盖。生物滤池的填料支撑板采用具有良好通透性的玻璃钢格栅板，耐腐蚀，并且具有足够的刚度、强度。滤池的外表面抗紫外线照射。滤池底部设有气体分布及排水系统。滤池顶部设有喷淋系统，由自动控制系统控制，根据实际情况进行间歇喷淋，以使填料保持一定湿润，为微生物提供适宜的工作环境。</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生物除臭滤池将致臭污染物降解成二氧化碳和水，不产生二次污染。</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②臭气收集措施有效性分析</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本项目主要针对全厂主要产臭气建构筑物进行臭气收集处理，臭气收集范围具体如下：</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针对本项目的粗格栅及提升泵房、细格栅及沉砂池、改良型AAO生物池缺氧和厌氧段、贮泥池和污泥脱水机房进行除臭。</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各类产臭气建构筑物采取如下臭气收集措施：</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A、格栅、进水泵房、沉砂池</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a.进水泵房：在构筑物的敞开通道上加玻璃钢盖板。</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b.格栅：不锈钢框架+有机玻璃。</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c.沉砂池：玻璃钢拱形盖拼装式法兰连接。</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于预处理的工艺设备大部分露在局部密闭罩的外部，只在设备的产气点设置局部密闭罩，因此设备检修和操作方便，因此，预处理格栅、进水泵房区域的除臭系统采用局部密闭罩的方式对臭气源进行封闭收集，预处理沉砂池采取全封闭收集。</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B、脱水机房加罩</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如果对整个污泥脱水机房除臭，臭气量相当大，考虑到工程的造价，从优化设计的角度考虑，选择对产臭气设备、皮带等设施进行加罩密闭收集臭气，材料可选择碳钢骨架并做防腐，配上有机玻璃观察窗和门，罩内设有集气管道。</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C、生物池</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生物池一般分为好氧区、缺氧区、厌氧区三个部分，产臭气部位主要是在缺氧区和厌氧区。本项目拟对三期改良型AAO生物池缺氧和厌氧段的臭气进行收集。由于生物池、缺氧区、厌氧区占地面积大，采用大容积密闭罩的方式对池体进行密闭，一般采取加玻璃钢拱形盖拼装式法兰连接收集臭气。</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不管是封闭性盖板，还是局部密闭罩，或者加玻璃钢拱形盖，其密闭性能好，能保持密闭空间内的负压，防止臭气逸散，臭气收集效率可达到90%以上，臭气的收集措施有效可行。</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③同类工程</w:t>
      </w:r>
    </w:p>
    <w:p>
      <w:pPr>
        <w:ind w:firstLine="480"/>
        <w:rPr>
          <w:rFonts w:hint="default" w:ascii="Times New Roman" w:hAnsi="Times New Roman" w:cs="Times New Roman"/>
          <w:color w:val="auto"/>
          <w:highlight w:val="none"/>
        </w:rPr>
      </w:pPr>
      <w:r>
        <w:rPr>
          <w:rFonts w:hint="eastAsia"/>
          <w:color w:val="auto"/>
          <w:highlight w:val="none"/>
        </w:rPr>
        <w:t>污水处理厂恶臭采用生物滤池处理后经15m高排气筒排放，排气筒废气中NH</w:t>
      </w:r>
      <w:r>
        <w:rPr>
          <w:rFonts w:hint="eastAsia"/>
          <w:color w:val="auto"/>
          <w:highlight w:val="none"/>
          <w:vertAlign w:val="subscript"/>
        </w:rPr>
        <w:t>3</w:t>
      </w:r>
      <w:r>
        <w:rPr>
          <w:rFonts w:hint="eastAsia"/>
          <w:color w:val="auto"/>
          <w:highlight w:val="none"/>
        </w:rPr>
        <w:t>、H</w:t>
      </w:r>
      <w:r>
        <w:rPr>
          <w:rFonts w:hint="eastAsia"/>
          <w:color w:val="auto"/>
          <w:highlight w:val="none"/>
          <w:vertAlign w:val="subscript"/>
        </w:rPr>
        <w:t>2</w:t>
      </w:r>
      <w:r>
        <w:rPr>
          <w:rFonts w:hint="eastAsia"/>
          <w:color w:val="auto"/>
          <w:highlight w:val="none"/>
        </w:rPr>
        <w:t>S排放速率满足《恶臭污染物排放标准》（GB14554-93）表2恶臭、污染物排放标准值（NH</w:t>
      </w:r>
      <w:r>
        <w:rPr>
          <w:rFonts w:hint="eastAsia"/>
          <w:color w:val="auto"/>
          <w:highlight w:val="none"/>
          <w:vertAlign w:val="subscript"/>
        </w:rPr>
        <w:t>3</w:t>
      </w:r>
      <w:r>
        <w:rPr>
          <w:rFonts w:hint="eastAsia"/>
          <w:color w:val="auto"/>
          <w:highlight w:val="none"/>
        </w:rPr>
        <w:t>≤4.9kg/h，H</w:t>
      </w:r>
      <w:r>
        <w:rPr>
          <w:rFonts w:hint="eastAsia"/>
          <w:color w:val="auto"/>
          <w:highlight w:val="none"/>
          <w:vertAlign w:val="subscript"/>
        </w:rPr>
        <w:t>2</w:t>
      </w:r>
      <w:r>
        <w:rPr>
          <w:rFonts w:hint="eastAsia"/>
          <w:color w:val="auto"/>
          <w:highlight w:val="none"/>
        </w:rPr>
        <w:t>S≤0.33kg/h）；拟采用的生物滤池除臭工艺已经在哈密市伊吾工业园污水处理厂得到应用，该污水处理厂处理规模3万吨/天，采用改良A/O工艺。分析检测中心2011年3月出具了分析检测报告：处理前H</w:t>
      </w:r>
      <w:r>
        <w:rPr>
          <w:rFonts w:hint="eastAsia"/>
          <w:color w:val="auto"/>
          <w:highlight w:val="none"/>
          <w:vertAlign w:val="subscript"/>
        </w:rPr>
        <w:t>2</w:t>
      </w:r>
      <w:r>
        <w:rPr>
          <w:rFonts w:hint="eastAsia"/>
          <w:color w:val="auto"/>
          <w:highlight w:val="none"/>
        </w:rPr>
        <w:t>S、NH</w:t>
      </w:r>
      <w:r>
        <w:rPr>
          <w:rFonts w:hint="eastAsia"/>
          <w:color w:val="auto"/>
          <w:highlight w:val="none"/>
          <w:vertAlign w:val="subscript"/>
        </w:rPr>
        <w:t>3</w:t>
      </w:r>
      <w:r>
        <w:rPr>
          <w:rFonts w:hint="eastAsia"/>
          <w:color w:val="auto"/>
          <w:highlight w:val="none"/>
        </w:rPr>
        <w:t>的浓度分别为0.279mg/m</w:t>
      </w:r>
      <w:r>
        <w:rPr>
          <w:rFonts w:hint="eastAsia"/>
          <w:color w:val="auto"/>
          <w:highlight w:val="none"/>
          <w:vertAlign w:val="superscript"/>
        </w:rPr>
        <w:t>3</w:t>
      </w:r>
      <w:r>
        <w:rPr>
          <w:rFonts w:hint="eastAsia"/>
          <w:color w:val="auto"/>
          <w:highlight w:val="none"/>
        </w:rPr>
        <w:t>、0.485mg/m</w:t>
      </w:r>
      <w:r>
        <w:rPr>
          <w:rFonts w:hint="eastAsia"/>
          <w:color w:val="auto"/>
          <w:highlight w:val="none"/>
          <w:vertAlign w:val="superscript"/>
        </w:rPr>
        <w:t>3</w:t>
      </w:r>
      <w:r>
        <w:rPr>
          <w:rFonts w:hint="eastAsia"/>
          <w:color w:val="auto"/>
          <w:highlight w:val="none"/>
        </w:rPr>
        <w:t>，处理后H</w:t>
      </w:r>
      <w:r>
        <w:rPr>
          <w:rFonts w:hint="eastAsia"/>
          <w:color w:val="auto"/>
          <w:highlight w:val="none"/>
          <w:vertAlign w:val="subscript"/>
        </w:rPr>
        <w:t>2</w:t>
      </w:r>
      <w:r>
        <w:rPr>
          <w:rFonts w:hint="eastAsia"/>
          <w:color w:val="auto"/>
          <w:highlight w:val="none"/>
        </w:rPr>
        <w:t>S、NH</w:t>
      </w:r>
      <w:r>
        <w:rPr>
          <w:rFonts w:hint="eastAsia"/>
          <w:color w:val="auto"/>
          <w:highlight w:val="none"/>
          <w:vertAlign w:val="subscript"/>
        </w:rPr>
        <w:t>3</w:t>
      </w:r>
      <w:r>
        <w:rPr>
          <w:rFonts w:hint="eastAsia"/>
          <w:color w:val="auto"/>
          <w:highlight w:val="none"/>
        </w:rPr>
        <w:t>的浓度分别为0.006mg/m</w:t>
      </w:r>
      <w:r>
        <w:rPr>
          <w:rFonts w:hint="eastAsia"/>
          <w:color w:val="auto"/>
          <w:highlight w:val="none"/>
          <w:vertAlign w:val="superscript"/>
        </w:rPr>
        <w:t>3</w:t>
      </w:r>
      <w:r>
        <w:rPr>
          <w:rFonts w:hint="eastAsia"/>
          <w:color w:val="auto"/>
          <w:highlight w:val="none"/>
        </w:rPr>
        <w:t>、0.018mg/m</w:t>
      </w:r>
      <w:r>
        <w:rPr>
          <w:rFonts w:hint="eastAsia"/>
          <w:color w:val="auto"/>
          <w:highlight w:val="none"/>
          <w:vertAlign w:val="superscript"/>
        </w:rPr>
        <w:t>3</w:t>
      </w:r>
      <w:r>
        <w:rPr>
          <w:rFonts w:hint="eastAsia"/>
          <w:color w:val="auto"/>
          <w:highlight w:val="none"/>
        </w:rPr>
        <w:t>，除臭效率分别为97.8%、96.3%，达到《城镇污水处理厂污染物排放标准》（GB18918－2002）表4中厂界（防护带边缘）废气排放最高允许浓度二级标准。</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zh-CN"/>
        </w:rPr>
        <w:t>经采取上述处理措施后，恶臭中NH</w:t>
      </w:r>
      <w:r>
        <w:rPr>
          <w:rFonts w:hint="default" w:ascii="Times New Roman" w:hAnsi="Times New Roman" w:cs="Times New Roman"/>
          <w:color w:val="auto"/>
          <w:highlight w:val="none"/>
          <w:vertAlign w:val="subscript"/>
          <w:lang w:val="zh-CN"/>
        </w:rPr>
        <w:t>3</w:t>
      </w:r>
      <w:r>
        <w:rPr>
          <w:rFonts w:hint="default" w:ascii="Times New Roman" w:hAnsi="Times New Roman" w:cs="Times New Roman"/>
          <w:color w:val="auto"/>
          <w:highlight w:val="none"/>
          <w:lang w:val="zh-CN"/>
        </w:rPr>
        <w:t>排放速率远低于《恶臭污染物排放标准》（GB14554-1993）中规定的</w:t>
      </w:r>
      <w:r>
        <w:rPr>
          <w:rFonts w:hint="default" w:ascii="Times New Roman" w:hAnsi="Times New Roman" w:cs="Times New Roman"/>
          <w:color w:val="auto"/>
          <w:highlight w:val="none"/>
        </w:rPr>
        <w:t>15</w:t>
      </w:r>
      <w:r>
        <w:rPr>
          <w:rFonts w:hint="default" w:ascii="Times New Roman" w:hAnsi="Times New Roman" w:cs="Times New Roman"/>
          <w:color w:val="auto"/>
          <w:highlight w:val="none"/>
          <w:lang w:val="zh-CN"/>
        </w:rPr>
        <w:t>m排气筒NH</w:t>
      </w:r>
      <w:r>
        <w:rPr>
          <w:rFonts w:hint="default" w:ascii="Times New Roman" w:hAnsi="Times New Roman" w:cs="Times New Roman"/>
          <w:color w:val="auto"/>
          <w:highlight w:val="none"/>
          <w:vertAlign w:val="subscript"/>
          <w:lang w:val="zh-CN"/>
        </w:rPr>
        <w:t>3</w:t>
      </w:r>
      <w:r>
        <w:rPr>
          <w:rFonts w:hint="default" w:ascii="Times New Roman" w:hAnsi="Times New Roman" w:cs="Times New Roman"/>
          <w:color w:val="auto"/>
          <w:highlight w:val="none"/>
          <w:lang w:val="zh-CN"/>
        </w:rPr>
        <w:t>排放速率限值</w:t>
      </w:r>
      <w:r>
        <w:rPr>
          <w:rFonts w:hint="default" w:ascii="Times New Roman" w:hAnsi="Times New Roman" w:cs="Times New Roman"/>
          <w:color w:val="auto"/>
          <w:highlight w:val="none"/>
        </w:rPr>
        <w:t>4.9</w:t>
      </w:r>
      <w:r>
        <w:rPr>
          <w:rFonts w:hint="default" w:ascii="Times New Roman" w:hAnsi="Times New Roman" w:cs="Times New Roman"/>
          <w:color w:val="auto"/>
          <w:highlight w:val="none"/>
          <w:lang w:val="zh-CN"/>
        </w:rPr>
        <w:t>kg/h，H</w:t>
      </w:r>
      <w:r>
        <w:rPr>
          <w:rFonts w:hint="default" w:ascii="Times New Roman" w:hAnsi="Times New Roman" w:cs="Times New Roman"/>
          <w:color w:val="auto"/>
          <w:highlight w:val="none"/>
          <w:vertAlign w:val="subscript"/>
          <w:lang w:val="zh-CN"/>
        </w:rPr>
        <w:t>2</w:t>
      </w:r>
      <w:r>
        <w:rPr>
          <w:rFonts w:hint="default" w:ascii="Times New Roman" w:hAnsi="Times New Roman" w:cs="Times New Roman"/>
          <w:color w:val="auto"/>
          <w:highlight w:val="none"/>
          <w:lang w:val="zh-CN"/>
        </w:rPr>
        <w:t>S排放速率限值0.</w:t>
      </w:r>
      <w:r>
        <w:rPr>
          <w:rFonts w:hint="default" w:ascii="Times New Roman" w:hAnsi="Times New Roman" w:cs="Times New Roman"/>
          <w:color w:val="auto"/>
          <w:highlight w:val="none"/>
        </w:rPr>
        <w:t>33</w:t>
      </w:r>
      <w:r>
        <w:rPr>
          <w:rFonts w:hint="default" w:ascii="Times New Roman" w:hAnsi="Times New Roman" w:cs="Times New Roman"/>
          <w:color w:val="auto"/>
          <w:highlight w:val="none"/>
          <w:lang w:val="zh-CN"/>
        </w:rPr>
        <w:t>kg/h；</w:t>
      </w:r>
      <w:r>
        <w:rPr>
          <w:rFonts w:hint="default" w:ascii="Times New Roman" w:hAnsi="Times New Roman" w:cs="Times New Roman"/>
          <w:color w:val="auto"/>
          <w:highlight w:val="none"/>
        </w:rPr>
        <w:t>厂界臭气污染物浓度能够满足《城镇污水处理厂污染物排放标准》（GB18918-2002）修改单中表4二级标准要求。</w:t>
      </w:r>
      <w:r>
        <w:rPr>
          <w:rFonts w:hint="eastAsia"/>
          <w:color w:val="auto"/>
          <w:highlight w:val="none"/>
        </w:rPr>
        <w:t>拟建项目选用生物滤池除臭装置是可行的。</w:t>
      </w:r>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恶臭治理措施</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本项目采取以下措施来减轻无组织恶臭气体对外环境的影响：</w:t>
      </w:r>
    </w:p>
    <w:p>
      <w:pPr>
        <w:numPr>
          <w:ilvl w:val="0"/>
          <w:numId w:val="10"/>
        </w:num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工程措施</w:t>
      </w:r>
    </w:p>
    <w:p>
      <w:pPr>
        <w:numPr>
          <w:ilvl w:val="0"/>
          <w:numId w:val="0"/>
        </w:numPr>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①对污水、污泥处理设施尽量密闭，定期对AAO池喷洒生物除臭剂；</w:t>
      </w:r>
    </w:p>
    <w:p>
      <w:pPr>
        <w:numPr>
          <w:ilvl w:val="0"/>
          <w:numId w:val="0"/>
        </w:numPr>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②在污水处理建构筑物周边合理采取灌、草、木结合的绿化体系，栽植对臭气有一定吸附作用的乔、灌木和花卉，在厂区周围种植高大乔木隔离屏障等措施，这些措施是改善厂区小气候，是降臭除臭的有效方法；</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③建议对栅渣、污泥等散臭污物及时处理清运，经常性的开展卫生清扫和喷洒药物，防止蚊蝇孳生。</w:t>
      </w:r>
    </w:p>
    <w:p>
      <w:pPr>
        <w:numPr>
          <w:ilvl w:val="0"/>
          <w:numId w:val="10"/>
        </w:numPr>
        <w:ind w:left="0" w:leftChars="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管理措施</w:t>
      </w:r>
    </w:p>
    <w:p>
      <w:pPr>
        <w:numPr>
          <w:ilvl w:val="0"/>
          <w:numId w:val="0"/>
        </w:numPr>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①运送污泥的车辆在驶离厂区前要做好消毒处理；</w:t>
      </w:r>
    </w:p>
    <w:p>
      <w:pPr>
        <w:numPr>
          <w:ilvl w:val="0"/>
          <w:numId w:val="0"/>
        </w:numPr>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②恶臭最主要的是对具体操作工人身体健康</w:t>
      </w:r>
      <w:r>
        <w:rPr>
          <w:rFonts w:hint="eastAsia" w:cs="Times New Roman"/>
          <w:color w:val="auto"/>
          <w:sz w:val="24"/>
          <w:szCs w:val="24"/>
          <w:highlight w:val="none"/>
          <w:lang w:eastAsia="zh-CN"/>
        </w:rPr>
        <w:t>有</w:t>
      </w:r>
      <w:r>
        <w:rPr>
          <w:rFonts w:hint="default" w:ascii="Times New Roman" w:hAnsi="Times New Roman" w:eastAsia="宋体" w:cs="Times New Roman"/>
          <w:color w:val="auto"/>
          <w:sz w:val="24"/>
          <w:szCs w:val="24"/>
          <w:highlight w:val="none"/>
        </w:rPr>
        <w:t>较大影响，应在污泥脱水单元或格栅间等经常有工人工作的地方加装轴流风机；</w:t>
      </w:r>
    </w:p>
    <w:p>
      <w:pPr>
        <w:numPr>
          <w:ilvl w:val="0"/>
          <w:numId w:val="0"/>
        </w:numPr>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③污水厂岗位操作工人加强劳动防护，落实除臭措施的实施，使恶臭中有毒、有害物质对工人的影响最小；</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④加强恶臭污染物的日常监测；</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加强污水处理运行管理，使各个构筑物均处于最佳运行状态，减少剩余污泥的产生；优化污泥浓缩，定时清洗脱水机，减少污泥停留时间，日产日清，采取污泥不落地设计，直接装入废物箱或装车外运；运输路线沿途不经过居民区；及时清理栅渣、沉沙；厂区平面布置把易产生恶臭的处理构筑布置在下风向或侧风向。</w:t>
      </w:r>
    </w:p>
    <w:p>
      <w:pPr>
        <w:numPr>
          <w:ilvl w:val="0"/>
          <w:numId w:val="10"/>
        </w:numPr>
        <w:ind w:left="0" w:leftChars="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恶臭气体收集</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污水处理厂工程恶臭气体治理方案的实际，为了避免气味源气味扩散，系统要求封闭，并处于负压状态。气体的收集采用对需要除臭的工段以抽风机形成负压，将气体抽出收集。本项目污水处理厂有以下构筑物需要进行臭气的收集和处理：格栅间、沉砂池和污泥脱水机房。吸气量的大小可根据室内是否</w:t>
      </w:r>
      <w:r>
        <w:rPr>
          <w:rFonts w:hint="eastAsia" w:cs="Times New Roman"/>
          <w:color w:val="auto"/>
          <w:sz w:val="24"/>
          <w:szCs w:val="24"/>
          <w:highlight w:val="none"/>
          <w:lang w:eastAsia="zh-CN"/>
        </w:rPr>
        <w:t>进入</w:t>
      </w:r>
      <w:r>
        <w:rPr>
          <w:rFonts w:hint="default" w:ascii="Times New Roman" w:hAnsi="Times New Roman" w:eastAsia="宋体" w:cs="Times New Roman"/>
          <w:color w:val="auto"/>
          <w:sz w:val="24"/>
          <w:szCs w:val="24"/>
          <w:highlight w:val="none"/>
        </w:rPr>
        <w:t>，按2~8次/h换气量计算；不</w:t>
      </w:r>
      <w:r>
        <w:rPr>
          <w:rFonts w:hint="eastAsia" w:cs="Times New Roman"/>
          <w:color w:val="auto"/>
          <w:sz w:val="24"/>
          <w:szCs w:val="24"/>
          <w:highlight w:val="none"/>
          <w:lang w:eastAsia="zh-CN"/>
        </w:rPr>
        <w:t>进入</w:t>
      </w:r>
      <w:r>
        <w:rPr>
          <w:rFonts w:hint="default" w:ascii="Times New Roman" w:hAnsi="Times New Roman" w:eastAsia="宋体" w:cs="Times New Roman"/>
          <w:color w:val="auto"/>
          <w:sz w:val="24"/>
          <w:szCs w:val="24"/>
          <w:highlight w:val="none"/>
        </w:rPr>
        <w:t>或一般不进人的地方，空气交换量应为2~3次/h；对于有人进入、但工作时间不长的空208间，空气的交换量为2~3.5次/h；有人长时间工作的空间，空气的交换量为4~8次/h。</w:t>
      </w:r>
    </w:p>
    <w:p>
      <w:pPr>
        <w:numPr>
          <w:ilvl w:val="0"/>
          <w:numId w:val="10"/>
        </w:numPr>
        <w:ind w:left="0" w:leftChars="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检测和控制操作人员</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进入加盖构筑物进行设备检修时，应配备硫化氢（H2S）的监测和报警装置；除臭系统宜设有风量、设备压降监测措施，宜设置臭气处理设备的检测和监测仪表；参与控制和管理的机电设备应设置工作与事故状态的检测装置。臭气处理装置宜采用集中监视、分散控制的自动控制系统；风机宜采用变频器调节气量；采用成套设备时，设备的控制宜与系统控制相结合。</w:t>
      </w:r>
    </w:p>
    <w:p>
      <w:pPr>
        <w:numPr>
          <w:ilvl w:val="0"/>
          <w:numId w:val="10"/>
        </w:numPr>
        <w:ind w:left="0" w:leftChars="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运行管理</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污水厂运行过程中操作人员对密闭臭气系统进行检修维护时，必须先进行自然通风或强制通风，测定安全后才能进入，并佩戴防毒面具；应对臭气处理系统的臭气流量、臭气浓度和主要恶臭物质浓度进行定期监测；定期检查洗涤系统动力设备的压力、振动、噪声、密封等情况，定期巡视、检查和记录动力设备系统运行状况，并定期进行维护；污水构筑物加盖和收集系统运行，应符合下列规定：应按时巡视、检查集气罩、集气管道和输气管道的密闭状况，雨、雪、大风天气，应加强对输气管线和集气罩的检查、巡视，集气罩的积雪应及时清除；应及时排除集气输送管道内的冷凝水；打开集气罩上的观察窗时，操作人员应站在上风向，并注意安全。</w:t>
      </w:r>
    </w:p>
    <w:p>
      <w:pPr>
        <w:numPr>
          <w:ilvl w:val="0"/>
          <w:numId w:val="10"/>
        </w:numPr>
        <w:ind w:left="0" w:leftChars="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无组织恶臭气体控制措施</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①按照国内外同类工程项目的做法，在污水处理厂周围种植树木，利用绿化带的吸收阻隔作用，以减轻恶臭对周围的环境污染；</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②产生的污泥及时清理外运，尽量减少临时堆放量和堆放时间；严禁污水处理厂在运输过程中擅自倾倒、堆放、丢弃、遗撒污泥。</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③定期对厂界恶臭污染物进行环境监测。</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④在污泥运输中必须设置专用封闭车，运输时段安排在非高峰期，使污泥运输过程中对环境的影响减少到最低限度。</w:t>
      </w:r>
    </w:p>
    <w:p>
      <w:pPr>
        <w:numPr>
          <w:ilvl w:val="0"/>
          <w:numId w:val="10"/>
        </w:numPr>
        <w:ind w:left="0" w:leftChars="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其它臭气控制措施</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①在污水处理工艺方面，优化污泥浓缩和减少污泥停留时间；</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②在处理设备选择方面，采用封闭的污泥转运、处理和处置设备，采用适当的控制技术减少人为操作的影响；</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③在运行管理方面，对污泥、浮渣的及时清理措施，有效减少污水厂的臭气散发量；</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④在污水厂平面布置中，充分考虑把易产生恶臭的处理构筑布置在下风向或侧风向，达到卫生防护距离</w:t>
      </w:r>
      <w:r>
        <w:rPr>
          <w:rFonts w:hint="eastAsia" w:cs="Times New Roman"/>
          <w:color w:val="auto"/>
          <w:sz w:val="24"/>
          <w:szCs w:val="24"/>
          <w:highlight w:val="none"/>
          <w:lang w:val="en-US" w:eastAsia="zh-CN"/>
        </w:rPr>
        <w:t>300m</w:t>
      </w:r>
      <w:r>
        <w:rPr>
          <w:rFonts w:hint="default" w:ascii="Times New Roman" w:hAnsi="Times New Roman" w:eastAsia="宋体" w:cs="Times New Roman"/>
          <w:color w:val="auto"/>
          <w:sz w:val="24"/>
          <w:szCs w:val="24"/>
          <w:highlight w:val="none"/>
        </w:rPr>
        <w:t>的要求，并在厂界四周加设5-20m绿化隔离带，用绿化带隔开；</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脱水后的污泥不得在污水处理厂堆存或者进行露天晾晒干化（污泥不落地），污泥脱水后，每天及时清运，脱水机要定时清洗，细格栅截留的栅渣要及时清运，减少其在厂区的滞留时间，使恶臭气体对周围的环境影响减至最低；</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⑥在主要臭气发生源周围种植抗害性强的乔灌木，即能美化环境，又能净化空气，减少恶臭；</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⑦</w:t>
      </w:r>
      <w:r>
        <w:rPr>
          <w:rFonts w:hint="eastAsia"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rPr>
        <w:t>粗细格栅置于设备间，设引风机抽气，同时安装风管，通过风管引至离子除臭装置。</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⑧污泥脱水机置于脱水机房内，脱水机上方设置抽风罩，抽风罩和抽风管连通，经风管送至除臭装置。</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⑨将格栅间及污泥脱水间产生的臭气引至除臭系统处理后经15m排气筒。为了最大限度的降低拟建项目产生的臭气对周围环境的影响，还应采取以下措施进行防臭：</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加强恶臭污染源管理。由于污泥处理的污泥贮存、污泥脱水和污泥堆存过程中容易产生恶臭。因而应加强对上述设施运行的操作管理，减少恶臭的产生，控制污泥浓缩时间，污泥脱水后要及时清运，减少污泥堆存。</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b合理布局。污水厂平面布置应将易产生恶臭的建筑物设置在侧风向，生产区和办公区分开，并设置防护林带，以减小恶臭对办公区的影响。</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⑩做好卫生防护距离内的用地规划。当地政府应严格执行用地规划，拟建项目无组织废气散发</w:t>
      </w:r>
      <w:r>
        <w:rPr>
          <w:rFonts w:hint="eastAsia" w:cs="Times New Roman"/>
          <w:color w:val="auto"/>
          <w:sz w:val="24"/>
          <w:szCs w:val="24"/>
          <w:highlight w:val="none"/>
          <w:lang w:eastAsia="zh-CN"/>
        </w:rPr>
        <w:t>单元</w:t>
      </w:r>
      <w:r>
        <w:rPr>
          <w:rFonts w:hint="default" w:ascii="Times New Roman" w:hAnsi="Times New Roman" w:eastAsia="宋体" w:cs="Times New Roman"/>
          <w:color w:val="auto"/>
          <w:sz w:val="24"/>
          <w:szCs w:val="24"/>
          <w:highlight w:val="none"/>
        </w:rPr>
        <w:t>周围</w:t>
      </w:r>
      <w:r>
        <w:rPr>
          <w:rFonts w:hint="eastAsia" w:cs="Times New Roman"/>
          <w:color w:val="auto"/>
          <w:sz w:val="24"/>
          <w:szCs w:val="24"/>
          <w:highlight w:val="none"/>
          <w:lang w:val="en-US" w:eastAsia="zh-CN"/>
        </w:rPr>
        <w:t>300m</w:t>
      </w:r>
      <w:r>
        <w:rPr>
          <w:rFonts w:hint="default" w:ascii="Times New Roman" w:hAnsi="Times New Roman" w:eastAsia="宋体" w:cs="Times New Roman"/>
          <w:color w:val="auto"/>
          <w:sz w:val="24"/>
          <w:szCs w:val="24"/>
          <w:highlight w:val="none"/>
        </w:rPr>
        <w:t>范围内禁止建设居民区、学校、医疗机构等敏感建筑物。</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⑪安全管理。在项目建成正常运行后，对职工要进行事故处置培训；对设定的各种监控仪器要定期维护，使其正常运行，起到对恶臭的监测和控制作用。</w:t>
      </w:r>
      <w:r>
        <w:rPr>
          <w:rFonts w:hint="eastAsia" w:cs="Times New Roman"/>
          <w:color w:val="auto"/>
          <w:sz w:val="24"/>
          <w:szCs w:val="24"/>
          <w:highlight w:val="none"/>
          <w:lang w:eastAsia="zh-CN"/>
        </w:rPr>
        <w:t>人员</w:t>
      </w:r>
      <w:r>
        <w:rPr>
          <w:rFonts w:hint="default" w:ascii="Times New Roman" w:hAnsi="Times New Roman" w:eastAsia="宋体" w:cs="Times New Roman"/>
          <w:color w:val="auto"/>
          <w:sz w:val="24"/>
          <w:szCs w:val="24"/>
          <w:highlight w:val="none"/>
        </w:rPr>
        <w:t>进入泵房时，要注意房内通风，以免过量沉积的硫化氢对人体造成伤害。</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⑫加强操作管理，尽量减少污泥在厂内的堆积量和存放时间，产生的栅渣、脱水污泥等脱水后要及时外运，尽可能做到日产日清；搞好环境卫生，做好消灭蚊蝇的工作，防止传染疾病。</w:t>
      </w:r>
    </w:p>
    <w:p>
      <w:pPr>
        <w:numPr>
          <w:ilvl w:val="0"/>
          <w:numId w:val="0"/>
        </w:numPr>
        <w:ind w:firstLine="480" w:firstLineChars="200"/>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rPr>
        <w:t>⑬定期进行恶臭气体的环境监测，发现异常及时采取喷洒除臭剂等补救措施。通过上述防治对策可有效去除污水处理厂恶臭对周围环境的影响，在经济和技术上是合理可行的。</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通过采用上述废气防治措施后，项目产生的废气能够得到有效消减，减轻对环境的影响。</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运营期废水污染防治措施</w:t>
      </w:r>
    </w:p>
    <w:p>
      <w:pPr>
        <w:ind w:firstLine="480"/>
        <w:rPr>
          <w:rFonts w:hint="default" w:ascii="Times New Roman" w:hAnsi="Times New Roman" w:cs="Times New Roman"/>
          <w:color w:val="auto"/>
          <w:highlight w:val="none"/>
        </w:rPr>
      </w:pPr>
      <w:r>
        <w:rPr>
          <w:rFonts w:hint="eastAsia" w:cs="Times New Roman"/>
          <w:color w:val="auto"/>
          <w:highlight w:val="none"/>
          <w:lang w:eastAsia="zh-CN"/>
        </w:rPr>
        <w:t>本项目</w:t>
      </w:r>
      <w:r>
        <w:rPr>
          <w:rFonts w:hint="default" w:ascii="Times New Roman" w:hAnsi="Times New Roman" w:cs="Times New Roman"/>
          <w:color w:val="auto"/>
          <w:highlight w:val="none"/>
        </w:rPr>
        <w:t>自身产生的生活污水与园区废水一并处理，废水量已计算入工程废水处理量中。</w:t>
      </w:r>
    </w:p>
    <w:p>
      <w:pPr>
        <w:ind w:firstLine="480"/>
        <w:rPr>
          <w:rFonts w:hint="default" w:ascii="Times New Roman" w:hAnsi="Times New Roman" w:cs="Times New Roman"/>
          <w:color w:val="auto"/>
          <w:highlight w:val="none"/>
        </w:rPr>
      </w:pPr>
      <w:r>
        <w:rPr>
          <w:rFonts w:hint="default" w:ascii="Times New Roman" w:hAnsi="Times New Roman" w:cs="Times New Roman"/>
          <w:bCs/>
          <w:color w:val="auto"/>
          <w:kern w:val="0"/>
          <w:highlight w:val="none"/>
        </w:rPr>
        <w:t>项目污水处理装置的反冲洗废水进入新建的反洗水池，均经沉淀后泵提升进入项目相应装置的污水处理前端。</w:t>
      </w:r>
    </w:p>
    <w:p>
      <w:pPr>
        <w:ind w:firstLine="480"/>
        <w:rPr>
          <w:rFonts w:hint="default" w:ascii="Times New Roman" w:hAnsi="Times New Roman" w:cs="Times New Roman"/>
          <w:color w:val="auto"/>
          <w:highlight w:val="none"/>
        </w:rPr>
      </w:pPr>
      <w:r>
        <w:rPr>
          <w:rFonts w:hint="eastAsia" w:cs="Times New Roman"/>
          <w:color w:val="auto"/>
          <w:highlight w:val="none"/>
          <w:lang w:eastAsia="zh-CN"/>
        </w:rPr>
        <w:t>本项目</w:t>
      </w:r>
      <w:r>
        <w:rPr>
          <w:rFonts w:hint="default" w:ascii="Times New Roman" w:hAnsi="Times New Roman" w:cs="Times New Roman"/>
          <w:color w:val="auto"/>
          <w:highlight w:val="none"/>
        </w:rPr>
        <w:t>对纳污范围内工业及生活污水采用“格栅+调节池”预处理工艺，去除效率高，对来水波动适应性强，易于控制管理；预处理后的废水进入“水解酸化池+AAO生物池”生化处理，处理废水中COD、BOD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、氨氮等。</w:t>
      </w:r>
    </w:p>
    <w:p>
      <w:pPr>
        <w:pStyle w:val="2"/>
        <w:bidi w:val="0"/>
        <w:rPr>
          <w:rFonts w:hint="default"/>
          <w:color w:val="auto"/>
          <w:highlight w:val="none"/>
        </w:rPr>
      </w:pPr>
      <w:r>
        <w:rPr>
          <w:rFonts w:hint="default"/>
          <w:color w:val="auto"/>
          <w:highlight w:val="none"/>
        </w:rPr>
        <w:t>出水水质达标可行性分析</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/CODcr比值</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污水中污染物BOD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/CODcr比值是判定污水可生化性的最简便易行和最常用的方法。一般认为BOD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/CODcr＞0.45可生化性较好，BOD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/CODcr＞0.30可生化，BOD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/CODcr＜0.3较难生化，BOD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/CODcr＜0.25不易生化。</w:t>
      </w:r>
      <w:r>
        <w:rPr>
          <w:rFonts w:hint="eastAsia" w:cs="Times New Roman"/>
          <w:color w:val="auto"/>
          <w:highlight w:val="none"/>
          <w:lang w:eastAsia="zh-CN"/>
        </w:rPr>
        <w:t>本项目</w:t>
      </w:r>
      <w:r>
        <w:rPr>
          <w:rFonts w:hint="default" w:ascii="Times New Roman" w:hAnsi="Times New Roman" w:cs="Times New Roman"/>
          <w:color w:val="auto"/>
          <w:highlight w:val="none"/>
        </w:rPr>
        <w:t>的进水水质CODcr=600mg/L，BOD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w:t>
      </w:r>
      <w:r>
        <w:rPr>
          <w:rFonts w:hint="eastAsia" w:cs="Times New Roman"/>
          <w:color w:val="auto"/>
          <w:highlight w:val="none"/>
          <w:lang w:eastAsia="zh-CN"/>
        </w:rPr>
        <w:t>300m</w:t>
      </w:r>
      <w:r>
        <w:rPr>
          <w:rFonts w:hint="default" w:ascii="Times New Roman" w:hAnsi="Times New Roman" w:cs="Times New Roman"/>
          <w:color w:val="auto"/>
          <w:highlight w:val="none"/>
        </w:rPr>
        <w:t>g/L，BOD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/CODcr=0.58，表明园区污水可以采用生物工艺处理。</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/TN比值</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/TN比值是鉴别采用生物脱氮碳源的主要指标，该比值越大，碳源越充足，反硝化进行越彻底，理论上BOD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/TN＞2.86时反硝化可以进行。实际运行资料表明BOD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/TN＞4.0时可使反硝化过程正常进行。</w:t>
      </w:r>
      <w:r>
        <w:rPr>
          <w:rFonts w:hint="eastAsia" w:cs="Times New Roman"/>
          <w:color w:val="auto"/>
          <w:highlight w:val="none"/>
          <w:lang w:eastAsia="zh-CN"/>
        </w:rPr>
        <w:t>本项目</w:t>
      </w:r>
      <w:r>
        <w:rPr>
          <w:rFonts w:hint="default" w:ascii="Times New Roman" w:hAnsi="Times New Roman" w:cs="Times New Roman"/>
          <w:color w:val="auto"/>
          <w:highlight w:val="none"/>
        </w:rPr>
        <w:t>的进水水质BOD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w:t>
      </w:r>
      <w:r>
        <w:rPr>
          <w:rFonts w:hint="eastAsia" w:cs="Times New Roman"/>
          <w:color w:val="auto"/>
          <w:highlight w:val="none"/>
          <w:lang w:eastAsia="zh-CN"/>
        </w:rPr>
        <w:t>300m</w:t>
      </w:r>
      <w:r>
        <w:rPr>
          <w:rFonts w:hint="default" w:ascii="Times New Roman" w:hAnsi="Times New Roman" w:cs="Times New Roman"/>
          <w:color w:val="auto"/>
          <w:highlight w:val="none"/>
        </w:rPr>
        <w:t>g/L，TN=70mg/L，BOD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/TN比值为5，可以满足生物脱氮的要求。</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/TP比值</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/TP比值是鉴别能否生物除磷的主要指标，一般认为该值需＞17，且比值越大，生物除磷效果越明显。</w:t>
      </w:r>
      <w:r>
        <w:rPr>
          <w:rFonts w:hint="eastAsia" w:cs="Times New Roman"/>
          <w:color w:val="auto"/>
          <w:highlight w:val="none"/>
          <w:lang w:eastAsia="zh-CN"/>
        </w:rPr>
        <w:t>本项目</w:t>
      </w:r>
      <w:r>
        <w:rPr>
          <w:rFonts w:hint="default" w:ascii="Times New Roman" w:hAnsi="Times New Roman" w:cs="Times New Roman"/>
          <w:color w:val="auto"/>
          <w:highlight w:val="none"/>
        </w:rPr>
        <w:t>的进水水质BOD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=3.50mg/L，TP=5mg/L，BOD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/TP比值为70，可以取得较好的除磷效果。</w:t>
      </w:r>
    </w:p>
    <w:p>
      <w:pPr>
        <w:ind w:firstLine="480"/>
        <w:rPr>
          <w:rFonts w:hint="default" w:ascii="Times New Roman" w:hAnsi="Times New Roman" w:cs="Times New Roman" w:eastAsiaTheme="minorEastAsia"/>
          <w:color w:val="auto"/>
          <w:highlight w:val="none"/>
        </w:rPr>
      </w:pPr>
      <w:r>
        <w:rPr>
          <w:rFonts w:hint="default" w:ascii="Times New Roman" w:hAnsi="Times New Roman" w:cs="Times New Roman"/>
          <w:color w:val="auto"/>
          <w:highlight w:val="none"/>
        </w:rPr>
        <w:t>④消毒工艺：目前较常用的消毒方式有液氯和二氧化氯消毒法、紫外线消毒三种方案，经过调研现状昌吉市内污水处理厂均采用二氧化氯消毒法，因此</w:t>
      </w:r>
      <w:r>
        <w:rPr>
          <w:rFonts w:hint="eastAsia" w:cs="Times New Roman"/>
          <w:color w:val="auto"/>
          <w:highlight w:val="none"/>
          <w:lang w:eastAsia="zh-CN"/>
        </w:rPr>
        <w:t>本项目</w:t>
      </w:r>
      <w:r>
        <w:rPr>
          <w:rFonts w:hint="default" w:ascii="Times New Roman" w:hAnsi="Times New Roman" w:cs="Times New Roman"/>
          <w:color w:val="auto"/>
          <w:highlight w:val="none"/>
        </w:rPr>
        <w:t>出水采用二氧化氯</w:t>
      </w:r>
      <w:r>
        <w:rPr>
          <w:rFonts w:hint="default" w:ascii="Times New Roman" w:hAnsi="Times New Roman" w:cs="Times New Roman"/>
          <w:bCs/>
          <w:color w:val="auto"/>
          <w:highlight w:val="none"/>
        </w:rPr>
        <w:t>符合实际条件且能满足出水要求</w:t>
      </w:r>
      <w:r>
        <w:rPr>
          <w:rFonts w:hint="default" w:ascii="Times New Roman" w:hAnsi="Times New Roman" w:cs="Times New Roman"/>
          <w:color w:val="auto"/>
          <w:highlight w:val="none"/>
        </w:rPr>
        <w:t>。</w:t>
      </w:r>
    </w:p>
    <w:p>
      <w:pPr>
        <w:autoSpaceDE w:val="0"/>
        <w:autoSpaceDN w:val="0"/>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⑤污泥处理工艺：剩余污泥→污泥浓缩→污泥稳定→污泥脱水→泥饼；污泥须经过浓缩、消化、脱水三个处理步骤，污泥脱水，含水率降至50~60%左右，最后达到稳定状态。</w:t>
      </w:r>
    </w:p>
    <w:p>
      <w:pPr>
        <w:autoSpaceDE w:val="0"/>
        <w:autoSpaceDN w:val="0"/>
        <w:adjustRightInd w:val="0"/>
        <w:ind w:firstLine="480"/>
        <w:rPr>
          <w:rFonts w:hint="default" w:ascii="Times New Roman" w:hAnsi="Times New Roman" w:cs="Times New Roman"/>
          <w:color w:val="auto"/>
          <w:highlight w:val="none"/>
        </w:rPr>
      </w:pPr>
      <w:r>
        <w:rPr>
          <w:rFonts w:hint="eastAsia" w:cs="Times New Roman"/>
          <w:color w:val="auto"/>
          <w:highlight w:val="none"/>
          <w:lang w:val="en-US" w:eastAsia="zh-CN"/>
        </w:rPr>
        <w:t>根据现有污水处理厂针对</w:t>
      </w:r>
      <w:r>
        <w:rPr>
          <w:rFonts w:hint="default" w:ascii="Times New Roman" w:hAnsi="Times New Roman" w:cs="Times New Roman"/>
          <w:color w:val="auto"/>
          <w:highlight w:val="none"/>
          <w:lang w:val="zh-CN"/>
        </w:rPr>
        <w:t>污泥危险废物鉴别实验，</w:t>
      </w:r>
      <w:r>
        <w:rPr>
          <w:rFonts w:hint="eastAsia" w:cs="Times New Roman"/>
          <w:color w:val="auto"/>
          <w:highlight w:val="none"/>
          <w:lang w:val="en-US" w:eastAsia="zh-CN"/>
        </w:rPr>
        <w:t>可知本项目污泥为一般固体废物（见附件污泥鉴别报告），</w:t>
      </w:r>
      <w:r>
        <w:rPr>
          <w:rFonts w:hint="eastAsia" w:cs="Times New Roman"/>
          <w:color w:val="auto"/>
          <w:highlight w:val="none"/>
          <w:lang w:val="zh-CN"/>
        </w:rPr>
        <w:t>污泥经脱水至含水率小于60%后，与栅渣、沉砂一起运至生活垃圾填埋场进行卫生填埋</w:t>
      </w:r>
      <w:r>
        <w:rPr>
          <w:rFonts w:hint="default" w:ascii="Times New Roman" w:hAnsi="Times New Roman" w:cs="Times New Roman"/>
          <w:color w:val="auto"/>
          <w:highlight w:val="none"/>
          <w:lang w:val="zh-CN"/>
        </w:rPr>
        <w:t>。</w:t>
      </w:r>
    </w:p>
    <w:p>
      <w:pPr>
        <w:ind w:firstLine="480"/>
        <w:rPr>
          <w:rFonts w:hint="default" w:ascii="Times New Roman" w:hAnsi="Times New Roman" w:cs="Times New Roman" w:eastAsiaTheme="minorEastAsia"/>
          <w:color w:val="auto"/>
          <w:highlight w:val="none"/>
        </w:rPr>
      </w:pPr>
      <w:r>
        <w:rPr>
          <w:rFonts w:hint="default" w:ascii="Times New Roman" w:hAnsi="Times New Roman" w:cs="Times New Roman"/>
          <w:color w:val="auto"/>
          <w:highlight w:val="none"/>
        </w:rPr>
        <w:t>⑥臭气处理工艺：目前对臭味的处理方法有直接焚烧法、催化剂氧化法、酸碱洗净法、臭氧氧化法、化学反应法、活性炭物理吸附法、生物脱臭法、土壤脱臭法、全过程除臭法等。根据国内常用的工艺比较，生物除臭运行费用较低，在国内污水厂具有较多的运行实例，所以</w:t>
      </w:r>
      <w:r>
        <w:rPr>
          <w:rFonts w:hint="eastAsia" w:cs="Times New Roman"/>
          <w:color w:val="auto"/>
          <w:highlight w:val="none"/>
          <w:lang w:eastAsia="zh-CN"/>
        </w:rPr>
        <w:t>本项目</w:t>
      </w:r>
      <w:r>
        <w:rPr>
          <w:rFonts w:hint="default" w:ascii="Times New Roman" w:hAnsi="Times New Roman" w:cs="Times New Roman"/>
          <w:color w:val="auto"/>
          <w:highlight w:val="none"/>
        </w:rPr>
        <w:t>除臭采用生物滤池除臭工艺满足实际需求。</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综上所示，本项目采用水解酸化+AAO处理工艺与进水水质要求相符，选取消毒工艺、污泥处理工艺、臭气处理工艺满足实际需求，技术工艺可行。</w:t>
      </w:r>
    </w:p>
    <w:p>
      <w:pPr>
        <w:pStyle w:val="2"/>
        <w:bidi w:val="0"/>
        <w:rPr>
          <w:rFonts w:hint="default"/>
          <w:color w:val="auto"/>
          <w:highlight w:val="none"/>
        </w:rPr>
      </w:pPr>
      <w:r>
        <w:rPr>
          <w:rFonts w:hint="default"/>
          <w:color w:val="auto"/>
          <w:highlight w:val="none"/>
        </w:rPr>
        <w:t>污水处理效率</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新疆昌吉国家农业高新技术产业示范区现代农业精深加工示范区污水处理厂改造扩容项目进出水水质及污染物的去除率如下表所示。</w:t>
      </w:r>
    </w:p>
    <w:p>
      <w:pPr>
        <w:spacing w:line="240" w:lineRule="auto"/>
        <w:ind w:firstLine="0" w:firstLineChars="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表</w:t>
      </w:r>
      <w:r>
        <w:rPr>
          <w:rFonts w:hint="default" w:ascii="Times New Roman" w:hAnsi="Times New Roman" w:eastAsia="黑体" w:cs="Times New Roman"/>
          <w:snapToGrid w:val="0"/>
          <w:color w:val="auto"/>
          <w:spacing w:val="-6"/>
          <w:kern w:val="0"/>
          <w:highlight w:val="none"/>
        </w:rPr>
        <w:t>6</w:t>
      </w:r>
      <w:r>
        <w:rPr>
          <w:rFonts w:hint="default" w:ascii="Times New Roman" w:hAnsi="Times New Roman" w:eastAsia="Times New Roman" w:cs="Times New Roman"/>
          <w:snapToGrid w:val="0"/>
          <w:color w:val="auto"/>
          <w:spacing w:val="-6"/>
          <w:kern w:val="0"/>
          <w:highlight w:val="none"/>
        </w:rPr>
        <w:t>.2</w:t>
      </w:r>
      <w:r>
        <w:rPr>
          <w:rFonts w:hint="default" w:ascii="Times New Roman" w:hAnsi="Times New Roman" w:eastAsia="Times New Roman" w:cs="Times New Roman"/>
          <w:snapToGrid w:val="0"/>
          <w:color w:val="auto"/>
          <w:spacing w:val="-3"/>
          <w:kern w:val="0"/>
          <w:highlight w:val="none"/>
        </w:rPr>
        <w:t>-</w:t>
      </w:r>
      <w:r>
        <w:rPr>
          <w:rFonts w:hint="default" w:ascii="Times New Roman" w:hAnsi="Times New Roman" w:cs="Times New Roman"/>
          <w:snapToGrid w:val="0"/>
          <w:color w:val="auto"/>
          <w:spacing w:val="-3"/>
          <w:kern w:val="0"/>
          <w:highlight w:val="none"/>
        </w:rPr>
        <w:t>2</w:t>
      </w:r>
      <w:r>
        <w:rPr>
          <w:rFonts w:hint="default" w:ascii="Times New Roman" w:hAnsi="Times New Roman" w:eastAsia="黑体" w:cs="Times New Roman"/>
          <w:color w:val="auto"/>
          <w:highlight w:val="none"/>
        </w:rPr>
        <w:t>污水处理厂主要污染物设计进、出水水质指标单位：mg/L</w:t>
      </w:r>
    </w:p>
    <w:tbl>
      <w:tblPr>
        <w:tblStyle w:val="33"/>
        <w:tblW w:w="4997"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535"/>
        <w:gridCol w:w="995"/>
        <w:gridCol w:w="1262"/>
        <w:gridCol w:w="1039"/>
        <w:gridCol w:w="1175"/>
        <w:gridCol w:w="1319"/>
        <w:gridCol w:w="119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0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项目</w:t>
            </w:r>
          </w:p>
        </w:tc>
        <w:tc>
          <w:tcPr>
            <w:tcW w:w="58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CODcr</w:t>
            </w:r>
          </w:p>
        </w:tc>
        <w:tc>
          <w:tcPr>
            <w:tcW w:w="74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BOD</w:t>
            </w:r>
            <w:r>
              <w:rPr>
                <w:rFonts w:hint="default" w:ascii="Times New Roman" w:hAnsi="Times New Roman" w:cs="Times New Roman"/>
                <w:color w:val="auto"/>
                <w:sz w:val="21"/>
                <w:szCs w:val="20"/>
                <w:highlight w:val="none"/>
                <w:vertAlign w:val="subscript"/>
              </w:rPr>
              <w:t>5</w:t>
            </w:r>
          </w:p>
        </w:tc>
        <w:tc>
          <w:tcPr>
            <w:tcW w:w="60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SS</w:t>
            </w:r>
          </w:p>
        </w:tc>
        <w:tc>
          <w:tcPr>
            <w:tcW w:w="68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TN</w:t>
            </w:r>
          </w:p>
        </w:tc>
        <w:tc>
          <w:tcPr>
            <w:tcW w:w="77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NH</w:t>
            </w:r>
            <w:r>
              <w:rPr>
                <w:rFonts w:hint="default" w:ascii="Times New Roman" w:hAnsi="Times New Roman" w:cs="Times New Roman"/>
                <w:color w:val="auto"/>
                <w:sz w:val="21"/>
                <w:szCs w:val="20"/>
                <w:highlight w:val="none"/>
                <w:vertAlign w:val="subscript"/>
              </w:rPr>
              <w:t>3</w:t>
            </w:r>
            <w:r>
              <w:rPr>
                <w:rFonts w:hint="default" w:ascii="Times New Roman" w:hAnsi="Times New Roman" w:cs="Times New Roman"/>
                <w:color w:val="auto"/>
                <w:sz w:val="21"/>
                <w:szCs w:val="20"/>
                <w:highlight w:val="none"/>
              </w:rPr>
              <w:t>-N</w:t>
            </w:r>
          </w:p>
        </w:tc>
        <w:tc>
          <w:tcPr>
            <w:tcW w:w="70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TP</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0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设计进水水质</w:t>
            </w:r>
          </w:p>
        </w:tc>
        <w:tc>
          <w:tcPr>
            <w:tcW w:w="58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600</w:t>
            </w:r>
          </w:p>
        </w:tc>
        <w:tc>
          <w:tcPr>
            <w:tcW w:w="74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350</w:t>
            </w:r>
          </w:p>
        </w:tc>
        <w:tc>
          <w:tcPr>
            <w:tcW w:w="60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350</w:t>
            </w:r>
          </w:p>
        </w:tc>
        <w:tc>
          <w:tcPr>
            <w:tcW w:w="68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35</w:t>
            </w:r>
          </w:p>
        </w:tc>
        <w:tc>
          <w:tcPr>
            <w:tcW w:w="77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70</w:t>
            </w:r>
          </w:p>
        </w:tc>
        <w:tc>
          <w:tcPr>
            <w:tcW w:w="70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0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去除率（%）</w:t>
            </w:r>
          </w:p>
        </w:tc>
        <w:tc>
          <w:tcPr>
            <w:tcW w:w="58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91.67%</w:t>
            </w:r>
          </w:p>
        </w:tc>
        <w:tc>
          <w:tcPr>
            <w:tcW w:w="74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97.14%</w:t>
            </w:r>
          </w:p>
        </w:tc>
        <w:tc>
          <w:tcPr>
            <w:tcW w:w="60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97.14%</w:t>
            </w:r>
          </w:p>
        </w:tc>
        <w:tc>
          <w:tcPr>
            <w:tcW w:w="68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85.71%</w:t>
            </w:r>
          </w:p>
        </w:tc>
        <w:tc>
          <w:tcPr>
            <w:tcW w:w="77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78.57%</w:t>
            </w:r>
          </w:p>
        </w:tc>
        <w:tc>
          <w:tcPr>
            <w:tcW w:w="70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90.00%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0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设计出水水质</w:t>
            </w:r>
          </w:p>
        </w:tc>
        <w:tc>
          <w:tcPr>
            <w:tcW w:w="58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≤50</w:t>
            </w:r>
          </w:p>
        </w:tc>
        <w:tc>
          <w:tcPr>
            <w:tcW w:w="740"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≤10</w:t>
            </w:r>
          </w:p>
        </w:tc>
        <w:tc>
          <w:tcPr>
            <w:tcW w:w="60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≤10</w:t>
            </w:r>
          </w:p>
        </w:tc>
        <w:tc>
          <w:tcPr>
            <w:tcW w:w="689"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≤15</w:t>
            </w:r>
          </w:p>
        </w:tc>
        <w:tc>
          <w:tcPr>
            <w:tcW w:w="773"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≤5（8）</w:t>
            </w:r>
          </w:p>
        </w:tc>
        <w:tc>
          <w:tcPr>
            <w:tcW w:w="702" w:type="pc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0"/>
                <w:highlight w:val="none"/>
              </w:rPr>
            </w:pPr>
            <w:r>
              <w:rPr>
                <w:rFonts w:hint="default" w:ascii="Times New Roman" w:hAnsi="Times New Roman" w:cs="Times New Roman"/>
                <w:color w:val="auto"/>
                <w:sz w:val="21"/>
                <w:szCs w:val="20"/>
                <w:highlight w:val="none"/>
              </w:rPr>
              <w:t>≤0.5</w:t>
            </w:r>
          </w:p>
        </w:tc>
      </w:tr>
    </w:tbl>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注：（1）括号外数值为水温＞12℃时的控制指标，括号内数值为水温≤12℃时的控制指标。</w:t>
      </w:r>
    </w:p>
    <w:p>
      <w:pPr>
        <w:pStyle w:val="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出水粪大肠杆菌群数≤10</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个/L。</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根据上表可知，本项目污水处理设施处理效率能满足出水水质要求，可使出水水质达到</w:t>
      </w:r>
      <w:r>
        <w:rPr>
          <w:rFonts w:hint="eastAsia" w:cs="Times New Roman"/>
          <w:color w:val="auto"/>
          <w:highlight w:val="none"/>
          <w:lang w:eastAsia="zh-CN"/>
        </w:rPr>
        <w:t>《城镇污水处理厂污染物排放标准》（GB18918-2002）及修改单的一级A标准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同时满足《</w:t>
      </w:r>
      <w:r>
        <w:rPr>
          <w:rFonts w:hint="eastAsia" w:cs="Times New Roman"/>
          <w:color w:val="auto"/>
          <w:highlight w:val="none"/>
          <w:lang w:eastAsia="zh-CN"/>
        </w:rPr>
        <w:t>城市污水再生利用城市杂用水水质》（GB/T18920-2020）</w:t>
      </w:r>
      <w:r>
        <w:rPr>
          <w:rFonts w:hint="default" w:ascii="Times New Roman" w:hAnsi="Times New Roman" w:cs="Times New Roman"/>
          <w:color w:val="auto"/>
          <w:highlight w:val="none"/>
        </w:rPr>
        <w:t>和《城市污水再生利用绿地灌溉水质》（GB/T25499-2010）要求。</w:t>
      </w:r>
    </w:p>
    <w:p>
      <w:pPr>
        <w:pStyle w:val="2"/>
        <w:bidi w:val="0"/>
        <w:rPr>
          <w:rFonts w:hint="default"/>
          <w:color w:val="auto"/>
          <w:highlight w:val="none"/>
          <w:lang w:val="en-US" w:eastAsia="zh-CN"/>
        </w:rPr>
      </w:pPr>
      <w:r>
        <w:rPr>
          <w:rFonts w:hint="default"/>
          <w:color w:val="auto"/>
          <w:highlight w:val="none"/>
          <w:lang w:val="en-US" w:eastAsia="zh-CN"/>
        </w:rPr>
        <w:t>尾水去向可行性分析</w:t>
      </w:r>
    </w:p>
    <w:p>
      <w:pPr>
        <w:bidi w:val="0"/>
        <w:rPr>
          <w:rFonts w:hint="default"/>
        </w:rPr>
      </w:pPr>
      <w:r>
        <w:rPr>
          <w:rFonts w:hint="default"/>
        </w:rPr>
        <w:t>①</w:t>
      </w:r>
      <w:r>
        <w:rPr>
          <w:rFonts w:hint="eastAsia"/>
          <w:lang w:val="en-US" w:eastAsia="zh-CN"/>
        </w:rPr>
        <w:t>绿化</w:t>
      </w:r>
      <w:r>
        <w:rPr>
          <w:rFonts w:hint="default"/>
        </w:rPr>
        <w:t>灌溉的可行性分析</w:t>
      </w:r>
    </w:p>
    <w:p>
      <w:pPr>
        <w:bidi w:val="0"/>
        <w:rPr>
          <w:rFonts w:hint="default"/>
        </w:rPr>
      </w:pPr>
      <w:r>
        <w:rPr>
          <w:rFonts w:hint="eastAsia"/>
          <w:lang w:val="en-US" w:eastAsia="zh-CN"/>
        </w:rPr>
        <w:t>尾水</w:t>
      </w:r>
      <w:r>
        <w:rPr>
          <w:rFonts w:hint="default"/>
        </w:rPr>
        <w:t>达到《城镇污水处理厂污染物排放标准》（GB18918-2002）一级A标准以及《城市污水再生利用绿地灌溉水质》（GB/T25499-2010）后</w:t>
      </w:r>
      <w:r>
        <w:rPr>
          <w:rFonts w:hint="eastAsia"/>
          <w:lang w:val="en-US" w:eastAsia="zh-CN"/>
        </w:rPr>
        <w:t>夏季用于园区绿化及示范区林地</w:t>
      </w:r>
      <w:r>
        <w:rPr>
          <w:rFonts w:hint="default"/>
        </w:rPr>
        <w:t>灌溉用水，冬季储存于</w:t>
      </w:r>
      <w:r>
        <w:rPr>
          <w:rFonts w:hint="default"/>
          <w:lang w:eastAsia="zh-CN"/>
        </w:rPr>
        <w:t>中水池</w:t>
      </w:r>
      <w:r>
        <w:rPr>
          <w:rFonts w:hint="default"/>
        </w:rPr>
        <w:t>中。</w:t>
      </w:r>
    </w:p>
    <w:p>
      <w:pPr>
        <w:bidi w:val="0"/>
        <w:rPr>
          <w:rFonts w:hint="default" w:eastAsia="宋体"/>
          <w:b w:val="0"/>
          <w:bCs/>
          <w:color w:val="auto"/>
          <w:highlight w:val="none"/>
          <w:lang w:val="en-US" w:eastAsia="zh-CN"/>
        </w:rPr>
      </w:pPr>
      <w:r>
        <w:rPr>
          <w:rFonts w:hint="default" w:ascii="Times New Roman" w:hAnsi="Times New Roman" w:eastAsia="宋体" w:cs="Times New Roman"/>
          <w:b w:val="0"/>
          <w:bCs/>
          <w:color w:val="auto"/>
          <w:kern w:val="2"/>
          <w:sz w:val="24"/>
          <w:szCs w:val="24"/>
          <w:highlight w:val="none"/>
          <w:lang w:val="en-US" w:eastAsia="zh-CN" w:bidi="ar-SA"/>
        </w:rPr>
        <w:t>本项目厂区绿化面积</w:t>
      </w:r>
      <w:r>
        <w:rPr>
          <w:rFonts w:hint="eastAsia" w:ascii="Times New Roman" w:hAnsi="Times New Roman" w:eastAsia="宋体" w:cs="Times New Roman"/>
          <w:b w:val="0"/>
          <w:bCs/>
          <w:color w:val="auto"/>
          <w:kern w:val="2"/>
          <w:sz w:val="24"/>
          <w:szCs w:val="24"/>
          <w:highlight w:val="none"/>
          <w:lang w:val="en-US" w:eastAsia="zh-CN" w:bidi="ar-SA"/>
        </w:rPr>
        <w:t>22260.8</w:t>
      </w:r>
      <w:r>
        <w:rPr>
          <w:rFonts w:hint="default" w:ascii="Times New Roman" w:hAnsi="Times New Roman" w:eastAsia="宋体" w:cs="Times New Roman"/>
          <w:b w:val="0"/>
          <w:bCs/>
          <w:color w:val="auto"/>
          <w:kern w:val="2"/>
          <w:sz w:val="24"/>
          <w:szCs w:val="24"/>
          <w:highlight w:val="none"/>
          <w:lang w:val="en-US" w:eastAsia="zh-CN" w:bidi="ar-SA"/>
        </w:rPr>
        <w:t>m</w:t>
      </w:r>
      <w:r>
        <w:rPr>
          <w:rFonts w:hint="default" w:ascii="Times New Roman" w:hAnsi="Times New Roman" w:eastAsia="宋体" w:cs="Times New Roman"/>
          <w:b w:val="0"/>
          <w:bCs/>
          <w:color w:val="auto"/>
          <w:kern w:val="2"/>
          <w:sz w:val="24"/>
          <w:szCs w:val="24"/>
          <w:highlight w:val="none"/>
          <w:vertAlign w:val="superscript"/>
          <w:lang w:val="en-US" w:eastAsia="zh-CN" w:bidi="ar-SA"/>
        </w:rPr>
        <w:t>2</w:t>
      </w:r>
      <w:r>
        <w:rPr>
          <w:rFonts w:hint="default" w:ascii="Times New Roman" w:hAnsi="Times New Roman" w:eastAsia="宋体" w:cs="Times New Roman"/>
          <w:b w:val="0"/>
          <w:bCs/>
          <w:color w:val="auto"/>
          <w:kern w:val="2"/>
          <w:sz w:val="24"/>
          <w:szCs w:val="24"/>
          <w:highlight w:val="none"/>
          <w:lang w:val="en-US" w:eastAsia="zh-CN" w:bidi="ar-SA"/>
        </w:rPr>
        <w:t>，</w:t>
      </w:r>
      <w:r>
        <w:rPr>
          <w:rFonts w:hint="eastAsia" w:ascii="Times New Roman" w:hAnsi="Times New Roman" w:eastAsia="宋体" w:cs="Times New Roman"/>
          <w:b w:val="0"/>
          <w:bCs/>
          <w:color w:val="auto"/>
          <w:kern w:val="2"/>
          <w:sz w:val="24"/>
          <w:szCs w:val="24"/>
          <w:highlight w:val="none"/>
          <w:lang w:val="en-US" w:eastAsia="zh-CN" w:bidi="ar-SA"/>
        </w:rPr>
        <w:t>示范区林地灌溉及园区绿化带</w:t>
      </w:r>
      <w:r>
        <w:rPr>
          <w:rFonts w:hint="default" w:ascii="Times New Roman" w:hAnsi="Times New Roman" w:eastAsia="宋体" w:cs="Times New Roman"/>
          <w:b w:val="0"/>
          <w:bCs/>
          <w:color w:val="auto"/>
          <w:kern w:val="2"/>
          <w:sz w:val="24"/>
          <w:szCs w:val="24"/>
          <w:highlight w:val="none"/>
          <w:lang w:val="en-US" w:eastAsia="zh-CN" w:bidi="ar-SA"/>
        </w:rPr>
        <w:t>面积约为</w:t>
      </w:r>
      <w:r>
        <w:rPr>
          <w:rFonts w:hint="eastAsia" w:ascii="Times New Roman" w:hAnsi="Times New Roman" w:eastAsia="宋体" w:cs="Times New Roman"/>
          <w:b w:val="0"/>
          <w:bCs/>
          <w:color w:val="auto"/>
          <w:kern w:val="2"/>
          <w:sz w:val="24"/>
          <w:szCs w:val="24"/>
          <w:highlight w:val="none"/>
          <w:lang w:val="en-US" w:eastAsia="zh-CN" w:bidi="ar-SA"/>
        </w:rPr>
        <w:t>743177.87</w:t>
      </w:r>
      <w:r>
        <w:rPr>
          <w:rFonts w:hint="default" w:ascii="Times New Roman" w:hAnsi="Times New Roman" w:eastAsia="宋体" w:cs="Times New Roman"/>
          <w:b w:val="0"/>
          <w:bCs/>
          <w:color w:val="auto"/>
          <w:kern w:val="2"/>
          <w:sz w:val="24"/>
          <w:szCs w:val="24"/>
          <w:highlight w:val="none"/>
          <w:lang w:val="en-US" w:eastAsia="zh-CN" w:bidi="ar-SA"/>
        </w:rPr>
        <w:t>m</w:t>
      </w:r>
      <w:r>
        <w:rPr>
          <w:rFonts w:hint="default" w:ascii="Times New Roman" w:hAnsi="Times New Roman" w:eastAsia="宋体" w:cs="Times New Roman"/>
          <w:b w:val="0"/>
          <w:bCs/>
          <w:color w:val="auto"/>
          <w:kern w:val="2"/>
          <w:sz w:val="24"/>
          <w:szCs w:val="24"/>
          <w:highlight w:val="none"/>
          <w:vertAlign w:val="superscript"/>
          <w:lang w:val="en-US" w:eastAsia="zh-CN" w:bidi="ar-SA"/>
        </w:rPr>
        <w:t>2</w:t>
      </w:r>
      <w:r>
        <w:rPr>
          <w:rFonts w:hint="eastAsia" w:ascii="Times New Roman" w:hAnsi="Times New Roman" w:eastAsia="宋体" w:cs="Times New Roman"/>
          <w:b w:val="0"/>
          <w:bCs/>
          <w:color w:val="auto"/>
          <w:kern w:val="2"/>
          <w:sz w:val="24"/>
          <w:szCs w:val="24"/>
          <w:highlight w:val="none"/>
          <w:vertAlign w:val="baseline"/>
          <w:lang w:val="en-US" w:eastAsia="zh-CN" w:bidi="ar-SA"/>
        </w:rPr>
        <w:t>，分别位于污水处理厂的北侧1.5km，西侧3.5km以内，南侧园区绿化带1.4km</w:t>
      </w:r>
      <w:r>
        <w:rPr>
          <w:rFonts w:hint="eastAsia" w:cs="Times New Roman"/>
          <w:b w:val="0"/>
          <w:bCs/>
          <w:color w:val="auto"/>
          <w:kern w:val="2"/>
          <w:sz w:val="24"/>
          <w:szCs w:val="24"/>
          <w:highlight w:val="none"/>
          <w:lang w:val="en-US" w:eastAsia="zh-CN" w:bidi="ar-SA"/>
        </w:rPr>
        <w:t>。</w:t>
      </w:r>
      <w:r>
        <w:rPr>
          <w:rFonts w:hint="default"/>
          <w:b w:val="0"/>
          <w:bCs/>
          <w:color w:val="auto"/>
          <w:highlight w:val="none"/>
        </w:rPr>
        <w:t>根据新疆维吾尔自治区地方标准《农业灌溉用水定额》（DB65/3611-2014），</w:t>
      </w:r>
      <w:r>
        <w:rPr>
          <w:rFonts w:hint="eastAsia"/>
          <w:b w:val="0"/>
          <w:bCs/>
          <w:color w:val="auto"/>
          <w:highlight w:val="none"/>
          <w:lang w:val="en-US" w:eastAsia="zh-CN"/>
        </w:rPr>
        <w:t>林地灌溉用水量420m</w:t>
      </w:r>
      <w:r>
        <w:rPr>
          <w:rFonts w:hint="eastAsia"/>
          <w:b w:val="0"/>
          <w:bCs/>
          <w:color w:val="auto"/>
          <w:highlight w:val="none"/>
          <w:vertAlign w:val="superscript"/>
          <w:lang w:val="en-US" w:eastAsia="zh-CN"/>
        </w:rPr>
        <w:t>3</w:t>
      </w:r>
      <w:r>
        <w:rPr>
          <w:rFonts w:hint="eastAsia"/>
          <w:b w:val="0"/>
          <w:bCs/>
          <w:color w:val="auto"/>
          <w:highlight w:val="none"/>
          <w:lang w:val="en-US" w:eastAsia="zh-CN"/>
        </w:rPr>
        <w:t>/亩，</w:t>
      </w:r>
      <w:r>
        <w:rPr>
          <w:rFonts w:hint="default"/>
          <w:b w:val="0"/>
          <w:bCs/>
          <w:color w:val="auto"/>
          <w:highlight w:val="none"/>
        </w:rPr>
        <w:t>灌溉季绿化和生态林绿化总用水量为</w:t>
      </w:r>
      <w:r>
        <w:rPr>
          <w:rFonts w:hint="eastAsia"/>
          <w:b w:val="0"/>
          <w:bCs/>
          <w:color w:val="auto"/>
          <w:highlight w:val="none"/>
          <w:lang w:val="en-US" w:eastAsia="zh-CN"/>
        </w:rPr>
        <w:t>482202.252</w:t>
      </w:r>
      <w:r>
        <w:rPr>
          <w:rFonts w:hint="default"/>
          <w:b w:val="0"/>
          <w:bCs/>
          <w:color w:val="auto"/>
          <w:highlight w:val="none"/>
        </w:rPr>
        <w:t>m</w:t>
      </w:r>
      <w:r>
        <w:rPr>
          <w:rFonts w:hint="default"/>
          <w:b w:val="0"/>
          <w:bCs/>
          <w:color w:val="auto"/>
          <w:highlight w:val="none"/>
          <w:vertAlign w:val="superscript"/>
        </w:rPr>
        <w:t>3</w:t>
      </w:r>
      <w:r>
        <w:rPr>
          <w:rFonts w:hint="default"/>
          <w:b w:val="0"/>
          <w:bCs/>
          <w:color w:val="auto"/>
          <w:highlight w:val="none"/>
        </w:rPr>
        <w:t>/d。灌溉季按210天计，则年需水量总计</w:t>
      </w:r>
      <w:r>
        <w:rPr>
          <w:rFonts w:hint="eastAsia"/>
          <w:b w:val="0"/>
          <w:bCs/>
          <w:color w:val="auto"/>
          <w:highlight w:val="none"/>
          <w:lang w:val="en-US" w:eastAsia="zh-CN"/>
        </w:rPr>
        <w:t>101262472.9</w:t>
      </w:r>
      <w:r>
        <w:rPr>
          <w:rFonts w:hint="default"/>
          <w:b w:val="0"/>
          <w:bCs/>
          <w:color w:val="auto"/>
          <w:highlight w:val="none"/>
        </w:rPr>
        <w:t>m</w:t>
      </w:r>
      <w:r>
        <w:rPr>
          <w:rFonts w:hint="default"/>
          <w:b w:val="0"/>
          <w:bCs/>
          <w:color w:val="auto"/>
          <w:highlight w:val="none"/>
          <w:vertAlign w:val="superscript"/>
        </w:rPr>
        <w:t>3</w:t>
      </w:r>
      <w:r>
        <w:rPr>
          <w:rFonts w:hint="default"/>
          <w:b w:val="0"/>
          <w:bCs/>
          <w:color w:val="auto"/>
          <w:highlight w:val="none"/>
        </w:rPr>
        <w:t>。污水厂尾水量为</w:t>
      </w:r>
      <w:r>
        <w:rPr>
          <w:rFonts w:hint="eastAsia"/>
          <w:b w:val="0"/>
          <w:bCs/>
          <w:color w:val="auto"/>
          <w:highlight w:val="none"/>
          <w:lang w:val="en-US" w:eastAsia="zh-CN"/>
        </w:rPr>
        <w:t>3</w:t>
      </w:r>
      <w:r>
        <w:rPr>
          <w:rFonts w:hint="default"/>
          <w:b w:val="0"/>
          <w:bCs/>
          <w:color w:val="auto"/>
          <w:highlight w:val="none"/>
        </w:rPr>
        <w:t>0000m</w:t>
      </w:r>
      <w:r>
        <w:rPr>
          <w:rFonts w:hint="default"/>
          <w:b w:val="0"/>
          <w:bCs/>
          <w:color w:val="auto"/>
          <w:highlight w:val="none"/>
          <w:vertAlign w:val="superscript"/>
        </w:rPr>
        <w:t>3</w:t>
      </w:r>
      <w:r>
        <w:rPr>
          <w:rFonts w:hint="default"/>
          <w:b w:val="0"/>
          <w:bCs/>
          <w:color w:val="auto"/>
          <w:highlight w:val="none"/>
        </w:rPr>
        <w:t>/d，</w:t>
      </w:r>
      <w:r>
        <w:rPr>
          <w:rFonts w:hint="eastAsia"/>
          <w:b w:val="0"/>
          <w:bCs/>
          <w:color w:val="auto"/>
          <w:highlight w:val="none"/>
          <w:lang w:val="en-US" w:eastAsia="zh-CN"/>
        </w:rPr>
        <w:t>夏季</w:t>
      </w:r>
      <w:r>
        <w:rPr>
          <w:rFonts w:hint="default"/>
          <w:b w:val="0"/>
          <w:bCs/>
          <w:color w:val="auto"/>
          <w:highlight w:val="none"/>
        </w:rPr>
        <w:t>灌溉季可提供水量为</w:t>
      </w:r>
      <w:r>
        <w:rPr>
          <w:rFonts w:hint="eastAsia"/>
          <w:b w:val="0"/>
          <w:bCs/>
          <w:color w:val="auto"/>
          <w:highlight w:val="none"/>
          <w:lang w:val="en-US" w:eastAsia="zh-CN"/>
        </w:rPr>
        <w:t>6300000</w:t>
      </w:r>
      <w:r>
        <w:rPr>
          <w:rFonts w:hint="default"/>
          <w:b w:val="0"/>
          <w:bCs/>
          <w:color w:val="auto"/>
          <w:highlight w:val="none"/>
        </w:rPr>
        <w:t>m</w:t>
      </w:r>
      <w:r>
        <w:rPr>
          <w:rFonts w:hint="default"/>
          <w:b w:val="0"/>
          <w:bCs/>
          <w:color w:val="auto"/>
          <w:highlight w:val="none"/>
          <w:vertAlign w:val="superscript"/>
        </w:rPr>
        <w:t>3</w:t>
      </w:r>
      <w:r>
        <w:rPr>
          <w:rFonts w:hint="default"/>
          <w:b w:val="0"/>
          <w:bCs/>
          <w:color w:val="auto"/>
          <w:highlight w:val="none"/>
        </w:rPr>
        <w:t>，则</w:t>
      </w:r>
      <w:r>
        <w:rPr>
          <w:rFonts w:hint="eastAsia"/>
          <w:b w:val="0"/>
          <w:bCs/>
          <w:color w:val="auto"/>
          <w:highlight w:val="none"/>
          <w:lang w:val="en-US" w:eastAsia="zh-CN"/>
        </w:rPr>
        <w:t>园区</w:t>
      </w:r>
      <w:r>
        <w:rPr>
          <w:rFonts w:hint="default"/>
          <w:b w:val="0"/>
          <w:bCs/>
          <w:color w:val="auto"/>
          <w:highlight w:val="none"/>
        </w:rPr>
        <w:t>绿化及林地可以消纳污水处理</w:t>
      </w:r>
      <w:r>
        <w:rPr>
          <w:rFonts w:hint="eastAsia"/>
          <w:b w:val="0"/>
          <w:bCs/>
          <w:color w:val="auto"/>
          <w:highlight w:val="none"/>
          <w:lang w:val="en-US" w:eastAsia="zh-CN"/>
        </w:rPr>
        <w:t>厂</w:t>
      </w:r>
      <w:r>
        <w:rPr>
          <w:rFonts w:hint="default"/>
          <w:b w:val="0"/>
          <w:bCs/>
          <w:color w:val="auto"/>
          <w:highlight w:val="none"/>
        </w:rPr>
        <w:t>的尾水</w:t>
      </w:r>
      <w:r>
        <w:rPr>
          <w:rFonts w:hint="eastAsia"/>
          <w:b w:val="0"/>
          <w:bCs/>
          <w:color w:val="auto"/>
          <w:highlight w:val="none"/>
          <w:lang w:eastAsia="zh-CN"/>
        </w:rPr>
        <w:t>。</w:t>
      </w:r>
      <w:r>
        <w:rPr>
          <w:rFonts w:hint="eastAsia"/>
          <w:b w:val="0"/>
          <w:bCs/>
          <w:color w:val="auto"/>
          <w:highlight w:val="none"/>
          <w:lang w:val="en-US" w:eastAsia="zh-CN"/>
        </w:rPr>
        <w:t>通过对项目区再生林的土壤监测，均未超过</w:t>
      </w:r>
      <w:r>
        <w:rPr>
          <w:rFonts w:hint="default" w:ascii="Times New Roman" w:hAnsi="Times New Roman" w:cs="Times New Roman"/>
          <w:b w:val="0"/>
          <w:bCs/>
          <w:color w:val="auto"/>
          <w:highlight w:val="none"/>
        </w:rPr>
        <w:t>《</w:t>
      </w:r>
      <w:r>
        <w:rPr>
          <w:rFonts w:hint="default" w:ascii="Times New Roman" w:hAnsi="Times New Roman" w:cs="Times New Roman"/>
          <w:b w:val="0"/>
          <w:bCs/>
          <w:color w:val="auto"/>
          <w:highlight w:val="none"/>
          <w:lang w:eastAsia="zh-CN"/>
        </w:rPr>
        <w:t>土壤环境质量建设用地土壤污染风险管控标准（试行）</w:t>
      </w:r>
      <w:r>
        <w:rPr>
          <w:rFonts w:hint="default" w:ascii="Times New Roman" w:hAnsi="Times New Roman" w:cs="Times New Roman"/>
          <w:b w:val="0"/>
          <w:bCs/>
          <w:color w:val="auto"/>
          <w:highlight w:val="none"/>
        </w:rPr>
        <w:t>》（GB36600-2018）中的风险筛选值（第二类用地</w:t>
      </w:r>
      <w:r>
        <w:rPr>
          <w:rFonts w:hint="eastAsia" w:ascii="Times New Roman" w:hAnsi="Times New Roman" w:cs="Times New Roman"/>
          <w:b w:val="0"/>
          <w:bCs/>
          <w:color w:val="auto"/>
          <w:highlight w:val="none"/>
          <w:lang w:eastAsia="zh-CN"/>
        </w:rPr>
        <w:t>）</w:t>
      </w:r>
      <w:r>
        <w:rPr>
          <w:rFonts w:hint="eastAsia" w:ascii="Times New Roman" w:hAnsi="Times New Roman" w:cs="Times New Roman"/>
          <w:b w:val="0"/>
          <w:bCs/>
          <w:color w:val="auto"/>
          <w:highlight w:val="none"/>
          <w:lang w:val="en-US" w:eastAsia="zh-CN"/>
        </w:rPr>
        <w:t>要求，</w:t>
      </w:r>
      <w:r>
        <w:rPr>
          <w:rFonts w:hint="eastAsia"/>
          <w:b w:val="0"/>
          <w:bCs/>
          <w:color w:val="auto"/>
          <w:highlight w:val="none"/>
          <w:lang w:val="en-US" w:eastAsia="zh-CN"/>
        </w:rPr>
        <w:t>污水处理达标后绿化灌溉可行。</w:t>
      </w:r>
    </w:p>
    <w:p>
      <w:pPr>
        <w:bidi w:val="0"/>
        <w:rPr>
          <w:rFonts w:hint="default"/>
        </w:rPr>
      </w:pPr>
      <w:r>
        <w:rPr>
          <w:rFonts w:hint="default"/>
        </w:rPr>
        <w:t>②冬季储存设施的可行性分析</w:t>
      </w:r>
    </w:p>
    <w:p>
      <w:pPr>
        <w:ind w:firstLine="480" w:firstLineChars="200"/>
        <w:rPr>
          <w:rFonts w:hint="eastAsia"/>
          <w:color w:val="auto"/>
          <w:sz w:val="28"/>
          <w:szCs w:val="36"/>
          <w:highlight w:val="none"/>
        </w:rPr>
      </w:pPr>
      <w:r>
        <w:rPr>
          <w:rFonts w:hint="default"/>
          <w:b w:val="0"/>
          <w:bCs/>
          <w:color w:val="auto"/>
          <w:highlight w:val="none"/>
        </w:rPr>
        <w:t>园区规划建设</w:t>
      </w:r>
      <w:r>
        <w:rPr>
          <w:rFonts w:hint="eastAsia"/>
          <w:b w:val="0"/>
          <w:bCs/>
          <w:color w:val="auto"/>
          <w:highlight w:val="none"/>
          <w:lang w:val="en-US" w:eastAsia="zh-CN"/>
        </w:rPr>
        <w:t>现状</w:t>
      </w:r>
      <w:r>
        <w:rPr>
          <w:rFonts w:hint="default"/>
          <w:b w:val="0"/>
          <w:bCs/>
          <w:color w:val="auto"/>
          <w:highlight w:val="none"/>
        </w:rPr>
        <w:t>冬季尾水</w:t>
      </w:r>
      <w:r>
        <w:rPr>
          <w:rFonts w:hint="eastAsia"/>
          <w:b w:val="0"/>
          <w:bCs/>
          <w:color w:val="auto"/>
          <w:highlight w:val="none"/>
          <w:lang w:eastAsia="zh-CN"/>
        </w:rPr>
        <w:t>中水池</w:t>
      </w:r>
      <w:r>
        <w:rPr>
          <w:rFonts w:hint="default"/>
          <w:b w:val="0"/>
          <w:bCs/>
          <w:color w:val="auto"/>
          <w:highlight w:val="none"/>
        </w:rPr>
        <w:t>，</w:t>
      </w:r>
      <w:r>
        <w:rPr>
          <w:rFonts w:hint="eastAsia"/>
          <w:b w:val="0"/>
          <w:bCs/>
          <w:color w:val="auto"/>
          <w:highlight w:val="none"/>
          <w:lang w:eastAsia="zh-CN"/>
        </w:rPr>
        <w:t>中水池</w:t>
      </w:r>
      <w:r>
        <w:rPr>
          <w:rFonts w:hint="default"/>
          <w:b w:val="0"/>
          <w:bCs/>
          <w:color w:val="auto"/>
          <w:highlight w:val="none"/>
        </w:rPr>
        <w:t>容量为1</w:t>
      </w:r>
      <w:r>
        <w:rPr>
          <w:rFonts w:hint="eastAsia"/>
          <w:b w:val="0"/>
          <w:bCs/>
          <w:color w:val="auto"/>
          <w:highlight w:val="none"/>
          <w:lang w:val="en-US" w:eastAsia="zh-CN"/>
        </w:rPr>
        <w:t>8</w:t>
      </w:r>
      <w:r>
        <w:rPr>
          <w:rFonts w:hint="default"/>
          <w:b w:val="0"/>
          <w:bCs/>
          <w:color w:val="auto"/>
          <w:highlight w:val="none"/>
        </w:rPr>
        <w:t>万m</w:t>
      </w:r>
      <w:r>
        <w:rPr>
          <w:rFonts w:hint="default"/>
          <w:b w:val="0"/>
          <w:bCs/>
          <w:color w:val="auto"/>
          <w:highlight w:val="none"/>
          <w:vertAlign w:val="superscript"/>
        </w:rPr>
        <w:t>3</w:t>
      </w:r>
      <w:r>
        <w:rPr>
          <w:rFonts w:hint="default"/>
          <w:b w:val="0"/>
          <w:bCs/>
          <w:color w:val="auto"/>
          <w:highlight w:val="none"/>
        </w:rPr>
        <w:t>，</w:t>
      </w:r>
      <w:r>
        <w:rPr>
          <w:rFonts w:hint="eastAsia"/>
          <w:b w:val="0"/>
          <w:bCs/>
          <w:color w:val="auto"/>
          <w:highlight w:val="none"/>
          <w:lang w:val="en-US" w:eastAsia="zh-CN"/>
        </w:rPr>
        <w:t>2024年4月26日</w:t>
      </w:r>
      <w:r>
        <w:rPr>
          <w:rFonts w:hint="default"/>
          <w:b w:val="0"/>
          <w:bCs/>
          <w:color w:val="auto"/>
          <w:highlight w:val="none"/>
        </w:rPr>
        <w:t>昌吉回族自治州生态环境局</w:t>
      </w:r>
      <w:r>
        <w:rPr>
          <w:rFonts w:hint="eastAsia"/>
          <w:b w:val="0"/>
          <w:bCs/>
          <w:color w:val="auto"/>
          <w:highlight w:val="none"/>
          <w:lang w:val="en-US" w:eastAsia="zh-CN"/>
        </w:rPr>
        <w:t>批复《</w:t>
      </w:r>
      <w:r>
        <w:rPr>
          <w:rFonts w:hint="default"/>
          <w:b w:val="0"/>
          <w:bCs/>
          <w:color w:val="auto"/>
          <w:highlight w:val="none"/>
        </w:rPr>
        <w:t>关于昌吉农高区现代农业精深加工示范区中水池建设项目环境影响报告表的批复</w:t>
      </w:r>
      <w:r>
        <w:rPr>
          <w:rFonts w:hint="eastAsia"/>
          <w:b w:val="0"/>
          <w:bCs/>
          <w:color w:val="auto"/>
          <w:highlight w:val="none"/>
          <w:lang w:val="en-US" w:eastAsia="zh-CN"/>
        </w:rPr>
        <w:t>》（</w:t>
      </w:r>
      <w:r>
        <w:rPr>
          <w:rFonts w:hint="default"/>
          <w:b w:val="0"/>
          <w:bCs/>
          <w:color w:val="auto"/>
          <w:highlight w:val="none"/>
        </w:rPr>
        <w:t>昌州环评〔2024〕90号</w:t>
      </w:r>
      <w:r>
        <w:rPr>
          <w:rFonts w:hint="eastAsia"/>
          <w:b w:val="0"/>
          <w:bCs/>
          <w:color w:val="auto"/>
          <w:highlight w:val="none"/>
          <w:lang w:val="en-US" w:eastAsia="zh-CN"/>
        </w:rPr>
        <w:t>），</w:t>
      </w:r>
      <w:r>
        <w:rPr>
          <w:rFonts w:hint="default"/>
          <w:b w:val="0"/>
          <w:bCs/>
          <w:color w:val="auto"/>
          <w:highlight w:val="none"/>
        </w:rPr>
        <w:t>新建容积20万m³的中水池一座，中水管线37.729km。</w:t>
      </w:r>
      <w:r>
        <w:rPr>
          <w:rFonts w:hint="eastAsia"/>
          <w:b w:val="0"/>
          <w:bCs/>
          <w:color w:val="auto"/>
          <w:highlight w:val="none"/>
          <w:lang w:val="en-US" w:eastAsia="zh-CN"/>
        </w:rPr>
        <w:t>总库容为38万，冬季</w:t>
      </w:r>
      <w:r>
        <w:rPr>
          <w:rFonts w:hint="default"/>
          <w:b w:val="0"/>
          <w:bCs/>
          <w:color w:val="auto"/>
          <w:highlight w:val="none"/>
        </w:rPr>
        <w:t>污水厂尾水量为</w:t>
      </w:r>
      <w:r>
        <w:rPr>
          <w:rFonts w:hint="eastAsia"/>
          <w:b w:val="0"/>
          <w:bCs/>
          <w:color w:val="auto"/>
          <w:highlight w:val="none"/>
          <w:lang w:val="en-US" w:eastAsia="zh-CN"/>
        </w:rPr>
        <w:t>2447</w:t>
      </w:r>
      <w:r>
        <w:rPr>
          <w:rFonts w:hint="default"/>
          <w:b w:val="0"/>
          <w:bCs/>
          <w:color w:val="auto"/>
          <w:highlight w:val="none"/>
        </w:rPr>
        <w:t>m</w:t>
      </w:r>
      <w:r>
        <w:rPr>
          <w:rFonts w:hint="default"/>
          <w:b w:val="0"/>
          <w:bCs/>
          <w:color w:val="auto"/>
          <w:highlight w:val="none"/>
          <w:vertAlign w:val="superscript"/>
        </w:rPr>
        <w:t>3</w:t>
      </w:r>
      <w:r>
        <w:rPr>
          <w:rFonts w:hint="default"/>
          <w:b w:val="0"/>
          <w:bCs/>
          <w:color w:val="auto"/>
          <w:highlight w:val="none"/>
        </w:rPr>
        <w:t>/d，</w:t>
      </w:r>
      <w:r>
        <w:rPr>
          <w:rFonts w:hint="eastAsia"/>
          <w:b w:val="0"/>
          <w:bCs/>
          <w:color w:val="auto"/>
          <w:highlight w:val="none"/>
          <w:lang w:val="en-US" w:eastAsia="zh-CN"/>
        </w:rPr>
        <w:t>冬季</w:t>
      </w:r>
      <w:r>
        <w:rPr>
          <w:rFonts w:hint="default"/>
          <w:b w:val="0"/>
          <w:bCs/>
          <w:color w:val="auto"/>
          <w:highlight w:val="none"/>
        </w:rPr>
        <w:t>储存季按</w:t>
      </w:r>
      <w:r>
        <w:rPr>
          <w:rFonts w:hint="eastAsia"/>
          <w:b w:val="0"/>
          <w:bCs/>
          <w:color w:val="auto"/>
          <w:highlight w:val="none"/>
          <w:lang w:val="en-US" w:eastAsia="zh-CN"/>
        </w:rPr>
        <w:t>155</w:t>
      </w:r>
      <w:r>
        <w:rPr>
          <w:rFonts w:hint="default"/>
          <w:b w:val="0"/>
          <w:bCs/>
          <w:color w:val="auto"/>
          <w:highlight w:val="none"/>
        </w:rPr>
        <w:t>天计</w:t>
      </w:r>
      <w:r>
        <w:rPr>
          <w:rFonts w:hint="default"/>
          <w:b w:val="0"/>
          <w:bCs/>
          <w:color w:val="auto"/>
          <w:sz w:val="24"/>
          <w:szCs w:val="24"/>
          <w:highlight w:val="none"/>
        </w:rPr>
        <w:t>，</w:t>
      </w:r>
      <w:r>
        <w:rPr>
          <w:rFonts w:hint="eastAsia"/>
          <w:color w:val="auto"/>
          <w:sz w:val="24"/>
          <w:szCs w:val="24"/>
          <w:highlight w:val="none"/>
        </w:rPr>
        <w:t>则冬季尾水储存量为</w:t>
      </w:r>
      <w:r>
        <w:rPr>
          <w:rFonts w:hint="eastAsia"/>
          <w:color w:val="auto"/>
          <w:sz w:val="24"/>
          <w:szCs w:val="24"/>
          <w:highlight w:val="none"/>
          <w:lang w:val="en-US" w:eastAsia="zh-CN"/>
        </w:rPr>
        <w:t>37.9285</w:t>
      </w:r>
      <w:r>
        <w:rPr>
          <w:rFonts w:hint="eastAsia"/>
          <w:color w:val="auto"/>
          <w:sz w:val="24"/>
          <w:szCs w:val="24"/>
          <w:highlight w:val="none"/>
        </w:rPr>
        <w:t>万m</w:t>
      </w:r>
      <w:r>
        <w:rPr>
          <w:rFonts w:hint="eastAsia"/>
          <w:color w:val="auto"/>
          <w:sz w:val="24"/>
          <w:szCs w:val="24"/>
          <w:highlight w:val="none"/>
          <w:vertAlign w:val="superscript"/>
        </w:rPr>
        <w:t>3</w:t>
      </w:r>
      <w:r>
        <w:rPr>
          <w:rFonts w:hint="eastAsia"/>
          <w:color w:val="auto"/>
          <w:sz w:val="24"/>
          <w:szCs w:val="24"/>
          <w:highlight w:val="none"/>
          <w:lang w:val="en-US" w:eastAsia="zh-CN"/>
        </w:rPr>
        <w:t>满足要求</w:t>
      </w:r>
      <w:r>
        <w:rPr>
          <w:rFonts w:hint="eastAsia"/>
          <w:color w:val="auto"/>
          <w:sz w:val="24"/>
          <w:szCs w:val="24"/>
          <w:highlight w:val="none"/>
        </w:rPr>
        <w:t>。</w:t>
      </w:r>
    </w:p>
    <w:p>
      <w:pPr>
        <w:ind w:firstLine="480"/>
        <w:rPr>
          <w:rFonts w:hint="default" w:eastAsia="宋体"/>
          <w:color w:val="auto"/>
          <w:highlight w:val="none"/>
          <w:vertAlign w:val="baseline"/>
          <w:lang w:val="en-US" w:eastAsia="zh-CN"/>
        </w:rPr>
      </w:pPr>
      <w:r>
        <w:rPr>
          <w:rFonts w:hint="default"/>
          <w:b w:val="0"/>
          <w:bCs/>
          <w:color w:val="auto"/>
          <w:highlight w:val="none"/>
        </w:rPr>
        <w:t>灌溉季</w:t>
      </w:r>
      <w:r>
        <w:rPr>
          <w:rFonts w:hint="eastAsia"/>
          <w:b w:val="0"/>
          <w:bCs/>
          <w:color w:val="auto"/>
          <w:highlight w:val="none"/>
          <w:lang w:val="en-US" w:eastAsia="zh-CN"/>
        </w:rPr>
        <w:t>园区</w:t>
      </w:r>
      <w:r>
        <w:rPr>
          <w:rFonts w:hint="default"/>
          <w:b w:val="0"/>
          <w:bCs/>
          <w:color w:val="auto"/>
          <w:highlight w:val="none"/>
        </w:rPr>
        <w:t>绿化和</w:t>
      </w:r>
      <w:r>
        <w:rPr>
          <w:rFonts w:hint="eastAsia"/>
          <w:b w:val="0"/>
          <w:bCs/>
          <w:color w:val="auto"/>
          <w:highlight w:val="none"/>
          <w:lang w:val="en-US" w:eastAsia="zh-CN"/>
        </w:rPr>
        <w:t>示范区领地灌溉</w:t>
      </w:r>
      <w:r>
        <w:rPr>
          <w:rFonts w:hint="default"/>
          <w:b w:val="0"/>
          <w:bCs/>
          <w:color w:val="auto"/>
          <w:highlight w:val="none"/>
        </w:rPr>
        <w:t>总用水量为</w:t>
      </w:r>
      <w:r>
        <w:rPr>
          <w:rFonts w:hint="eastAsia"/>
          <w:b w:val="0"/>
          <w:bCs/>
          <w:color w:val="auto"/>
          <w:highlight w:val="none"/>
          <w:lang w:val="en-US" w:eastAsia="zh-CN"/>
        </w:rPr>
        <w:t>482202.252</w:t>
      </w:r>
      <w:r>
        <w:rPr>
          <w:rFonts w:hint="default"/>
          <w:b w:val="0"/>
          <w:bCs/>
          <w:color w:val="auto"/>
          <w:highlight w:val="none"/>
        </w:rPr>
        <w:t>m</w:t>
      </w:r>
      <w:r>
        <w:rPr>
          <w:rFonts w:hint="default"/>
          <w:b w:val="0"/>
          <w:bCs/>
          <w:color w:val="auto"/>
          <w:highlight w:val="none"/>
          <w:vertAlign w:val="superscript"/>
        </w:rPr>
        <w:t>3</w:t>
      </w:r>
      <w:r>
        <w:rPr>
          <w:rFonts w:hint="default"/>
          <w:b w:val="0"/>
          <w:bCs/>
          <w:color w:val="auto"/>
          <w:highlight w:val="none"/>
        </w:rPr>
        <w:t>/d。</w:t>
      </w:r>
      <w:r>
        <w:rPr>
          <w:rFonts w:hint="eastAsia"/>
          <w:b w:val="0"/>
          <w:bCs/>
          <w:color w:val="auto"/>
          <w:highlight w:val="none"/>
          <w:lang w:eastAsia="zh-CN"/>
        </w:rPr>
        <w:t>中水池</w:t>
      </w:r>
      <w:r>
        <w:rPr>
          <w:rFonts w:hint="eastAsia"/>
          <w:b w:val="0"/>
          <w:bCs/>
          <w:color w:val="auto"/>
          <w:highlight w:val="none"/>
          <w:lang w:val="en-US" w:eastAsia="zh-CN"/>
        </w:rPr>
        <w:t>储存的尾水为37.9285</w:t>
      </w:r>
      <w:r>
        <w:rPr>
          <w:rFonts w:hint="default"/>
          <w:b w:val="0"/>
          <w:bCs/>
          <w:color w:val="auto"/>
          <w:highlight w:val="none"/>
        </w:rPr>
        <w:t>万m</w:t>
      </w:r>
      <w:r>
        <w:rPr>
          <w:rFonts w:hint="default"/>
          <w:b w:val="0"/>
          <w:bCs/>
          <w:color w:val="auto"/>
          <w:highlight w:val="none"/>
          <w:vertAlign w:val="superscript"/>
        </w:rPr>
        <w:t>3</w:t>
      </w:r>
      <w:r>
        <w:rPr>
          <w:rFonts w:hint="eastAsia"/>
          <w:b w:val="0"/>
          <w:bCs/>
          <w:color w:val="auto"/>
          <w:highlight w:val="none"/>
          <w:vertAlign w:val="baseline"/>
          <w:lang w:eastAsia="zh-CN"/>
        </w:rPr>
        <w:t>，</w:t>
      </w:r>
      <w:r>
        <w:rPr>
          <w:rFonts w:hint="eastAsia"/>
          <w:b w:val="0"/>
          <w:bCs/>
          <w:color w:val="auto"/>
          <w:highlight w:val="none"/>
          <w:vertAlign w:val="baseline"/>
          <w:lang w:val="en-US" w:eastAsia="zh-CN"/>
        </w:rPr>
        <w:t>不满足林地及园区绿化带1天的量，</w:t>
      </w:r>
      <w:r>
        <w:rPr>
          <w:rFonts w:hint="eastAsia"/>
          <w:b w:val="0"/>
          <w:bCs/>
          <w:color w:val="auto"/>
          <w:highlight w:val="none"/>
          <w:lang w:val="en-US" w:eastAsia="zh-CN"/>
        </w:rPr>
        <w:t>到了灌溉季中水池的水可直接消耗完，用于林地灌溉，中水池容量满足要求。</w:t>
      </w:r>
    </w:p>
    <w:p>
      <w:pPr>
        <w:ind w:firstLine="480"/>
        <w:rPr>
          <w:rFonts w:hint="default"/>
          <w:b w:val="0"/>
          <w:bCs/>
          <w:color w:val="auto"/>
          <w:highlight w:val="none"/>
        </w:rPr>
      </w:pPr>
      <w:r>
        <w:rPr>
          <w:rFonts w:hint="eastAsia"/>
          <w:b w:val="0"/>
          <w:bCs/>
          <w:color w:val="auto"/>
          <w:highlight w:val="none"/>
          <w:lang w:val="en-US" w:eastAsia="zh-CN"/>
        </w:rPr>
        <w:t>环评要求</w:t>
      </w:r>
      <w:r>
        <w:rPr>
          <w:rFonts w:hint="eastAsia"/>
          <w:b w:val="0"/>
          <w:bCs/>
          <w:color w:val="auto"/>
          <w:highlight w:val="none"/>
          <w:lang w:eastAsia="zh-CN"/>
        </w:rPr>
        <w:t>中水池</w:t>
      </w:r>
      <w:r>
        <w:rPr>
          <w:rFonts w:hint="default"/>
          <w:b w:val="0"/>
          <w:bCs/>
          <w:color w:val="auto"/>
          <w:highlight w:val="none"/>
        </w:rPr>
        <w:t>及相应尾水管网</w:t>
      </w:r>
      <w:r>
        <w:rPr>
          <w:rFonts w:hint="eastAsia"/>
          <w:b w:val="0"/>
          <w:bCs/>
          <w:color w:val="auto"/>
          <w:highlight w:val="none"/>
          <w:lang w:val="en-US" w:eastAsia="zh-CN"/>
        </w:rPr>
        <w:t>建设完成后，本项目才可以投入运行</w:t>
      </w:r>
      <w:r>
        <w:rPr>
          <w:rFonts w:hint="default"/>
          <w:b w:val="0"/>
          <w:bCs/>
          <w:color w:val="auto"/>
          <w:highlight w:val="none"/>
        </w:rPr>
        <w:t>。</w:t>
      </w:r>
      <w:r>
        <w:rPr>
          <w:rFonts w:hint="eastAsia"/>
          <w:color w:val="auto"/>
          <w:highlight w:val="none"/>
        </w:rPr>
        <w:t>冬季尾水</w:t>
      </w:r>
      <w:r>
        <w:rPr>
          <w:rFonts w:hint="eastAsia"/>
          <w:color w:val="auto"/>
          <w:highlight w:val="none"/>
          <w:lang w:eastAsia="zh-CN"/>
        </w:rPr>
        <w:t>中水池</w:t>
      </w:r>
      <w:r>
        <w:rPr>
          <w:rFonts w:hint="eastAsia"/>
          <w:color w:val="auto"/>
          <w:highlight w:val="none"/>
        </w:rPr>
        <w:t>及相应尾水管网另行环评，不在本次评价范围内。</w:t>
      </w:r>
    </w:p>
    <w:p>
      <w:pPr>
        <w:rPr>
          <w:rFonts w:hint="default" w:eastAsia="宋体"/>
          <w:b w:val="0"/>
          <w:bCs/>
          <w:color w:val="auto"/>
          <w:highlight w:val="none"/>
          <w:lang w:val="en-US" w:eastAsia="zh-CN"/>
        </w:rPr>
      </w:pPr>
      <w:r>
        <w:rPr>
          <w:rFonts w:hint="default" w:ascii="Calibri" w:hAnsi="Calibri" w:cs="Calibri"/>
          <w:color w:val="auto"/>
          <w:highlight w:val="none"/>
        </w:rPr>
        <w:t>③</w:t>
      </w:r>
      <w:r>
        <w:rPr>
          <w:rFonts w:hint="eastAsia" w:ascii="Calibri" w:hAnsi="Calibri" w:cs="Calibri"/>
          <w:color w:val="auto"/>
          <w:highlight w:val="none"/>
          <w:lang w:val="en-US" w:eastAsia="zh-CN"/>
        </w:rPr>
        <w:t>排水管线工程可行性分析</w:t>
      </w:r>
    </w:p>
    <w:p>
      <w:pPr>
        <w:bidi w:val="0"/>
        <w:rPr>
          <w:rFonts w:hint="default"/>
          <w:color w:val="auto"/>
          <w:highlight w:val="none"/>
          <w:lang w:val="en-US" w:eastAsia="zh-CN"/>
        </w:rPr>
      </w:pPr>
      <w:r>
        <w:rPr>
          <w:rFonts w:hint="eastAsia"/>
          <w:color w:val="auto"/>
          <w:highlight w:val="none"/>
          <w:lang w:val="en-US" w:eastAsia="zh-CN"/>
        </w:rPr>
        <w:t>本项目不包含灌溉排水管线工程</w:t>
      </w:r>
    </w:p>
    <w:p>
      <w:pPr>
        <w:ind w:firstLine="540" w:firstLineChars="225"/>
        <w:rPr>
          <w:rFonts w:hint="default" w:ascii="Times New Roman" w:hAnsi="Times New Roman" w:eastAsia="宋体" w:cs="Times New Roman"/>
          <w:b w:val="0"/>
          <w:bCs/>
          <w:color w:val="auto"/>
          <w:kern w:val="2"/>
          <w:sz w:val="24"/>
          <w:szCs w:val="24"/>
          <w:highlight w:val="none"/>
          <w:lang w:val="en-US" w:eastAsia="zh-CN" w:bidi="ar-SA"/>
        </w:rPr>
      </w:pPr>
      <w:r>
        <w:rPr>
          <w:rFonts w:hint="eastAsia"/>
          <w:color w:val="auto"/>
          <w:highlight w:val="none"/>
          <w:lang w:val="en-US" w:eastAsia="zh-CN"/>
        </w:rPr>
        <w:t>2024年4月26日</w:t>
      </w:r>
      <w:r>
        <w:rPr>
          <w:rFonts w:hint="default"/>
          <w:color w:val="auto"/>
          <w:highlight w:val="none"/>
        </w:rPr>
        <w:t>昌吉回族自治州生态环境局</w:t>
      </w:r>
      <w:r>
        <w:rPr>
          <w:rFonts w:hint="eastAsia"/>
          <w:color w:val="auto"/>
          <w:highlight w:val="none"/>
          <w:lang w:val="en-US" w:eastAsia="zh-CN"/>
        </w:rPr>
        <w:t>批复《</w:t>
      </w:r>
      <w:r>
        <w:rPr>
          <w:rFonts w:hint="default"/>
          <w:color w:val="auto"/>
          <w:highlight w:val="none"/>
        </w:rPr>
        <w:t>关于昌吉农高区现代农业精深加工示范区中水池建设项目环境影响报告表的批复</w:t>
      </w:r>
      <w:r>
        <w:rPr>
          <w:rFonts w:hint="eastAsia"/>
          <w:color w:val="auto"/>
          <w:highlight w:val="none"/>
          <w:lang w:val="en-US" w:eastAsia="zh-CN"/>
        </w:rPr>
        <w:t>》（</w:t>
      </w:r>
      <w:r>
        <w:rPr>
          <w:rFonts w:hint="default"/>
          <w:color w:val="auto"/>
          <w:highlight w:val="none"/>
        </w:rPr>
        <w:t>昌州环评〔2024〕90号</w:t>
      </w:r>
      <w:r>
        <w:rPr>
          <w:rFonts w:hint="eastAsia"/>
          <w:color w:val="auto"/>
          <w:highlight w:val="none"/>
          <w:lang w:val="en-US" w:eastAsia="zh-CN"/>
        </w:rPr>
        <w:t>），</w:t>
      </w:r>
      <w:r>
        <w:rPr>
          <w:rFonts w:hint="default"/>
          <w:color w:val="auto"/>
          <w:highlight w:val="none"/>
        </w:rPr>
        <w:t>新建中水管线37.729km</w:t>
      </w:r>
      <w:r>
        <w:rPr>
          <w:rFonts w:hint="eastAsia"/>
          <w:color w:val="auto"/>
          <w:highlight w:val="none"/>
          <w:lang w:eastAsia="zh-CN"/>
        </w:rPr>
        <w:t>，新增一体化提升泵站1座</w:t>
      </w:r>
      <w:r>
        <w:rPr>
          <w:rFonts w:hint="default"/>
          <w:color w:val="auto"/>
          <w:highlight w:val="none"/>
        </w:rPr>
        <w:t>。</w:t>
      </w:r>
      <w:r>
        <w:rPr>
          <w:rFonts w:hint="eastAsia"/>
          <w:color w:val="auto"/>
          <w:highlight w:val="none"/>
          <w:lang w:val="en-US" w:eastAsia="zh-CN"/>
        </w:rPr>
        <w:t>环评要求</w:t>
      </w:r>
      <w:r>
        <w:rPr>
          <w:rFonts w:hint="default"/>
          <w:color w:val="auto"/>
          <w:highlight w:val="none"/>
        </w:rPr>
        <w:t>相应尾水管网</w:t>
      </w:r>
      <w:r>
        <w:rPr>
          <w:rFonts w:hint="eastAsia"/>
          <w:color w:val="auto"/>
          <w:highlight w:val="none"/>
          <w:lang w:val="en-US" w:eastAsia="zh-CN"/>
        </w:rPr>
        <w:t>建设完成后，本项目才可以投入运行</w:t>
      </w:r>
      <w:r>
        <w:rPr>
          <w:rFonts w:hint="default" w:ascii="Times New Roman" w:hAnsi="Times New Roman" w:eastAsia="宋体" w:cs="Times New Roman"/>
          <w:b w:val="0"/>
          <w:bCs/>
          <w:color w:val="auto"/>
          <w:kern w:val="2"/>
          <w:sz w:val="24"/>
          <w:szCs w:val="24"/>
          <w:highlight w:val="none"/>
          <w:lang w:val="en-US" w:eastAsia="zh-CN" w:bidi="ar-SA"/>
        </w:rPr>
        <w:t>。</w:t>
      </w:r>
    </w:p>
    <w:p>
      <w:pPr>
        <w:ind w:firstLine="540" w:firstLineChars="225"/>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val="zh-CN"/>
        </w:rPr>
        <w:t>建成运转后，每天将大量减少污染物的排放量，具有一定的经济效益。</w:t>
      </w:r>
      <w:r>
        <w:rPr>
          <w:rFonts w:hint="default" w:ascii="Times New Roman" w:hAnsi="Times New Roman" w:cs="Times New Roman"/>
          <w:color w:val="auto"/>
          <w:highlight w:val="none"/>
        </w:rPr>
        <w:t>为确保工程污水处理稳定达到</w:t>
      </w:r>
      <w:r>
        <w:rPr>
          <w:rFonts w:hint="eastAsia" w:cs="Times New Roman"/>
          <w:bCs/>
          <w:color w:val="auto"/>
          <w:highlight w:val="none"/>
          <w:lang w:eastAsia="zh-CN"/>
        </w:rPr>
        <w:t>《城镇污水处理厂污染物排放标准》（GB18918-2002）及修改单的一级A标准</w:t>
      </w:r>
      <w:r>
        <w:rPr>
          <w:rFonts w:hint="eastAsia" w:cs="Times New Roman"/>
          <w:color w:val="auto"/>
          <w:highlight w:val="none"/>
          <w:lang w:eastAsia="zh-CN"/>
        </w:rPr>
        <w:t>，</w:t>
      </w:r>
      <w:r>
        <w:rPr>
          <w:rFonts w:hint="default" w:ascii="Times New Roman" w:hAnsi="Times New Roman" w:cs="Times New Roman"/>
          <w:color w:val="auto"/>
          <w:highlight w:val="none"/>
        </w:rPr>
        <w:t>同时满足《</w:t>
      </w:r>
      <w:r>
        <w:rPr>
          <w:rFonts w:hint="eastAsia" w:cs="Times New Roman"/>
          <w:color w:val="auto"/>
          <w:highlight w:val="none"/>
          <w:lang w:eastAsia="zh-CN"/>
        </w:rPr>
        <w:t>城市污水再生利用城市杂用水水质》（GB/T18920-2020）</w:t>
      </w:r>
      <w:r>
        <w:rPr>
          <w:rFonts w:hint="default" w:ascii="Times New Roman" w:hAnsi="Times New Roman" w:cs="Times New Roman"/>
          <w:color w:val="auto"/>
          <w:highlight w:val="none"/>
        </w:rPr>
        <w:t>和《城市污水再生利用绿地灌溉水质》（GB/T25499-2010）</w:t>
      </w:r>
      <w:r>
        <w:rPr>
          <w:rFonts w:hint="eastAsia" w:cs="Times New Roman"/>
          <w:color w:val="auto"/>
          <w:highlight w:val="none"/>
          <w:lang w:val="en-US" w:eastAsia="zh-CN"/>
        </w:rPr>
        <w:t>的绿化用水要求。</w:t>
      </w:r>
      <w:r>
        <w:rPr>
          <w:rFonts w:hint="default" w:ascii="Times New Roman" w:hAnsi="Times New Roman" w:cs="Times New Roman"/>
          <w:color w:val="auto"/>
          <w:highlight w:val="none"/>
        </w:rPr>
        <w:t>工程应采用以下水污染防控措施：</w:t>
      </w:r>
    </w:p>
    <w:p>
      <w:pPr>
        <w:ind w:firstLine="436" w:firstLineChars="182"/>
        <w:rPr>
          <w:rFonts w:hint="default" w:ascii="Times New Roman" w:hAnsi="Times New Roman" w:cs="Times New Roman"/>
          <w:color w:val="auto"/>
          <w:highlight w:val="none"/>
        </w:rPr>
      </w:pPr>
      <w:r>
        <w:rPr>
          <w:rFonts w:hint="default" w:ascii="Times New Roman" w:hAnsi="Times New Roman" w:cs="Times New Roman"/>
          <w:color w:val="auto"/>
          <w:highlight w:val="none"/>
        </w:rPr>
        <w:t>（1）加强进、出水质管控：对拟建工业污水处理工程进、出水口（设置在各套废水二氧化氯消毒后）设置在线监测系统，对进、出水的流量及pH、COD、NH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氰化物、挥发酚等因子进行监控，并做好与相关部门的联网工作，出水口设置在二氧化氯消毒后。确保进水水质在可接受范围内，以免高浓度污水影响处理系统的正常运行，一旦发现进水中污染物浓度高于进水水质控制要求，应迅速对进水进行阻断或应急处理，追查污染源头。</w:t>
      </w:r>
    </w:p>
    <w:p>
      <w:pPr>
        <w:ind w:firstLine="436" w:firstLineChars="182"/>
        <w:rPr>
          <w:rFonts w:hint="default" w:ascii="Times New Roman" w:hAnsi="Times New Roman" w:cs="Times New Roman"/>
          <w:color w:val="auto"/>
          <w:highlight w:val="none"/>
        </w:rPr>
      </w:pPr>
      <w:r>
        <w:rPr>
          <w:rFonts w:hint="default" w:ascii="Times New Roman" w:hAnsi="Times New Roman" w:cs="Times New Roman"/>
          <w:color w:val="auto"/>
          <w:highlight w:val="none"/>
        </w:rPr>
        <w:t>（2）必须认真做好污水处理厂的运行管理工作，加强对员工的培训和教育，提高其工作责任心；制定各项规章制度和操作规程，避免因操作失误而造成事故排放。</w:t>
      </w:r>
    </w:p>
    <w:p>
      <w:pPr>
        <w:ind w:firstLine="436" w:firstLineChars="182"/>
        <w:rPr>
          <w:rFonts w:hint="default" w:ascii="Times New Roman" w:hAnsi="Times New Roman" w:cs="Times New Roman"/>
          <w:color w:val="auto"/>
          <w:highlight w:val="none"/>
        </w:rPr>
      </w:pPr>
      <w:r>
        <w:rPr>
          <w:rFonts w:hint="default" w:ascii="Times New Roman" w:hAnsi="Times New Roman" w:cs="Times New Roman"/>
          <w:color w:val="auto"/>
          <w:highlight w:val="none"/>
        </w:rPr>
        <w:t>（3）加强对各类设备的定期检查、维护和管理，以减少事故隐患；污水厂应采用双回路供电，防止因停电而造成运转事故。</w:t>
      </w:r>
    </w:p>
    <w:p>
      <w:pPr>
        <w:ind w:firstLine="436" w:firstLineChars="182"/>
        <w:rPr>
          <w:rFonts w:hint="default" w:ascii="Times New Roman" w:hAnsi="Times New Roman" w:cs="Times New Roman"/>
          <w:color w:val="auto"/>
          <w:highlight w:val="none"/>
        </w:rPr>
      </w:pPr>
      <w:r>
        <w:rPr>
          <w:rFonts w:hint="default" w:ascii="Times New Roman" w:hAnsi="Times New Roman" w:cs="Times New Roman"/>
          <w:color w:val="auto"/>
          <w:highlight w:val="none"/>
        </w:rPr>
        <w:t>（4）工程必须依照《排污口规范化整治技术要求》（环监〔1996〕470号）相关要求，规范建设排水管道及排污口，管道相应位置及排污口设置明显的警示标志，确保管道及排污口的安全运行。</w:t>
      </w:r>
    </w:p>
    <w:p>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5）根据新疆昌吉国家农业高新技术产业示范区现有企业排水调查结果可知，工程进水水质（COD、氨氮）可能存在波动情况，进水水质达标稳定是保证污水处理厂对废水最大处理效率的前提，故评价建议建设单位应督促新疆昌吉国家农业高新技术产业示范区，加强对园区进水水质的管控，并要求园区尽快落实以下措施：</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1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①</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督促园区内现有企业做好废水污染物预处理工作，要求各废水排放企业完善厂内废水预处理措施和管理制度，废水尤其是含一类污染物、有毒有害污染物废水，一律要求在各企业厂内进行处理达相关行业间接排放标准及本项目进水水质标准后方可排入园区污水管网；对排放废水中含有难生化污染物的企业，以及废水排放量大的重点企业应安装计量和水质在线检测装置；</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2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②</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园区不得引入涉重金属污染企业。</w:t>
      </w:r>
    </w:p>
    <w:p>
      <w:pPr>
        <w:pStyle w:val="2"/>
        <w:bidi w:val="0"/>
        <w:rPr>
          <w:rFonts w:hint="default"/>
          <w:color w:val="auto"/>
          <w:highlight w:val="none"/>
        </w:rPr>
      </w:pPr>
      <w:r>
        <w:rPr>
          <w:rFonts w:hint="default"/>
          <w:color w:val="auto"/>
          <w:highlight w:val="none"/>
        </w:rPr>
        <w:t>污泥处置</w:t>
      </w:r>
      <w:r>
        <w:rPr>
          <w:rFonts w:hint="default"/>
          <w:color w:val="auto"/>
          <w:highlight w:val="none"/>
          <w:lang w:val="en-US" w:eastAsia="zh-CN"/>
        </w:rPr>
        <w:t>可行性分析</w:t>
      </w:r>
    </w:p>
    <w:p>
      <w:pPr>
        <w:autoSpaceDE w:val="0"/>
        <w:autoSpaceDN w:val="0"/>
        <w:ind w:firstLine="480"/>
        <w:rPr>
          <w:rFonts w:hint="default" w:ascii="Times New Roman" w:hAnsi="Times New Roman" w:cs="Times New Roman"/>
          <w:color w:val="auto"/>
          <w:highlight w:val="none"/>
          <w:lang w:val="zh-CN"/>
        </w:rPr>
      </w:pPr>
      <w:r>
        <w:rPr>
          <w:rFonts w:hint="eastAsia" w:cs="Times New Roman"/>
          <w:color w:val="auto"/>
          <w:highlight w:val="none"/>
          <w:lang w:val="en-US" w:eastAsia="zh-CN"/>
        </w:rPr>
        <w:t>根据现有污水处理厂针对</w:t>
      </w:r>
      <w:r>
        <w:rPr>
          <w:rFonts w:hint="default" w:ascii="Times New Roman" w:hAnsi="Times New Roman" w:cs="Times New Roman"/>
          <w:color w:val="auto"/>
          <w:highlight w:val="none"/>
          <w:lang w:val="zh-CN"/>
        </w:rPr>
        <w:t>污泥危险废物鉴别实验，</w:t>
      </w:r>
      <w:r>
        <w:rPr>
          <w:rFonts w:hint="eastAsia" w:cs="Times New Roman"/>
          <w:color w:val="auto"/>
          <w:highlight w:val="none"/>
          <w:lang w:val="en-US" w:eastAsia="zh-CN"/>
        </w:rPr>
        <w:t>可知本项目污泥为一般固体废物（见附件污泥鉴别报告），</w:t>
      </w:r>
      <w:r>
        <w:rPr>
          <w:rFonts w:hint="eastAsia" w:cs="Times New Roman"/>
          <w:color w:val="auto"/>
          <w:highlight w:val="none"/>
          <w:lang w:val="zh-CN"/>
        </w:rPr>
        <w:t>污泥经脱水至含水率小于60%后，与栅渣、沉砂一起运至生活垃圾填埋场进行卫生填埋</w:t>
      </w:r>
      <w:r>
        <w:rPr>
          <w:rFonts w:hint="default" w:ascii="Times New Roman" w:hAnsi="Times New Roman" w:cs="Times New Roman"/>
          <w:color w:val="auto"/>
          <w:highlight w:val="none"/>
          <w:lang w:val="zh-CN"/>
        </w:rPr>
        <w:t>。</w:t>
      </w:r>
    </w:p>
    <w:p>
      <w:pPr>
        <w:autoSpaceDE w:val="0"/>
        <w:autoSpaceDN w:val="0"/>
        <w:ind w:firstLine="480"/>
        <w:rPr>
          <w:rFonts w:hint="default" w:eastAsia="宋体"/>
          <w:color w:val="auto"/>
          <w:highlight w:val="none"/>
          <w:lang w:val="en-US" w:eastAsia="zh-CN"/>
        </w:rPr>
      </w:pPr>
      <w:r>
        <w:rPr>
          <w:rFonts w:hint="eastAsia" w:ascii="Times New Roman" w:hAnsi="Times New Roman" w:eastAsia="宋体" w:cs="Times New Roman"/>
          <w:color w:val="auto"/>
          <w:sz w:val="24"/>
          <w:highlight w:val="none"/>
          <w:lang w:val="en-US" w:eastAsia="zh-CN"/>
        </w:rPr>
        <w:t>昌吉市填埋场</w:t>
      </w:r>
      <w:r>
        <w:rPr>
          <w:rFonts w:hint="default" w:ascii="Times New Roman" w:hAnsi="Times New Roman" w:eastAsia="宋体" w:cs="Times New Roman"/>
          <w:color w:val="auto"/>
          <w:sz w:val="24"/>
          <w:highlight w:val="none"/>
        </w:rPr>
        <w:t>位</w:t>
      </w:r>
      <w:r>
        <w:rPr>
          <w:rFonts w:hint="default" w:ascii="Times New Roman" w:hAnsi="Times New Roman" w:eastAsia="宋体" w:cs="Times New Roman"/>
          <w:color w:val="auto"/>
          <w:sz w:val="24"/>
          <w:szCs w:val="22"/>
          <w:highlight w:val="none"/>
        </w:rPr>
        <w:t>于昌吉市庙尔沟乡和谐二村向北1.8km处，</w:t>
      </w:r>
      <w:r>
        <w:rPr>
          <w:rFonts w:hint="default" w:ascii="Times New Roman" w:hAnsi="Times New Roman" w:eastAsia="宋体" w:cs="Times New Roman"/>
          <w:color w:val="auto"/>
          <w:kern w:val="0"/>
          <w:sz w:val="24"/>
          <w:szCs w:val="24"/>
          <w:highlight w:val="none"/>
          <w:lang w:bidi="ar"/>
        </w:rPr>
        <w:t>中心地理坐标：东经87°17′40.25″，北纬44°24′58.02″</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总占地面积为137042m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（205.6亩）</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填埋总库容160万m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填埋场设计使用年限为20年。</w:t>
      </w:r>
      <w:r>
        <w:rPr>
          <w:rFonts w:hint="eastAsia" w:ascii="Times New Roman" w:hAnsi="Times New Roman" w:eastAsia="宋体" w:cs="Times New Roman"/>
          <w:color w:val="auto"/>
          <w:sz w:val="24"/>
          <w:highlight w:val="none"/>
          <w:lang w:val="en-US" w:eastAsia="zh-CN"/>
        </w:rPr>
        <w:t>已完成环保竣工验收，2020年4月16日取得排污许可证91652301773483462Q001V。该填埋场未设有工业废水污泥分区填埋区域</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本项目污泥</w:t>
      </w:r>
      <w:r>
        <w:rPr>
          <w:rFonts w:hint="eastAsia" w:cs="Times New Roman"/>
          <w:color w:val="auto"/>
          <w:highlight w:val="none"/>
          <w:lang w:val="zh-CN"/>
        </w:rPr>
        <w:t>与栅渣、沉砂一起运至生活垃圾填埋场进行卫生填埋</w:t>
      </w:r>
      <w:r>
        <w:rPr>
          <w:rFonts w:hint="eastAsia" w:cs="Times New Roman"/>
          <w:color w:val="auto"/>
          <w:highlight w:val="none"/>
          <w:lang w:val="en-US" w:eastAsia="zh-CN"/>
        </w:rPr>
        <w:t>可行</w:t>
      </w:r>
      <w:r>
        <w:rPr>
          <w:rFonts w:hint="default" w:ascii="Times New Roman" w:hAnsi="Times New Roman" w:cs="Times New Roman"/>
          <w:color w:val="auto"/>
          <w:highlight w:val="none"/>
          <w:lang w:val="zh-CN"/>
        </w:rPr>
        <w:t>。</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运营期地下水污染防治措施</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地下水污染防治措施原则</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依据《地下工程防水技术规范》（</w:t>
      </w:r>
      <w:r>
        <w:rPr>
          <w:rFonts w:hint="default" w:ascii="Times New Roman" w:hAnsi="Times New Roman" w:cs="Times New Roman"/>
          <w:color w:val="auto"/>
          <w:highlight w:val="none"/>
          <w:lang w:eastAsia="zh-CN"/>
        </w:rPr>
        <w:t>GB50108-2008</w:t>
      </w:r>
      <w:r>
        <w:rPr>
          <w:rFonts w:hint="default" w:ascii="Times New Roman" w:hAnsi="Times New Roman" w:cs="Times New Roman"/>
          <w:color w:val="auto"/>
          <w:highlight w:val="none"/>
        </w:rPr>
        <w:t>）的要求，地下水污染防治措施按照“源头控制、末端治理、污染监控、应急响应”相结合的原则，从污染物的产生、入渗、扩散、应急响应全阶段进行控制。</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源头控制措施</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主要包括在工艺、管道、设备、污水储存及处理构筑物采取相应措施，防止和降低污染物跑、冒、滴、漏，将污染物泄露的环境风险事故降到最低程度；管线敷设尽量采用“可视化”原则，即管道尽可能地上或架空敷设，做到污染物“早发现、早处理”，减少由于埋地管道泄漏而造成的地下水污染。</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所有管道系统均必须按有关标准进行良好设计、制作及安装。工艺管线的设计、安装均考虑热应力变化、管线的振动及蠕变、密封防泄漏等多种因素，并采取设置膨胀节及固定管架等安全措施；必须由当地有关质检部门进行验收并通过后方能投入使用。危险化学品（处理药剂）的输送管道根据不同原料成份，使用无缝钢管、不锈钢管或钢管；管道连接应多采用焊接，尽可能减少使用接合法兰，以降低泄漏概率；如法兰连接使用垫片的材质应与输送介质的性质相适应，不应使用易受到输送物溶解、腐蚀的材料。</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涉污管线应设有明显标记。</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污水厂应采用双回路供电，防止因停电而造成运转事故。</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末端控制措施</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主要包括防渗措施和泄露、渗漏污染物收集措施，即在污染区地面进行防渗处理，防止洒落地面的污染物渗入地下，并把滞留在地面的污染物收集起来，集中送至污水处理站处理；末端控制采取分区防渗，重点污染防治区、一般污染防治区和非污染防治区防渗措施有区别的防渗原则。</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污染监控体系</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实施覆盖生产区的地下水污染监控系统，包括尽力完善的监测制度、配备监测仪器和设备、科学、合理设置地下水污染监控井，及时发现污染、及时控制。</w:t>
      </w:r>
    </w:p>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应急响应措施</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一旦发现地下水污染事故，立即启动应急预案、采取应急措施控制地下水污染，并使污染得到治理。</w:t>
      </w:r>
    </w:p>
    <w:p>
      <w:pPr>
        <w:pStyle w:val="2"/>
        <w:rPr>
          <w:rFonts w:hint="default" w:ascii="Times New Roman" w:hAnsi="Times New Roman" w:cs="Times New Roman"/>
          <w:color w:val="auto"/>
          <w:highlight w:val="none"/>
        </w:rPr>
      </w:pPr>
      <w:bookmarkStart w:id="236" w:name="_Toc481738482"/>
      <w:bookmarkStart w:id="237" w:name="_Toc478567173"/>
      <w:bookmarkStart w:id="238" w:name="_Toc504441720"/>
      <w:bookmarkStart w:id="239" w:name="_Toc477384696"/>
      <w:bookmarkStart w:id="240" w:name="_Toc504662431"/>
      <w:bookmarkStart w:id="241" w:name="_Toc508200557"/>
      <w:r>
        <w:rPr>
          <w:rFonts w:hint="default" w:ascii="Times New Roman" w:hAnsi="Times New Roman" w:cs="Times New Roman"/>
          <w:color w:val="auto"/>
          <w:highlight w:val="none"/>
        </w:rPr>
        <w:t>防渗方案及设计</w:t>
      </w:r>
      <w:bookmarkEnd w:id="236"/>
      <w:bookmarkEnd w:id="237"/>
      <w:bookmarkEnd w:id="238"/>
      <w:bookmarkEnd w:id="239"/>
      <w:bookmarkEnd w:id="240"/>
      <w:bookmarkEnd w:id="241"/>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（1）防渗区域划分及防渗要求</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根据厂区可能泄露至地面区域污染物的性质和生产单元的构筑方式，将厂区划分为非污染防治区、一般污染防治区和重点污染防治区。</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非污染防治区：指不会对地下水环境造成污染的区域。主要包括控制区、绿化区、管理区、厂前区等。</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一般污染防治区：指裸露地面的生产功能单元，污染地下水环境的物料泄漏容易及时发现和处理的区域。主要包括泵区、污水管道、道路、循环水站、化验室等。</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重点污染防治区：指位于地下或半地下的生产功能单元，污染地下水环境的物料长期贮存或泄漏不容易及时发现和处理的区域。主要包括污水处理装置等。</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重点污染区防渗要求：操作条件下的单位面积渗漏量不大于厚度为6cm，渗透系数≤10</w:t>
      </w:r>
      <w:r>
        <w:rPr>
          <w:rFonts w:hint="default" w:ascii="Times New Roman" w:hAnsi="Times New Roman" w:cs="Times New Roman"/>
          <w:color w:val="auto"/>
          <w:highlight w:val="none"/>
          <w:vertAlign w:val="superscript"/>
        </w:rPr>
        <w:t>-7</w:t>
      </w:r>
      <w:r>
        <w:rPr>
          <w:rFonts w:hint="default" w:ascii="Times New Roman" w:hAnsi="Times New Roman" w:cs="Times New Roman"/>
          <w:color w:val="auto"/>
          <w:highlight w:val="none"/>
        </w:rPr>
        <w:t>cm/s，或3cm厚HDPE膜渗透系数K=1×10</w:t>
      </w:r>
      <w:r>
        <w:rPr>
          <w:rFonts w:hint="default" w:ascii="Times New Roman" w:hAnsi="Times New Roman" w:cs="Times New Roman"/>
          <w:color w:val="auto"/>
          <w:highlight w:val="none"/>
          <w:vertAlign w:val="superscript"/>
        </w:rPr>
        <w:t>-12</w:t>
      </w:r>
      <w:r>
        <w:rPr>
          <w:rFonts w:hint="default" w:ascii="Times New Roman" w:hAnsi="Times New Roman" w:cs="Times New Roman"/>
          <w:color w:val="auto"/>
          <w:highlight w:val="none"/>
        </w:rPr>
        <w:t>cm/s防渗层的渗透量，防渗能力与《</w:t>
      </w:r>
      <w:r>
        <w:rPr>
          <w:rFonts w:hint="default" w:ascii="Times New Roman" w:hAnsi="Times New Roman" w:cs="Times New Roman"/>
          <w:color w:val="auto"/>
          <w:highlight w:val="none"/>
          <w:lang w:eastAsia="zh-CN"/>
        </w:rPr>
        <w:t>危险废物填埋污染控制标准</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GB18598-2019</w:t>
      </w:r>
      <w:r>
        <w:rPr>
          <w:rFonts w:hint="default" w:ascii="Times New Roman" w:hAnsi="Times New Roman" w:cs="Times New Roman"/>
          <w:color w:val="auto"/>
          <w:highlight w:val="none"/>
        </w:rPr>
        <w:t>）第6.5.1条等效。</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根据本项目平面布置，项目防渗区域划分及防渗要求见下表：</w:t>
      </w:r>
    </w:p>
    <w:p>
      <w:pPr>
        <w:ind w:firstLine="422"/>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表6.2-3污染区划分及防渗要求</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4050"/>
        <w:gridCol w:w="2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tcBorders>
              <w:tl2br w:val="nil"/>
              <w:tr2bl w:val="nil"/>
            </w:tcBorders>
            <w:shd w:val="clear" w:color="auto" w:fill="auto"/>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分区类别</w:t>
            </w:r>
          </w:p>
        </w:tc>
        <w:tc>
          <w:tcPr>
            <w:tcW w:w="2375" w:type="pct"/>
            <w:tcBorders>
              <w:tl2br w:val="nil"/>
              <w:tr2bl w:val="nil"/>
            </w:tcBorders>
            <w:shd w:val="clear" w:color="auto" w:fill="auto"/>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分区举例</w:t>
            </w:r>
          </w:p>
        </w:tc>
        <w:tc>
          <w:tcPr>
            <w:tcW w:w="1691" w:type="pct"/>
            <w:tcBorders>
              <w:tl2br w:val="nil"/>
              <w:tr2bl w:val="nil"/>
            </w:tcBorders>
            <w:shd w:val="clear" w:color="auto" w:fill="auto"/>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tcBorders>
              <w:tl2br w:val="nil"/>
              <w:tr2bl w:val="nil"/>
            </w:tcBorders>
            <w:shd w:val="clear" w:color="auto" w:fill="auto"/>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非污染区</w:t>
            </w:r>
          </w:p>
        </w:tc>
        <w:tc>
          <w:tcPr>
            <w:tcW w:w="2375" w:type="pct"/>
            <w:tcBorders>
              <w:tl2br w:val="nil"/>
              <w:tr2bl w:val="nil"/>
            </w:tcBorders>
            <w:shd w:val="clear" w:color="auto" w:fill="auto"/>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配电室、鼓风机房、控制区、绿化区等</w:t>
            </w:r>
          </w:p>
        </w:tc>
        <w:tc>
          <w:tcPr>
            <w:tcW w:w="1691" w:type="pct"/>
            <w:tcBorders>
              <w:tl2br w:val="nil"/>
              <w:tr2bl w:val="nil"/>
            </w:tcBorders>
            <w:shd w:val="clear" w:color="auto" w:fill="auto"/>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不需设置专门的防渗区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tcBorders>
              <w:tl2br w:val="nil"/>
              <w:tr2bl w:val="nil"/>
            </w:tcBorders>
            <w:shd w:val="clear" w:color="auto" w:fill="auto"/>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一般污染防治区</w:t>
            </w:r>
          </w:p>
        </w:tc>
        <w:tc>
          <w:tcPr>
            <w:tcW w:w="2375" w:type="pct"/>
            <w:tcBorders>
              <w:tl2br w:val="nil"/>
              <w:tr2bl w:val="nil"/>
            </w:tcBorders>
            <w:shd w:val="clear" w:color="auto" w:fill="auto"/>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泵区、污水管道、臭气处理设备安装区、道路、检验室（分析小屋）等</w:t>
            </w:r>
          </w:p>
        </w:tc>
        <w:tc>
          <w:tcPr>
            <w:tcW w:w="1691" w:type="pct"/>
            <w:tcBorders>
              <w:tl2br w:val="nil"/>
              <w:tr2bl w:val="nil"/>
            </w:tcBorders>
            <w:shd w:val="clear" w:color="auto" w:fill="auto"/>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渗透系数≤10</w:t>
            </w:r>
            <w:r>
              <w:rPr>
                <w:rFonts w:hint="default" w:ascii="Times New Roman" w:hAnsi="Times New Roman" w:cs="Times New Roman"/>
                <w:color w:val="auto"/>
                <w:highlight w:val="none"/>
                <w:vertAlign w:val="superscript"/>
              </w:rPr>
              <w:t>-7</w:t>
            </w:r>
            <w:r>
              <w:rPr>
                <w:rFonts w:hint="default" w:ascii="Times New Roman" w:hAnsi="Times New Roman" w:cs="Times New Roman"/>
                <w:color w:val="auto"/>
                <w:highlight w:val="none"/>
              </w:rPr>
              <w:t>cm/s，1m厚粘土层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3" w:type="pct"/>
            <w:tcBorders>
              <w:tl2br w:val="nil"/>
              <w:tr2bl w:val="nil"/>
            </w:tcBorders>
            <w:shd w:val="clear" w:color="auto" w:fill="auto"/>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重点污染防治区</w:t>
            </w:r>
          </w:p>
        </w:tc>
        <w:tc>
          <w:tcPr>
            <w:tcW w:w="2375" w:type="pct"/>
            <w:tcBorders>
              <w:tl2br w:val="nil"/>
              <w:tr2bl w:val="nil"/>
            </w:tcBorders>
            <w:shd w:val="clear" w:color="auto" w:fill="auto"/>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污水处理池（含事故池、水解酸化池及AAO池、沉砂池、生物接触氧化池、高效沉淀池、混合沉淀池、转盘滤池、贮泥池、污泥脱水间、污泥回流池、消毒渠等），以及臭气处理系统（洗涤段水池、生化段水池）</w:t>
            </w:r>
          </w:p>
        </w:tc>
        <w:tc>
          <w:tcPr>
            <w:tcW w:w="1691" w:type="pct"/>
            <w:tcBorders>
              <w:tl2br w:val="nil"/>
              <w:tr2bl w:val="nil"/>
            </w:tcBorders>
            <w:shd w:val="clear" w:color="auto" w:fill="auto"/>
            <w:vAlign w:val="center"/>
          </w:tcPr>
          <w:p>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渗透系数＜10</w:t>
            </w:r>
            <w:r>
              <w:rPr>
                <w:rFonts w:hint="default" w:ascii="Times New Roman" w:hAnsi="Times New Roman" w:cs="Times New Roman"/>
                <w:color w:val="auto"/>
                <w:highlight w:val="none"/>
                <w:vertAlign w:val="superscript"/>
              </w:rPr>
              <w:t>-7</w:t>
            </w:r>
            <w:r>
              <w:rPr>
                <w:rFonts w:hint="default" w:ascii="Times New Roman" w:hAnsi="Times New Roman" w:cs="Times New Roman"/>
                <w:color w:val="auto"/>
                <w:highlight w:val="none"/>
              </w:rPr>
              <w:t>cm/s，且厚粘土</w:t>
            </w:r>
            <w:r>
              <w:rPr>
                <w:rFonts w:hint="eastAsia" w:ascii="Times New Roman" w:hAnsi="Times New Roman" w:cs="Times New Roman"/>
                <w:color w:val="auto"/>
                <w:highlight w:val="none"/>
                <w:lang w:eastAsia="zh-CN"/>
              </w:rPr>
              <w:t>不大于</w:t>
            </w:r>
            <w:r>
              <w:rPr>
                <w:rFonts w:hint="default" w:ascii="Times New Roman" w:hAnsi="Times New Roman" w:cs="Times New Roman"/>
                <w:color w:val="auto"/>
                <w:highlight w:val="none"/>
              </w:rPr>
              <w:t>6cm或3cm厚HDPE膜渗透系数K=1×10</w:t>
            </w:r>
            <w:r>
              <w:rPr>
                <w:rFonts w:hint="default" w:ascii="Times New Roman" w:hAnsi="Times New Roman" w:cs="Times New Roman"/>
                <w:color w:val="auto"/>
                <w:highlight w:val="none"/>
                <w:vertAlign w:val="superscript"/>
              </w:rPr>
              <w:t>-12</w:t>
            </w:r>
            <w:r>
              <w:rPr>
                <w:rFonts w:hint="default" w:ascii="Times New Roman" w:hAnsi="Times New Roman" w:cs="Times New Roman"/>
                <w:color w:val="auto"/>
                <w:highlight w:val="none"/>
              </w:rPr>
              <w:t>cm/s防渗层</w:t>
            </w:r>
          </w:p>
        </w:tc>
      </w:tr>
    </w:tbl>
    <w:p>
      <w:pPr>
        <w:pStyle w:val="2"/>
        <w:rPr>
          <w:rFonts w:hint="default" w:ascii="Times New Roman" w:hAnsi="Times New Roman" w:cs="Times New Roman"/>
          <w:color w:val="auto"/>
          <w:highlight w:val="none"/>
        </w:rPr>
      </w:pPr>
      <w:bookmarkStart w:id="242" w:name="_Toc504662432"/>
      <w:bookmarkStart w:id="243" w:name="_Toc508200558"/>
      <w:r>
        <w:rPr>
          <w:rFonts w:hint="default" w:ascii="Times New Roman" w:hAnsi="Times New Roman" w:cs="Times New Roman"/>
          <w:color w:val="auto"/>
          <w:highlight w:val="none"/>
        </w:rPr>
        <w:t>地下水跟踪监测和管理</w:t>
      </w:r>
      <w:bookmarkEnd w:id="242"/>
      <w:bookmarkEnd w:id="243"/>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建立地下水环境监测管理体系，制定地下水环境影响跟踪监测计划，建立地下水环境影响跟踪监测制度、及时发现问题，采取措施，制定地下水跟踪监测信息公开制度。</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eastAsia="zh-CN"/>
        </w:rPr>
        <w:t>环境影响评价技术导则地下水环境</w:t>
      </w:r>
      <w:r>
        <w:rPr>
          <w:rFonts w:hint="default" w:ascii="Times New Roman" w:hAnsi="Times New Roman" w:cs="Times New Roman"/>
          <w:color w:val="auto"/>
          <w:highlight w:val="none"/>
        </w:rPr>
        <w:t>》（HJ610-2016）要求，项目需设置跟踪监控井。根据评价区域地下水流向，</w:t>
      </w:r>
      <w:r>
        <w:rPr>
          <w:rFonts w:hint="eastAsia" w:cs="Times New Roman"/>
          <w:color w:val="auto"/>
          <w:highlight w:val="none"/>
          <w:lang w:val="en-US" w:eastAsia="zh-CN"/>
        </w:rPr>
        <w:t>利用</w:t>
      </w:r>
      <w:r>
        <w:rPr>
          <w:rFonts w:hint="default" w:ascii="Times New Roman" w:hAnsi="Times New Roman" w:cs="Times New Roman"/>
          <w:color w:val="auto"/>
          <w:highlight w:val="none"/>
        </w:rPr>
        <w:t>在厂址下游及两侧（项目厂区东北侧50米范围内）3口井作为影响跟踪监控井，监测场区下游潜水含水层的水质状况。监测对象：主要是浅层潜水含水层。监测项目主要包括：pH、总硬度、溶解性总固体、高锰酸盐指数、氨氮、硫酸盐、氟化物、锰、铁、铜、锌、镍、镉、铬（六价）、砷。监测频次确定1次/年。</w:t>
      </w:r>
    </w:p>
    <w:p>
      <w:pPr>
        <w:pStyle w:val="2"/>
        <w:rPr>
          <w:rFonts w:hint="default" w:ascii="Times New Roman" w:hAnsi="Times New Roman" w:cs="Times New Roman"/>
          <w:color w:val="auto"/>
          <w:highlight w:val="none"/>
        </w:rPr>
      </w:pPr>
      <w:bookmarkStart w:id="244" w:name="_Toc477384697"/>
      <w:bookmarkStart w:id="245" w:name="_Toc504441721"/>
      <w:bookmarkStart w:id="246" w:name="_Toc478567174"/>
      <w:bookmarkStart w:id="247" w:name="_Toc481738483"/>
      <w:bookmarkStart w:id="248" w:name="_Toc504662433"/>
      <w:bookmarkStart w:id="249" w:name="_Toc508200559"/>
      <w:r>
        <w:rPr>
          <w:rFonts w:hint="default" w:ascii="Times New Roman" w:hAnsi="Times New Roman" w:cs="Times New Roman"/>
          <w:color w:val="auto"/>
          <w:highlight w:val="none"/>
        </w:rPr>
        <w:t>日常管理措施</w:t>
      </w:r>
      <w:bookmarkEnd w:id="244"/>
      <w:bookmarkEnd w:id="245"/>
      <w:bookmarkEnd w:id="246"/>
      <w:bookmarkEnd w:id="247"/>
      <w:bookmarkEnd w:id="248"/>
      <w:bookmarkEnd w:id="249"/>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（1）制定全厂设备安全操作规章、检修制度和设备管理考核制度、对设备确定责任人。由专职机构定期进行设备完好率、运行率考核，实施重奖重罚，消除设备故障和地下水污染隐患。</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（2）加强管理，杜绝超设计生产</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加强对所有管道和污水处理设施的维护管理，及时发现和消除污染隐患，杜绝跑、冒、漏、滴现象。一旦发现有污染物泄露或渗漏，立即采取清理污染物和修补漏洞（缝）等补救措施。对污染源的地下水保护设施进行采用动态检查，对发现的问题及时进行处理。</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（4）做好员工的环保和安全知识培训，提高全厂职工地下水保护意识。</w:t>
      </w:r>
    </w:p>
    <w:p>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（5）加强进、出水质管控：对工程进、出水口设置在线监测系统，对进、出水的流量及COD、NH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等因子进行监控，并做好与相关部门的联网工作。确保进水水质在可接受范围内，以免高浓度污水影响处理系统的正常运行，一旦发现进水中污染物浓度高于进水水质控制要求，应迅速对进水进行阻断或应急处理，追查污染源头。</w:t>
      </w:r>
    </w:p>
    <w:p>
      <w:pPr>
        <w:ind w:firstLine="540" w:firstLineChars="225"/>
        <w:rPr>
          <w:rFonts w:hint="default" w:ascii="Times New Roman" w:hAnsi="Times New Roman" w:cs="Times New Roman"/>
          <w:color w:val="auto"/>
          <w:highlight w:val="none"/>
        </w:rPr>
      </w:pPr>
      <w:r>
        <w:rPr>
          <w:rFonts w:hint="default" w:ascii="Times New Roman" w:hAnsi="Times New Roman" w:cs="Times New Roman"/>
          <w:color w:val="auto"/>
          <w:highlight w:val="none"/>
        </w:rPr>
        <w:t>在采取上述措施后，拟建工程废水渗漏的可能性不大，因此通过包气带垂直渗透进入地下水的可能性小，对地下水影响很小。</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运营期噪声污染防治措施</w:t>
      </w:r>
    </w:p>
    <w:p>
      <w:pPr>
        <w:autoSpaceDE w:val="0"/>
        <w:autoSpaceDN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选用先进的低噪声设备，并对主要噪声源进行防噪隔声措施。鼓风机应置于车间内，并在风机进口段设置消声设施，设置隔间操作室。对各类泵应置于相应泵房内，泵房内加装减振垫等减振措施。对室外噪声源加隔声罩，做防震基础等。</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（2）厂区内的构筑物应合理布局，将高噪声设备尽可能布置在远离厂界位置。同时除臭风机应布置在除臭车间西面，尽量远离东面厂界，以保证东厂界夜间噪声达标。</w:t>
      </w:r>
    </w:p>
    <w:p>
      <w:pPr>
        <w:autoSpaceDE w:val="0"/>
        <w:autoSpaceDN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（3）植树：在厂区内广泛种植乔木辅以灌、草，形成致密的植物林带，一方面可以降噪，另一方面可以美化环境。</w:t>
      </w:r>
    </w:p>
    <w:p>
      <w:pPr>
        <w:autoSpaceDE w:val="0"/>
        <w:autoSpaceDN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（4）车辆进出时严禁使用高音喇叭，并应尽量减少鸣笛次数。</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以上提出的噪声防治措施都是目前常用的方法，技术成熟，成本也低，在技术经济上是可行的。</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运营期固体废物污染防治措施</w:t>
      </w:r>
    </w:p>
    <w:p>
      <w:pPr>
        <w:autoSpaceDE w:val="0"/>
        <w:autoSpaceDN w:val="0"/>
        <w:adjustRightInd w:val="0"/>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固体废物来自污水处理厂产生的固体废物主要为污泥，职工的生活垃圾。</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zh-CN"/>
        </w:rPr>
        <w:t>生活垃圾分类收集后，可回收的回收再利用，不可回收的经垃圾桶收集后交由环卫部门收集统一处理，最终</w:t>
      </w:r>
      <w:r>
        <w:rPr>
          <w:rFonts w:hint="default" w:ascii="Times New Roman" w:hAnsi="Times New Roman" w:cs="Times New Roman"/>
          <w:color w:val="auto"/>
          <w:highlight w:val="none"/>
        </w:rPr>
        <w:t>外运昌吉市生活垃圾无害化填埋场处理。</w:t>
      </w:r>
    </w:p>
    <w:p>
      <w:pPr>
        <w:widowControl/>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w:t>
      </w:r>
      <w:r>
        <w:rPr>
          <w:rFonts w:hint="eastAsia" w:cs="Times New Roman"/>
          <w:color w:val="auto"/>
          <w:sz w:val="24"/>
          <w:highlight w:val="none"/>
          <w:lang w:val="en-US" w:eastAsia="zh-CN"/>
        </w:rPr>
        <w:t>依托现有</w:t>
      </w:r>
      <w:r>
        <w:rPr>
          <w:rFonts w:hint="default" w:ascii="Times New Roman" w:hAnsi="Times New Roman" w:cs="Times New Roman"/>
          <w:color w:val="auto"/>
          <w:sz w:val="24"/>
          <w:highlight w:val="none"/>
        </w:rPr>
        <w:t>危废暂存间（15m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危险废物</w:t>
      </w:r>
      <w:r>
        <w:rPr>
          <w:rFonts w:hint="default" w:ascii="Times New Roman" w:hAnsi="Times New Roman" w:cs="Times New Roman"/>
          <w:color w:val="auto"/>
          <w:sz w:val="24"/>
          <w:highlight w:val="none"/>
        </w:rPr>
        <w:t>用于暂存</w:t>
      </w:r>
      <w:r>
        <w:rPr>
          <w:rFonts w:hint="default" w:ascii="Times New Roman" w:hAnsi="Times New Roman" w:cs="Times New Roman"/>
          <w:color w:val="auto"/>
          <w:sz w:val="24"/>
          <w:highlight w:val="none"/>
          <w:lang w:val="en-US" w:eastAsia="zh-CN"/>
        </w:rPr>
        <w:t>危险废物</w:t>
      </w:r>
      <w:r>
        <w:rPr>
          <w:rFonts w:hint="default" w:ascii="Times New Roman" w:hAnsi="Times New Roman" w:cs="Times New Roman"/>
          <w:color w:val="auto"/>
          <w:sz w:val="24"/>
          <w:highlight w:val="none"/>
        </w:rPr>
        <w:t>，定期交由有资质单位处置。</w:t>
      </w:r>
    </w:p>
    <w:p>
      <w:pPr>
        <w:ind w:firstLine="480"/>
        <w:rPr>
          <w:rFonts w:hint="default" w:ascii="Times New Roman" w:hAnsi="Times New Roman" w:cs="Times New Roman"/>
          <w:color w:val="auto"/>
          <w:highlight w:val="none"/>
          <w:lang w:val="zh-CN"/>
        </w:rPr>
      </w:pPr>
      <w:r>
        <w:rPr>
          <w:rFonts w:hint="eastAsia" w:cs="Times New Roman"/>
          <w:color w:val="auto"/>
          <w:highlight w:val="none"/>
          <w:lang w:val="en-US" w:eastAsia="zh-CN"/>
        </w:rPr>
        <w:t>根据现有污水处理厂针对</w:t>
      </w:r>
      <w:r>
        <w:rPr>
          <w:rFonts w:hint="default" w:ascii="Times New Roman" w:hAnsi="Times New Roman" w:cs="Times New Roman"/>
          <w:color w:val="auto"/>
          <w:highlight w:val="none"/>
          <w:lang w:val="zh-CN"/>
        </w:rPr>
        <w:t>污泥危险废物鉴别实验，</w:t>
      </w:r>
      <w:r>
        <w:rPr>
          <w:rFonts w:hint="eastAsia" w:cs="Times New Roman"/>
          <w:color w:val="auto"/>
          <w:highlight w:val="none"/>
          <w:lang w:val="en-US" w:eastAsia="zh-CN"/>
        </w:rPr>
        <w:t>可知本项目污泥为一般固体废物（见附件污泥鉴别报告），</w:t>
      </w:r>
      <w:r>
        <w:rPr>
          <w:rFonts w:hint="eastAsia" w:cs="Times New Roman"/>
          <w:color w:val="auto"/>
          <w:highlight w:val="none"/>
          <w:lang w:val="zh-CN"/>
        </w:rPr>
        <w:t>污泥经脱水至含水率小于60%后，与栅渣、沉砂一起运至生活垃圾填埋场进行卫生填埋</w:t>
      </w:r>
      <w:r>
        <w:rPr>
          <w:rFonts w:hint="default" w:ascii="Times New Roman" w:hAnsi="Times New Roman" w:cs="Times New Roman"/>
          <w:color w:val="auto"/>
          <w:highlight w:val="none"/>
          <w:lang w:val="zh-CN"/>
        </w:rPr>
        <w:t>。</w:t>
      </w:r>
    </w:p>
    <w:p>
      <w:pPr>
        <w:autoSpaceDE w:val="0"/>
        <w:autoSpaceDN w:val="0"/>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另外，针对污泥在厂内管理、外运要求，本评价建议采取如下防治措施：</w:t>
      </w:r>
    </w:p>
    <w:p>
      <w:pPr>
        <w:autoSpaceDE w:val="0"/>
        <w:autoSpaceDN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（1）建立污泥管理台账，详细记录污泥产生量、转移量、处理处置量及其去向等情况，定期向所在地环保部门报告。</w:t>
      </w:r>
    </w:p>
    <w:p>
      <w:pPr>
        <w:autoSpaceDE w:val="0"/>
        <w:autoSpaceDN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zh-CN"/>
        </w:rPr>
        <w:t>（2）污泥易产生恶臭，不应长时间贮存厂内，故要求</w:t>
      </w:r>
      <w:r>
        <w:rPr>
          <w:rFonts w:hint="default" w:ascii="Times New Roman" w:hAnsi="Times New Roman" w:cs="Times New Roman"/>
          <w:color w:val="auto"/>
          <w:highlight w:val="none"/>
        </w:rPr>
        <w:t>污泥及栅渣在浓缩脱水后应及时外运填埋，要求运输单位采用封闭的运输车辆，防止沿途洒落和臭气散逸。</w:t>
      </w:r>
    </w:p>
    <w:p>
      <w:pPr>
        <w:autoSpaceDE w:val="0"/>
        <w:autoSpaceDN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（3）污泥外运路线的选取应避免穿越集中居民区、水源保护区等敏感区域。</w:t>
      </w:r>
    </w:p>
    <w:p>
      <w:pPr>
        <w:autoSpaceDE w:val="0"/>
        <w:autoSpaceDN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通过采取上述防治措施后，拟建工程产生的固废对环境的影响可大大降低。</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运营期土壤污染防治措施</w:t>
      </w:r>
    </w:p>
    <w:p>
      <w:pPr>
        <w:ind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土壤污染防治主要从源头控制、过程防控和跟踪监测等方面进行。</w:t>
      </w:r>
    </w:p>
    <w:p>
      <w:pPr>
        <w:ind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（1）源头控制措施</w:t>
      </w:r>
    </w:p>
    <w:p>
      <w:pPr>
        <w:ind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源头控制是减轻企业污染的最有效的手段，为减轻本项目外排有害物质对区域土壤环境的影响，建议：确保各构筑物防渗满足要求，企业应加强废水治理措施的运行管理和维护，确保废水处理设施正常运行，避免发生风险排放。</w:t>
      </w:r>
    </w:p>
    <w:p>
      <w:pPr>
        <w:ind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（2）过程防控措施</w:t>
      </w:r>
    </w:p>
    <w:p>
      <w:pPr>
        <w:ind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加强过程防控是减轻企业对区域土壤环境影响的有效有段之一，评价提出以下建议：①、在以后运行过程中，企业应加强厂区范围内的绿化措施，种植具有较强吸附能力的植物；②、加强厂区各类建构筑物、生产设施、地面硬化设施以及雨水收集沟等的检查，发生设备破损、地面开裂、雨水沟堵塞等情况及时处置，避免对厂区范围内的土壤和地下水造成影响。</w:t>
      </w:r>
    </w:p>
    <w:p>
      <w:pPr>
        <w:ind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（3）跟踪监测要求</w:t>
      </w:r>
    </w:p>
    <w:p>
      <w:pPr>
        <w:ind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跟踪监测可及时了解企业厂区和周边土壤环境受到的污染状况，以便采取土壤治理措施。评价建议分别在预处理池旁、沉淀池旁各设置1个监测点，监测因子为pH（无量纲）、汞、铜、铅、总铬、锌、砷、镍、镉，每五年监测一次，并向社会公开。</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保证污水处理厂正常运行的控制措施</w:t>
      </w:r>
    </w:p>
    <w:p>
      <w:pPr>
        <w:autoSpaceDE w:val="0"/>
        <w:autoSpaceDN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（1）对排入污水管网的工业污水必须满足污水处理厂接纳标准，不允许直接排入污水处理厂。</w:t>
      </w:r>
    </w:p>
    <w:p>
      <w:pPr>
        <w:autoSpaceDE w:val="0"/>
        <w:autoSpaceDN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（2）认真做好污水处理厂的人员培训工作，加强责任心教育。对所有工作人员先培训再上岗，建立健全各项规章制度和操作规范，尽量避免操作失误带来的环境污染。</w:t>
      </w:r>
    </w:p>
    <w:p>
      <w:pPr>
        <w:autoSpaceDE w:val="0"/>
        <w:autoSpaceDN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（3）对各类机械设备进行定期检查、维护和更新，同时配备必要的备用设备，出现故障要及时更换，以排除事故发生的隐患；另外，污水处理厂应采用双回路供电，防止因停电而造成的运转事故。</w:t>
      </w:r>
    </w:p>
    <w:p>
      <w:pPr>
        <w:autoSpaceDE w:val="0"/>
        <w:autoSpaceDN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（4）对污水处理厂的进水和出水要实施在线监测，及时了解各处理设备的运转情况，根据不同的水质、水量及时调整各处理单元的运转情况，使之处于最佳的运行状态。</w:t>
      </w:r>
    </w:p>
    <w:p>
      <w:pPr>
        <w:autoSpaceDE w:val="0"/>
        <w:autoSpaceDN w:val="0"/>
        <w:ind w:firstLine="360" w:firstLineChars="150"/>
        <w:rPr>
          <w:rFonts w:hint="default" w:ascii="Times New Roman" w:hAnsi="Times New Roman" w:cs="Times New Roman"/>
          <w:color w:val="auto"/>
          <w:highlight w:val="none"/>
        </w:rPr>
      </w:pPr>
      <w:r>
        <w:rPr>
          <w:rFonts w:hint="default" w:ascii="Times New Roman" w:hAnsi="Times New Roman" w:cs="Times New Roman"/>
          <w:color w:val="auto"/>
          <w:highlight w:val="none"/>
        </w:rPr>
        <w:t>（5）对处理出水进行定期监测，确保出水达到</w:t>
      </w:r>
      <w:r>
        <w:rPr>
          <w:rFonts w:hint="eastAsia" w:cs="Times New Roman"/>
          <w:color w:val="auto"/>
          <w:highlight w:val="none"/>
          <w:lang w:eastAsia="zh-CN"/>
        </w:rPr>
        <w:t>《城镇污水处理厂污染物排放标准》（GB18918-2002）及修改单的一级A标准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同时满足《</w:t>
      </w:r>
      <w:r>
        <w:rPr>
          <w:rFonts w:hint="eastAsia" w:cs="Times New Roman"/>
          <w:color w:val="auto"/>
          <w:highlight w:val="none"/>
          <w:lang w:eastAsia="zh-CN"/>
        </w:rPr>
        <w:t>城市污水再生利用城市杂用水水质》（GB/T18920-2020）</w:t>
      </w:r>
      <w:r>
        <w:rPr>
          <w:rFonts w:hint="default" w:ascii="Times New Roman" w:hAnsi="Times New Roman" w:cs="Times New Roman"/>
          <w:color w:val="auto"/>
          <w:highlight w:val="none"/>
        </w:rPr>
        <w:t>和《城市污水再生利用绿地灌溉水质》（GB/T25499-2010）。</w:t>
      </w:r>
    </w:p>
    <w:p>
      <w:pPr>
        <w:autoSpaceDE w:val="0"/>
        <w:autoSpaceDN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（6）污水处理厂内污水和废水经厂内污水管道收集至污水处理系统中，同进水污水一起经处理后排放。</w:t>
      </w:r>
    </w:p>
    <w:p>
      <w:pPr>
        <w:autoSpaceDE w:val="0"/>
        <w:autoSpaceDN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（7）积极开展技术革新和技术改良工作，在实践中摸索最佳的运行状态和管理经验，不断改良技术和设备，提高处理效率。</w:t>
      </w:r>
    </w:p>
    <w:p>
      <w:pPr>
        <w:ind w:firstLine="480"/>
        <w:rPr>
          <w:rFonts w:hint="default" w:ascii="Times New Roman" w:hAnsi="Times New Roman" w:cs="Times New Roman"/>
          <w:color w:val="auto"/>
          <w:highlight w:val="none"/>
        </w:rPr>
        <w:sectPr>
          <w:headerReference r:id="rId21" w:type="default"/>
          <w:footerReference r:id="rId22" w:type="default"/>
          <w:pgSz w:w="11906" w:h="16838"/>
          <w:pgMar w:top="1440" w:right="1797" w:bottom="1440" w:left="1797" w:header="851" w:footer="992" w:gutter="0"/>
          <w:pgBorders>
            <w:top w:val="none" w:sz="0" w:space="0"/>
            <w:left w:val="none" w:sz="0" w:space="0"/>
            <w:bottom w:val="none" w:sz="0" w:space="0"/>
            <w:right w:val="none" w:sz="0" w:space="0"/>
          </w:pgBorders>
          <w:pgNumType w:fmt="numberInDash"/>
          <w:cols w:space="720" w:num="1"/>
          <w:docGrid w:linePitch="312" w:charSpace="0"/>
        </w:sectPr>
      </w:pPr>
      <w:bookmarkStart w:id="250" w:name="_Toc17553"/>
    </w:p>
    <w:p>
      <w:pPr>
        <w:pStyle w:val="3"/>
        <w:rPr>
          <w:rFonts w:hint="default" w:ascii="Times New Roman" w:hAnsi="Times New Roman" w:cs="Times New Roman"/>
          <w:color w:val="auto"/>
          <w:highlight w:val="none"/>
        </w:rPr>
      </w:pPr>
      <w:bookmarkStart w:id="251" w:name="_Toc31662"/>
      <w:bookmarkStart w:id="252" w:name="_Toc23919"/>
      <w:bookmarkStart w:id="253" w:name="_Toc17883"/>
      <w:r>
        <w:rPr>
          <w:rFonts w:hint="default" w:ascii="Times New Roman" w:hAnsi="Times New Roman" w:cs="Times New Roman"/>
          <w:color w:val="auto"/>
          <w:highlight w:val="none"/>
        </w:rPr>
        <w:t>环境影响经济损益分析</w:t>
      </w:r>
      <w:bookmarkEnd w:id="251"/>
      <w:bookmarkEnd w:id="252"/>
      <w:bookmarkEnd w:id="253"/>
    </w:p>
    <w:p>
      <w:pPr>
        <w:pStyle w:val="4"/>
        <w:bidi w:val="0"/>
        <w:rPr>
          <w:rFonts w:hint="default"/>
          <w:color w:val="auto"/>
          <w:highlight w:val="none"/>
        </w:rPr>
      </w:pPr>
      <w:bookmarkStart w:id="254" w:name="_Toc4591"/>
      <w:bookmarkStart w:id="255" w:name="_Toc24262"/>
      <w:bookmarkStart w:id="256" w:name="_Toc332978035"/>
      <w:bookmarkStart w:id="257" w:name="_Toc8183"/>
      <w:bookmarkStart w:id="258" w:name="_Toc13133"/>
      <w:r>
        <w:rPr>
          <w:rFonts w:hint="default"/>
          <w:color w:val="auto"/>
          <w:highlight w:val="none"/>
        </w:rPr>
        <w:t>环保投资</w:t>
      </w:r>
      <w:bookmarkEnd w:id="254"/>
      <w:bookmarkEnd w:id="255"/>
      <w:bookmarkEnd w:id="256"/>
      <w:bookmarkEnd w:id="257"/>
      <w:bookmarkEnd w:id="258"/>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本项目自身为环保工程，总投资8000万元，其中环保投资</w:t>
      </w:r>
      <w:r>
        <w:rPr>
          <w:rFonts w:hint="eastAsia" w:cs="Times New Roman"/>
          <w:color w:val="auto"/>
          <w:highlight w:val="none"/>
          <w:lang w:eastAsia="zh-CN"/>
        </w:rPr>
        <w:t>8000</w:t>
      </w:r>
      <w:r>
        <w:rPr>
          <w:rFonts w:hint="default" w:ascii="Times New Roman" w:hAnsi="Times New Roman" w:cs="Times New Roman"/>
          <w:color w:val="auto"/>
          <w:highlight w:val="none"/>
        </w:rPr>
        <w:t>万元。环保投资占总投资的比例为</w:t>
      </w:r>
      <w:r>
        <w:rPr>
          <w:rFonts w:hint="eastAsia" w:cs="Times New Roman"/>
          <w:color w:val="auto"/>
          <w:highlight w:val="none"/>
          <w:lang w:val="en-US" w:eastAsia="zh-CN"/>
        </w:rPr>
        <w:t>100</w:t>
      </w:r>
      <w:r>
        <w:rPr>
          <w:rFonts w:hint="default" w:ascii="Times New Roman" w:hAnsi="Times New Roman" w:cs="Times New Roman"/>
          <w:color w:val="auto"/>
          <w:highlight w:val="none"/>
        </w:rPr>
        <w:t>%。</w:t>
      </w:r>
    </w:p>
    <w:p>
      <w:pPr>
        <w:spacing w:line="240" w:lineRule="auto"/>
        <w:ind w:firstLine="0" w:firstLineChars="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表7.1-1环保措施投资估算一览表</w:t>
      </w:r>
    </w:p>
    <w:tbl>
      <w:tblPr>
        <w:tblStyle w:val="33"/>
        <w:tblW w:w="950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1"/>
        <w:gridCol w:w="671"/>
        <w:gridCol w:w="2684"/>
        <w:gridCol w:w="1074"/>
        <w:gridCol w:w="3414"/>
        <w:gridCol w:w="9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8" w:hRule="atLeast"/>
        </w:trPr>
        <w:tc>
          <w:tcPr>
            <w:tcW w:w="671"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bookmarkStart w:id="259" w:name="_Toc9273"/>
            <w:r>
              <w:rPr>
                <w:rFonts w:hint="default" w:ascii="Times New Roman" w:hAnsi="Times New Roman" w:cs="Times New Roman"/>
                <w:color w:val="auto"/>
                <w:kern w:val="2"/>
                <w:highlight w:val="none"/>
              </w:rPr>
              <w:t>分类</w:t>
            </w:r>
          </w:p>
        </w:tc>
        <w:tc>
          <w:tcPr>
            <w:tcW w:w="671"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污染源</w:t>
            </w:r>
          </w:p>
        </w:tc>
        <w:tc>
          <w:tcPr>
            <w:tcW w:w="268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污染源</w:t>
            </w:r>
          </w:p>
        </w:tc>
        <w:tc>
          <w:tcPr>
            <w:tcW w:w="107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拟投资</w:t>
            </w:r>
          </w:p>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（万元）</w:t>
            </w:r>
          </w:p>
        </w:tc>
        <w:tc>
          <w:tcPr>
            <w:tcW w:w="341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环保设施</w:t>
            </w:r>
          </w:p>
        </w:tc>
        <w:tc>
          <w:tcPr>
            <w:tcW w:w="989"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投资时期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671" w:type="dxa"/>
            <w:vMerge w:val="restart"/>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拟建工程</w:t>
            </w:r>
          </w:p>
        </w:tc>
        <w:tc>
          <w:tcPr>
            <w:tcW w:w="671" w:type="dxa"/>
            <w:vMerge w:val="restart"/>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废水</w:t>
            </w:r>
          </w:p>
        </w:tc>
        <w:tc>
          <w:tcPr>
            <w:tcW w:w="268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施工废水</w:t>
            </w:r>
          </w:p>
        </w:tc>
        <w:tc>
          <w:tcPr>
            <w:tcW w:w="107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3</w:t>
            </w:r>
          </w:p>
        </w:tc>
        <w:tc>
          <w:tcPr>
            <w:tcW w:w="341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沉淀池、贮泥池、车辆冲洗设施</w:t>
            </w:r>
          </w:p>
        </w:tc>
        <w:tc>
          <w:tcPr>
            <w:tcW w:w="989"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施工期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671" w:type="dxa"/>
            <w:vMerge w:val="continue"/>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p>
        </w:tc>
        <w:tc>
          <w:tcPr>
            <w:tcW w:w="671" w:type="dxa"/>
            <w:vMerge w:val="continue"/>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p>
        </w:tc>
        <w:tc>
          <w:tcPr>
            <w:tcW w:w="268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生活污水</w:t>
            </w:r>
          </w:p>
        </w:tc>
        <w:tc>
          <w:tcPr>
            <w:tcW w:w="107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0.5</w:t>
            </w:r>
          </w:p>
        </w:tc>
        <w:tc>
          <w:tcPr>
            <w:tcW w:w="341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新建化粪池</w:t>
            </w:r>
          </w:p>
        </w:tc>
        <w:tc>
          <w:tcPr>
            <w:tcW w:w="989"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施工期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671" w:type="dxa"/>
            <w:vMerge w:val="continue"/>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p>
        </w:tc>
        <w:tc>
          <w:tcPr>
            <w:tcW w:w="671" w:type="dxa"/>
            <w:vMerge w:val="continue"/>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p>
        </w:tc>
        <w:tc>
          <w:tcPr>
            <w:tcW w:w="268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营运期污水厂自身污水等</w:t>
            </w:r>
          </w:p>
        </w:tc>
        <w:tc>
          <w:tcPr>
            <w:tcW w:w="107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8</w:t>
            </w:r>
          </w:p>
        </w:tc>
        <w:tc>
          <w:tcPr>
            <w:tcW w:w="341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化粪池、隔油池、厂区内污水收集管网</w:t>
            </w:r>
          </w:p>
        </w:tc>
        <w:tc>
          <w:tcPr>
            <w:tcW w:w="989"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营运期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671" w:type="dxa"/>
            <w:vMerge w:val="continue"/>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p>
        </w:tc>
        <w:tc>
          <w:tcPr>
            <w:tcW w:w="671" w:type="dxa"/>
            <w:vMerge w:val="continue"/>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p>
        </w:tc>
        <w:tc>
          <w:tcPr>
            <w:tcW w:w="268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地下水污染</w:t>
            </w:r>
          </w:p>
        </w:tc>
        <w:tc>
          <w:tcPr>
            <w:tcW w:w="107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5</w:t>
            </w:r>
          </w:p>
        </w:tc>
        <w:tc>
          <w:tcPr>
            <w:tcW w:w="341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地面硬化、防渗措施</w:t>
            </w:r>
          </w:p>
        </w:tc>
        <w:tc>
          <w:tcPr>
            <w:tcW w:w="989"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营运期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671" w:type="dxa"/>
            <w:vMerge w:val="continue"/>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p>
        </w:tc>
        <w:tc>
          <w:tcPr>
            <w:tcW w:w="671" w:type="dxa"/>
            <w:vMerge w:val="restart"/>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废气</w:t>
            </w:r>
          </w:p>
        </w:tc>
        <w:tc>
          <w:tcPr>
            <w:tcW w:w="268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施工扬尘</w:t>
            </w:r>
          </w:p>
        </w:tc>
        <w:tc>
          <w:tcPr>
            <w:tcW w:w="107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5</w:t>
            </w:r>
          </w:p>
        </w:tc>
        <w:tc>
          <w:tcPr>
            <w:tcW w:w="341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洒水降尘、封闭围挡、土方覆盖、</w:t>
            </w:r>
          </w:p>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洗车平台、监控设备、6个100%等</w:t>
            </w:r>
          </w:p>
        </w:tc>
        <w:tc>
          <w:tcPr>
            <w:tcW w:w="989"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施工期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671" w:type="dxa"/>
            <w:vMerge w:val="continue"/>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p>
        </w:tc>
        <w:tc>
          <w:tcPr>
            <w:tcW w:w="671" w:type="dxa"/>
            <w:vMerge w:val="continue"/>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p>
        </w:tc>
        <w:tc>
          <w:tcPr>
            <w:tcW w:w="2684" w:type="dxa"/>
            <w:tcBorders>
              <w:tl2br w:val="nil"/>
              <w:tr2bl w:val="nil"/>
            </w:tcBorders>
            <w:shd w:val="clear" w:color="auto" w:fill="auto"/>
            <w:vAlign w:val="center"/>
          </w:tcPr>
          <w:p>
            <w:pPr>
              <w:pStyle w:val="74"/>
              <w:rPr>
                <w:rFonts w:hint="eastAsia"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rPr>
              <w:t>污水厂臭气</w:t>
            </w:r>
            <w:r>
              <w:rPr>
                <w:rFonts w:hint="eastAsia" w:cs="Times New Roman"/>
                <w:color w:val="auto"/>
                <w:kern w:val="2"/>
                <w:highlight w:val="none"/>
                <w:lang w:eastAsia="zh-CN"/>
              </w:rPr>
              <w:t>（</w:t>
            </w:r>
            <w:r>
              <w:rPr>
                <w:rFonts w:hint="eastAsia" w:cs="Times New Roman"/>
                <w:color w:val="auto"/>
                <w:kern w:val="2"/>
                <w:highlight w:val="none"/>
                <w:lang w:val="en-US" w:eastAsia="zh-CN"/>
              </w:rPr>
              <w:t>以新带老</w:t>
            </w:r>
            <w:r>
              <w:rPr>
                <w:rFonts w:hint="eastAsia" w:cs="Times New Roman"/>
                <w:color w:val="auto"/>
                <w:kern w:val="2"/>
                <w:highlight w:val="none"/>
                <w:lang w:eastAsia="zh-CN"/>
              </w:rPr>
              <w:t>）</w:t>
            </w:r>
          </w:p>
        </w:tc>
        <w:tc>
          <w:tcPr>
            <w:tcW w:w="107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100</w:t>
            </w:r>
          </w:p>
        </w:tc>
        <w:tc>
          <w:tcPr>
            <w:tcW w:w="341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设置</w:t>
            </w:r>
            <w:r>
              <w:rPr>
                <w:rFonts w:hint="eastAsia" w:cs="Times New Roman"/>
                <w:color w:val="auto"/>
                <w:kern w:val="2"/>
                <w:highlight w:val="none"/>
                <w:lang w:val="en-US" w:eastAsia="zh-CN"/>
              </w:rPr>
              <w:t>2</w:t>
            </w:r>
            <w:r>
              <w:rPr>
                <w:rFonts w:hint="default" w:ascii="Times New Roman" w:hAnsi="Times New Roman" w:cs="Times New Roman"/>
                <w:color w:val="auto"/>
                <w:kern w:val="2"/>
                <w:highlight w:val="none"/>
              </w:rPr>
              <w:t>套生物除臭系统、安装密封盖板和臭气收集管道</w:t>
            </w:r>
          </w:p>
        </w:tc>
        <w:tc>
          <w:tcPr>
            <w:tcW w:w="989"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营运期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671" w:type="dxa"/>
            <w:vMerge w:val="continue"/>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p>
        </w:tc>
        <w:tc>
          <w:tcPr>
            <w:tcW w:w="671" w:type="dxa"/>
            <w:vMerge w:val="restart"/>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噪声</w:t>
            </w:r>
          </w:p>
        </w:tc>
        <w:tc>
          <w:tcPr>
            <w:tcW w:w="268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施工设备和车辆噪声</w:t>
            </w:r>
          </w:p>
        </w:tc>
        <w:tc>
          <w:tcPr>
            <w:tcW w:w="1074" w:type="dxa"/>
            <w:tcBorders>
              <w:bottom w:val="single" w:color="auto" w:sz="4" w:space="0"/>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2</w:t>
            </w:r>
          </w:p>
        </w:tc>
        <w:tc>
          <w:tcPr>
            <w:tcW w:w="3414" w:type="dxa"/>
            <w:tcBorders>
              <w:bottom w:val="single" w:color="auto" w:sz="4" w:space="0"/>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减震、隔声、消声等措施</w:t>
            </w:r>
          </w:p>
        </w:tc>
        <w:tc>
          <w:tcPr>
            <w:tcW w:w="989"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施工期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671" w:type="dxa"/>
            <w:vMerge w:val="continue"/>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p>
        </w:tc>
        <w:tc>
          <w:tcPr>
            <w:tcW w:w="671" w:type="dxa"/>
            <w:vMerge w:val="continue"/>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p>
        </w:tc>
        <w:tc>
          <w:tcPr>
            <w:tcW w:w="268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设备噪声</w:t>
            </w:r>
          </w:p>
        </w:tc>
        <w:tc>
          <w:tcPr>
            <w:tcW w:w="1074" w:type="dxa"/>
            <w:tcBorders>
              <w:top w:val="single" w:color="auto" w:sz="4" w:space="0"/>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30</w:t>
            </w:r>
          </w:p>
        </w:tc>
        <w:tc>
          <w:tcPr>
            <w:tcW w:w="3414" w:type="dxa"/>
            <w:tcBorders>
              <w:top w:val="single" w:color="auto" w:sz="4" w:space="0"/>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基础减振、厂房隔声、隔声罩、消声器，厂界达到（GB12348-2008）3类标准限值</w:t>
            </w:r>
          </w:p>
        </w:tc>
        <w:tc>
          <w:tcPr>
            <w:tcW w:w="989"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营运期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671" w:type="dxa"/>
            <w:vMerge w:val="continue"/>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p>
        </w:tc>
        <w:tc>
          <w:tcPr>
            <w:tcW w:w="671" w:type="dxa"/>
            <w:vMerge w:val="restart"/>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固废</w:t>
            </w:r>
          </w:p>
        </w:tc>
        <w:tc>
          <w:tcPr>
            <w:tcW w:w="268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施工期土石方、建筑垃圾、生活垃圾</w:t>
            </w:r>
          </w:p>
        </w:tc>
        <w:tc>
          <w:tcPr>
            <w:tcW w:w="107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4</w:t>
            </w:r>
          </w:p>
        </w:tc>
        <w:tc>
          <w:tcPr>
            <w:tcW w:w="341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场内平衡、暂存堆放、购置垃圾分类收集桶、外运</w:t>
            </w:r>
          </w:p>
        </w:tc>
        <w:tc>
          <w:tcPr>
            <w:tcW w:w="989"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施工期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671" w:type="dxa"/>
            <w:vMerge w:val="continue"/>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p>
        </w:tc>
        <w:tc>
          <w:tcPr>
            <w:tcW w:w="671" w:type="dxa"/>
            <w:vMerge w:val="continue"/>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p>
        </w:tc>
        <w:tc>
          <w:tcPr>
            <w:tcW w:w="268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污泥</w:t>
            </w:r>
          </w:p>
        </w:tc>
        <w:tc>
          <w:tcPr>
            <w:tcW w:w="107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12</w:t>
            </w:r>
          </w:p>
        </w:tc>
        <w:tc>
          <w:tcPr>
            <w:tcW w:w="341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新建1工业污泥脱水间，设污泥脱水设施，污泥暂存间满足《一般工业固体废物贮存和填埋污染控制标准》（GB18599-2020）要求，污泥满足外运要求后委托外运</w:t>
            </w:r>
          </w:p>
        </w:tc>
        <w:tc>
          <w:tcPr>
            <w:tcW w:w="989"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营运期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671" w:type="dxa"/>
            <w:vMerge w:val="continue"/>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p>
        </w:tc>
        <w:tc>
          <w:tcPr>
            <w:tcW w:w="671" w:type="dxa"/>
            <w:vMerge w:val="continue"/>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p>
        </w:tc>
        <w:tc>
          <w:tcPr>
            <w:tcW w:w="2684" w:type="dxa"/>
            <w:tcBorders>
              <w:tl2br w:val="nil"/>
              <w:tr2bl w:val="nil"/>
            </w:tcBorders>
            <w:shd w:val="clear" w:color="auto" w:fill="auto"/>
            <w:vAlign w:val="center"/>
          </w:tcPr>
          <w:p>
            <w:pPr>
              <w:pStyle w:val="74"/>
              <w:rPr>
                <w:rFonts w:hint="default" w:ascii="Times New Roman" w:hAnsi="Times New Roman" w:eastAsia="宋体" w:cs="Times New Roman"/>
                <w:color w:val="auto"/>
                <w:kern w:val="2"/>
                <w:highlight w:val="none"/>
                <w:lang w:val="en-US" w:eastAsia="zh-CN"/>
              </w:rPr>
            </w:pPr>
            <w:r>
              <w:rPr>
                <w:rFonts w:hint="eastAsia" w:cs="Times New Roman"/>
                <w:color w:val="auto"/>
                <w:kern w:val="2"/>
                <w:highlight w:val="none"/>
                <w:lang w:val="en-US" w:eastAsia="zh-CN"/>
              </w:rPr>
              <w:t>污泥鉴定</w:t>
            </w:r>
          </w:p>
        </w:tc>
        <w:tc>
          <w:tcPr>
            <w:tcW w:w="1074" w:type="dxa"/>
            <w:tcBorders>
              <w:tl2br w:val="nil"/>
              <w:tr2bl w:val="nil"/>
            </w:tcBorders>
            <w:shd w:val="clear" w:color="auto" w:fill="auto"/>
            <w:vAlign w:val="center"/>
          </w:tcPr>
          <w:p>
            <w:pPr>
              <w:pStyle w:val="74"/>
              <w:rPr>
                <w:rFonts w:hint="default" w:ascii="Times New Roman" w:hAnsi="Times New Roman" w:eastAsia="宋体" w:cs="Times New Roman"/>
                <w:color w:val="auto"/>
                <w:kern w:val="2"/>
                <w:highlight w:val="none"/>
                <w:lang w:val="en-US" w:eastAsia="zh-CN"/>
              </w:rPr>
            </w:pPr>
            <w:r>
              <w:rPr>
                <w:rFonts w:hint="eastAsia" w:cs="Times New Roman"/>
                <w:color w:val="auto"/>
                <w:kern w:val="2"/>
                <w:highlight w:val="none"/>
                <w:lang w:val="en-US" w:eastAsia="zh-CN"/>
              </w:rPr>
              <w:t>50</w:t>
            </w:r>
          </w:p>
        </w:tc>
        <w:tc>
          <w:tcPr>
            <w:tcW w:w="3414" w:type="dxa"/>
            <w:tcBorders>
              <w:tl2br w:val="nil"/>
              <w:tr2bl w:val="nil"/>
            </w:tcBorders>
            <w:shd w:val="clear" w:color="auto" w:fill="auto"/>
            <w:vAlign w:val="center"/>
          </w:tcPr>
          <w:p>
            <w:pPr>
              <w:pStyle w:val="74"/>
              <w:rPr>
                <w:rFonts w:hint="eastAsia" w:ascii="Times New Roman" w:hAnsi="Times New Roman" w:eastAsia="宋体" w:cs="Times New Roman"/>
                <w:color w:val="auto"/>
                <w:kern w:val="2"/>
                <w:highlight w:val="none"/>
                <w:lang w:val="en-US" w:eastAsia="zh-CN"/>
              </w:rPr>
            </w:pPr>
            <w:r>
              <w:rPr>
                <w:rFonts w:hint="eastAsia" w:cs="Times New Roman"/>
                <w:color w:val="auto"/>
                <w:kern w:val="2"/>
                <w:highlight w:val="none"/>
                <w:lang w:val="en-US" w:eastAsia="zh-CN"/>
              </w:rPr>
              <w:t>/</w:t>
            </w:r>
          </w:p>
        </w:tc>
        <w:tc>
          <w:tcPr>
            <w:tcW w:w="989"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营运期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671" w:type="dxa"/>
            <w:vMerge w:val="continue"/>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p>
        </w:tc>
        <w:tc>
          <w:tcPr>
            <w:tcW w:w="671" w:type="dxa"/>
            <w:vMerge w:val="continue"/>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p>
        </w:tc>
        <w:tc>
          <w:tcPr>
            <w:tcW w:w="268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栅渣及沉砂、</w:t>
            </w:r>
            <w:r>
              <w:rPr>
                <w:rFonts w:hint="default" w:ascii="Times New Roman" w:hAnsi="Times New Roman" w:cs="Times New Roman"/>
                <w:color w:val="auto"/>
                <w:kern w:val="2"/>
                <w:highlight w:val="none"/>
                <w:lang w:val="zh-CN"/>
              </w:rPr>
              <w:t>生活垃圾</w:t>
            </w:r>
          </w:p>
        </w:tc>
        <w:tc>
          <w:tcPr>
            <w:tcW w:w="107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2</w:t>
            </w:r>
          </w:p>
        </w:tc>
        <w:tc>
          <w:tcPr>
            <w:tcW w:w="341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暂存设施、垃圾箱</w:t>
            </w:r>
          </w:p>
        </w:tc>
        <w:tc>
          <w:tcPr>
            <w:tcW w:w="989"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营运期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0" w:hRule="atLeast"/>
        </w:trPr>
        <w:tc>
          <w:tcPr>
            <w:tcW w:w="671" w:type="dxa"/>
            <w:vMerge w:val="continue"/>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p>
        </w:tc>
        <w:tc>
          <w:tcPr>
            <w:tcW w:w="671" w:type="dxa"/>
            <w:vMerge w:val="continue"/>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p>
        </w:tc>
        <w:tc>
          <w:tcPr>
            <w:tcW w:w="268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危险废物</w:t>
            </w:r>
          </w:p>
        </w:tc>
        <w:tc>
          <w:tcPr>
            <w:tcW w:w="107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2</w:t>
            </w:r>
          </w:p>
        </w:tc>
        <w:tc>
          <w:tcPr>
            <w:tcW w:w="341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新建危险废物暂存间，定期交由</w:t>
            </w:r>
          </w:p>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有资质单位处理</w:t>
            </w:r>
          </w:p>
        </w:tc>
        <w:tc>
          <w:tcPr>
            <w:tcW w:w="989" w:type="dxa"/>
            <w:vMerge w:val="restart"/>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营运期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671" w:type="dxa"/>
            <w:vMerge w:val="continue"/>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p>
        </w:tc>
        <w:tc>
          <w:tcPr>
            <w:tcW w:w="671"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生态环境和水土保持</w:t>
            </w:r>
          </w:p>
        </w:tc>
        <w:tc>
          <w:tcPr>
            <w:tcW w:w="268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生态破坏、水土流失</w:t>
            </w:r>
          </w:p>
        </w:tc>
        <w:tc>
          <w:tcPr>
            <w:tcW w:w="107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20</w:t>
            </w:r>
          </w:p>
        </w:tc>
        <w:tc>
          <w:tcPr>
            <w:tcW w:w="341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建设围墙、截水沟、施工完毕地</w:t>
            </w:r>
          </w:p>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面硬化和绿化等，美化周边环境，减少恶臭类气体对周边环境的影响，恢复生态原貌</w:t>
            </w:r>
          </w:p>
        </w:tc>
        <w:tc>
          <w:tcPr>
            <w:tcW w:w="989"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施工期、营运期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671" w:type="dxa"/>
            <w:vMerge w:val="continue"/>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p>
        </w:tc>
        <w:tc>
          <w:tcPr>
            <w:tcW w:w="671" w:type="dxa"/>
            <w:vMerge w:val="restart"/>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环境</w:t>
            </w:r>
          </w:p>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风险</w:t>
            </w:r>
          </w:p>
        </w:tc>
        <w:tc>
          <w:tcPr>
            <w:tcW w:w="268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围堰、应急事故池</w:t>
            </w:r>
          </w:p>
        </w:tc>
        <w:tc>
          <w:tcPr>
            <w:tcW w:w="107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2</w:t>
            </w:r>
          </w:p>
        </w:tc>
        <w:tc>
          <w:tcPr>
            <w:tcW w:w="341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各类原辅料分别设置围堰</w:t>
            </w:r>
          </w:p>
        </w:tc>
        <w:tc>
          <w:tcPr>
            <w:tcW w:w="989" w:type="dxa"/>
            <w:vMerge w:val="restart"/>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营运期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671" w:type="dxa"/>
            <w:vMerge w:val="continue"/>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p>
        </w:tc>
        <w:tc>
          <w:tcPr>
            <w:tcW w:w="671" w:type="dxa"/>
            <w:vMerge w:val="continue"/>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p>
        </w:tc>
        <w:tc>
          <w:tcPr>
            <w:tcW w:w="268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应急物资</w:t>
            </w:r>
          </w:p>
        </w:tc>
        <w:tc>
          <w:tcPr>
            <w:tcW w:w="107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1</w:t>
            </w:r>
          </w:p>
        </w:tc>
        <w:tc>
          <w:tcPr>
            <w:tcW w:w="341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配备应急物资</w:t>
            </w:r>
          </w:p>
        </w:tc>
        <w:tc>
          <w:tcPr>
            <w:tcW w:w="989" w:type="dxa"/>
            <w:vMerge w:val="continue"/>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671" w:type="dxa"/>
            <w:vMerge w:val="continue"/>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p>
        </w:tc>
        <w:tc>
          <w:tcPr>
            <w:tcW w:w="3355" w:type="dxa"/>
            <w:gridSpan w:val="2"/>
            <w:tcBorders>
              <w:tl2br w:val="nil"/>
              <w:tr2bl w:val="nil"/>
            </w:tcBorders>
            <w:shd w:val="clear" w:color="auto" w:fill="auto"/>
            <w:vAlign w:val="center"/>
          </w:tcPr>
          <w:p>
            <w:pPr>
              <w:pStyle w:val="74"/>
              <w:rPr>
                <w:rFonts w:hint="eastAsia" w:ascii="Times New Roman" w:hAnsi="Times New Roman" w:eastAsia="宋体" w:cs="Times New Roman"/>
                <w:color w:val="auto"/>
                <w:kern w:val="2"/>
                <w:highlight w:val="none"/>
                <w:lang w:val="en-US" w:eastAsia="zh-CN"/>
              </w:rPr>
            </w:pPr>
            <w:r>
              <w:rPr>
                <w:rFonts w:hint="eastAsia" w:cs="Times New Roman"/>
                <w:color w:val="auto"/>
                <w:kern w:val="2"/>
                <w:highlight w:val="none"/>
                <w:lang w:val="en-US" w:eastAsia="zh-CN"/>
              </w:rPr>
              <w:t>主体工程</w:t>
            </w:r>
          </w:p>
        </w:tc>
        <w:tc>
          <w:tcPr>
            <w:tcW w:w="1074" w:type="dxa"/>
            <w:tcBorders>
              <w:tl2br w:val="nil"/>
              <w:tr2bl w:val="nil"/>
            </w:tcBorders>
            <w:shd w:val="clear" w:color="auto" w:fill="auto"/>
            <w:vAlign w:val="center"/>
          </w:tcPr>
          <w:p>
            <w:pPr>
              <w:pStyle w:val="74"/>
              <w:rPr>
                <w:rFonts w:hint="default" w:ascii="Times New Roman" w:hAnsi="Times New Roman" w:eastAsia="宋体" w:cs="Times New Roman"/>
                <w:color w:val="auto"/>
                <w:kern w:val="2"/>
                <w:highlight w:val="none"/>
                <w:lang w:val="en-US" w:eastAsia="zh-CN"/>
              </w:rPr>
            </w:pPr>
            <w:r>
              <w:rPr>
                <w:rFonts w:hint="eastAsia" w:cs="Times New Roman"/>
                <w:color w:val="auto"/>
                <w:kern w:val="2"/>
                <w:highlight w:val="none"/>
                <w:lang w:val="en-US" w:eastAsia="zh-CN"/>
              </w:rPr>
              <w:t>7753.5</w:t>
            </w:r>
          </w:p>
        </w:tc>
        <w:tc>
          <w:tcPr>
            <w:tcW w:w="3414" w:type="dxa"/>
            <w:tcBorders>
              <w:tl2br w:val="nil"/>
              <w:tr2bl w:val="nil"/>
            </w:tcBorders>
            <w:shd w:val="clear" w:color="auto" w:fill="auto"/>
            <w:vAlign w:val="center"/>
          </w:tcPr>
          <w:p>
            <w:pPr>
              <w:pStyle w:val="74"/>
              <w:rPr>
                <w:rFonts w:hint="default" w:ascii="Times New Roman" w:hAnsi="Times New Roman" w:eastAsia="宋体" w:cs="Times New Roman"/>
                <w:color w:val="auto"/>
                <w:kern w:val="2"/>
                <w:highlight w:val="none"/>
                <w:lang w:val="en-US" w:eastAsia="zh-CN"/>
              </w:rPr>
            </w:pPr>
            <w:r>
              <w:rPr>
                <w:rFonts w:hint="eastAsia" w:cs="Times New Roman"/>
                <w:color w:val="auto"/>
                <w:kern w:val="2"/>
                <w:highlight w:val="none"/>
                <w:lang w:val="en-US" w:eastAsia="zh-CN"/>
              </w:rPr>
              <w:t>各种池体建设等</w:t>
            </w:r>
          </w:p>
        </w:tc>
        <w:tc>
          <w:tcPr>
            <w:tcW w:w="989"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施工期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671" w:type="dxa"/>
            <w:vMerge w:val="continue"/>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p>
        </w:tc>
        <w:tc>
          <w:tcPr>
            <w:tcW w:w="3355" w:type="dxa"/>
            <w:gridSpan w:val="2"/>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合计</w:t>
            </w:r>
          </w:p>
        </w:tc>
        <w:tc>
          <w:tcPr>
            <w:tcW w:w="107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r>
              <w:rPr>
                <w:rFonts w:hint="eastAsia" w:cs="Times New Roman"/>
                <w:color w:val="auto"/>
                <w:kern w:val="2"/>
                <w:highlight w:val="none"/>
                <w:lang w:eastAsia="zh-CN"/>
              </w:rPr>
              <w:t>8000</w:t>
            </w:r>
          </w:p>
        </w:tc>
        <w:tc>
          <w:tcPr>
            <w:tcW w:w="3414"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p>
        </w:tc>
        <w:tc>
          <w:tcPr>
            <w:tcW w:w="989" w:type="dxa"/>
            <w:tcBorders>
              <w:tl2br w:val="nil"/>
              <w:tr2bl w:val="nil"/>
            </w:tcBorders>
            <w:shd w:val="clear" w:color="auto" w:fill="auto"/>
            <w:vAlign w:val="center"/>
          </w:tcPr>
          <w:p>
            <w:pPr>
              <w:pStyle w:val="74"/>
              <w:rPr>
                <w:rFonts w:hint="default" w:ascii="Times New Roman" w:hAnsi="Times New Roman" w:cs="Times New Roman"/>
                <w:color w:val="auto"/>
                <w:kern w:val="2"/>
                <w:highlight w:val="none"/>
              </w:rPr>
            </w:pPr>
          </w:p>
        </w:tc>
      </w:tr>
    </w:tbl>
    <w:p>
      <w:pPr>
        <w:pStyle w:val="4"/>
        <w:bidi w:val="0"/>
        <w:rPr>
          <w:rFonts w:hint="default"/>
          <w:color w:val="auto"/>
          <w:highlight w:val="none"/>
        </w:rPr>
      </w:pPr>
      <w:bookmarkStart w:id="260" w:name="_Toc25058"/>
      <w:bookmarkStart w:id="261" w:name="_Toc24625"/>
      <w:r>
        <w:rPr>
          <w:rFonts w:hint="default"/>
          <w:color w:val="auto"/>
          <w:highlight w:val="none"/>
        </w:rPr>
        <w:t>环境效益分析</w:t>
      </w:r>
      <w:bookmarkEnd w:id="259"/>
      <w:bookmarkEnd w:id="260"/>
      <w:bookmarkEnd w:id="261"/>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既是一项基础设施建设工程，又是一项城市综合整治和水环境综合整治的公益性环保工程。它既可改善新疆昌吉国家农业高新技术产业示范区基础设施建设不完善的状况，有着较好的社会、经济和环境效益。本项目特有的环保工程特征决定了其投资效益具有三个特点：</w:t>
      </w:r>
    </w:p>
    <w:p>
      <w:pPr>
        <w:numPr>
          <w:ilvl w:val="0"/>
          <w:numId w:val="11"/>
        </w:num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间接性。本项目带来的效益更多的是使其他部门提高效率、减少损失，所以投资的直接收益率低，污水处理厂的运转需要一定的财政补贴；</w:t>
      </w:r>
    </w:p>
    <w:p>
      <w:pPr>
        <w:numPr>
          <w:ilvl w:val="0"/>
          <w:numId w:val="11"/>
        </w:num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隐蔽性。本项目投资产生的最大效益是防治水体污染，保证生活生产用水质量，社会效益显著；</w:t>
      </w:r>
    </w:p>
    <w:p>
      <w:pPr>
        <w:numPr>
          <w:ilvl w:val="0"/>
          <w:numId w:val="11"/>
        </w:num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分散性。由于水污染的危害涉及社会各方面，包括生活、生产、旅游、人身健康等，使得工程投资的效益较分散。具有十分显著的环境效益。</w:t>
      </w:r>
    </w:p>
    <w:p>
      <w:pPr>
        <w:pStyle w:val="4"/>
        <w:bidi w:val="0"/>
        <w:rPr>
          <w:rFonts w:hint="default"/>
          <w:color w:val="auto"/>
          <w:highlight w:val="none"/>
        </w:rPr>
      </w:pPr>
      <w:bookmarkStart w:id="262" w:name="_Toc24054"/>
      <w:bookmarkStart w:id="263" w:name="_Toc430014792"/>
      <w:bookmarkStart w:id="264" w:name="_Toc27416"/>
      <w:bookmarkStart w:id="265" w:name="_Toc16575"/>
      <w:r>
        <w:rPr>
          <w:rFonts w:hint="default"/>
          <w:color w:val="auto"/>
          <w:highlight w:val="none"/>
        </w:rPr>
        <w:t>社会效益分析</w:t>
      </w:r>
      <w:bookmarkEnd w:id="262"/>
      <w:bookmarkEnd w:id="263"/>
      <w:bookmarkEnd w:id="264"/>
      <w:bookmarkEnd w:id="265"/>
    </w:p>
    <w:p>
      <w:pPr>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本项目的实施同样也会对社会环境造成一定的损失，如污水处理厂永久占地减少了土地资源；如果对污水处理厂恶臭物质排放处理不当，对厂址周围的环境敏感点有一定的影响；此外污水处理厂施工也会对局部交通造成影响，对施工区附近的居民出行带来不便等，施工期有可能因措施不当造成局部水土流失，增加地表水的浑浊度。但与项目的正面社会环境效益相比，</w:t>
      </w:r>
      <w:r>
        <w:rPr>
          <w:rFonts w:hint="eastAsia" w:cs="Times New Roman"/>
          <w:color w:val="auto"/>
          <w:highlight w:val="none"/>
          <w:lang w:eastAsia="zh-CN"/>
        </w:rPr>
        <w:t>本项目</w:t>
      </w:r>
      <w:r>
        <w:rPr>
          <w:rFonts w:hint="default" w:ascii="Times New Roman" w:hAnsi="Times New Roman" w:cs="Times New Roman"/>
          <w:color w:val="auto"/>
          <w:highlight w:val="none"/>
        </w:rPr>
        <w:t>竣工投产后，有利</w:t>
      </w:r>
      <w:r>
        <w:rPr>
          <w:rFonts w:hint="eastAsia" w:cs="Times New Roman"/>
          <w:color w:val="auto"/>
          <w:highlight w:val="none"/>
          <w:lang w:val="en-US" w:eastAsia="zh-CN"/>
        </w:rPr>
        <w:t>于</w:t>
      </w:r>
      <w:r>
        <w:rPr>
          <w:rFonts w:hint="default" w:ascii="Times New Roman" w:hAnsi="Times New Roman" w:cs="Times New Roman"/>
          <w:color w:val="auto"/>
          <w:highlight w:val="none"/>
        </w:rPr>
        <w:t>保护新疆昌吉国家农业高新技术产业示范区</w:t>
      </w:r>
      <w:r>
        <w:rPr>
          <w:rFonts w:hint="default" w:ascii="Times New Roman" w:hAnsi="Times New Roman" w:cs="Times New Roman"/>
          <w:color w:val="auto"/>
          <w:highlight w:val="none"/>
          <w:lang w:val="zh-CN"/>
        </w:rPr>
        <w:t>附近水环境质量与生态环境质量，明显是利大于弊。</w:t>
      </w:r>
    </w:p>
    <w:p>
      <w:pPr>
        <w:pStyle w:val="4"/>
        <w:bidi w:val="0"/>
        <w:rPr>
          <w:rFonts w:hint="eastAsia"/>
          <w:color w:val="auto"/>
          <w:highlight w:val="none"/>
          <w:lang w:val="en-US" w:eastAsia="zh-CN"/>
        </w:rPr>
      </w:pPr>
      <w:bookmarkStart w:id="266" w:name="_Toc4297"/>
      <w:r>
        <w:rPr>
          <w:rFonts w:hint="eastAsia"/>
          <w:color w:val="auto"/>
          <w:highlight w:val="none"/>
          <w:lang w:val="en-US" w:eastAsia="zh-CN"/>
        </w:rPr>
        <w:t>小结</w:t>
      </w:r>
      <w:bookmarkEnd w:id="266"/>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zh-CN"/>
        </w:rPr>
        <w:t>综上所述，</w:t>
      </w:r>
      <w:r>
        <w:rPr>
          <w:rFonts w:hint="eastAsia" w:cs="Times New Roman"/>
          <w:color w:val="auto"/>
          <w:highlight w:val="none"/>
          <w:lang w:val="zh-CN"/>
        </w:rPr>
        <w:t>本项目</w:t>
      </w:r>
      <w:r>
        <w:rPr>
          <w:rFonts w:hint="default" w:ascii="Times New Roman" w:hAnsi="Times New Roman" w:cs="Times New Roman"/>
          <w:color w:val="auto"/>
          <w:highlight w:val="none"/>
          <w:lang w:val="zh-CN"/>
        </w:rPr>
        <w:t>是改善新疆昌吉国家农业高新技术产业示范区环境质量，促进新疆昌吉国家农业高新技术产业示范区园区建设的重要措施。该工程的建设将产生良好的环境效益、社会效益和经济效益。</w:t>
      </w:r>
    </w:p>
    <w:p>
      <w:pPr>
        <w:ind w:firstLine="480"/>
        <w:rPr>
          <w:rFonts w:hint="default" w:ascii="Times New Roman" w:hAnsi="Times New Roman" w:cs="Times New Roman"/>
          <w:color w:val="auto"/>
          <w:highlight w:val="none"/>
        </w:rPr>
        <w:sectPr>
          <w:pgSz w:w="11906" w:h="16838"/>
          <w:pgMar w:top="1440" w:right="1304" w:bottom="1440" w:left="1304" w:header="851" w:footer="992" w:gutter="0"/>
          <w:pgBorders>
            <w:top w:val="none" w:sz="0" w:space="0"/>
            <w:left w:val="none" w:sz="0" w:space="0"/>
            <w:bottom w:val="none" w:sz="0" w:space="0"/>
            <w:right w:val="none" w:sz="0" w:space="0"/>
          </w:pgBorders>
          <w:pgNumType w:fmt="numberInDash"/>
          <w:cols w:space="0" w:num="1"/>
          <w:docGrid w:type="lines" w:linePitch="312" w:charSpace="0"/>
        </w:sectPr>
      </w:pPr>
      <w:bookmarkStart w:id="267" w:name="_Toc8801"/>
    </w:p>
    <w:p>
      <w:pPr>
        <w:pStyle w:val="3"/>
        <w:rPr>
          <w:rFonts w:hint="default" w:ascii="Times New Roman" w:hAnsi="Times New Roman" w:cs="Times New Roman"/>
          <w:color w:val="FF0000"/>
          <w:highlight w:val="none"/>
        </w:rPr>
      </w:pPr>
      <w:bookmarkStart w:id="268" w:name="_Toc20824"/>
      <w:bookmarkStart w:id="269" w:name="_Toc12524"/>
      <w:r>
        <w:rPr>
          <w:rFonts w:hint="default" w:ascii="Times New Roman" w:hAnsi="Times New Roman" w:cs="Times New Roman"/>
          <w:color w:val="FF0000"/>
          <w:highlight w:val="none"/>
        </w:rPr>
        <w:t>环境管理与监测计划</w:t>
      </w:r>
      <w:bookmarkEnd w:id="267"/>
      <w:bookmarkEnd w:id="268"/>
      <w:bookmarkEnd w:id="269"/>
    </w:p>
    <w:p>
      <w:pPr>
        <w:pStyle w:val="4"/>
        <w:bidi w:val="0"/>
        <w:rPr>
          <w:rFonts w:hint="default"/>
          <w:color w:val="FF0000"/>
          <w:highlight w:val="none"/>
        </w:rPr>
      </w:pPr>
      <w:bookmarkStart w:id="270" w:name="_Toc4335"/>
      <w:bookmarkStart w:id="271" w:name="_Toc23890"/>
      <w:bookmarkStart w:id="272" w:name="_Toc430014805"/>
      <w:bookmarkStart w:id="273" w:name="_Toc30186"/>
      <w:bookmarkStart w:id="274" w:name="_Toc286204262"/>
      <w:r>
        <w:rPr>
          <w:rFonts w:hint="default"/>
          <w:color w:val="FF0000"/>
          <w:highlight w:val="none"/>
        </w:rPr>
        <w:t>环境管理</w:t>
      </w:r>
      <w:bookmarkEnd w:id="270"/>
      <w:bookmarkEnd w:id="271"/>
      <w:bookmarkEnd w:id="272"/>
      <w:bookmarkEnd w:id="273"/>
      <w:bookmarkEnd w:id="274"/>
    </w:p>
    <w:p>
      <w:pPr>
        <w:pStyle w:val="5"/>
        <w:rPr>
          <w:rFonts w:hint="default" w:ascii="Times New Roman" w:hAnsi="Times New Roman" w:cs="Times New Roman"/>
          <w:color w:val="FF0000"/>
          <w:highlight w:val="none"/>
        </w:rPr>
      </w:pPr>
      <w:bookmarkStart w:id="275" w:name="_Toc429399112"/>
      <w:r>
        <w:rPr>
          <w:rFonts w:hint="default" w:ascii="Times New Roman" w:hAnsi="Times New Roman" w:cs="Times New Roman"/>
          <w:color w:val="FF0000"/>
          <w:highlight w:val="none"/>
        </w:rPr>
        <w:t>环境管理的基本任务</w:t>
      </w:r>
      <w:bookmarkEnd w:id="275"/>
    </w:p>
    <w:p>
      <w:pPr>
        <w:ind w:firstLine="480"/>
        <w:rPr>
          <w:rFonts w:hint="default" w:ascii="Times New Roman" w:hAnsi="Times New Roman" w:cs="Times New Roman"/>
          <w:color w:val="FF0000"/>
          <w:highlight w:val="none"/>
        </w:rPr>
      </w:pPr>
      <w:r>
        <w:rPr>
          <w:rFonts w:hint="default" w:ascii="Times New Roman" w:hAnsi="Times New Roman" w:cs="Times New Roman"/>
          <w:color w:val="FF0000"/>
          <w:highlight w:val="none"/>
        </w:rPr>
        <w:t>本项目环境管理的基本任务是：控制污染物排放量，避免污染物对环境质量的损害。</w:t>
      </w:r>
    </w:p>
    <w:p>
      <w:pPr>
        <w:ind w:firstLine="480"/>
        <w:rPr>
          <w:rFonts w:hint="default" w:ascii="Times New Roman" w:hAnsi="Times New Roman" w:cs="Times New Roman"/>
          <w:color w:val="FF0000"/>
          <w:highlight w:val="none"/>
        </w:rPr>
      </w:pPr>
      <w:r>
        <w:rPr>
          <w:rFonts w:hint="default" w:ascii="Times New Roman" w:hAnsi="Times New Roman" w:cs="Times New Roman"/>
          <w:color w:val="FF0000"/>
          <w:highlight w:val="none"/>
        </w:rPr>
        <w:t>为了控制污染物的排放，就需要加强计划、生产、技术、质量、设备、劳动、财务等方面的管理，把环境管理渗透到整个企业管理中，将环境管理溶合在一起，以减少从生产过程中各环节排出的污染物。</w:t>
      </w:r>
    </w:p>
    <w:p>
      <w:pPr>
        <w:ind w:firstLine="480"/>
        <w:rPr>
          <w:rFonts w:hint="default" w:ascii="Times New Roman" w:hAnsi="Times New Roman" w:cs="Times New Roman"/>
          <w:color w:val="FF0000"/>
          <w:highlight w:val="none"/>
        </w:rPr>
      </w:pPr>
      <w:r>
        <w:rPr>
          <w:rFonts w:hint="default" w:ascii="Times New Roman" w:hAnsi="Times New Roman" w:cs="Times New Roman"/>
          <w:color w:val="FF0000"/>
          <w:highlight w:val="none"/>
        </w:rPr>
        <w:t>本项目应该将环境管理作为企业管理的重要组成部分，建立环境污染管理系统、制度、环境规划、协调发展生产保护环境的关系，使生产管理系统、制度、环境污染规划协调生产与保护环境的关系，使生产目标与环境目标统一起来，经济效益与环境效益统一起来。</w:t>
      </w:r>
    </w:p>
    <w:p>
      <w:pPr>
        <w:pStyle w:val="5"/>
        <w:rPr>
          <w:rFonts w:hint="default" w:ascii="Times New Roman" w:hAnsi="Times New Roman" w:cs="Times New Roman"/>
          <w:color w:val="FF0000"/>
          <w:highlight w:val="none"/>
        </w:rPr>
      </w:pPr>
      <w:r>
        <w:rPr>
          <w:rFonts w:hint="eastAsia" w:cs="Times New Roman"/>
          <w:color w:val="FF0000"/>
          <w:highlight w:val="none"/>
          <w:lang w:eastAsia="zh-CN"/>
        </w:rPr>
        <w:t>本项目</w:t>
      </w:r>
      <w:r>
        <w:rPr>
          <w:rFonts w:hint="default" w:ascii="Times New Roman" w:hAnsi="Times New Roman" w:cs="Times New Roman"/>
          <w:color w:val="FF0000"/>
          <w:highlight w:val="none"/>
        </w:rPr>
        <w:t>环境保护管理的主要内容</w:t>
      </w:r>
    </w:p>
    <w:p>
      <w:pPr>
        <w:ind w:firstLine="480"/>
        <w:rPr>
          <w:rFonts w:hint="default" w:ascii="Times New Roman" w:hAnsi="Times New Roman" w:cs="Times New Roman"/>
          <w:color w:val="FF0000"/>
          <w:highlight w:val="none"/>
        </w:rPr>
      </w:pPr>
      <w:r>
        <w:rPr>
          <w:rFonts w:hint="default" w:ascii="Times New Roman" w:hAnsi="Times New Roman" w:cs="Times New Roman"/>
          <w:color w:val="FF0000"/>
          <w:highlight w:val="none"/>
        </w:rPr>
        <w:t>（1）遵循ISO9000和ISO14000系列标准，按照清洁工程的要求，加强质量管理和环境管理，防止二次污染；</w:t>
      </w:r>
    </w:p>
    <w:p>
      <w:pPr>
        <w:ind w:firstLine="480"/>
        <w:rPr>
          <w:rFonts w:hint="default" w:ascii="Times New Roman" w:hAnsi="Times New Roman" w:cs="Times New Roman"/>
          <w:color w:val="FF0000"/>
          <w:highlight w:val="none"/>
        </w:rPr>
      </w:pPr>
      <w:r>
        <w:rPr>
          <w:rFonts w:hint="default" w:ascii="Times New Roman" w:hAnsi="Times New Roman" w:cs="Times New Roman"/>
          <w:color w:val="FF0000"/>
          <w:highlight w:val="none"/>
        </w:rPr>
        <w:t>（2）在污水处理厂设置专门的环保机构，配备环保专管人员，明确环保管理职责；其职责范围包括贯彻落实国家各项环保方针、政策和法规，执行环境保护标准，制定与实施环境保护计划，组织与监督污染事故调查处理，开展环境风险教育；</w:t>
      </w:r>
    </w:p>
    <w:p>
      <w:pPr>
        <w:ind w:firstLine="480"/>
        <w:rPr>
          <w:rFonts w:hint="default" w:ascii="Times New Roman" w:hAnsi="Times New Roman" w:cs="Times New Roman"/>
          <w:color w:val="FF0000"/>
          <w:highlight w:val="none"/>
        </w:rPr>
      </w:pPr>
      <w:r>
        <w:rPr>
          <w:rFonts w:hint="default" w:ascii="Times New Roman" w:hAnsi="Times New Roman" w:cs="Times New Roman"/>
          <w:color w:val="FF0000"/>
          <w:highlight w:val="none"/>
        </w:rPr>
        <w:t>（3）落实和实施监控计划，保证工程的正常运转，督促各职能部门实施工程处理后出水水质满足工程设计标准，落实污泥的处置，有效地防止二次污染；</w:t>
      </w:r>
    </w:p>
    <w:p>
      <w:pPr>
        <w:ind w:firstLine="480"/>
        <w:rPr>
          <w:rFonts w:hint="default" w:ascii="Times New Roman" w:hAnsi="Times New Roman" w:cs="Times New Roman"/>
          <w:color w:val="FF0000"/>
          <w:highlight w:val="none"/>
        </w:rPr>
      </w:pPr>
      <w:r>
        <w:rPr>
          <w:rFonts w:hint="default" w:ascii="Times New Roman" w:hAnsi="Times New Roman" w:cs="Times New Roman"/>
          <w:color w:val="FF0000"/>
          <w:highlight w:val="none"/>
        </w:rPr>
        <w:t>（4）搞好厂内环境卫生，制定和实施绿化规划，使之起到降噪和净化空气的作用；</w:t>
      </w:r>
    </w:p>
    <w:p>
      <w:pPr>
        <w:ind w:firstLine="480"/>
        <w:rPr>
          <w:rFonts w:hint="default" w:ascii="Times New Roman" w:hAnsi="Times New Roman" w:cs="Times New Roman"/>
          <w:color w:val="FF0000"/>
          <w:highlight w:val="none"/>
        </w:rPr>
      </w:pPr>
      <w:r>
        <w:rPr>
          <w:rFonts w:hint="default" w:ascii="Times New Roman" w:hAnsi="Times New Roman" w:cs="Times New Roman"/>
          <w:color w:val="FF0000"/>
          <w:highlight w:val="none"/>
        </w:rPr>
        <w:t>（5）聘请有经验的专业技术人员负责厂内的技术管理，组织操作人员上岗前进行专业技术培训。</w:t>
      </w:r>
    </w:p>
    <w:p>
      <w:pPr>
        <w:ind w:firstLine="480"/>
        <w:rPr>
          <w:rFonts w:hint="default" w:ascii="Times New Roman" w:hAnsi="Times New Roman" w:cs="Times New Roman"/>
          <w:color w:val="FF0000"/>
          <w:highlight w:val="none"/>
        </w:rPr>
      </w:pPr>
      <w:r>
        <w:rPr>
          <w:rFonts w:hint="default" w:ascii="Times New Roman" w:hAnsi="Times New Roman" w:cs="Times New Roman"/>
          <w:color w:val="FF0000"/>
          <w:highlight w:val="none"/>
        </w:rPr>
        <w:t>（6）环保部门监督服务区内工业企业必须在厂内进行污水预处理，生活废水达到《</w:t>
      </w:r>
      <w:r>
        <w:rPr>
          <w:rFonts w:hint="default" w:ascii="Times New Roman" w:hAnsi="Times New Roman" w:cs="Times New Roman"/>
          <w:color w:val="FF0000"/>
          <w:highlight w:val="none"/>
          <w:lang w:eastAsia="zh-CN"/>
        </w:rPr>
        <w:t>污水排入城镇下水道水质标准</w:t>
      </w:r>
      <w:r>
        <w:rPr>
          <w:rFonts w:hint="default" w:ascii="Times New Roman" w:hAnsi="Times New Roman" w:cs="Times New Roman"/>
          <w:color w:val="FF0000"/>
          <w:highlight w:val="none"/>
        </w:rPr>
        <w:t>》（</w:t>
      </w:r>
      <w:r>
        <w:rPr>
          <w:rFonts w:hint="default" w:ascii="Times New Roman" w:hAnsi="Times New Roman" w:cs="Times New Roman"/>
          <w:color w:val="FF0000"/>
          <w:highlight w:val="none"/>
          <w:lang w:eastAsia="zh-CN"/>
        </w:rPr>
        <w:t>GB/T31962-2015</w:t>
      </w:r>
      <w:r>
        <w:rPr>
          <w:rFonts w:hint="default" w:ascii="Times New Roman" w:hAnsi="Times New Roman" w:cs="Times New Roman"/>
          <w:color w:val="FF0000"/>
          <w:highlight w:val="none"/>
        </w:rPr>
        <w:t>）排放标准，工业废水达到本项目进水水质标准后方可排入污水管网，以保证污水处理厂的正常运行；</w:t>
      </w:r>
    </w:p>
    <w:p>
      <w:pPr>
        <w:ind w:firstLine="480"/>
        <w:rPr>
          <w:rFonts w:hint="default" w:ascii="Times New Roman" w:hAnsi="Times New Roman" w:cs="Times New Roman"/>
          <w:color w:val="FF0000"/>
          <w:highlight w:val="none"/>
        </w:rPr>
      </w:pPr>
      <w:r>
        <w:rPr>
          <w:rFonts w:hint="default" w:ascii="Times New Roman" w:hAnsi="Times New Roman" w:cs="Times New Roman"/>
          <w:color w:val="FF0000"/>
          <w:highlight w:val="none"/>
        </w:rPr>
        <w:t>（7）制定公用设施使用条例，监督和约束用户合理的使用排水设施，以提高排水设施的使用年限；</w:t>
      </w:r>
    </w:p>
    <w:p>
      <w:pPr>
        <w:ind w:firstLine="480"/>
        <w:rPr>
          <w:rFonts w:hint="default" w:ascii="Times New Roman" w:hAnsi="Times New Roman" w:cs="Times New Roman"/>
          <w:color w:val="FF0000"/>
          <w:highlight w:val="none"/>
        </w:rPr>
      </w:pPr>
      <w:r>
        <w:rPr>
          <w:rFonts w:hint="default" w:ascii="Times New Roman" w:hAnsi="Times New Roman" w:cs="Times New Roman"/>
          <w:color w:val="FF0000"/>
          <w:highlight w:val="none"/>
        </w:rPr>
        <w:t>（8）理顺排污单位、环保监测站、污水处理厂的相互关系，科学管理，合理调度；</w:t>
      </w:r>
    </w:p>
    <w:p>
      <w:pPr>
        <w:ind w:firstLine="480"/>
        <w:rPr>
          <w:rFonts w:hint="default" w:ascii="Times New Roman" w:hAnsi="Times New Roman" w:cs="Times New Roman"/>
          <w:color w:val="FF0000"/>
          <w:highlight w:val="none"/>
        </w:rPr>
      </w:pPr>
      <w:r>
        <w:rPr>
          <w:rFonts w:hint="default" w:ascii="Times New Roman" w:hAnsi="Times New Roman" w:cs="Times New Roman"/>
          <w:color w:val="FF0000"/>
          <w:highlight w:val="none"/>
        </w:rPr>
        <w:t>（9）严格控制工业污染源、禁止在汇水区内新建污染严重和排放重金属的企业；</w:t>
      </w:r>
    </w:p>
    <w:p>
      <w:pPr>
        <w:ind w:firstLine="480"/>
        <w:rPr>
          <w:rFonts w:hint="default" w:ascii="Times New Roman" w:hAnsi="Times New Roman" w:cs="Times New Roman"/>
          <w:color w:val="FF0000"/>
          <w:highlight w:val="none"/>
        </w:rPr>
      </w:pPr>
      <w:r>
        <w:rPr>
          <w:rFonts w:hint="default" w:ascii="Times New Roman" w:hAnsi="Times New Roman" w:cs="Times New Roman"/>
          <w:color w:val="FF0000"/>
          <w:highlight w:val="none"/>
        </w:rPr>
        <w:t>（10）建立污水排放收费系统，实施排水设施的有偿使用，促进排水系统及污水处理系统的发展和良性循环。</w:t>
      </w:r>
    </w:p>
    <w:p>
      <w:pPr>
        <w:pStyle w:val="5"/>
        <w:rPr>
          <w:rFonts w:hint="default" w:ascii="Times New Roman" w:hAnsi="Times New Roman" w:cs="Times New Roman"/>
          <w:color w:val="FF0000"/>
          <w:highlight w:val="none"/>
        </w:rPr>
      </w:pPr>
      <w:r>
        <w:rPr>
          <w:rFonts w:hint="default" w:ascii="Times New Roman" w:hAnsi="Times New Roman" w:cs="Times New Roman"/>
          <w:color w:val="FF0000"/>
          <w:highlight w:val="none"/>
        </w:rPr>
        <w:t>服务区域内排水政策与管理建议</w:t>
      </w:r>
    </w:p>
    <w:p>
      <w:pPr>
        <w:ind w:firstLine="480"/>
        <w:rPr>
          <w:rFonts w:hint="default" w:ascii="Times New Roman" w:hAnsi="Times New Roman" w:cs="Times New Roman"/>
          <w:color w:val="FF0000"/>
          <w:highlight w:val="none"/>
        </w:rPr>
      </w:pPr>
      <w:r>
        <w:rPr>
          <w:rFonts w:hint="default" w:ascii="Times New Roman" w:hAnsi="Times New Roman" w:cs="Times New Roman"/>
          <w:color w:val="FF0000"/>
          <w:highlight w:val="none"/>
        </w:rPr>
        <w:t>（1）严格控制工业污染源</w:t>
      </w:r>
    </w:p>
    <w:p>
      <w:pPr>
        <w:ind w:firstLine="480"/>
        <w:rPr>
          <w:rFonts w:hint="default" w:ascii="Times New Roman" w:hAnsi="Times New Roman" w:cs="Times New Roman"/>
          <w:color w:val="FF0000"/>
          <w:highlight w:val="none"/>
        </w:rPr>
      </w:pPr>
      <w:r>
        <w:rPr>
          <w:rFonts w:hint="eastAsia" w:cs="Times New Roman"/>
          <w:color w:val="FF0000"/>
          <w:highlight w:val="none"/>
          <w:lang w:eastAsia="zh-CN"/>
        </w:rPr>
        <w:t>对</w:t>
      </w:r>
      <w:r>
        <w:rPr>
          <w:rFonts w:hint="default" w:ascii="Times New Roman" w:hAnsi="Times New Roman" w:cs="Times New Roman"/>
          <w:color w:val="FF0000"/>
          <w:highlight w:val="none"/>
        </w:rPr>
        <w:t>园区的工业企业加强环境管理和环保意识的教育，实行达标排放，限期治理。对工业污染源排水量实行总量控制，制定单位产品的用水排水定额，且其排放水质应达到污水处理厂接纳标准。</w:t>
      </w:r>
    </w:p>
    <w:p>
      <w:pPr>
        <w:ind w:firstLine="480"/>
        <w:rPr>
          <w:rFonts w:hint="default" w:ascii="Times New Roman" w:hAnsi="Times New Roman" w:cs="Times New Roman"/>
          <w:color w:val="FF0000"/>
          <w:highlight w:val="none"/>
        </w:rPr>
      </w:pPr>
      <w:r>
        <w:rPr>
          <w:rFonts w:hint="default" w:ascii="Times New Roman" w:hAnsi="Times New Roman" w:cs="Times New Roman"/>
          <w:color w:val="FF0000"/>
          <w:highlight w:val="none"/>
        </w:rPr>
        <w:t>（2）采取有效措施，节约用水</w:t>
      </w:r>
    </w:p>
    <w:p>
      <w:pPr>
        <w:ind w:firstLine="480"/>
        <w:rPr>
          <w:rFonts w:hint="default" w:ascii="Times New Roman" w:hAnsi="Times New Roman" w:cs="Times New Roman"/>
          <w:color w:val="FF0000"/>
          <w:highlight w:val="none"/>
        </w:rPr>
      </w:pPr>
      <w:r>
        <w:rPr>
          <w:rFonts w:hint="default" w:ascii="Times New Roman" w:hAnsi="Times New Roman" w:cs="Times New Roman"/>
          <w:color w:val="FF0000"/>
          <w:highlight w:val="none"/>
        </w:rPr>
        <w:t>我国是一个水资源缺少的国家。建议政府部门制定相应的政策、制度和标准，采用排污收费和制定适当的用水定额标准，特别是单位产品的用水排水定额，实行超标加倍收费。为使污水处理工程能有效、稳定、长期运行。</w:t>
      </w:r>
    </w:p>
    <w:p>
      <w:pPr>
        <w:ind w:firstLine="480"/>
        <w:rPr>
          <w:rFonts w:hint="default" w:ascii="Times New Roman" w:hAnsi="Times New Roman" w:cs="Times New Roman"/>
          <w:color w:val="FF0000"/>
          <w:highlight w:val="none"/>
        </w:rPr>
      </w:pPr>
      <w:r>
        <w:rPr>
          <w:rFonts w:hint="default" w:ascii="Times New Roman" w:hAnsi="Times New Roman" w:cs="Times New Roman"/>
          <w:color w:val="FF0000"/>
          <w:highlight w:val="none"/>
        </w:rPr>
        <w:t>（3）合理收费，保障污水处理厂投资大，运行费用高，如果对污水处理不采取合理的政策，完全靠行政补贴，污水处理厂是很难运转下去的，应运用市场原则和经济杠杆，对排污企业和居民个人收取必要的、合理的污水处理费用，实行定额付费、超额加倍收费。</w:t>
      </w:r>
    </w:p>
    <w:p>
      <w:pPr>
        <w:ind w:firstLine="480"/>
        <w:rPr>
          <w:rFonts w:hint="default" w:ascii="Times New Roman" w:hAnsi="Times New Roman" w:cs="Times New Roman"/>
          <w:color w:val="FF0000"/>
          <w:highlight w:val="none"/>
        </w:rPr>
      </w:pPr>
      <w:r>
        <w:rPr>
          <w:rFonts w:hint="default" w:ascii="Times New Roman" w:hAnsi="Times New Roman" w:cs="Times New Roman"/>
          <w:color w:val="FF0000"/>
          <w:highlight w:val="none"/>
        </w:rPr>
        <w:t>（4）设立环保机构，加强环境污染控制</w:t>
      </w:r>
    </w:p>
    <w:p>
      <w:pPr>
        <w:ind w:firstLine="480"/>
        <w:rPr>
          <w:rFonts w:hint="default" w:ascii="Times New Roman" w:hAnsi="Times New Roman" w:cs="Times New Roman"/>
          <w:color w:val="FF0000"/>
          <w:highlight w:val="none"/>
        </w:rPr>
      </w:pPr>
      <w:r>
        <w:rPr>
          <w:rFonts w:hint="default" w:ascii="Times New Roman" w:hAnsi="Times New Roman" w:cs="Times New Roman"/>
          <w:color w:val="FF0000"/>
          <w:highlight w:val="none"/>
        </w:rPr>
        <w:t>污水处理过程中亦会产生臭气、污泥、噪声等污染因素，影响周围环境，污水处理厂设置专门的环保管理，加强对本身和工程施工期污染防治和环境管理工作。管理机构包括工作人员数量、技术要求，人员的环保意识或能力培训，其具体工作有：</w:t>
      </w:r>
    </w:p>
    <w:p>
      <w:pPr>
        <w:ind w:firstLine="480"/>
        <w:rPr>
          <w:rFonts w:hint="default" w:ascii="Times New Roman" w:hAnsi="Times New Roman" w:cs="Times New Roman"/>
          <w:color w:val="FF0000"/>
          <w:highlight w:val="none"/>
          <w:lang w:val="zh-CN"/>
        </w:rPr>
      </w:pPr>
      <w:r>
        <w:rPr>
          <w:rFonts w:hint="default" w:ascii="Times New Roman" w:hAnsi="Times New Roman" w:cs="Times New Roman"/>
          <w:color w:val="FF0000"/>
          <w:highlight w:val="none"/>
          <w:lang w:val="zh-CN"/>
        </w:rPr>
        <w:t>1）宣传、贯彻和执行环境保护政策、法律法规及环境保护标准。开展环境保护宣传、教育、培训等专业知识普及工作；</w:t>
      </w:r>
    </w:p>
    <w:p>
      <w:pPr>
        <w:ind w:firstLine="480"/>
        <w:rPr>
          <w:rFonts w:hint="default" w:ascii="Times New Roman" w:hAnsi="Times New Roman" w:cs="Times New Roman"/>
          <w:color w:val="FF0000"/>
          <w:highlight w:val="none"/>
          <w:lang w:val="zh-CN"/>
        </w:rPr>
      </w:pPr>
      <w:r>
        <w:rPr>
          <w:rFonts w:hint="default" w:ascii="Times New Roman" w:hAnsi="Times New Roman" w:cs="Times New Roman"/>
          <w:color w:val="FF0000"/>
          <w:highlight w:val="none"/>
          <w:lang w:val="zh-CN"/>
        </w:rPr>
        <w:t>2）编制并组织实施环境保护规划和计划，并监督执行，负责日常环境保护的管理工作；</w:t>
      </w:r>
    </w:p>
    <w:p>
      <w:pPr>
        <w:ind w:firstLine="480"/>
        <w:rPr>
          <w:rFonts w:hint="default" w:ascii="Times New Roman" w:hAnsi="Times New Roman" w:cs="Times New Roman"/>
          <w:color w:val="FF0000"/>
          <w:highlight w:val="none"/>
          <w:lang w:val="zh-CN"/>
        </w:rPr>
      </w:pPr>
      <w:r>
        <w:rPr>
          <w:rFonts w:hint="default" w:ascii="Times New Roman" w:hAnsi="Times New Roman" w:cs="Times New Roman"/>
          <w:color w:val="FF0000"/>
          <w:highlight w:val="none"/>
          <w:lang w:val="zh-CN"/>
        </w:rPr>
        <w:t>3）领导并组织企业的环境监测工作，建立监测台帐和档案，做好环境统计，使企业领导、上级部门及时掌握污染治理动态；</w:t>
      </w:r>
    </w:p>
    <w:p>
      <w:pPr>
        <w:ind w:firstLine="480"/>
        <w:rPr>
          <w:rFonts w:hint="default" w:ascii="Times New Roman" w:hAnsi="Times New Roman" w:cs="Times New Roman"/>
          <w:color w:val="FF0000"/>
          <w:highlight w:val="none"/>
          <w:lang w:val="zh-CN"/>
        </w:rPr>
      </w:pPr>
      <w:r>
        <w:rPr>
          <w:rFonts w:hint="default" w:ascii="Times New Roman" w:hAnsi="Times New Roman" w:cs="Times New Roman"/>
          <w:color w:val="FF0000"/>
          <w:highlight w:val="none"/>
          <w:lang w:val="zh-CN"/>
        </w:rPr>
        <w:t>4）建立健全环境保护与劳动安全管理制度，监督工程施工期、运行期和服务期满后环保措施的有效实施；</w:t>
      </w:r>
    </w:p>
    <w:p>
      <w:pPr>
        <w:ind w:firstLine="480"/>
        <w:rPr>
          <w:rFonts w:hint="default" w:ascii="Times New Roman" w:hAnsi="Times New Roman" w:cs="Times New Roman"/>
          <w:color w:val="FF0000"/>
          <w:highlight w:val="none"/>
          <w:lang w:val="zh-CN"/>
        </w:rPr>
      </w:pPr>
      <w:r>
        <w:rPr>
          <w:rFonts w:hint="default" w:ascii="Times New Roman" w:hAnsi="Times New Roman" w:cs="Times New Roman"/>
          <w:color w:val="FF0000"/>
          <w:highlight w:val="none"/>
          <w:lang w:val="zh-CN"/>
        </w:rPr>
        <w:t>5）为保证工程环保设施的正常运转，减少或防范污染事故，制定污染治理设备设施操作规程的检查、维修计划，检查、记录污染治理设施运行及检修情况，并定期检查操作人员的操作技能，在实际工作中检验各项操作规范的可行性；</w:t>
      </w:r>
    </w:p>
    <w:p>
      <w:pPr>
        <w:ind w:firstLine="480"/>
        <w:rPr>
          <w:rFonts w:hint="default" w:ascii="Times New Roman" w:hAnsi="Times New Roman" w:cs="Times New Roman"/>
          <w:color w:val="FF0000"/>
          <w:highlight w:val="none"/>
        </w:rPr>
      </w:pPr>
      <w:r>
        <w:rPr>
          <w:rFonts w:hint="default" w:ascii="Times New Roman" w:hAnsi="Times New Roman" w:cs="Times New Roman"/>
          <w:color w:val="FF0000"/>
          <w:highlight w:val="none"/>
          <w:lang w:val="zh-CN"/>
        </w:rPr>
        <w:t>6）检查各环境保护设施的运行情况、负责污染事故性排放的处理和调查。</w:t>
      </w:r>
    </w:p>
    <w:p>
      <w:pPr>
        <w:pStyle w:val="5"/>
        <w:rPr>
          <w:rFonts w:hint="default" w:ascii="Times New Roman" w:hAnsi="Times New Roman" w:cs="Times New Roman"/>
          <w:color w:val="FF0000"/>
          <w:highlight w:val="none"/>
        </w:rPr>
      </w:pPr>
      <w:bookmarkStart w:id="276" w:name="_Toc429399114"/>
      <w:r>
        <w:rPr>
          <w:rFonts w:hint="default" w:ascii="Times New Roman" w:hAnsi="Times New Roman" w:cs="Times New Roman"/>
          <w:color w:val="FF0000"/>
          <w:highlight w:val="none"/>
        </w:rPr>
        <w:t>环境保护规章制度和措施</w:t>
      </w:r>
      <w:bookmarkEnd w:id="276"/>
    </w:p>
    <w:p>
      <w:pPr>
        <w:ind w:firstLine="480"/>
        <w:rPr>
          <w:rFonts w:hint="default" w:ascii="Times New Roman" w:hAnsi="Times New Roman" w:cs="Times New Roman"/>
          <w:color w:val="FF0000"/>
          <w:highlight w:val="none"/>
        </w:rPr>
      </w:pPr>
      <w:r>
        <w:rPr>
          <w:rFonts w:hint="default" w:ascii="Times New Roman" w:hAnsi="Times New Roman" w:cs="Times New Roman"/>
          <w:color w:val="FF0000"/>
          <w:highlight w:val="none"/>
        </w:rPr>
        <w:t>（1）制定环保设施的运行管理和定期监测制度；</w:t>
      </w:r>
    </w:p>
    <w:p>
      <w:pPr>
        <w:ind w:firstLine="480"/>
        <w:rPr>
          <w:rFonts w:hint="default" w:ascii="Times New Roman" w:hAnsi="Times New Roman" w:cs="Times New Roman"/>
          <w:color w:val="FF0000"/>
          <w:highlight w:val="none"/>
        </w:rPr>
      </w:pPr>
      <w:r>
        <w:rPr>
          <w:rFonts w:hint="default" w:ascii="Times New Roman" w:hAnsi="Times New Roman" w:cs="Times New Roman"/>
          <w:color w:val="FF0000"/>
          <w:highlight w:val="none"/>
        </w:rPr>
        <w:t>（2）制定污染处理设施操作规程；</w:t>
      </w:r>
    </w:p>
    <w:p>
      <w:pPr>
        <w:ind w:firstLine="480"/>
        <w:rPr>
          <w:rFonts w:hint="default" w:ascii="Times New Roman" w:hAnsi="Times New Roman" w:cs="Times New Roman"/>
          <w:color w:val="FF0000"/>
          <w:highlight w:val="none"/>
        </w:rPr>
      </w:pPr>
      <w:r>
        <w:rPr>
          <w:rFonts w:hint="default" w:ascii="Times New Roman" w:hAnsi="Times New Roman" w:cs="Times New Roman"/>
          <w:color w:val="FF0000"/>
          <w:highlight w:val="none"/>
        </w:rPr>
        <w:t>（3）制定事故防范和应急处理制度，制定劳动安全、卫生防护制度；</w:t>
      </w:r>
    </w:p>
    <w:p>
      <w:pPr>
        <w:ind w:firstLine="480"/>
        <w:rPr>
          <w:rFonts w:hint="default" w:ascii="Times New Roman" w:hAnsi="Times New Roman" w:cs="Times New Roman"/>
          <w:color w:val="FF0000"/>
          <w:highlight w:val="none"/>
        </w:rPr>
      </w:pPr>
      <w:r>
        <w:rPr>
          <w:rFonts w:hint="default" w:ascii="Times New Roman" w:hAnsi="Times New Roman" w:cs="Times New Roman"/>
          <w:color w:val="FF0000"/>
          <w:highlight w:val="none"/>
        </w:rPr>
        <w:t>（4）搞好厂区绿化工程，提高厂区绿化率，美化工厂环境。</w:t>
      </w:r>
    </w:p>
    <w:p>
      <w:pPr>
        <w:pStyle w:val="4"/>
        <w:bidi w:val="0"/>
        <w:rPr>
          <w:rFonts w:hint="default"/>
          <w:color w:val="FF0000"/>
          <w:highlight w:val="none"/>
        </w:rPr>
      </w:pPr>
      <w:bookmarkStart w:id="277" w:name="_Toc12384"/>
      <w:bookmarkStart w:id="278" w:name="_Toc9585"/>
      <w:bookmarkStart w:id="279" w:name="_Toc199505288"/>
      <w:bookmarkStart w:id="280" w:name="_Toc430014806"/>
      <w:bookmarkStart w:id="281" w:name="_Toc30687"/>
      <w:bookmarkStart w:id="282" w:name="_Toc286204263"/>
      <w:r>
        <w:rPr>
          <w:rFonts w:hint="default"/>
          <w:color w:val="FF0000"/>
          <w:highlight w:val="none"/>
        </w:rPr>
        <w:t>环境监测</w:t>
      </w:r>
      <w:bookmarkEnd w:id="277"/>
      <w:bookmarkEnd w:id="278"/>
      <w:bookmarkEnd w:id="279"/>
      <w:bookmarkEnd w:id="280"/>
      <w:bookmarkEnd w:id="281"/>
      <w:bookmarkEnd w:id="282"/>
    </w:p>
    <w:p>
      <w:pPr>
        <w:pStyle w:val="5"/>
        <w:rPr>
          <w:rFonts w:hint="default" w:ascii="Times New Roman" w:hAnsi="Times New Roman" w:cs="Times New Roman"/>
          <w:color w:val="FF0000"/>
          <w:highlight w:val="none"/>
        </w:rPr>
      </w:pPr>
      <w:bookmarkStart w:id="283" w:name="_Toc286204264"/>
      <w:bookmarkStart w:id="284" w:name="_Toc429399116"/>
      <w:r>
        <w:rPr>
          <w:rFonts w:hint="default" w:ascii="Times New Roman" w:hAnsi="Times New Roman" w:cs="Times New Roman"/>
          <w:color w:val="FF0000"/>
          <w:highlight w:val="none"/>
        </w:rPr>
        <w:t>施工期环境监理方案</w:t>
      </w:r>
      <w:bookmarkEnd w:id="283"/>
      <w:bookmarkEnd w:id="284"/>
    </w:p>
    <w:p>
      <w:pPr>
        <w:ind w:firstLine="480"/>
        <w:rPr>
          <w:rFonts w:hint="default" w:ascii="Times New Roman" w:hAnsi="Times New Roman" w:cs="Times New Roman"/>
          <w:color w:val="FF0000"/>
          <w:highlight w:val="none"/>
        </w:rPr>
      </w:pPr>
      <w:r>
        <w:rPr>
          <w:rFonts w:hint="default" w:ascii="Times New Roman" w:hAnsi="Times New Roman" w:cs="Times New Roman"/>
          <w:color w:val="FF0000"/>
          <w:kern w:val="0"/>
          <w:highlight w:val="none"/>
        </w:rPr>
        <w:t>为确保项目施工期环境质量不受影响，满足环保要求，需加强施工期环境监理，监理机构由具有环保监理资质的机构负责，按工程质量和环保要求对项目进行全面环境管理。环境监理内容包括：</w:t>
      </w:r>
    </w:p>
    <w:p>
      <w:pPr>
        <w:ind w:firstLine="480"/>
        <w:rPr>
          <w:rFonts w:hint="default" w:ascii="Times New Roman" w:hAnsi="Times New Roman" w:cs="Times New Roman"/>
          <w:color w:val="FF0000"/>
          <w:kern w:val="0"/>
          <w:highlight w:val="none"/>
        </w:rPr>
      </w:pPr>
      <w:r>
        <w:rPr>
          <w:rFonts w:hint="default" w:ascii="Times New Roman" w:hAnsi="Times New Roman" w:cs="Times New Roman"/>
          <w:color w:val="FF0000"/>
          <w:kern w:val="0"/>
          <w:highlight w:val="none"/>
        </w:rPr>
        <w:t>（1）施工现场进行围护，采用彩钢板围挡进行封闭施工。</w:t>
      </w:r>
    </w:p>
    <w:p>
      <w:pPr>
        <w:ind w:firstLine="480"/>
        <w:rPr>
          <w:rFonts w:hint="default" w:ascii="Times New Roman" w:hAnsi="Times New Roman" w:cs="Times New Roman"/>
          <w:color w:val="FF0000"/>
          <w:kern w:val="0"/>
          <w:highlight w:val="none"/>
        </w:rPr>
      </w:pPr>
      <w:r>
        <w:rPr>
          <w:rFonts w:hint="default" w:ascii="Times New Roman" w:hAnsi="Times New Roman" w:cs="Times New Roman"/>
          <w:color w:val="FF0000"/>
          <w:kern w:val="0"/>
          <w:highlight w:val="none"/>
        </w:rPr>
        <w:t>（2）在管网施工中遇到连续晴好天气又起风的情况下，应对开挖土方临时堆存处采取洒水或采用绿色防尘覆盖网进行覆盖，防止扬尘产生。</w:t>
      </w:r>
    </w:p>
    <w:p>
      <w:pPr>
        <w:ind w:firstLine="480"/>
        <w:rPr>
          <w:rFonts w:hint="default" w:ascii="Times New Roman" w:hAnsi="Times New Roman" w:cs="Times New Roman"/>
          <w:color w:val="FF0000"/>
          <w:kern w:val="0"/>
          <w:highlight w:val="none"/>
        </w:rPr>
      </w:pPr>
      <w:r>
        <w:rPr>
          <w:rFonts w:hint="default" w:ascii="Times New Roman" w:hAnsi="Times New Roman" w:cs="Times New Roman"/>
          <w:color w:val="FF0000"/>
          <w:kern w:val="0"/>
          <w:highlight w:val="none"/>
        </w:rPr>
        <w:t>（3）弃土在装运过程中对汽车采取帆布覆盖车厢。</w:t>
      </w:r>
    </w:p>
    <w:p>
      <w:pPr>
        <w:ind w:firstLine="480"/>
        <w:rPr>
          <w:rFonts w:hint="default" w:ascii="Times New Roman" w:hAnsi="Times New Roman" w:cs="Times New Roman"/>
          <w:color w:val="FF0000"/>
          <w:kern w:val="0"/>
          <w:highlight w:val="none"/>
        </w:rPr>
      </w:pPr>
      <w:r>
        <w:rPr>
          <w:rFonts w:hint="default" w:ascii="Times New Roman" w:hAnsi="Times New Roman" w:cs="Times New Roman"/>
          <w:color w:val="FF0000"/>
          <w:kern w:val="0"/>
          <w:highlight w:val="none"/>
        </w:rPr>
        <w:t>（4）避免在起风的情况下开挖土方和装卸物料。</w:t>
      </w:r>
    </w:p>
    <w:p>
      <w:pPr>
        <w:ind w:firstLine="480"/>
        <w:rPr>
          <w:rFonts w:hint="default" w:ascii="Times New Roman" w:hAnsi="Times New Roman" w:cs="Times New Roman"/>
          <w:color w:val="FF0000"/>
          <w:kern w:val="0"/>
          <w:highlight w:val="none"/>
        </w:rPr>
      </w:pPr>
      <w:r>
        <w:rPr>
          <w:rFonts w:hint="default" w:ascii="Times New Roman" w:hAnsi="Times New Roman" w:cs="Times New Roman"/>
          <w:color w:val="FF0000"/>
          <w:kern w:val="0"/>
          <w:highlight w:val="none"/>
        </w:rPr>
        <w:t>（5）</w:t>
      </w:r>
      <w:r>
        <w:rPr>
          <w:rFonts w:hint="default" w:ascii="Times New Roman" w:hAnsi="Times New Roman" w:cs="Times New Roman"/>
          <w:color w:val="FF0000"/>
          <w:highlight w:val="none"/>
        </w:rPr>
        <w:t>施工场地车辆出入口设置车辆冲洗及沉淀设施</w:t>
      </w:r>
      <w:r>
        <w:rPr>
          <w:rFonts w:hint="default" w:ascii="Times New Roman" w:hAnsi="Times New Roman" w:cs="Times New Roman"/>
          <w:color w:val="FF0000"/>
          <w:kern w:val="0"/>
          <w:highlight w:val="none"/>
        </w:rPr>
        <w:t>，同时施工道路实行保洁制度，一旦有弃土应及时清扫。</w:t>
      </w:r>
    </w:p>
    <w:p>
      <w:pPr>
        <w:ind w:firstLine="480"/>
        <w:rPr>
          <w:rFonts w:hint="default" w:ascii="Times New Roman" w:hAnsi="Times New Roman" w:cs="Times New Roman"/>
          <w:color w:val="FF0000"/>
          <w:kern w:val="0"/>
          <w:highlight w:val="none"/>
        </w:rPr>
      </w:pPr>
      <w:r>
        <w:rPr>
          <w:rFonts w:hint="default" w:ascii="Times New Roman" w:hAnsi="Times New Roman" w:cs="Times New Roman"/>
          <w:color w:val="FF0000"/>
          <w:kern w:val="0"/>
          <w:highlight w:val="none"/>
        </w:rPr>
        <w:t>（6）重型机动车运输指定线路和时段，避开敏感区和交通高峰期。</w:t>
      </w:r>
    </w:p>
    <w:p>
      <w:pPr>
        <w:ind w:firstLine="480"/>
        <w:rPr>
          <w:rFonts w:hint="default" w:ascii="Times New Roman" w:hAnsi="Times New Roman" w:cs="Times New Roman"/>
          <w:color w:val="FF0000"/>
          <w:kern w:val="0"/>
          <w:highlight w:val="none"/>
        </w:rPr>
      </w:pPr>
      <w:r>
        <w:rPr>
          <w:rFonts w:hint="default" w:ascii="Times New Roman" w:hAnsi="Times New Roman" w:cs="Times New Roman"/>
          <w:color w:val="FF0000"/>
          <w:kern w:val="0"/>
          <w:highlight w:val="none"/>
        </w:rPr>
        <w:t>（7）挖掘的土方堆放在道路一侧，及时回填，及时恢复路面的软硬覆盖，不能及时回填的土方，要严格管理，不能随意堆放，做成边坡比为1:1.5的土方，并且拍实。遇大风天气要加覆盖。</w:t>
      </w:r>
    </w:p>
    <w:p>
      <w:pPr>
        <w:ind w:firstLine="480"/>
        <w:rPr>
          <w:rFonts w:hint="default" w:ascii="Times New Roman" w:hAnsi="Times New Roman" w:cs="Times New Roman"/>
          <w:color w:val="FF0000"/>
          <w:kern w:val="0"/>
          <w:highlight w:val="none"/>
        </w:rPr>
      </w:pPr>
      <w:r>
        <w:rPr>
          <w:rFonts w:hint="default" w:ascii="Times New Roman" w:hAnsi="Times New Roman" w:cs="Times New Roman"/>
          <w:color w:val="FF0000"/>
          <w:kern w:val="0"/>
          <w:highlight w:val="none"/>
        </w:rPr>
        <w:t>（8）雨天施工要注意防止水土流失，堆积土方时适当采取覆盖措施，防止於塞下水系统，汛期及暴雨天要停止施工；</w:t>
      </w:r>
    </w:p>
    <w:p>
      <w:pPr>
        <w:ind w:firstLine="480"/>
        <w:rPr>
          <w:rFonts w:hint="default" w:ascii="Times New Roman" w:hAnsi="Times New Roman" w:cs="Times New Roman"/>
          <w:color w:val="FF0000"/>
          <w:kern w:val="0"/>
          <w:highlight w:val="none"/>
        </w:rPr>
      </w:pPr>
      <w:r>
        <w:rPr>
          <w:rFonts w:hint="default" w:ascii="Times New Roman" w:hAnsi="Times New Roman" w:cs="Times New Roman"/>
          <w:color w:val="FF0000"/>
          <w:kern w:val="0"/>
          <w:highlight w:val="none"/>
        </w:rPr>
        <w:t>（9）生活污水禁止随意外排。</w:t>
      </w:r>
    </w:p>
    <w:p>
      <w:pPr>
        <w:ind w:firstLine="480"/>
        <w:rPr>
          <w:rFonts w:hint="default" w:ascii="Times New Roman" w:hAnsi="Times New Roman" w:cs="Times New Roman"/>
          <w:color w:val="FF0000"/>
          <w:kern w:val="0"/>
          <w:highlight w:val="none"/>
        </w:rPr>
      </w:pPr>
      <w:r>
        <w:rPr>
          <w:rFonts w:hint="default" w:ascii="Times New Roman" w:hAnsi="Times New Roman" w:cs="Times New Roman"/>
          <w:color w:val="FF0000"/>
          <w:kern w:val="0"/>
          <w:highlight w:val="none"/>
        </w:rPr>
        <w:t>（10）合理安排施工计划和作业面积，靠近居民区等敏感区应尽量避免夜间施工；</w:t>
      </w:r>
    </w:p>
    <w:p>
      <w:pPr>
        <w:ind w:firstLine="480"/>
        <w:rPr>
          <w:rFonts w:hint="default" w:ascii="Times New Roman" w:hAnsi="Times New Roman" w:cs="Times New Roman"/>
          <w:color w:val="FF0000"/>
          <w:kern w:val="0"/>
          <w:highlight w:val="none"/>
        </w:rPr>
      </w:pPr>
      <w:r>
        <w:rPr>
          <w:rFonts w:hint="default" w:ascii="Times New Roman" w:hAnsi="Times New Roman" w:cs="Times New Roman"/>
          <w:color w:val="FF0000"/>
          <w:kern w:val="0"/>
          <w:highlight w:val="none"/>
        </w:rPr>
        <w:t>（11）施工噪声较大的机械应尽量在白天施工，禁止夜晚施工。</w:t>
      </w:r>
    </w:p>
    <w:p>
      <w:pPr>
        <w:ind w:firstLine="480"/>
        <w:rPr>
          <w:rFonts w:hint="default" w:ascii="Times New Roman" w:hAnsi="Times New Roman" w:cs="Times New Roman"/>
          <w:color w:val="FF0000"/>
          <w:kern w:val="0"/>
          <w:highlight w:val="none"/>
        </w:rPr>
      </w:pPr>
      <w:r>
        <w:rPr>
          <w:rFonts w:hint="default" w:ascii="Times New Roman" w:hAnsi="Times New Roman" w:cs="Times New Roman"/>
          <w:color w:val="FF0000"/>
          <w:kern w:val="0"/>
          <w:highlight w:val="none"/>
        </w:rPr>
        <w:t>（13）建筑垃圾及时清理，严禁随意丢弃、堆放。</w:t>
      </w:r>
    </w:p>
    <w:p>
      <w:pPr>
        <w:ind w:firstLine="480"/>
        <w:rPr>
          <w:rFonts w:hint="default" w:ascii="Times New Roman" w:hAnsi="Times New Roman" w:cs="Times New Roman"/>
          <w:color w:val="FF0000"/>
          <w:kern w:val="0"/>
          <w:highlight w:val="none"/>
        </w:rPr>
      </w:pPr>
      <w:r>
        <w:rPr>
          <w:rFonts w:hint="default" w:ascii="Times New Roman" w:hAnsi="Times New Roman" w:cs="Times New Roman"/>
          <w:color w:val="FF0000"/>
          <w:kern w:val="0"/>
          <w:highlight w:val="none"/>
        </w:rPr>
        <w:t>（14）生活垃圾定点清倒，由环卫部门收集后送到垃圾场处理。</w:t>
      </w:r>
    </w:p>
    <w:p>
      <w:pPr>
        <w:ind w:firstLine="480"/>
        <w:rPr>
          <w:rFonts w:hint="default" w:ascii="Times New Roman" w:hAnsi="Times New Roman" w:cs="Times New Roman"/>
          <w:color w:val="FF0000"/>
          <w:kern w:val="0"/>
          <w:highlight w:val="none"/>
        </w:rPr>
      </w:pPr>
      <w:r>
        <w:rPr>
          <w:rFonts w:hint="default" w:ascii="Times New Roman" w:hAnsi="Times New Roman" w:cs="Times New Roman"/>
          <w:color w:val="FF0000"/>
          <w:kern w:val="0"/>
          <w:highlight w:val="none"/>
        </w:rPr>
        <w:t>（15）对于挖掘弃土运至本项目污水处理厂厂址，用于厂区回填。</w:t>
      </w:r>
    </w:p>
    <w:p>
      <w:pPr>
        <w:ind w:firstLine="480"/>
        <w:rPr>
          <w:rFonts w:hint="default" w:ascii="Times New Roman" w:hAnsi="Times New Roman" w:cs="Times New Roman"/>
          <w:color w:val="FF0000"/>
          <w:kern w:val="0"/>
          <w:highlight w:val="none"/>
        </w:rPr>
      </w:pPr>
      <w:r>
        <w:rPr>
          <w:rFonts w:hint="default" w:ascii="Times New Roman" w:hAnsi="Times New Roman" w:cs="Times New Roman"/>
          <w:color w:val="FF0000"/>
          <w:kern w:val="0"/>
          <w:highlight w:val="none"/>
        </w:rPr>
        <w:t>（16）载重汽车在市内行驶，车速不得高于35km/h，进出施工现场车速不得高于10km/h。</w:t>
      </w:r>
    </w:p>
    <w:p>
      <w:pPr>
        <w:ind w:firstLine="480"/>
        <w:rPr>
          <w:rFonts w:hint="default" w:ascii="Times New Roman" w:hAnsi="Times New Roman" w:cs="Times New Roman"/>
          <w:color w:val="FF0000"/>
          <w:kern w:val="0"/>
          <w:highlight w:val="none"/>
        </w:rPr>
      </w:pPr>
      <w:r>
        <w:rPr>
          <w:rFonts w:hint="default" w:ascii="Times New Roman" w:hAnsi="Times New Roman" w:cs="Times New Roman"/>
          <w:color w:val="FF0000"/>
          <w:kern w:val="0"/>
          <w:highlight w:val="none"/>
        </w:rPr>
        <w:t>（17）料场位置选择避免在居民区、交通繁忙区、学校、机关、医院等地附近及上风向200m内。料场要进行围护，采用彩钢板进行封闭，并且施工材料要严格管理，采用帆布密闭覆盖。</w:t>
      </w:r>
    </w:p>
    <w:p>
      <w:pPr>
        <w:pStyle w:val="5"/>
        <w:bidi w:val="0"/>
        <w:rPr>
          <w:color w:val="FF0000"/>
          <w:highlight w:val="none"/>
        </w:rPr>
      </w:pPr>
      <w:r>
        <w:rPr>
          <w:color w:val="FF0000"/>
          <w:highlight w:val="none"/>
        </w:rPr>
        <w:t>环境质量监测计划</w:t>
      </w:r>
    </w:p>
    <w:p>
      <w:pPr>
        <w:ind w:firstLine="480"/>
        <w:rPr>
          <w:color w:val="FF0000"/>
          <w:highlight w:val="none"/>
        </w:rPr>
      </w:pPr>
      <w:r>
        <w:rPr>
          <w:color w:val="FF0000"/>
          <w:highlight w:val="none"/>
        </w:rPr>
        <w:t>根据《环境影响评价技术导则大气环境》(HJ2.2-2018)，项目排放污染物P</w:t>
      </w:r>
      <w:r>
        <w:rPr>
          <w:color w:val="FF0000"/>
          <w:highlight w:val="none"/>
          <w:vertAlign w:val="subscript"/>
        </w:rPr>
        <w:t>i</w:t>
      </w:r>
      <w:r>
        <w:rPr>
          <w:color w:val="FF0000"/>
          <w:highlight w:val="none"/>
        </w:rPr>
        <w:t>≥1的其他污染物作为环境质量监测因子，本项目无P</w:t>
      </w:r>
      <w:r>
        <w:rPr>
          <w:color w:val="FF0000"/>
          <w:highlight w:val="none"/>
          <w:vertAlign w:val="subscript"/>
        </w:rPr>
        <w:t>i</w:t>
      </w:r>
      <w:r>
        <w:rPr>
          <w:color w:val="FF0000"/>
          <w:highlight w:val="none"/>
        </w:rPr>
        <w:t>≥1的大气污染物。</w:t>
      </w:r>
    </w:p>
    <w:p>
      <w:pPr>
        <w:ind w:firstLine="480"/>
        <w:rPr>
          <w:color w:val="FF0000"/>
          <w:highlight w:val="none"/>
        </w:rPr>
      </w:pPr>
      <w:r>
        <w:rPr>
          <w:rFonts w:hint="eastAsia"/>
          <w:color w:val="FF0000"/>
          <w:highlight w:val="none"/>
        </w:rPr>
        <w:t>评价要求</w:t>
      </w:r>
      <w:r>
        <w:rPr>
          <w:color w:val="FF0000"/>
          <w:highlight w:val="none"/>
        </w:rPr>
        <w:t>对项目区域地下水</w:t>
      </w:r>
      <w:r>
        <w:rPr>
          <w:rFonts w:hint="eastAsia"/>
          <w:color w:val="FF0000"/>
          <w:highlight w:val="none"/>
        </w:rPr>
        <w:t>、土壤和声环境</w:t>
      </w:r>
      <w:r>
        <w:rPr>
          <w:color w:val="FF0000"/>
          <w:highlight w:val="none"/>
        </w:rPr>
        <w:t>进行跟踪监测，监测工作内容汇总见</w:t>
      </w:r>
      <w:r>
        <w:rPr>
          <w:rFonts w:hint="eastAsia"/>
          <w:color w:val="FF0000"/>
          <w:highlight w:val="none"/>
          <w:lang w:val="en-US" w:eastAsia="zh-CN"/>
        </w:rPr>
        <w:t>下表</w:t>
      </w:r>
      <w:r>
        <w:rPr>
          <w:color w:val="FF0000"/>
          <w:highlight w:val="none"/>
        </w:rPr>
        <w:t>。</w:t>
      </w:r>
    </w:p>
    <w:p>
      <w:pPr>
        <w:pStyle w:val="13"/>
        <w:rPr>
          <w:color w:val="FF0000"/>
          <w:highlight w:val="none"/>
        </w:rPr>
      </w:pPr>
      <w:bookmarkStart w:id="285" w:name="_Ref149942967"/>
      <w:r>
        <w:rPr>
          <w:color w:val="FF0000"/>
          <w:highlight w:val="none"/>
        </w:rPr>
        <w:t>表</w:t>
      </w:r>
      <w:r>
        <w:rPr>
          <w:color w:val="FF0000"/>
          <w:highlight w:val="none"/>
        </w:rPr>
        <w:fldChar w:fldCharType="begin"/>
      </w:r>
      <w:r>
        <w:rPr>
          <w:color w:val="FF0000"/>
          <w:highlight w:val="none"/>
        </w:rPr>
        <w:instrText xml:space="preserve"> STYLEREF 3 \s </w:instrText>
      </w:r>
      <w:r>
        <w:rPr>
          <w:color w:val="FF0000"/>
          <w:highlight w:val="none"/>
        </w:rPr>
        <w:fldChar w:fldCharType="separate"/>
      </w:r>
      <w:r>
        <w:rPr>
          <w:color w:val="FF0000"/>
          <w:highlight w:val="none"/>
        </w:rPr>
        <w:t>8</w:t>
      </w:r>
      <w:r>
        <w:rPr>
          <w:rFonts w:hint="eastAsia"/>
          <w:color w:val="FF0000"/>
          <w:highlight w:val="none"/>
          <w:lang w:val="en-US" w:eastAsia="zh-CN"/>
        </w:rPr>
        <w:t>.</w:t>
      </w:r>
      <w:r>
        <w:rPr>
          <w:color w:val="FF0000"/>
          <w:highlight w:val="none"/>
        </w:rPr>
        <w:fldChar w:fldCharType="end"/>
      </w:r>
      <w:r>
        <w:rPr>
          <w:rFonts w:hint="eastAsia"/>
          <w:color w:val="FF0000"/>
          <w:highlight w:val="none"/>
          <w:lang w:val="en-US" w:eastAsia="zh-CN"/>
        </w:rPr>
        <w:t>2</w:t>
      </w:r>
      <w:r>
        <w:rPr>
          <w:color w:val="FF0000"/>
          <w:highlight w:val="none"/>
        </w:rPr>
        <w:noBreakHyphen/>
      </w:r>
      <w:r>
        <w:rPr>
          <w:color w:val="FF0000"/>
          <w:highlight w:val="none"/>
        </w:rPr>
        <w:fldChar w:fldCharType="begin"/>
      </w:r>
      <w:r>
        <w:rPr>
          <w:color w:val="FF0000"/>
          <w:highlight w:val="none"/>
        </w:rPr>
        <w:instrText xml:space="preserve"> SEQ 表 \* ARABIC \s 3 </w:instrText>
      </w:r>
      <w:r>
        <w:rPr>
          <w:color w:val="FF0000"/>
          <w:highlight w:val="none"/>
        </w:rPr>
        <w:fldChar w:fldCharType="separate"/>
      </w:r>
      <w:r>
        <w:rPr>
          <w:color w:val="FF0000"/>
          <w:highlight w:val="none"/>
        </w:rPr>
        <w:t>1</w:t>
      </w:r>
      <w:r>
        <w:rPr>
          <w:color w:val="FF0000"/>
          <w:highlight w:val="none"/>
        </w:rPr>
        <w:fldChar w:fldCharType="end"/>
      </w:r>
      <w:bookmarkEnd w:id="285"/>
      <w:r>
        <w:rPr>
          <w:color w:val="FF0000"/>
          <w:highlight w:val="none"/>
        </w:rPr>
        <w:t>环境质量监测工作内容一览表</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739"/>
        <w:gridCol w:w="1396"/>
        <w:gridCol w:w="2603"/>
        <w:gridCol w:w="1387"/>
        <w:gridCol w:w="32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664" w:type="dxa"/>
            <w:vAlign w:val="center"/>
          </w:tcPr>
          <w:p>
            <w:pPr>
              <w:pStyle w:val="104"/>
              <w:rPr>
                <w:color w:val="FF0000"/>
                <w:highlight w:val="none"/>
              </w:rPr>
            </w:pPr>
            <w:r>
              <w:rPr>
                <w:color w:val="FF0000"/>
                <w:highlight w:val="none"/>
              </w:rPr>
              <w:t>类别</w:t>
            </w:r>
          </w:p>
        </w:tc>
        <w:tc>
          <w:tcPr>
            <w:tcW w:w="1252" w:type="dxa"/>
            <w:vAlign w:val="center"/>
          </w:tcPr>
          <w:p>
            <w:pPr>
              <w:pStyle w:val="104"/>
              <w:rPr>
                <w:color w:val="FF0000"/>
                <w:highlight w:val="none"/>
              </w:rPr>
            </w:pPr>
            <w:r>
              <w:rPr>
                <w:color w:val="FF0000"/>
                <w:highlight w:val="none"/>
              </w:rPr>
              <w:t>监测点位</w:t>
            </w:r>
          </w:p>
        </w:tc>
        <w:tc>
          <w:tcPr>
            <w:tcW w:w="2335" w:type="dxa"/>
            <w:vAlign w:val="center"/>
          </w:tcPr>
          <w:p>
            <w:pPr>
              <w:pStyle w:val="104"/>
              <w:rPr>
                <w:color w:val="FF0000"/>
                <w:highlight w:val="none"/>
              </w:rPr>
            </w:pPr>
            <w:r>
              <w:rPr>
                <w:color w:val="FF0000"/>
                <w:highlight w:val="none"/>
              </w:rPr>
              <w:t>监测指标</w:t>
            </w:r>
          </w:p>
        </w:tc>
        <w:tc>
          <w:tcPr>
            <w:tcW w:w="1244" w:type="dxa"/>
            <w:vAlign w:val="center"/>
          </w:tcPr>
          <w:p>
            <w:pPr>
              <w:pStyle w:val="104"/>
              <w:rPr>
                <w:color w:val="FF0000"/>
                <w:highlight w:val="none"/>
              </w:rPr>
            </w:pPr>
            <w:r>
              <w:rPr>
                <w:color w:val="FF0000"/>
                <w:highlight w:val="none"/>
              </w:rPr>
              <w:t>监测频次</w:t>
            </w:r>
          </w:p>
        </w:tc>
        <w:tc>
          <w:tcPr>
            <w:tcW w:w="2873" w:type="dxa"/>
            <w:vAlign w:val="center"/>
          </w:tcPr>
          <w:p>
            <w:pPr>
              <w:pStyle w:val="104"/>
              <w:rPr>
                <w:color w:val="FF0000"/>
                <w:highlight w:val="none"/>
              </w:rPr>
            </w:pPr>
            <w:r>
              <w:rPr>
                <w:color w:val="FF0000"/>
                <w:highlight w:val="none"/>
              </w:rPr>
              <w:t>执行环境质量标准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664" w:type="dxa"/>
            <w:vMerge w:val="restart"/>
            <w:vAlign w:val="center"/>
          </w:tcPr>
          <w:p>
            <w:pPr>
              <w:pStyle w:val="104"/>
              <w:rPr>
                <w:color w:val="FF0000"/>
                <w:highlight w:val="none"/>
              </w:rPr>
            </w:pPr>
            <w:r>
              <w:rPr>
                <w:color w:val="FF0000"/>
                <w:highlight w:val="none"/>
              </w:rPr>
              <w:t>地下水</w:t>
            </w:r>
            <w:r>
              <w:rPr>
                <w:rFonts w:hint="eastAsia"/>
                <w:color w:val="FF0000"/>
                <w:highlight w:val="none"/>
              </w:rPr>
              <w:t>环境</w:t>
            </w:r>
          </w:p>
        </w:tc>
        <w:tc>
          <w:tcPr>
            <w:tcW w:w="1252" w:type="dxa"/>
            <w:vAlign w:val="center"/>
          </w:tcPr>
          <w:p>
            <w:pPr>
              <w:pStyle w:val="104"/>
              <w:rPr>
                <w:color w:val="FF0000"/>
                <w:highlight w:val="none"/>
              </w:rPr>
            </w:pPr>
            <w:r>
              <w:rPr>
                <w:color w:val="FF0000"/>
                <w:highlight w:val="none"/>
              </w:rPr>
              <w:t>厂区</w:t>
            </w:r>
            <w:r>
              <w:rPr>
                <w:rFonts w:hint="eastAsia"/>
                <w:color w:val="FF0000"/>
                <w:highlight w:val="none"/>
                <w:lang w:val="en-US" w:eastAsia="zh-CN"/>
              </w:rPr>
              <w:t>生态林地</w:t>
            </w:r>
            <w:r>
              <w:rPr>
                <w:color w:val="FF0000"/>
                <w:highlight w:val="none"/>
              </w:rPr>
              <w:t>上游、</w:t>
            </w:r>
            <w:r>
              <w:rPr>
                <w:rFonts w:hint="eastAsia"/>
                <w:color w:val="FF0000"/>
                <w:highlight w:val="none"/>
                <w:lang w:val="en-US" w:eastAsia="zh-CN"/>
              </w:rPr>
              <w:t>生态林</w:t>
            </w:r>
            <w:r>
              <w:rPr>
                <w:color w:val="FF0000"/>
                <w:highlight w:val="none"/>
              </w:rPr>
              <w:t>下游、</w:t>
            </w:r>
            <w:r>
              <w:rPr>
                <w:rFonts w:hint="eastAsia"/>
                <w:color w:val="FF0000"/>
                <w:highlight w:val="none"/>
                <w:lang w:val="en-US" w:eastAsia="zh-CN"/>
              </w:rPr>
              <w:t>生态林</w:t>
            </w:r>
            <w:r>
              <w:rPr>
                <w:color w:val="FF0000"/>
                <w:highlight w:val="none"/>
              </w:rPr>
              <w:t>侧向观测井</w:t>
            </w:r>
          </w:p>
        </w:tc>
        <w:tc>
          <w:tcPr>
            <w:tcW w:w="2335" w:type="dxa"/>
            <w:vAlign w:val="center"/>
          </w:tcPr>
          <w:p>
            <w:pPr>
              <w:pStyle w:val="104"/>
              <w:rPr>
                <w:color w:val="FF0000"/>
                <w:highlight w:val="none"/>
              </w:rPr>
            </w:pPr>
            <w:r>
              <w:rPr>
                <w:rFonts w:hint="eastAsia"/>
                <w:color w:val="FF0000"/>
                <w:highlight w:val="none"/>
              </w:rPr>
              <w:t>pH、总硬度、高锰酸盐指数、挥发酚类、氟化物、氰化物、氯化物、氨氮、六价铬、砷、汞、铅、镉</w:t>
            </w:r>
          </w:p>
        </w:tc>
        <w:tc>
          <w:tcPr>
            <w:tcW w:w="1244" w:type="dxa"/>
            <w:vAlign w:val="center"/>
          </w:tcPr>
          <w:p>
            <w:pPr>
              <w:pStyle w:val="104"/>
              <w:rPr>
                <w:color w:val="FF0000"/>
                <w:highlight w:val="none"/>
              </w:rPr>
            </w:pPr>
            <w:r>
              <w:rPr>
                <w:color w:val="FF0000"/>
                <w:highlight w:val="none"/>
              </w:rPr>
              <w:t>每季度一次</w:t>
            </w:r>
          </w:p>
        </w:tc>
        <w:tc>
          <w:tcPr>
            <w:tcW w:w="2873" w:type="dxa"/>
            <w:vAlign w:val="center"/>
          </w:tcPr>
          <w:p>
            <w:pPr>
              <w:pStyle w:val="104"/>
              <w:rPr>
                <w:color w:val="FF0000"/>
                <w:highlight w:val="none"/>
              </w:rPr>
            </w:pPr>
            <w:r>
              <w:rPr>
                <w:color w:val="FF0000"/>
                <w:highlight w:val="none"/>
              </w:rPr>
              <w:t>《地下水质量标准》（GB/T14848-2017）中的Ⅲ类标准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64" w:type="dxa"/>
            <w:vMerge w:val="continue"/>
            <w:vAlign w:val="center"/>
          </w:tcPr>
          <w:p>
            <w:pPr>
              <w:pStyle w:val="104"/>
              <w:rPr>
                <w:color w:val="FF0000"/>
                <w:highlight w:val="none"/>
              </w:rPr>
            </w:pPr>
          </w:p>
        </w:tc>
        <w:tc>
          <w:tcPr>
            <w:tcW w:w="1252" w:type="dxa"/>
            <w:vAlign w:val="center"/>
          </w:tcPr>
          <w:p>
            <w:pPr>
              <w:pStyle w:val="104"/>
              <w:rPr>
                <w:color w:val="FF0000"/>
                <w:highlight w:val="none"/>
              </w:rPr>
            </w:pPr>
            <w:r>
              <w:rPr>
                <w:rFonts w:hint="eastAsia"/>
                <w:color w:val="FF0000"/>
                <w:highlight w:val="none"/>
                <w:lang w:val="en-US" w:eastAsia="zh-CN"/>
              </w:rPr>
              <w:t>事故水池</w:t>
            </w:r>
            <w:r>
              <w:rPr>
                <w:rFonts w:hint="eastAsia"/>
                <w:color w:val="FF0000"/>
                <w:highlight w:val="none"/>
              </w:rPr>
              <w:t>下游</w:t>
            </w:r>
          </w:p>
        </w:tc>
        <w:tc>
          <w:tcPr>
            <w:tcW w:w="2335" w:type="dxa"/>
            <w:vAlign w:val="center"/>
          </w:tcPr>
          <w:p>
            <w:pPr>
              <w:pStyle w:val="104"/>
              <w:rPr>
                <w:color w:val="FF0000"/>
                <w:highlight w:val="none"/>
              </w:rPr>
            </w:pPr>
            <w:r>
              <w:rPr>
                <w:rFonts w:hint="eastAsia"/>
                <w:color w:val="FF0000"/>
                <w:highlight w:val="none"/>
              </w:rPr>
              <w:t>pH、总硬度、高锰酸盐指数、挥发酚类、氟化物、氰化物、氯化物、氨氮、六价铬、砷、汞、铅、镉</w:t>
            </w:r>
          </w:p>
        </w:tc>
        <w:tc>
          <w:tcPr>
            <w:tcW w:w="1244" w:type="dxa"/>
            <w:vAlign w:val="center"/>
          </w:tcPr>
          <w:p>
            <w:pPr>
              <w:pStyle w:val="104"/>
              <w:rPr>
                <w:color w:val="FF0000"/>
                <w:highlight w:val="none"/>
              </w:rPr>
            </w:pPr>
            <w:r>
              <w:rPr>
                <w:rFonts w:hint="eastAsia"/>
                <w:color w:val="FF0000"/>
                <w:highlight w:val="none"/>
              </w:rPr>
              <w:t>每年一次</w:t>
            </w:r>
          </w:p>
        </w:tc>
        <w:tc>
          <w:tcPr>
            <w:tcW w:w="2873" w:type="dxa"/>
            <w:vAlign w:val="center"/>
          </w:tcPr>
          <w:p>
            <w:pPr>
              <w:pStyle w:val="104"/>
              <w:rPr>
                <w:color w:val="FF0000"/>
                <w:highlight w:val="none"/>
              </w:rPr>
            </w:pPr>
            <w:r>
              <w:rPr>
                <w:color w:val="FF0000"/>
                <w:highlight w:val="none"/>
              </w:rPr>
              <w:t>《地下水质量标准》（GB/T14848-2017）中的Ⅲ类标准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64" w:type="dxa"/>
            <w:vMerge w:val="restart"/>
            <w:vAlign w:val="center"/>
          </w:tcPr>
          <w:p>
            <w:pPr>
              <w:pStyle w:val="104"/>
              <w:rPr>
                <w:color w:val="FF0000"/>
                <w:highlight w:val="none"/>
              </w:rPr>
            </w:pPr>
            <w:r>
              <w:rPr>
                <w:rFonts w:hint="eastAsia"/>
                <w:color w:val="FF0000"/>
                <w:highlight w:val="none"/>
              </w:rPr>
              <w:t>土壤环境</w:t>
            </w:r>
          </w:p>
        </w:tc>
        <w:tc>
          <w:tcPr>
            <w:tcW w:w="1252" w:type="dxa"/>
            <w:vAlign w:val="center"/>
          </w:tcPr>
          <w:p>
            <w:pPr>
              <w:pStyle w:val="104"/>
              <w:rPr>
                <w:color w:val="FF0000"/>
                <w:highlight w:val="none"/>
              </w:rPr>
            </w:pPr>
            <w:r>
              <w:rPr>
                <w:rFonts w:hint="eastAsia"/>
                <w:color w:val="FF0000"/>
                <w:highlight w:val="none"/>
              </w:rPr>
              <w:t>项目厂区</w:t>
            </w:r>
          </w:p>
        </w:tc>
        <w:tc>
          <w:tcPr>
            <w:tcW w:w="2335" w:type="dxa"/>
            <w:vAlign w:val="center"/>
          </w:tcPr>
          <w:p>
            <w:pPr>
              <w:pStyle w:val="104"/>
              <w:rPr>
                <w:color w:val="FF0000"/>
                <w:highlight w:val="none"/>
                <w:lang w:val="zh-CN"/>
              </w:rPr>
            </w:pPr>
            <w:r>
              <w:rPr>
                <w:color w:val="FF0000"/>
                <w:highlight w:val="none"/>
              </w:rPr>
              <w:t>pH、石油烃、砷、镉、铬（六价）、铜、铅、汞、镍</w:t>
            </w:r>
            <w:r>
              <w:rPr>
                <w:rFonts w:hint="eastAsia"/>
                <w:color w:val="FF0000"/>
                <w:highlight w:val="none"/>
              </w:rPr>
              <w:t>、石油烃</w:t>
            </w:r>
          </w:p>
        </w:tc>
        <w:tc>
          <w:tcPr>
            <w:tcW w:w="1244" w:type="dxa"/>
            <w:vAlign w:val="center"/>
          </w:tcPr>
          <w:p>
            <w:pPr>
              <w:pStyle w:val="104"/>
              <w:rPr>
                <w:color w:val="FF0000"/>
                <w:highlight w:val="none"/>
              </w:rPr>
            </w:pPr>
            <w:r>
              <w:rPr>
                <w:rFonts w:hint="eastAsia"/>
                <w:color w:val="FF0000"/>
                <w:highlight w:val="none"/>
              </w:rPr>
              <w:t>每年一次</w:t>
            </w:r>
          </w:p>
        </w:tc>
        <w:tc>
          <w:tcPr>
            <w:tcW w:w="2873" w:type="dxa"/>
            <w:vMerge w:val="restart"/>
            <w:vAlign w:val="center"/>
          </w:tcPr>
          <w:p>
            <w:pPr>
              <w:pStyle w:val="104"/>
              <w:rPr>
                <w:color w:val="FF0000"/>
                <w:highlight w:val="none"/>
              </w:rPr>
            </w:pPr>
            <w:r>
              <w:rPr>
                <w:rFonts w:hint="eastAsia"/>
                <w:color w:val="FF0000"/>
                <w:highlight w:val="none"/>
              </w:rPr>
              <w:t>《土壤环境质量建设用地土壤污染风险管控标准（试行）》（GB36600-2018）表1中的建设用地（第二类用地）限值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64" w:type="dxa"/>
            <w:vMerge w:val="continue"/>
            <w:vAlign w:val="center"/>
          </w:tcPr>
          <w:p>
            <w:pPr>
              <w:pStyle w:val="104"/>
              <w:rPr>
                <w:color w:val="FF0000"/>
                <w:highlight w:val="none"/>
              </w:rPr>
            </w:pPr>
          </w:p>
        </w:tc>
        <w:tc>
          <w:tcPr>
            <w:tcW w:w="1252" w:type="dxa"/>
            <w:vAlign w:val="center"/>
          </w:tcPr>
          <w:p>
            <w:pPr>
              <w:pStyle w:val="104"/>
              <w:rPr>
                <w:color w:val="FF0000"/>
                <w:highlight w:val="none"/>
              </w:rPr>
            </w:pPr>
            <w:r>
              <w:rPr>
                <w:rFonts w:hint="eastAsia"/>
                <w:color w:val="FF0000"/>
                <w:highlight w:val="none"/>
                <w:lang w:val="en-US" w:eastAsia="zh-CN"/>
              </w:rPr>
              <w:t>事故水池</w:t>
            </w:r>
            <w:r>
              <w:rPr>
                <w:rFonts w:hint="eastAsia"/>
                <w:color w:val="FF0000"/>
                <w:highlight w:val="none"/>
              </w:rPr>
              <w:t>下游</w:t>
            </w:r>
          </w:p>
        </w:tc>
        <w:tc>
          <w:tcPr>
            <w:tcW w:w="2335" w:type="dxa"/>
            <w:vAlign w:val="center"/>
          </w:tcPr>
          <w:p>
            <w:pPr>
              <w:pStyle w:val="104"/>
              <w:rPr>
                <w:color w:val="FF0000"/>
                <w:highlight w:val="none"/>
                <w:lang w:val="zh-CN"/>
              </w:rPr>
            </w:pPr>
            <w:r>
              <w:rPr>
                <w:color w:val="FF0000"/>
                <w:highlight w:val="none"/>
              </w:rPr>
              <w:t>pH、石油烃、砷、镉、铬（六价）、铜、铅、汞、镍</w:t>
            </w:r>
            <w:r>
              <w:rPr>
                <w:rFonts w:hint="eastAsia"/>
                <w:color w:val="FF0000"/>
                <w:highlight w:val="none"/>
              </w:rPr>
              <w:t>、石油烃</w:t>
            </w:r>
          </w:p>
        </w:tc>
        <w:tc>
          <w:tcPr>
            <w:tcW w:w="1244" w:type="dxa"/>
            <w:vAlign w:val="center"/>
          </w:tcPr>
          <w:p>
            <w:pPr>
              <w:pStyle w:val="104"/>
              <w:rPr>
                <w:color w:val="FF0000"/>
                <w:highlight w:val="none"/>
              </w:rPr>
            </w:pPr>
            <w:r>
              <w:rPr>
                <w:rFonts w:hint="eastAsia"/>
                <w:color w:val="FF0000"/>
                <w:highlight w:val="none"/>
              </w:rPr>
              <w:t>每年一次</w:t>
            </w:r>
          </w:p>
        </w:tc>
        <w:tc>
          <w:tcPr>
            <w:tcW w:w="2873" w:type="dxa"/>
            <w:vMerge w:val="continue"/>
            <w:vAlign w:val="center"/>
          </w:tcPr>
          <w:p>
            <w:pPr>
              <w:pStyle w:val="104"/>
              <w:rPr>
                <w:color w:val="FF000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664" w:type="dxa"/>
            <w:vAlign w:val="center"/>
          </w:tcPr>
          <w:p>
            <w:pPr>
              <w:pStyle w:val="104"/>
              <w:rPr>
                <w:color w:val="FF0000"/>
                <w:highlight w:val="none"/>
              </w:rPr>
            </w:pPr>
            <w:r>
              <w:rPr>
                <w:color w:val="FF0000"/>
                <w:highlight w:val="none"/>
              </w:rPr>
              <w:t>声环境</w:t>
            </w:r>
          </w:p>
        </w:tc>
        <w:tc>
          <w:tcPr>
            <w:tcW w:w="1252" w:type="dxa"/>
            <w:vAlign w:val="center"/>
          </w:tcPr>
          <w:p>
            <w:pPr>
              <w:pStyle w:val="104"/>
              <w:rPr>
                <w:color w:val="FF0000"/>
                <w:highlight w:val="none"/>
              </w:rPr>
            </w:pPr>
            <w:r>
              <w:rPr>
                <w:rFonts w:hint="eastAsia"/>
                <w:color w:val="FF0000"/>
                <w:highlight w:val="none"/>
              </w:rPr>
              <w:t>项目</w:t>
            </w:r>
            <w:r>
              <w:rPr>
                <w:color w:val="FF0000"/>
                <w:highlight w:val="none"/>
              </w:rPr>
              <w:t>厂界</w:t>
            </w:r>
          </w:p>
        </w:tc>
        <w:tc>
          <w:tcPr>
            <w:tcW w:w="2335" w:type="dxa"/>
            <w:vAlign w:val="center"/>
          </w:tcPr>
          <w:p>
            <w:pPr>
              <w:pStyle w:val="104"/>
              <w:rPr>
                <w:color w:val="FF0000"/>
                <w:highlight w:val="none"/>
                <w:lang w:val="zh-CN"/>
              </w:rPr>
            </w:pPr>
            <w:r>
              <w:rPr>
                <w:color w:val="FF0000"/>
                <w:highlight w:val="none"/>
                <w:lang w:val="zh-CN"/>
              </w:rPr>
              <w:t>等效连续</w:t>
            </w:r>
            <w:r>
              <w:rPr>
                <w:color w:val="FF0000"/>
                <w:highlight w:val="none"/>
              </w:rPr>
              <w:t>A声级</w:t>
            </w:r>
          </w:p>
        </w:tc>
        <w:tc>
          <w:tcPr>
            <w:tcW w:w="1244" w:type="dxa"/>
            <w:vAlign w:val="center"/>
          </w:tcPr>
          <w:p>
            <w:pPr>
              <w:pStyle w:val="104"/>
              <w:rPr>
                <w:color w:val="FF0000"/>
                <w:highlight w:val="none"/>
              </w:rPr>
            </w:pPr>
            <w:r>
              <w:rPr>
                <w:color w:val="FF0000"/>
                <w:highlight w:val="none"/>
              </w:rPr>
              <w:t>每季度一次</w:t>
            </w:r>
          </w:p>
        </w:tc>
        <w:tc>
          <w:tcPr>
            <w:tcW w:w="2873" w:type="dxa"/>
            <w:vAlign w:val="center"/>
          </w:tcPr>
          <w:p>
            <w:pPr>
              <w:pStyle w:val="104"/>
              <w:rPr>
                <w:color w:val="FF0000"/>
                <w:highlight w:val="none"/>
              </w:rPr>
            </w:pPr>
            <w:r>
              <w:rPr>
                <w:color w:val="FF0000"/>
                <w:highlight w:val="none"/>
              </w:rPr>
              <w:t>《声环境质量标准》（GB3096-2008）中的</w:t>
            </w:r>
            <w:r>
              <w:rPr>
                <w:rFonts w:hint="eastAsia"/>
                <w:color w:val="FF0000"/>
                <w:highlight w:val="none"/>
              </w:rPr>
              <w:t>2</w:t>
            </w:r>
            <w:r>
              <w:rPr>
                <w:color w:val="FF0000"/>
                <w:highlight w:val="none"/>
              </w:rPr>
              <w:t>类限值</w:t>
            </w:r>
          </w:p>
        </w:tc>
      </w:tr>
    </w:tbl>
    <w:p>
      <w:pPr>
        <w:pStyle w:val="5"/>
        <w:bidi w:val="0"/>
        <w:rPr>
          <w:rFonts w:hint="default"/>
          <w:color w:val="FF0000"/>
          <w:highlight w:val="none"/>
        </w:rPr>
      </w:pPr>
      <w:bookmarkStart w:id="286" w:name="_Toc29286"/>
      <w:bookmarkStart w:id="287" w:name="_Toc429399117"/>
      <w:r>
        <w:rPr>
          <w:rFonts w:hint="default"/>
          <w:color w:val="FF0000"/>
          <w:highlight w:val="none"/>
        </w:rPr>
        <w:t>营运期环境监测方案</w:t>
      </w:r>
      <w:bookmarkEnd w:id="286"/>
      <w:bookmarkEnd w:id="287"/>
    </w:p>
    <w:p>
      <w:pPr>
        <w:ind w:firstLine="480"/>
        <w:rPr>
          <w:rFonts w:hint="default" w:ascii="Times New Roman" w:hAnsi="Times New Roman" w:cs="Times New Roman"/>
          <w:color w:val="FF0000"/>
          <w:kern w:val="0"/>
          <w:highlight w:val="none"/>
        </w:rPr>
      </w:pPr>
      <w:r>
        <w:rPr>
          <w:rFonts w:hint="default" w:ascii="Times New Roman" w:hAnsi="Times New Roman" w:cs="Times New Roman"/>
          <w:color w:val="FF0000"/>
          <w:kern w:val="0"/>
          <w:highlight w:val="none"/>
        </w:rPr>
        <w:t>根据《</w:t>
      </w:r>
      <w:r>
        <w:rPr>
          <w:rFonts w:hint="default" w:ascii="Times New Roman" w:hAnsi="Times New Roman" w:cs="Times New Roman"/>
          <w:color w:val="FF0000"/>
          <w:kern w:val="0"/>
          <w:highlight w:val="none"/>
        </w:rPr>
        <w:fldChar w:fldCharType="begin"/>
      </w:r>
      <w:r>
        <w:rPr>
          <w:rFonts w:hint="default" w:ascii="Times New Roman" w:hAnsi="Times New Roman" w:cs="Times New Roman"/>
          <w:color w:val="FF0000"/>
          <w:kern w:val="0"/>
          <w:highlight w:val="none"/>
        </w:rPr>
        <w:instrText xml:space="preserve"> HYPERLINK "https://www.mee.gov.cn/ywgz/fgbz/bz/bzwb/pwxk/201811/W020181115298062287807.pdf" </w:instrText>
      </w:r>
      <w:r>
        <w:rPr>
          <w:rFonts w:hint="default" w:ascii="Times New Roman" w:hAnsi="Times New Roman" w:cs="Times New Roman"/>
          <w:color w:val="FF0000"/>
          <w:kern w:val="0"/>
          <w:highlight w:val="none"/>
        </w:rPr>
        <w:fldChar w:fldCharType="separate"/>
      </w:r>
      <w:r>
        <w:rPr>
          <w:rFonts w:hint="default" w:ascii="Times New Roman" w:hAnsi="Times New Roman" w:cs="Times New Roman"/>
          <w:color w:val="FF0000"/>
          <w:kern w:val="0"/>
          <w:highlight w:val="none"/>
        </w:rPr>
        <w:t>排污许可证申请与核发技术规范水处理》（试行）（HJ978-2018）</w:t>
      </w:r>
      <w:r>
        <w:rPr>
          <w:rFonts w:hint="default" w:ascii="Times New Roman" w:hAnsi="Times New Roman" w:cs="Times New Roman"/>
          <w:color w:val="FF0000"/>
          <w:kern w:val="0"/>
          <w:highlight w:val="none"/>
        </w:rPr>
        <w:fldChar w:fldCharType="end"/>
      </w:r>
      <w:r>
        <w:rPr>
          <w:rFonts w:hint="default" w:ascii="Times New Roman" w:hAnsi="Times New Roman" w:cs="Times New Roman"/>
          <w:color w:val="FF0000"/>
          <w:kern w:val="0"/>
          <w:highlight w:val="none"/>
        </w:rPr>
        <w:t>、《排污单位自行监测技术指南水处理》（HJ1083-2020），营运期环境监测的要求见</w:t>
      </w:r>
      <w:r>
        <w:rPr>
          <w:rFonts w:hint="eastAsia" w:cs="Times New Roman"/>
          <w:color w:val="FF0000"/>
          <w:kern w:val="0"/>
          <w:highlight w:val="none"/>
          <w:lang w:val="en-US" w:eastAsia="zh-CN"/>
        </w:rPr>
        <w:t>下</w:t>
      </w:r>
      <w:r>
        <w:rPr>
          <w:rFonts w:hint="default" w:ascii="Times New Roman" w:hAnsi="Times New Roman" w:cs="Times New Roman"/>
          <w:color w:val="FF0000"/>
          <w:kern w:val="0"/>
          <w:highlight w:val="none"/>
        </w:rPr>
        <w:t>表。</w:t>
      </w:r>
    </w:p>
    <w:p>
      <w:pPr>
        <w:spacing w:line="240" w:lineRule="auto"/>
        <w:ind w:firstLine="0" w:firstLineChars="0"/>
        <w:jc w:val="center"/>
        <w:rPr>
          <w:rFonts w:hint="default" w:ascii="Times New Roman" w:hAnsi="Times New Roman" w:eastAsia="黑体" w:cs="Times New Roman"/>
          <w:bCs/>
          <w:color w:val="FF0000"/>
          <w:highlight w:val="none"/>
        </w:rPr>
      </w:pPr>
      <w:r>
        <w:rPr>
          <w:rFonts w:hint="default" w:ascii="Times New Roman" w:hAnsi="Times New Roman" w:eastAsia="黑体" w:cs="Times New Roman"/>
          <w:bCs/>
          <w:color w:val="FF0000"/>
          <w:highlight w:val="none"/>
        </w:rPr>
        <w:t>表</w:t>
      </w:r>
      <w:r>
        <w:rPr>
          <w:rFonts w:hint="default" w:ascii="Times New Roman" w:hAnsi="Times New Roman" w:cs="Times New Roman"/>
          <w:color w:val="FF0000"/>
          <w:kern w:val="0"/>
          <w:highlight w:val="none"/>
        </w:rPr>
        <w:t>8.3-</w:t>
      </w:r>
      <w:r>
        <w:rPr>
          <w:rFonts w:hint="eastAsia" w:cs="Times New Roman"/>
          <w:color w:val="FF0000"/>
          <w:kern w:val="0"/>
          <w:highlight w:val="none"/>
          <w:lang w:val="en-US" w:eastAsia="zh-CN"/>
        </w:rPr>
        <w:t>2</w:t>
      </w:r>
      <w:r>
        <w:rPr>
          <w:rFonts w:hint="default" w:ascii="Times New Roman" w:hAnsi="Times New Roman" w:eastAsia="黑体" w:cs="Times New Roman"/>
          <w:bCs/>
          <w:color w:val="FF0000"/>
          <w:highlight w:val="none"/>
        </w:rPr>
        <w:t>营运期环境监测计划</w:t>
      </w:r>
    </w:p>
    <w:tbl>
      <w:tblPr>
        <w:tblStyle w:val="33"/>
        <w:tblW w:w="95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14"/>
        <w:gridCol w:w="2344"/>
        <w:gridCol w:w="3826"/>
        <w:gridCol w:w="20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6" w:hRule="atLeast"/>
          <w:tblHeader/>
          <w:jc w:val="center"/>
        </w:trPr>
        <w:tc>
          <w:tcPr>
            <w:tcW w:w="1314" w:type="dxa"/>
            <w:tcBorders>
              <w:tl2br w:val="nil"/>
              <w:tr2bl w:val="nil"/>
            </w:tcBorders>
            <w:vAlign w:val="center"/>
          </w:tcPr>
          <w:p>
            <w:pPr>
              <w:pStyle w:val="74"/>
              <w:rPr>
                <w:rFonts w:hint="default" w:ascii="Times New Roman" w:hAnsi="Times New Roman" w:cs="Times New Roman"/>
                <w:b/>
                <w:bCs/>
                <w:color w:val="FF0000"/>
                <w:kern w:val="2"/>
                <w:highlight w:val="none"/>
              </w:rPr>
            </w:pPr>
            <w:r>
              <w:rPr>
                <w:rFonts w:hint="default" w:ascii="Times New Roman" w:hAnsi="Times New Roman" w:cs="Times New Roman"/>
                <w:b/>
                <w:bCs/>
                <w:color w:val="FF0000"/>
                <w:kern w:val="2"/>
                <w:highlight w:val="none"/>
              </w:rPr>
              <w:t>监测项目</w:t>
            </w:r>
          </w:p>
        </w:tc>
        <w:tc>
          <w:tcPr>
            <w:tcW w:w="2344" w:type="dxa"/>
            <w:tcBorders>
              <w:tl2br w:val="nil"/>
              <w:tr2bl w:val="nil"/>
            </w:tcBorders>
            <w:vAlign w:val="center"/>
          </w:tcPr>
          <w:p>
            <w:pPr>
              <w:pStyle w:val="74"/>
              <w:rPr>
                <w:rFonts w:hint="default" w:ascii="Times New Roman" w:hAnsi="Times New Roman" w:cs="Times New Roman"/>
                <w:b/>
                <w:bCs/>
                <w:color w:val="FF0000"/>
                <w:kern w:val="2"/>
                <w:highlight w:val="none"/>
              </w:rPr>
            </w:pPr>
            <w:r>
              <w:rPr>
                <w:rFonts w:hint="default" w:ascii="Times New Roman" w:hAnsi="Times New Roman" w:cs="Times New Roman"/>
                <w:b/>
                <w:bCs/>
                <w:color w:val="FF0000"/>
                <w:kern w:val="2"/>
                <w:highlight w:val="none"/>
              </w:rPr>
              <w:t>监测点</w:t>
            </w:r>
          </w:p>
        </w:tc>
        <w:tc>
          <w:tcPr>
            <w:tcW w:w="3826" w:type="dxa"/>
            <w:tcBorders>
              <w:tl2br w:val="nil"/>
              <w:tr2bl w:val="nil"/>
            </w:tcBorders>
            <w:vAlign w:val="center"/>
          </w:tcPr>
          <w:p>
            <w:pPr>
              <w:pStyle w:val="74"/>
              <w:rPr>
                <w:rFonts w:hint="default" w:ascii="Times New Roman" w:hAnsi="Times New Roman" w:cs="Times New Roman"/>
                <w:b/>
                <w:bCs/>
                <w:color w:val="FF0000"/>
                <w:kern w:val="2"/>
                <w:highlight w:val="none"/>
              </w:rPr>
            </w:pPr>
            <w:r>
              <w:rPr>
                <w:rFonts w:hint="default" w:ascii="Times New Roman" w:hAnsi="Times New Roman" w:cs="Times New Roman"/>
                <w:b/>
                <w:bCs/>
                <w:color w:val="FF0000"/>
                <w:kern w:val="2"/>
                <w:highlight w:val="none"/>
              </w:rPr>
              <w:t>监测因子</w:t>
            </w:r>
          </w:p>
        </w:tc>
        <w:tc>
          <w:tcPr>
            <w:tcW w:w="2026" w:type="dxa"/>
            <w:tcBorders>
              <w:tl2br w:val="nil"/>
              <w:tr2bl w:val="nil"/>
            </w:tcBorders>
            <w:vAlign w:val="center"/>
          </w:tcPr>
          <w:p>
            <w:pPr>
              <w:pStyle w:val="74"/>
              <w:rPr>
                <w:rFonts w:hint="default" w:ascii="Times New Roman" w:hAnsi="Times New Roman" w:cs="Times New Roman"/>
                <w:b/>
                <w:bCs/>
                <w:color w:val="FF0000"/>
                <w:kern w:val="2"/>
                <w:highlight w:val="none"/>
              </w:rPr>
            </w:pPr>
            <w:r>
              <w:rPr>
                <w:rFonts w:hint="default" w:ascii="Times New Roman" w:hAnsi="Times New Roman" w:cs="Times New Roman"/>
                <w:b/>
                <w:bCs/>
                <w:color w:val="FF0000"/>
                <w:kern w:val="2"/>
                <w:highlight w:val="none"/>
              </w:rPr>
              <w:t>监测频率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9" w:hRule="atLeast"/>
          <w:jc w:val="center"/>
        </w:trPr>
        <w:tc>
          <w:tcPr>
            <w:tcW w:w="1314" w:type="dxa"/>
            <w:vMerge w:val="restart"/>
            <w:tcBorders>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废气</w:t>
            </w:r>
          </w:p>
        </w:tc>
        <w:tc>
          <w:tcPr>
            <w:tcW w:w="2344" w:type="dxa"/>
            <w:tcBorders>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生物除臭装置排气筒</w:t>
            </w:r>
          </w:p>
        </w:tc>
        <w:tc>
          <w:tcPr>
            <w:tcW w:w="3826" w:type="dxa"/>
            <w:tcBorders>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H</w:t>
            </w:r>
            <w:r>
              <w:rPr>
                <w:rFonts w:hint="default" w:ascii="Times New Roman" w:hAnsi="Times New Roman" w:cs="Times New Roman"/>
                <w:color w:val="FF0000"/>
                <w:kern w:val="2"/>
                <w:highlight w:val="none"/>
                <w:vertAlign w:val="subscript"/>
              </w:rPr>
              <w:t>2</w:t>
            </w:r>
            <w:r>
              <w:rPr>
                <w:rFonts w:hint="default" w:ascii="Times New Roman" w:hAnsi="Times New Roman" w:cs="Times New Roman"/>
                <w:color w:val="FF0000"/>
                <w:kern w:val="2"/>
                <w:highlight w:val="none"/>
              </w:rPr>
              <w:t>S、NH</w:t>
            </w:r>
            <w:r>
              <w:rPr>
                <w:rFonts w:hint="default" w:ascii="Times New Roman" w:hAnsi="Times New Roman" w:cs="Times New Roman"/>
                <w:color w:val="FF0000"/>
                <w:kern w:val="2"/>
                <w:highlight w:val="none"/>
                <w:vertAlign w:val="subscript"/>
              </w:rPr>
              <w:t>3</w:t>
            </w:r>
            <w:r>
              <w:rPr>
                <w:rFonts w:hint="default" w:ascii="Times New Roman" w:hAnsi="Times New Roman" w:cs="Times New Roman"/>
                <w:color w:val="FF0000"/>
                <w:kern w:val="2"/>
                <w:highlight w:val="none"/>
              </w:rPr>
              <w:t>、臭气浓度</w:t>
            </w:r>
          </w:p>
        </w:tc>
        <w:tc>
          <w:tcPr>
            <w:tcW w:w="2026" w:type="dxa"/>
            <w:tcBorders>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半年/次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9" w:hRule="atLeast"/>
          <w:jc w:val="center"/>
        </w:trPr>
        <w:tc>
          <w:tcPr>
            <w:tcW w:w="1314" w:type="dxa"/>
            <w:vMerge w:val="continue"/>
            <w:tcBorders>
              <w:tl2br w:val="nil"/>
              <w:tr2bl w:val="nil"/>
            </w:tcBorders>
            <w:vAlign w:val="center"/>
          </w:tcPr>
          <w:p>
            <w:pPr>
              <w:pStyle w:val="74"/>
              <w:rPr>
                <w:rFonts w:hint="default" w:ascii="Times New Roman" w:hAnsi="Times New Roman" w:cs="Times New Roman"/>
                <w:color w:val="FF0000"/>
                <w:kern w:val="2"/>
                <w:highlight w:val="none"/>
              </w:rPr>
            </w:pPr>
          </w:p>
        </w:tc>
        <w:tc>
          <w:tcPr>
            <w:tcW w:w="2344" w:type="dxa"/>
            <w:tcBorders>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厂界下风向</w:t>
            </w:r>
          </w:p>
        </w:tc>
        <w:tc>
          <w:tcPr>
            <w:tcW w:w="3826" w:type="dxa"/>
            <w:tcBorders>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H</w:t>
            </w:r>
            <w:r>
              <w:rPr>
                <w:rFonts w:hint="default" w:ascii="Times New Roman" w:hAnsi="Times New Roman" w:cs="Times New Roman"/>
                <w:color w:val="FF0000"/>
                <w:kern w:val="2"/>
                <w:highlight w:val="none"/>
                <w:vertAlign w:val="subscript"/>
              </w:rPr>
              <w:t>2</w:t>
            </w:r>
            <w:r>
              <w:rPr>
                <w:rFonts w:hint="default" w:ascii="Times New Roman" w:hAnsi="Times New Roman" w:cs="Times New Roman"/>
                <w:color w:val="FF0000"/>
                <w:kern w:val="2"/>
                <w:highlight w:val="none"/>
              </w:rPr>
              <w:t>S、NH</w:t>
            </w:r>
            <w:r>
              <w:rPr>
                <w:rFonts w:hint="default" w:ascii="Times New Roman" w:hAnsi="Times New Roman" w:cs="Times New Roman"/>
                <w:color w:val="FF0000"/>
                <w:kern w:val="2"/>
                <w:highlight w:val="none"/>
                <w:vertAlign w:val="subscript"/>
              </w:rPr>
              <w:t>3</w:t>
            </w:r>
            <w:r>
              <w:rPr>
                <w:rFonts w:hint="default" w:ascii="Times New Roman" w:hAnsi="Times New Roman" w:cs="Times New Roman"/>
                <w:color w:val="FF0000"/>
                <w:kern w:val="2"/>
                <w:highlight w:val="none"/>
              </w:rPr>
              <w:t>、臭气浓度</w:t>
            </w:r>
          </w:p>
        </w:tc>
        <w:tc>
          <w:tcPr>
            <w:tcW w:w="2026" w:type="dxa"/>
            <w:tcBorders>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半年/次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14" w:type="dxa"/>
            <w:vMerge w:val="continue"/>
            <w:tcBorders>
              <w:tl2br w:val="nil"/>
              <w:tr2bl w:val="nil"/>
            </w:tcBorders>
            <w:vAlign w:val="center"/>
          </w:tcPr>
          <w:p>
            <w:pPr>
              <w:pStyle w:val="74"/>
              <w:rPr>
                <w:rFonts w:hint="default" w:ascii="Times New Roman" w:hAnsi="Times New Roman" w:cs="Times New Roman"/>
                <w:color w:val="FF0000"/>
                <w:kern w:val="2"/>
                <w:highlight w:val="none"/>
              </w:rPr>
            </w:pPr>
          </w:p>
        </w:tc>
        <w:tc>
          <w:tcPr>
            <w:tcW w:w="2344" w:type="dxa"/>
            <w:tcBorders>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厂界甲烷体积浓度最高处</w:t>
            </w:r>
          </w:p>
        </w:tc>
        <w:tc>
          <w:tcPr>
            <w:tcW w:w="3826" w:type="dxa"/>
            <w:tcBorders>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甲烷</w:t>
            </w:r>
          </w:p>
        </w:tc>
        <w:tc>
          <w:tcPr>
            <w:tcW w:w="2026" w:type="dxa"/>
            <w:tcBorders>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年/次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5" w:hRule="atLeast"/>
          <w:jc w:val="center"/>
        </w:trPr>
        <w:tc>
          <w:tcPr>
            <w:tcW w:w="1314" w:type="dxa"/>
            <w:vMerge w:val="restart"/>
            <w:tcBorders>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废水</w:t>
            </w:r>
          </w:p>
        </w:tc>
        <w:tc>
          <w:tcPr>
            <w:tcW w:w="2344" w:type="dxa"/>
            <w:vMerge w:val="restart"/>
            <w:tcBorders>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进水总管</w:t>
            </w:r>
          </w:p>
        </w:tc>
        <w:tc>
          <w:tcPr>
            <w:tcW w:w="3826" w:type="dxa"/>
            <w:tcBorders>
              <w:bottom w:val="single" w:color="auto" w:sz="4" w:space="0"/>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流量，化学需氧量、氨氮</w:t>
            </w:r>
          </w:p>
        </w:tc>
        <w:tc>
          <w:tcPr>
            <w:tcW w:w="2026" w:type="dxa"/>
            <w:tcBorders>
              <w:bottom w:val="single" w:color="auto" w:sz="4" w:space="0"/>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自动监测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 w:hRule="atLeast"/>
          <w:jc w:val="center"/>
        </w:trPr>
        <w:tc>
          <w:tcPr>
            <w:tcW w:w="1314" w:type="dxa"/>
            <w:vMerge w:val="continue"/>
            <w:tcBorders>
              <w:tl2br w:val="nil"/>
              <w:tr2bl w:val="nil"/>
            </w:tcBorders>
            <w:vAlign w:val="center"/>
          </w:tcPr>
          <w:p>
            <w:pPr>
              <w:pStyle w:val="74"/>
              <w:rPr>
                <w:rFonts w:hint="default" w:ascii="Times New Roman" w:hAnsi="Times New Roman" w:cs="Times New Roman"/>
                <w:color w:val="FF0000"/>
                <w:kern w:val="2"/>
                <w:highlight w:val="none"/>
              </w:rPr>
            </w:pPr>
          </w:p>
        </w:tc>
        <w:tc>
          <w:tcPr>
            <w:tcW w:w="2344" w:type="dxa"/>
            <w:vMerge w:val="continue"/>
            <w:tcBorders>
              <w:bottom w:val="single" w:color="auto" w:sz="4" w:space="0"/>
              <w:tl2br w:val="nil"/>
              <w:tr2bl w:val="nil"/>
            </w:tcBorders>
            <w:vAlign w:val="center"/>
          </w:tcPr>
          <w:p>
            <w:pPr>
              <w:pStyle w:val="74"/>
              <w:rPr>
                <w:rFonts w:hint="default" w:ascii="Times New Roman" w:hAnsi="Times New Roman" w:cs="Times New Roman"/>
                <w:color w:val="FF0000"/>
                <w:kern w:val="2"/>
                <w:highlight w:val="none"/>
              </w:rPr>
            </w:pPr>
          </w:p>
        </w:tc>
        <w:tc>
          <w:tcPr>
            <w:tcW w:w="3826" w:type="dxa"/>
            <w:tcBorders>
              <w:top w:val="single" w:color="auto" w:sz="4" w:space="0"/>
              <w:bottom w:val="single" w:color="auto" w:sz="4" w:space="0"/>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总磷、总氮</w:t>
            </w:r>
          </w:p>
        </w:tc>
        <w:tc>
          <w:tcPr>
            <w:tcW w:w="2026" w:type="dxa"/>
            <w:tcBorders>
              <w:top w:val="single" w:color="auto" w:sz="4" w:space="0"/>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日/次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5" w:hRule="atLeast"/>
          <w:jc w:val="center"/>
        </w:trPr>
        <w:tc>
          <w:tcPr>
            <w:tcW w:w="1314" w:type="dxa"/>
            <w:vMerge w:val="continue"/>
            <w:tcBorders>
              <w:tl2br w:val="nil"/>
              <w:tr2bl w:val="nil"/>
            </w:tcBorders>
            <w:vAlign w:val="center"/>
          </w:tcPr>
          <w:p>
            <w:pPr>
              <w:pStyle w:val="74"/>
              <w:rPr>
                <w:rFonts w:hint="default" w:ascii="Times New Roman" w:hAnsi="Times New Roman" w:cs="Times New Roman"/>
                <w:color w:val="FF0000"/>
                <w:kern w:val="2"/>
                <w:highlight w:val="none"/>
              </w:rPr>
            </w:pPr>
          </w:p>
        </w:tc>
        <w:tc>
          <w:tcPr>
            <w:tcW w:w="2344" w:type="dxa"/>
            <w:vMerge w:val="restart"/>
            <w:tcBorders>
              <w:top w:val="single" w:color="auto" w:sz="4" w:space="0"/>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出水口</w:t>
            </w:r>
          </w:p>
        </w:tc>
        <w:tc>
          <w:tcPr>
            <w:tcW w:w="3826" w:type="dxa"/>
            <w:tcBorders>
              <w:top w:val="single" w:color="auto" w:sz="4" w:space="0"/>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流量、pH、水温、化学需氧量、氨氮、总磷、总氮</w:t>
            </w:r>
            <w:r>
              <w:rPr>
                <w:rFonts w:hint="default" w:ascii="Times New Roman" w:hAnsi="Times New Roman" w:cs="Times New Roman"/>
                <w:color w:val="FF0000"/>
                <w:kern w:val="2"/>
                <w:highlight w:val="none"/>
                <w:vertAlign w:val="superscript"/>
              </w:rPr>
              <w:t>（1）</w:t>
            </w:r>
          </w:p>
        </w:tc>
        <w:tc>
          <w:tcPr>
            <w:tcW w:w="2026" w:type="dxa"/>
            <w:tcBorders>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自动监测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314" w:type="dxa"/>
            <w:vMerge w:val="continue"/>
            <w:tcBorders>
              <w:tl2br w:val="nil"/>
              <w:tr2bl w:val="nil"/>
            </w:tcBorders>
            <w:vAlign w:val="center"/>
          </w:tcPr>
          <w:p>
            <w:pPr>
              <w:pStyle w:val="74"/>
              <w:rPr>
                <w:rFonts w:hint="default" w:ascii="Times New Roman" w:hAnsi="Times New Roman" w:cs="Times New Roman"/>
                <w:color w:val="FF0000"/>
                <w:kern w:val="2"/>
                <w:highlight w:val="none"/>
              </w:rPr>
            </w:pPr>
          </w:p>
        </w:tc>
        <w:tc>
          <w:tcPr>
            <w:tcW w:w="2344" w:type="dxa"/>
            <w:vMerge w:val="continue"/>
            <w:tcBorders>
              <w:tl2br w:val="nil"/>
              <w:tr2bl w:val="nil"/>
            </w:tcBorders>
            <w:vAlign w:val="center"/>
          </w:tcPr>
          <w:p>
            <w:pPr>
              <w:pStyle w:val="74"/>
              <w:rPr>
                <w:rFonts w:hint="default" w:ascii="Times New Roman" w:hAnsi="Times New Roman" w:cs="Times New Roman"/>
                <w:color w:val="FF0000"/>
                <w:kern w:val="2"/>
                <w:highlight w:val="none"/>
              </w:rPr>
            </w:pPr>
          </w:p>
        </w:tc>
        <w:tc>
          <w:tcPr>
            <w:tcW w:w="3826" w:type="dxa"/>
            <w:tcBorders>
              <w:top w:val="single" w:color="auto" w:sz="4" w:space="0"/>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悬浮物、色度</w:t>
            </w:r>
          </w:p>
        </w:tc>
        <w:tc>
          <w:tcPr>
            <w:tcW w:w="2026" w:type="dxa"/>
            <w:tcBorders>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日/次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1314" w:type="dxa"/>
            <w:vMerge w:val="continue"/>
            <w:tcBorders>
              <w:tl2br w:val="nil"/>
              <w:tr2bl w:val="nil"/>
            </w:tcBorders>
            <w:vAlign w:val="center"/>
          </w:tcPr>
          <w:p>
            <w:pPr>
              <w:pStyle w:val="74"/>
              <w:rPr>
                <w:rFonts w:hint="default" w:ascii="Times New Roman" w:hAnsi="Times New Roman" w:cs="Times New Roman"/>
                <w:color w:val="FF0000"/>
                <w:kern w:val="2"/>
                <w:highlight w:val="none"/>
              </w:rPr>
            </w:pPr>
          </w:p>
        </w:tc>
        <w:tc>
          <w:tcPr>
            <w:tcW w:w="2344" w:type="dxa"/>
            <w:vMerge w:val="continue"/>
            <w:tcBorders>
              <w:tl2br w:val="nil"/>
              <w:tr2bl w:val="nil"/>
            </w:tcBorders>
            <w:vAlign w:val="center"/>
          </w:tcPr>
          <w:p>
            <w:pPr>
              <w:pStyle w:val="74"/>
              <w:rPr>
                <w:rFonts w:hint="default" w:ascii="Times New Roman" w:hAnsi="Times New Roman" w:cs="Times New Roman"/>
                <w:color w:val="FF0000"/>
                <w:kern w:val="2"/>
                <w:highlight w:val="none"/>
              </w:rPr>
            </w:pPr>
          </w:p>
        </w:tc>
        <w:tc>
          <w:tcPr>
            <w:tcW w:w="3826" w:type="dxa"/>
            <w:tcBorders>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五日生化需氧量、石油类</w:t>
            </w:r>
          </w:p>
        </w:tc>
        <w:tc>
          <w:tcPr>
            <w:tcW w:w="2026" w:type="dxa"/>
            <w:tcBorders>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月/次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7" w:hRule="atLeast"/>
          <w:jc w:val="center"/>
        </w:trPr>
        <w:tc>
          <w:tcPr>
            <w:tcW w:w="1314" w:type="dxa"/>
            <w:vMerge w:val="continue"/>
            <w:tcBorders>
              <w:tl2br w:val="nil"/>
              <w:tr2bl w:val="nil"/>
            </w:tcBorders>
            <w:vAlign w:val="center"/>
          </w:tcPr>
          <w:p>
            <w:pPr>
              <w:pStyle w:val="74"/>
              <w:rPr>
                <w:rFonts w:hint="default" w:ascii="Times New Roman" w:hAnsi="Times New Roman" w:cs="Times New Roman"/>
                <w:color w:val="FF0000"/>
                <w:kern w:val="2"/>
                <w:highlight w:val="none"/>
              </w:rPr>
            </w:pPr>
          </w:p>
        </w:tc>
        <w:tc>
          <w:tcPr>
            <w:tcW w:w="2344" w:type="dxa"/>
            <w:vMerge w:val="continue"/>
            <w:tcBorders>
              <w:tl2br w:val="nil"/>
              <w:tr2bl w:val="nil"/>
            </w:tcBorders>
            <w:vAlign w:val="center"/>
          </w:tcPr>
          <w:p>
            <w:pPr>
              <w:pStyle w:val="74"/>
              <w:rPr>
                <w:rFonts w:hint="default" w:ascii="Times New Roman" w:hAnsi="Times New Roman" w:cs="Times New Roman"/>
                <w:color w:val="FF0000"/>
                <w:kern w:val="2"/>
                <w:highlight w:val="none"/>
              </w:rPr>
            </w:pPr>
          </w:p>
        </w:tc>
        <w:tc>
          <w:tcPr>
            <w:tcW w:w="3826" w:type="dxa"/>
            <w:tcBorders>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总镉、总铬、总汞、总铅、总砷、六价铬</w:t>
            </w:r>
          </w:p>
        </w:tc>
        <w:tc>
          <w:tcPr>
            <w:tcW w:w="2026" w:type="dxa"/>
            <w:tcBorders>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月/次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jc w:val="center"/>
        </w:trPr>
        <w:tc>
          <w:tcPr>
            <w:tcW w:w="1314" w:type="dxa"/>
            <w:tcBorders>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地下水</w:t>
            </w:r>
          </w:p>
        </w:tc>
        <w:tc>
          <w:tcPr>
            <w:tcW w:w="2344" w:type="dxa"/>
            <w:tcBorders>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监测井</w:t>
            </w:r>
            <w:r>
              <w:rPr>
                <w:rFonts w:hint="eastAsia" w:cs="Times New Roman"/>
                <w:color w:val="FF0000"/>
                <w:kern w:val="2"/>
                <w:highlight w:val="none"/>
                <w:lang w:val="en-US" w:eastAsia="zh-CN"/>
              </w:rPr>
              <w:t>3</w:t>
            </w:r>
            <w:r>
              <w:rPr>
                <w:rFonts w:hint="default" w:ascii="Times New Roman" w:hAnsi="Times New Roman" w:cs="Times New Roman"/>
                <w:color w:val="FF0000"/>
                <w:kern w:val="2"/>
                <w:highlight w:val="none"/>
              </w:rPr>
              <w:t>口，与工程同步建设</w:t>
            </w:r>
          </w:p>
        </w:tc>
        <w:tc>
          <w:tcPr>
            <w:tcW w:w="3826" w:type="dxa"/>
            <w:tcBorders>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pH、K</w:t>
            </w:r>
            <w:r>
              <w:rPr>
                <w:rFonts w:hint="default" w:ascii="Times New Roman" w:hAnsi="Times New Roman" w:cs="Times New Roman"/>
                <w:color w:val="FF0000"/>
                <w:kern w:val="2"/>
                <w:highlight w:val="none"/>
                <w:vertAlign w:val="superscript"/>
              </w:rPr>
              <w:t>+</w:t>
            </w:r>
            <w:r>
              <w:rPr>
                <w:rFonts w:hint="default" w:ascii="Times New Roman" w:hAnsi="Times New Roman" w:cs="Times New Roman"/>
                <w:color w:val="FF0000"/>
                <w:kern w:val="2"/>
                <w:highlight w:val="none"/>
              </w:rPr>
              <w:t>、Na</w:t>
            </w:r>
            <w:r>
              <w:rPr>
                <w:rFonts w:hint="default" w:ascii="Times New Roman" w:hAnsi="Times New Roman" w:cs="Times New Roman"/>
                <w:color w:val="FF0000"/>
                <w:kern w:val="2"/>
                <w:highlight w:val="none"/>
                <w:vertAlign w:val="superscript"/>
              </w:rPr>
              <w:t>+</w:t>
            </w:r>
            <w:r>
              <w:rPr>
                <w:rFonts w:hint="default" w:ascii="Times New Roman" w:hAnsi="Times New Roman" w:cs="Times New Roman"/>
                <w:color w:val="FF0000"/>
                <w:kern w:val="2"/>
                <w:highlight w:val="none"/>
              </w:rPr>
              <w:t>、Ca</w:t>
            </w:r>
            <w:r>
              <w:rPr>
                <w:rFonts w:hint="default" w:ascii="Times New Roman" w:hAnsi="Times New Roman" w:cs="Times New Roman"/>
                <w:color w:val="FF0000"/>
                <w:kern w:val="2"/>
                <w:highlight w:val="none"/>
                <w:vertAlign w:val="superscript"/>
              </w:rPr>
              <w:t>2+</w:t>
            </w:r>
            <w:r>
              <w:rPr>
                <w:rFonts w:hint="default" w:ascii="Times New Roman" w:hAnsi="Times New Roman" w:cs="Times New Roman"/>
                <w:color w:val="FF0000"/>
                <w:kern w:val="2"/>
                <w:highlight w:val="none"/>
              </w:rPr>
              <w:t>、Mg</w:t>
            </w:r>
            <w:r>
              <w:rPr>
                <w:rFonts w:hint="default" w:ascii="Times New Roman" w:hAnsi="Times New Roman" w:cs="Times New Roman"/>
                <w:color w:val="FF0000"/>
                <w:kern w:val="2"/>
                <w:highlight w:val="none"/>
                <w:vertAlign w:val="superscript"/>
              </w:rPr>
              <w:t>2+</w:t>
            </w:r>
            <w:r>
              <w:rPr>
                <w:rFonts w:hint="default" w:ascii="Times New Roman" w:hAnsi="Times New Roman" w:cs="Times New Roman"/>
                <w:color w:val="FF0000"/>
                <w:kern w:val="2"/>
                <w:highlight w:val="none"/>
              </w:rPr>
              <w:t>、CO3</w:t>
            </w:r>
            <w:r>
              <w:rPr>
                <w:rFonts w:hint="default" w:ascii="Times New Roman" w:hAnsi="Times New Roman" w:cs="Times New Roman"/>
                <w:color w:val="FF0000"/>
                <w:kern w:val="2"/>
                <w:highlight w:val="none"/>
                <w:vertAlign w:val="superscript"/>
              </w:rPr>
              <w:t>2-</w:t>
            </w:r>
            <w:r>
              <w:rPr>
                <w:rFonts w:hint="default" w:ascii="Times New Roman" w:hAnsi="Times New Roman" w:cs="Times New Roman"/>
                <w:color w:val="FF0000"/>
                <w:kern w:val="2"/>
                <w:highlight w:val="none"/>
              </w:rPr>
              <w:t>、HCO</w:t>
            </w:r>
            <w:r>
              <w:rPr>
                <w:rFonts w:hint="default" w:ascii="Times New Roman" w:hAnsi="Times New Roman" w:cs="Times New Roman"/>
                <w:color w:val="FF0000"/>
                <w:kern w:val="2"/>
                <w:highlight w:val="none"/>
                <w:vertAlign w:val="superscript"/>
              </w:rPr>
              <w:t>3-</w:t>
            </w:r>
            <w:r>
              <w:rPr>
                <w:rFonts w:hint="default" w:ascii="Times New Roman" w:hAnsi="Times New Roman" w:cs="Times New Roman"/>
                <w:color w:val="FF0000"/>
                <w:kern w:val="2"/>
                <w:highlight w:val="none"/>
              </w:rPr>
              <w:t>、氯化物、硫酸盐、耗氧量、氨氮、硝酸盐、亚硝酸盐、氟化物、氰化物、挥发性酚类、阴离子表面活化剂、石油类、六价铬、铜、铅、镍、砷、汞、锌、铁、锰、镉、溶解性总固体、总硬度、总大肠菌群、细菌总数</w:t>
            </w:r>
          </w:p>
        </w:tc>
        <w:tc>
          <w:tcPr>
            <w:tcW w:w="2026" w:type="dxa"/>
            <w:tcBorders>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年/次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314" w:type="dxa"/>
            <w:tcBorders>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噪声</w:t>
            </w:r>
          </w:p>
        </w:tc>
        <w:tc>
          <w:tcPr>
            <w:tcW w:w="2344" w:type="dxa"/>
            <w:tcBorders>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东、南、西、北厂界</w:t>
            </w:r>
          </w:p>
        </w:tc>
        <w:tc>
          <w:tcPr>
            <w:tcW w:w="3826" w:type="dxa"/>
            <w:tcBorders>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等效A声级</w:t>
            </w:r>
          </w:p>
        </w:tc>
        <w:tc>
          <w:tcPr>
            <w:tcW w:w="2026" w:type="dxa"/>
            <w:tcBorders>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季度/次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3" w:hRule="atLeast"/>
          <w:jc w:val="center"/>
        </w:trPr>
        <w:tc>
          <w:tcPr>
            <w:tcW w:w="1314" w:type="dxa"/>
            <w:tcBorders>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污泥</w:t>
            </w:r>
          </w:p>
        </w:tc>
        <w:tc>
          <w:tcPr>
            <w:tcW w:w="2344" w:type="dxa"/>
            <w:tcBorders>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污泥脱水间</w:t>
            </w:r>
          </w:p>
        </w:tc>
        <w:tc>
          <w:tcPr>
            <w:tcW w:w="3826" w:type="dxa"/>
            <w:tcBorders>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含水量</w:t>
            </w:r>
          </w:p>
        </w:tc>
        <w:tc>
          <w:tcPr>
            <w:tcW w:w="2026" w:type="dxa"/>
            <w:tcBorders>
              <w:tl2br w:val="nil"/>
              <w:tr2bl w:val="nil"/>
            </w:tcBorders>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日（每批次）/次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jc w:val="center"/>
        </w:trPr>
        <w:tc>
          <w:tcPr>
            <w:tcW w:w="9510" w:type="dxa"/>
            <w:gridSpan w:val="4"/>
            <w:tcBorders>
              <w:tl2br w:val="nil"/>
              <w:tr2bl w:val="nil"/>
            </w:tcBorders>
            <w:vAlign w:val="center"/>
          </w:tcPr>
          <w:p>
            <w:pPr>
              <w:pStyle w:val="74"/>
              <w:jc w:val="left"/>
              <w:rPr>
                <w:rFonts w:hint="default" w:ascii="Times New Roman" w:hAnsi="Times New Roman" w:cs="Times New Roman"/>
                <w:color w:val="FF0000"/>
                <w:kern w:val="2"/>
                <w:highlight w:val="none"/>
              </w:rPr>
            </w:pPr>
            <w:bookmarkStart w:id="288" w:name="_Toc8068"/>
            <w:r>
              <w:rPr>
                <w:rFonts w:hint="default" w:ascii="Times New Roman" w:hAnsi="Times New Roman" w:cs="Times New Roman"/>
                <w:color w:val="FF0000"/>
                <w:kern w:val="2"/>
                <w:highlight w:val="none"/>
              </w:rPr>
              <w:t>（1）总氮自动监测技术规范发布实施前，按日监测；</w:t>
            </w:r>
          </w:p>
          <w:p>
            <w:pPr>
              <w:pStyle w:val="74"/>
              <w:jc w:val="left"/>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（2）雨水排放口有流动水排放时按月监测。若监测一年无异常情况，可放宽至每季度开展一次监测。</w:t>
            </w:r>
          </w:p>
        </w:tc>
      </w:tr>
    </w:tbl>
    <w:p>
      <w:pPr>
        <w:pStyle w:val="5"/>
        <w:tabs>
          <w:tab w:val="left" w:pos="420"/>
        </w:tabs>
        <w:rPr>
          <w:color w:val="FF0000"/>
          <w:highlight w:val="none"/>
        </w:rPr>
      </w:pPr>
      <w:bookmarkStart w:id="289" w:name="_Toc5332"/>
      <w:bookmarkStart w:id="290" w:name="_Toc14279"/>
      <w:r>
        <w:rPr>
          <w:color w:val="FF0000"/>
          <w:highlight w:val="none"/>
        </w:rPr>
        <w:t>事故应急调查监测方案</w:t>
      </w:r>
    </w:p>
    <w:p>
      <w:pPr>
        <w:ind w:firstLine="480"/>
        <w:rPr>
          <w:rFonts w:hint="default"/>
          <w:color w:val="FF0000"/>
          <w:highlight w:val="none"/>
        </w:rPr>
      </w:pPr>
      <w:r>
        <w:rPr>
          <w:color w:val="FF0000"/>
          <w:highlight w:val="none"/>
        </w:rPr>
        <w:t>项目事故预案中需包括应急监测程序，项目运行过程中一旦发生事故，应立即启动应急监测程序，并跟踪监测污染物的迁移情况，直到事故影响根本消除。事故应急监测方案应与当地环境监测站共同制订和实施，环境监测人员（本企业）在工作时间10min内、非工作时间20min内要到达事故现场，需实验室分析测试的项目，在采样后24h内必须报出，应急监测专题报告在48h内要报出。根据事故发生源，污染物泄漏种类的分析成果，监测事故的特征因子，监测范围应对事故附近的辐射圈周界进行采样监测。</w:t>
      </w:r>
    </w:p>
    <w:p>
      <w:pPr>
        <w:pStyle w:val="4"/>
        <w:bidi w:val="0"/>
        <w:rPr>
          <w:rFonts w:hint="default"/>
          <w:color w:val="FF0000"/>
          <w:highlight w:val="none"/>
        </w:rPr>
      </w:pPr>
      <w:r>
        <w:rPr>
          <w:rFonts w:hint="default"/>
          <w:color w:val="FF0000"/>
          <w:highlight w:val="none"/>
        </w:rPr>
        <w:t>排污口规范</w:t>
      </w:r>
      <w:bookmarkEnd w:id="288"/>
      <w:bookmarkEnd w:id="289"/>
      <w:bookmarkEnd w:id="290"/>
    </w:p>
    <w:p>
      <w:pPr>
        <w:ind w:firstLine="480"/>
        <w:rPr>
          <w:rFonts w:hint="default" w:ascii="Times New Roman" w:hAnsi="Times New Roman" w:cs="Times New Roman"/>
          <w:color w:val="FF0000"/>
          <w:kern w:val="0"/>
          <w:highlight w:val="none"/>
        </w:rPr>
      </w:pPr>
      <w:r>
        <w:rPr>
          <w:rFonts w:hint="default" w:ascii="Times New Roman" w:hAnsi="Times New Roman" w:cs="Times New Roman"/>
          <w:color w:val="FF0000"/>
          <w:kern w:val="0"/>
          <w:highlight w:val="none"/>
        </w:rPr>
        <w:t>废水排放口、固定噪声源和固体废物贮存必须按照国家有关规定进行建设，应符合“一明显、二合理、三便于”的要求，即环保标志明显，排污口（接管口）设置合理，便于采集样品、便于监测计量、便于公众参与和监督管理。同时要求按照国家环保总局制定的《环境保护图形标志实施细则（试行）》的规定，设置与排污口相应的图形标志牌。</w:t>
      </w:r>
    </w:p>
    <w:p>
      <w:pPr>
        <w:ind w:firstLine="480"/>
        <w:rPr>
          <w:rFonts w:hint="default" w:ascii="Times New Roman" w:hAnsi="Times New Roman" w:cs="Times New Roman"/>
          <w:color w:val="FF0000"/>
          <w:kern w:val="0"/>
          <w:highlight w:val="none"/>
        </w:rPr>
      </w:pPr>
      <w:r>
        <w:rPr>
          <w:rFonts w:hint="default" w:ascii="Times New Roman" w:hAnsi="Times New Roman" w:cs="Times New Roman"/>
          <w:color w:val="FF0000"/>
          <w:kern w:val="0"/>
          <w:highlight w:val="none"/>
        </w:rPr>
        <w:t>（1）排污口管理。建设单位应在各个排污口处树立标志牌，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pPr>
        <w:pStyle w:val="15"/>
        <w:rPr>
          <w:rFonts w:hint="default" w:ascii="Times New Roman" w:hAnsi="Times New Roman" w:cs="Times New Roman"/>
          <w:color w:val="FF0000"/>
          <w:kern w:val="0"/>
          <w:highlight w:val="none"/>
        </w:rPr>
      </w:pPr>
      <w:r>
        <w:rPr>
          <w:rFonts w:hint="default" w:ascii="Times New Roman" w:hAnsi="Times New Roman" w:cs="Times New Roman"/>
          <w:color w:val="FF0000"/>
          <w:kern w:val="0"/>
          <w:highlight w:val="none"/>
        </w:rPr>
        <w:t>（2）环境保护图形标志。</w:t>
      </w:r>
      <w:r>
        <w:rPr>
          <w:rFonts w:hint="eastAsia" w:cs="Times New Roman"/>
          <w:color w:val="FF0000"/>
          <w:kern w:val="0"/>
          <w:highlight w:val="none"/>
          <w:lang w:val="en-US" w:eastAsia="zh-CN"/>
        </w:rPr>
        <w:t>根据</w:t>
      </w:r>
      <w:r>
        <w:rPr>
          <w:rFonts w:hint="eastAsia"/>
          <w:color w:val="FF0000"/>
          <w:szCs w:val="24"/>
          <w:highlight w:val="none"/>
          <w:lang w:eastAsia="zh-CN"/>
        </w:rPr>
        <w:t>《危险废物识别标志设置技术规范》）（HJ1276-2022）</w:t>
      </w:r>
      <w:r>
        <w:rPr>
          <w:rFonts w:hint="default" w:ascii="Times New Roman" w:hAnsi="Times New Roman" w:cs="Times New Roman"/>
          <w:color w:val="FF0000"/>
          <w:kern w:val="0"/>
          <w:highlight w:val="none"/>
        </w:rPr>
        <w:t>厂区的废水排放口、固体废物贮存处置场应设置环境保护图形标志，图形符号分为提示图形和警告图形符号两种，分别按GB15562.1-1995、GB15562.2-1995执行。环境保护图形标志的形状及颜色，环境保护图形符号见</w:t>
      </w:r>
      <w:r>
        <w:rPr>
          <w:rFonts w:hint="eastAsia" w:cs="Times New Roman"/>
          <w:color w:val="FF0000"/>
          <w:kern w:val="0"/>
          <w:highlight w:val="none"/>
          <w:lang w:val="en-US" w:eastAsia="zh-CN"/>
        </w:rPr>
        <w:t>下</w:t>
      </w:r>
      <w:r>
        <w:rPr>
          <w:rFonts w:hint="default" w:ascii="Times New Roman" w:hAnsi="Times New Roman" w:cs="Times New Roman"/>
          <w:color w:val="FF0000"/>
          <w:kern w:val="0"/>
          <w:highlight w:val="none"/>
        </w:rPr>
        <w:t>表。</w:t>
      </w:r>
    </w:p>
    <w:p>
      <w:pPr>
        <w:pStyle w:val="16"/>
        <w:ind w:firstLine="480"/>
        <w:rPr>
          <w:rFonts w:hint="default" w:ascii="Times New Roman" w:hAnsi="Times New Roman" w:cs="Times New Roman"/>
          <w:color w:val="FF0000"/>
          <w:highlight w:val="none"/>
        </w:rPr>
      </w:pPr>
      <w:r>
        <w:rPr>
          <w:rFonts w:hint="default" w:ascii="Times New Roman" w:hAnsi="Times New Roman" w:eastAsia="黑体" w:cs="Times New Roman"/>
          <w:bCs/>
          <w:color w:val="FF0000"/>
          <w:kern w:val="2"/>
          <w:highlight w:val="none"/>
        </w:rPr>
        <w:t>表</w:t>
      </w:r>
      <w:r>
        <w:rPr>
          <w:rFonts w:hint="default" w:ascii="Times New Roman" w:hAnsi="Times New Roman" w:cs="Times New Roman"/>
          <w:color w:val="FF0000"/>
          <w:highlight w:val="none"/>
        </w:rPr>
        <w:t>8.</w:t>
      </w:r>
      <w:r>
        <w:rPr>
          <w:rFonts w:hint="eastAsia" w:cs="Times New Roman"/>
          <w:color w:val="FF0000"/>
          <w:highlight w:val="none"/>
          <w:lang w:val="en-US" w:eastAsia="zh-CN"/>
        </w:rPr>
        <w:t>3</w:t>
      </w:r>
      <w:r>
        <w:rPr>
          <w:rFonts w:hint="default" w:ascii="Times New Roman" w:hAnsi="Times New Roman" w:cs="Times New Roman"/>
          <w:color w:val="FF0000"/>
          <w:highlight w:val="none"/>
        </w:rPr>
        <w:t>-</w:t>
      </w:r>
      <w:r>
        <w:rPr>
          <w:rFonts w:hint="eastAsia" w:cs="Times New Roman"/>
          <w:color w:val="FF0000"/>
          <w:highlight w:val="none"/>
          <w:lang w:val="en-US" w:eastAsia="zh-CN"/>
        </w:rPr>
        <w:t>4</w:t>
      </w:r>
      <w:r>
        <w:rPr>
          <w:rFonts w:hint="default" w:ascii="Times New Roman" w:hAnsi="Times New Roman" w:eastAsia="黑体" w:cs="Times New Roman"/>
          <w:bCs/>
          <w:color w:val="FF0000"/>
          <w:kern w:val="2"/>
          <w:highlight w:val="none"/>
        </w:rPr>
        <w:t>环境保护图形标志的形状及颜色表</w:t>
      </w:r>
    </w:p>
    <w:tbl>
      <w:tblPr>
        <w:tblStyle w:val="57"/>
        <w:tblW w:w="92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13"/>
        <w:gridCol w:w="2309"/>
        <w:gridCol w:w="2310"/>
        <w:gridCol w:w="23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2313" w:type="dxa"/>
            <w:tcBorders>
              <w:right w:val="single" w:color="000000" w:sz="4" w:space="0"/>
            </w:tcBorders>
          </w:tcPr>
          <w:p>
            <w:pPr>
              <w:spacing w:before="37" w:line="226" w:lineRule="auto"/>
              <w:ind w:left="743" w:firstLine="428"/>
              <w:rPr>
                <w:rFonts w:hint="default" w:ascii="Times New Roman" w:hAnsi="Times New Roman" w:cs="Times New Roman"/>
                <w:color w:val="FF0000"/>
                <w:sz w:val="20"/>
                <w:szCs w:val="20"/>
                <w:highlight w:val="none"/>
              </w:rPr>
            </w:pPr>
            <w:r>
              <w:rPr>
                <w:rFonts w:hint="default" w:ascii="Times New Roman" w:hAnsi="Times New Roman" w:cs="Times New Roman"/>
                <w:color w:val="FF0000"/>
                <w:spacing w:val="7"/>
                <w:sz w:val="20"/>
                <w:szCs w:val="20"/>
                <w:highlight w:val="none"/>
              </w:rPr>
              <w:t>标志名称</w:t>
            </w:r>
          </w:p>
        </w:tc>
        <w:tc>
          <w:tcPr>
            <w:tcW w:w="2309" w:type="dxa"/>
            <w:tcBorders>
              <w:left w:val="single" w:color="000000" w:sz="4" w:space="0"/>
              <w:right w:val="single" w:color="000000" w:sz="4" w:space="0"/>
            </w:tcBorders>
          </w:tcPr>
          <w:p>
            <w:pPr>
              <w:spacing w:before="37" w:line="226" w:lineRule="auto"/>
              <w:ind w:left="949" w:firstLine="416"/>
              <w:rPr>
                <w:rFonts w:hint="default" w:ascii="Times New Roman" w:hAnsi="Times New Roman" w:cs="Times New Roman"/>
                <w:color w:val="FF0000"/>
                <w:sz w:val="20"/>
                <w:szCs w:val="20"/>
                <w:highlight w:val="none"/>
              </w:rPr>
            </w:pPr>
            <w:r>
              <w:rPr>
                <w:rFonts w:hint="default" w:ascii="Times New Roman" w:hAnsi="Times New Roman" w:cs="Times New Roman"/>
                <w:color w:val="FF0000"/>
                <w:spacing w:val="4"/>
                <w:sz w:val="20"/>
                <w:szCs w:val="20"/>
                <w:highlight w:val="none"/>
              </w:rPr>
              <w:t>形</w:t>
            </w:r>
            <w:r>
              <w:rPr>
                <w:rFonts w:hint="default" w:ascii="Times New Roman" w:hAnsi="Times New Roman" w:cs="Times New Roman"/>
                <w:color w:val="FF0000"/>
                <w:spacing w:val="3"/>
                <w:sz w:val="20"/>
                <w:szCs w:val="20"/>
                <w:highlight w:val="none"/>
              </w:rPr>
              <w:t>状</w:t>
            </w:r>
          </w:p>
        </w:tc>
        <w:tc>
          <w:tcPr>
            <w:tcW w:w="2310" w:type="dxa"/>
            <w:tcBorders>
              <w:left w:val="single" w:color="000000" w:sz="4" w:space="0"/>
              <w:right w:val="single" w:color="000000" w:sz="4" w:space="0"/>
            </w:tcBorders>
          </w:tcPr>
          <w:p>
            <w:pPr>
              <w:spacing w:before="37" w:line="226" w:lineRule="auto"/>
              <w:ind w:left="741" w:firstLine="432"/>
              <w:rPr>
                <w:rFonts w:hint="default" w:ascii="Times New Roman" w:hAnsi="Times New Roman" w:cs="Times New Roman"/>
                <w:color w:val="FF0000"/>
                <w:sz w:val="20"/>
                <w:szCs w:val="20"/>
                <w:highlight w:val="none"/>
              </w:rPr>
            </w:pPr>
            <w:r>
              <w:rPr>
                <w:rFonts w:hint="default" w:ascii="Times New Roman" w:hAnsi="Times New Roman" w:cs="Times New Roman"/>
                <w:color w:val="FF0000"/>
                <w:spacing w:val="8"/>
                <w:sz w:val="20"/>
                <w:szCs w:val="20"/>
                <w:highlight w:val="none"/>
              </w:rPr>
              <w:t>背</w:t>
            </w:r>
            <w:r>
              <w:rPr>
                <w:rFonts w:hint="default" w:ascii="Times New Roman" w:hAnsi="Times New Roman" w:cs="Times New Roman"/>
                <w:color w:val="FF0000"/>
                <w:spacing w:val="6"/>
                <w:sz w:val="20"/>
                <w:szCs w:val="20"/>
                <w:highlight w:val="none"/>
              </w:rPr>
              <w:t>景颜色</w:t>
            </w:r>
          </w:p>
        </w:tc>
        <w:tc>
          <w:tcPr>
            <w:tcW w:w="2314" w:type="dxa"/>
            <w:tcBorders>
              <w:left w:val="single" w:color="000000" w:sz="4" w:space="0"/>
            </w:tcBorders>
          </w:tcPr>
          <w:p>
            <w:pPr>
              <w:spacing w:before="37" w:line="226" w:lineRule="auto"/>
              <w:ind w:left="759" w:firstLine="412"/>
              <w:rPr>
                <w:rFonts w:hint="default" w:ascii="Times New Roman" w:hAnsi="Times New Roman" w:cs="Times New Roman"/>
                <w:color w:val="FF0000"/>
                <w:sz w:val="20"/>
                <w:szCs w:val="20"/>
                <w:highlight w:val="none"/>
              </w:rPr>
            </w:pPr>
            <w:r>
              <w:rPr>
                <w:rFonts w:hint="default" w:ascii="Times New Roman" w:hAnsi="Times New Roman" w:cs="Times New Roman"/>
                <w:color w:val="FF0000"/>
                <w:spacing w:val="3"/>
                <w:sz w:val="20"/>
                <w:szCs w:val="20"/>
                <w:highlight w:val="none"/>
              </w:rPr>
              <w:t>图</w:t>
            </w:r>
            <w:r>
              <w:rPr>
                <w:rFonts w:hint="default" w:ascii="Times New Roman" w:hAnsi="Times New Roman" w:cs="Times New Roman"/>
                <w:color w:val="FF0000"/>
                <w:spacing w:val="2"/>
                <w:sz w:val="20"/>
                <w:szCs w:val="20"/>
                <w:highlight w:val="none"/>
              </w:rPr>
              <w:t>形颜色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2313" w:type="dxa"/>
            <w:tcBorders>
              <w:right w:val="single" w:color="000000" w:sz="4" w:space="0"/>
            </w:tcBorders>
          </w:tcPr>
          <w:p>
            <w:pPr>
              <w:spacing w:before="36" w:line="226" w:lineRule="auto"/>
              <w:ind w:left="745" w:firstLine="432"/>
              <w:rPr>
                <w:rFonts w:hint="default" w:ascii="Times New Roman" w:hAnsi="Times New Roman" w:cs="Times New Roman"/>
                <w:color w:val="FF0000"/>
                <w:sz w:val="20"/>
                <w:szCs w:val="20"/>
                <w:highlight w:val="none"/>
              </w:rPr>
            </w:pPr>
            <w:r>
              <w:rPr>
                <w:rFonts w:hint="default" w:ascii="Times New Roman" w:hAnsi="Times New Roman" w:cs="Times New Roman"/>
                <w:color w:val="FF0000"/>
                <w:spacing w:val="8"/>
                <w:sz w:val="20"/>
                <w:szCs w:val="20"/>
                <w:highlight w:val="none"/>
              </w:rPr>
              <w:t>警</w:t>
            </w:r>
            <w:r>
              <w:rPr>
                <w:rFonts w:hint="default" w:ascii="Times New Roman" w:hAnsi="Times New Roman" w:cs="Times New Roman"/>
                <w:color w:val="FF0000"/>
                <w:spacing w:val="6"/>
                <w:sz w:val="20"/>
                <w:szCs w:val="20"/>
                <w:highlight w:val="none"/>
              </w:rPr>
              <w:t>告标志</w:t>
            </w:r>
          </w:p>
        </w:tc>
        <w:tc>
          <w:tcPr>
            <w:tcW w:w="2309" w:type="dxa"/>
            <w:tcBorders>
              <w:left w:val="single" w:color="000000" w:sz="4" w:space="0"/>
              <w:right w:val="single" w:color="000000" w:sz="4" w:space="0"/>
            </w:tcBorders>
          </w:tcPr>
          <w:p>
            <w:pPr>
              <w:spacing w:before="36" w:line="226" w:lineRule="auto"/>
              <w:ind w:left="632" w:firstLine="432"/>
              <w:rPr>
                <w:rFonts w:hint="default" w:ascii="Times New Roman" w:hAnsi="Times New Roman" w:cs="Times New Roman"/>
                <w:color w:val="FF0000"/>
                <w:sz w:val="20"/>
                <w:szCs w:val="20"/>
                <w:highlight w:val="none"/>
              </w:rPr>
            </w:pPr>
            <w:r>
              <w:rPr>
                <w:rFonts w:hint="default" w:ascii="Times New Roman" w:hAnsi="Times New Roman" w:cs="Times New Roman"/>
                <w:color w:val="FF0000"/>
                <w:spacing w:val="8"/>
                <w:sz w:val="20"/>
                <w:szCs w:val="20"/>
                <w:highlight w:val="none"/>
              </w:rPr>
              <w:t>三角形边框</w:t>
            </w:r>
          </w:p>
        </w:tc>
        <w:tc>
          <w:tcPr>
            <w:tcW w:w="2310" w:type="dxa"/>
            <w:tcBorders>
              <w:left w:val="single" w:color="000000" w:sz="4" w:space="0"/>
              <w:right w:val="single" w:color="000000" w:sz="4" w:space="0"/>
            </w:tcBorders>
          </w:tcPr>
          <w:p>
            <w:pPr>
              <w:spacing w:before="36" w:line="226" w:lineRule="auto"/>
              <w:ind w:left="948" w:firstLine="420"/>
              <w:rPr>
                <w:rFonts w:hint="default" w:ascii="Times New Roman" w:hAnsi="Times New Roman" w:cs="Times New Roman"/>
                <w:color w:val="FF0000"/>
                <w:sz w:val="20"/>
                <w:szCs w:val="20"/>
                <w:highlight w:val="none"/>
              </w:rPr>
            </w:pPr>
            <w:r>
              <w:rPr>
                <w:rFonts w:hint="default" w:ascii="Times New Roman" w:hAnsi="Times New Roman" w:cs="Times New Roman"/>
                <w:color w:val="FF0000"/>
                <w:spacing w:val="5"/>
                <w:sz w:val="20"/>
                <w:szCs w:val="20"/>
                <w:highlight w:val="none"/>
              </w:rPr>
              <w:t>黄色</w:t>
            </w:r>
          </w:p>
        </w:tc>
        <w:tc>
          <w:tcPr>
            <w:tcW w:w="2314" w:type="dxa"/>
            <w:tcBorders>
              <w:left w:val="single" w:color="000000" w:sz="4" w:space="0"/>
            </w:tcBorders>
          </w:tcPr>
          <w:p>
            <w:pPr>
              <w:spacing w:before="36" w:line="226" w:lineRule="auto"/>
              <w:ind w:left="955" w:firstLine="408"/>
              <w:rPr>
                <w:rFonts w:hint="default" w:ascii="Times New Roman" w:hAnsi="Times New Roman" w:cs="Times New Roman"/>
                <w:color w:val="FF0000"/>
                <w:sz w:val="20"/>
                <w:szCs w:val="20"/>
                <w:highlight w:val="none"/>
              </w:rPr>
            </w:pPr>
            <w:r>
              <w:rPr>
                <w:rFonts w:hint="default" w:ascii="Times New Roman" w:hAnsi="Times New Roman" w:cs="Times New Roman"/>
                <w:color w:val="FF0000"/>
                <w:spacing w:val="2"/>
                <w:sz w:val="20"/>
                <w:szCs w:val="20"/>
                <w:highlight w:val="none"/>
              </w:rPr>
              <w:t>黑色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2313" w:type="dxa"/>
            <w:tcBorders>
              <w:right w:val="single" w:color="000000" w:sz="4" w:space="0"/>
            </w:tcBorders>
          </w:tcPr>
          <w:p>
            <w:pPr>
              <w:spacing w:before="38" w:line="226" w:lineRule="auto"/>
              <w:ind w:left="743" w:firstLine="428"/>
              <w:rPr>
                <w:rFonts w:hint="default" w:ascii="Times New Roman" w:hAnsi="Times New Roman" w:cs="Times New Roman"/>
                <w:color w:val="FF0000"/>
                <w:sz w:val="20"/>
                <w:szCs w:val="20"/>
                <w:highlight w:val="none"/>
              </w:rPr>
            </w:pPr>
            <w:r>
              <w:rPr>
                <w:rFonts w:hint="default" w:ascii="Times New Roman" w:hAnsi="Times New Roman" w:cs="Times New Roman"/>
                <w:color w:val="FF0000"/>
                <w:spacing w:val="7"/>
                <w:sz w:val="20"/>
                <w:szCs w:val="20"/>
                <w:highlight w:val="none"/>
              </w:rPr>
              <w:t>提示标志</w:t>
            </w:r>
          </w:p>
        </w:tc>
        <w:tc>
          <w:tcPr>
            <w:tcW w:w="2309" w:type="dxa"/>
            <w:tcBorders>
              <w:left w:val="single" w:color="000000" w:sz="4" w:space="0"/>
              <w:right w:val="single" w:color="000000" w:sz="4" w:space="0"/>
            </w:tcBorders>
          </w:tcPr>
          <w:p>
            <w:pPr>
              <w:spacing w:before="38" w:line="226" w:lineRule="auto"/>
              <w:ind w:left="636" w:firstLine="432"/>
              <w:rPr>
                <w:rFonts w:hint="default" w:ascii="Times New Roman" w:hAnsi="Times New Roman" w:cs="Times New Roman"/>
                <w:color w:val="FF0000"/>
                <w:sz w:val="20"/>
                <w:szCs w:val="20"/>
                <w:highlight w:val="none"/>
              </w:rPr>
            </w:pPr>
            <w:r>
              <w:rPr>
                <w:rFonts w:hint="default" w:ascii="Times New Roman" w:hAnsi="Times New Roman" w:cs="Times New Roman"/>
                <w:color w:val="FF0000"/>
                <w:spacing w:val="8"/>
                <w:sz w:val="20"/>
                <w:szCs w:val="20"/>
                <w:highlight w:val="none"/>
              </w:rPr>
              <w:t>正</w:t>
            </w:r>
            <w:r>
              <w:rPr>
                <w:rFonts w:hint="default" w:ascii="Times New Roman" w:hAnsi="Times New Roman" w:cs="Times New Roman"/>
                <w:color w:val="FF0000"/>
                <w:spacing w:val="7"/>
                <w:sz w:val="20"/>
                <w:szCs w:val="20"/>
                <w:highlight w:val="none"/>
              </w:rPr>
              <w:t>方形边框</w:t>
            </w:r>
          </w:p>
        </w:tc>
        <w:tc>
          <w:tcPr>
            <w:tcW w:w="2310" w:type="dxa"/>
            <w:tcBorders>
              <w:left w:val="single" w:color="000000" w:sz="4" w:space="0"/>
              <w:right w:val="single" w:color="000000" w:sz="4" w:space="0"/>
            </w:tcBorders>
          </w:tcPr>
          <w:p>
            <w:pPr>
              <w:spacing w:before="38" w:line="226" w:lineRule="auto"/>
              <w:ind w:left="950" w:firstLine="416"/>
              <w:rPr>
                <w:rFonts w:hint="default" w:ascii="Times New Roman" w:hAnsi="Times New Roman" w:cs="Times New Roman"/>
                <w:color w:val="FF0000"/>
                <w:sz w:val="20"/>
                <w:szCs w:val="20"/>
                <w:highlight w:val="none"/>
              </w:rPr>
            </w:pPr>
            <w:r>
              <w:rPr>
                <w:rFonts w:hint="default" w:ascii="Times New Roman" w:hAnsi="Times New Roman" w:cs="Times New Roman"/>
                <w:color w:val="FF0000"/>
                <w:spacing w:val="4"/>
                <w:sz w:val="20"/>
                <w:szCs w:val="20"/>
                <w:highlight w:val="none"/>
              </w:rPr>
              <w:t>绿</w:t>
            </w:r>
            <w:r>
              <w:rPr>
                <w:rFonts w:hint="default" w:ascii="Times New Roman" w:hAnsi="Times New Roman" w:cs="Times New Roman"/>
                <w:color w:val="FF0000"/>
                <w:spacing w:val="3"/>
                <w:sz w:val="20"/>
                <w:szCs w:val="20"/>
                <w:highlight w:val="none"/>
              </w:rPr>
              <w:t>色</w:t>
            </w:r>
          </w:p>
        </w:tc>
        <w:tc>
          <w:tcPr>
            <w:tcW w:w="2314" w:type="dxa"/>
            <w:tcBorders>
              <w:left w:val="single" w:color="000000" w:sz="4" w:space="0"/>
            </w:tcBorders>
          </w:tcPr>
          <w:p>
            <w:pPr>
              <w:spacing w:before="38" w:line="226" w:lineRule="auto"/>
              <w:ind w:left="980" w:firstLine="356"/>
              <w:rPr>
                <w:rFonts w:hint="default" w:ascii="Times New Roman" w:hAnsi="Times New Roman" w:cs="Times New Roman"/>
                <w:color w:val="FF0000"/>
                <w:sz w:val="20"/>
                <w:szCs w:val="20"/>
                <w:highlight w:val="none"/>
              </w:rPr>
            </w:pPr>
            <w:r>
              <w:rPr>
                <w:rFonts w:hint="default" w:ascii="Times New Roman" w:hAnsi="Times New Roman" w:cs="Times New Roman"/>
                <w:color w:val="FF0000"/>
                <w:spacing w:val="-11"/>
                <w:sz w:val="20"/>
                <w:szCs w:val="20"/>
                <w:highlight w:val="none"/>
              </w:rPr>
              <w:t>白</w:t>
            </w:r>
            <w:r>
              <w:rPr>
                <w:rFonts w:hint="default" w:ascii="Times New Roman" w:hAnsi="Times New Roman" w:cs="Times New Roman"/>
                <w:color w:val="FF0000"/>
                <w:spacing w:val="-10"/>
                <w:sz w:val="20"/>
                <w:szCs w:val="20"/>
                <w:highlight w:val="none"/>
              </w:rPr>
              <w:t>色</w:t>
            </w:r>
          </w:p>
        </w:tc>
      </w:tr>
    </w:tbl>
    <w:p>
      <w:pPr>
        <w:pStyle w:val="16"/>
        <w:ind w:firstLine="480"/>
        <w:rPr>
          <w:rFonts w:hint="default" w:ascii="Times New Roman" w:hAnsi="Times New Roman" w:cs="Times New Roman"/>
          <w:color w:val="FF0000"/>
          <w:highlight w:val="none"/>
        </w:rPr>
      </w:pPr>
      <w:r>
        <w:rPr>
          <w:rFonts w:hint="default" w:ascii="Times New Roman" w:hAnsi="Times New Roman" w:eastAsia="黑体" w:cs="Times New Roman"/>
          <w:bCs/>
          <w:color w:val="FF0000"/>
          <w:kern w:val="2"/>
          <w:highlight w:val="none"/>
        </w:rPr>
        <w:t>表</w:t>
      </w:r>
      <w:r>
        <w:rPr>
          <w:rFonts w:hint="default" w:ascii="Times New Roman" w:hAnsi="Times New Roman" w:cs="Times New Roman"/>
          <w:color w:val="FF0000"/>
          <w:highlight w:val="none"/>
        </w:rPr>
        <w:t>8.</w:t>
      </w:r>
      <w:r>
        <w:rPr>
          <w:rFonts w:hint="eastAsia" w:cs="Times New Roman"/>
          <w:color w:val="FF0000"/>
          <w:highlight w:val="none"/>
          <w:lang w:val="en-US" w:eastAsia="zh-CN"/>
        </w:rPr>
        <w:t>3</w:t>
      </w:r>
      <w:r>
        <w:rPr>
          <w:rFonts w:hint="default" w:ascii="Times New Roman" w:hAnsi="Times New Roman" w:cs="Times New Roman"/>
          <w:color w:val="FF0000"/>
          <w:highlight w:val="none"/>
        </w:rPr>
        <w:t>-</w:t>
      </w:r>
      <w:r>
        <w:rPr>
          <w:rFonts w:hint="eastAsia" w:cs="Times New Roman"/>
          <w:color w:val="FF0000"/>
          <w:highlight w:val="none"/>
          <w:lang w:val="en-US" w:eastAsia="zh-CN"/>
        </w:rPr>
        <w:t>5</w:t>
      </w:r>
      <w:r>
        <w:rPr>
          <w:rFonts w:hint="default" w:ascii="Times New Roman" w:hAnsi="Times New Roman" w:eastAsia="黑体" w:cs="Times New Roman"/>
          <w:bCs/>
          <w:color w:val="FF0000"/>
          <w:kern w:val="2"/>
          <w:highlight w:val="none"/>
        </w:rPr>
        <w:t>环境保护图形标志</w:t>
      </w:r>
    </w:p>
    <w:tbl>
      <w:tblPr>
        <w:tblStyle w:val="57"/>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07"/>
        <w:gridCol w:w="1845"/>
        <w:gridCol w:w="2398"/>
        <w:gridCol w:w="1088"/>
        <w:gridCol w:w="30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488" w:type="pct"/>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FF0000"/>
                <w:kern w:val="0"/>
                <w:sz w:val="20"/>
                <w:szCs w:val="20"/>
                <w:highlight w:val="none"/>
              </w:rPr>
            </w:pPr>
            <w:r>
              <w:rPr>
                <w:rFonts w:hint="default" w:ascii="Times New Roman" w:hAnsi="Times New Roman" w:cs="Times New Roman"/>
                <w:snapToGrid w:val="0"/>
                <w:color w:val="FF0000"/>
                <w:spacing w:val="5"/>
                <w:kern w:val="0"/>
                <w:sz w:val="20"/>
                <w:szCs w:val="20"/>
                <w:highlight w:val="none"/>
              </w:rPr>
              <w:t>序号</w:t>
            </w:r>
          </w:p>
        </w:tc>
        <w:tc>
          <w:tcPr>
            <w:tcW w:w="992" w:type="pct"/>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FF0000"/>
                <w:kern w:val="0"/>
                <w:sz w:val="20"/>
                <w:szCs w:val="20"/>
                <w:highlight w:val="none"/>
              </w:rPr>
            </w:pPr>
            <w:r>
              <w:rPr>
                <w:rFonts w:hint="default" w:ascii="Times New Roman" w:hAnsi="Times New Roman" w:cs="Times New Roman"/>
                <w:snapToGrid w:val="0"/>
                <w:color w:val="FF0000"/>
                <w:spacing w:val="8"/>
                <w:kern w:val="0"/>
                <w:sz w:val="20"/>
                <w:szCs w:val="20"/>
                <w:highlight w:val="none"/>
              </w:rPr>
              <w:t>提示图形符号</w:t>
            </w:r>
          </w:p>
        </w:tc>
        <w:tc>
          <w:tcPr>
            <w:tcW w:w="1289" w:type="pct"/>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FF0000"/>
                <w:kern w:val="0"/>
                <w:sz w:val="20"/>
                <w:szCs w:val="20"/>
                <w:highlight w:val="none"/>
              </w:rPr>
            </w:pPr>
            <w:r>
              <w:rPr>
                <w:rFonts w:hint="default" w:ascii="Times New Roman" w:hAnsi="Times New Roman" w:cs="Times New Roman"/>
                <w:snapToGrid w:val="0"/>
                <w:color w:val="FF0000"/>
                <w:spacing w:val="11"/>
                <w:kern w:val="0"/>
                <w:sz w:val="20"/>
                <w:szCs w:val="20"/>
                <w:highlight w:val="none"/>
              </w:rPr>
              <w:t>警</w:t>
            </w:r>
            <w:r>
              <w:rPr>
                <w:rFonts w:hint="default" w:ascii="Times New Roman" w:hAnsi="Times New Roman" w:cs="Times New Roman"/>
                <w:snapToGrid w:val="0"/>
                <w:color w:val="FF0000"/>
                <w:spacing w:val="7"/>
                <w:kern w:val="0"/>
                <w:sz w:val="20"/>
                <w:szCs w:val="20"/>
                <w:highlight w:val="none"/>
              </w:rPr>
              <w:t>告图形符号</w:t>
            </w:r>
          </w:p>
        </w:tc>
        <w:tc>
          <w:tcPr>
            <w:tcW w:w="585" w:type="pct"/>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FF0000"/>
                <w:kern w:val="0"/>
                <w:sz w:val="20"/>
                <w:szCs w:val="20"/>
                <w:highlight w:val="none"/>
              </w:rPr>
            </w:pPr>
            <w:r>
              <w:rPr>
                <w:rFonts w:hint="default" w:ascii="Times New Roman" w:hAnsi="Times New Roman" w:cs="Times New Roman"/>
                <w:snapToGrid w:val="0"/>
                <w:color w:val="FF0000"/>
                <w:spacing w:val="4"/>
                <w:kern w:val="0"/>
                <w:sz w:val="20"/>
                <w:szCs w:val="20"/>
                <w:highlight w:val="none"/>
              </w:rPr>
              <w:t>名</w:t>
            </w:r>
            <w:r>
              <w:rPr>
                <w:rFonts w:hint="default" w:ascii="Times New Roman" w:hAnsi="Times New Roman" w:cs="Times New Roman"/>
                <w:snapToGrid w:val="0"/>
                <w:color w:val="FF0000"/>
                <w:spacing w:val="3"/>
                <w:kern w:val="0"/>
                <w:sz w:val="20"/>
                <w:szCs w:val="20"/>
                <w:highlight w:val="none"/>
              </w:rPr>
              <w:t>称</w:t>
            </w:r>
          </w:p>
        </w:tc>
        <w:tc>
          <w:tcPr>
            <w:tcW w:w="1643" w:type="pct"/>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FF0000"/>
                <w:kern w:val="0"/>
                <w:sz w:val="20"/>
                <w:szCs w:val="20"/>
                <w:highlight w:val="none"/>
              </w:rPr>
            </w:pPr>
            <w:r>
              <w:rPr>
                <w:rFonts w:hint="default" w:ascii="Times New Roman" w:hAnsi="Times New Roman" w:cs="Times New Roman"/>
                <w:snapToGrid w:val="0"/>
                <w:color w:val="FF0000"/>
                <w:spacing w:val="3"/>
                <w:kern w:val="0"/>
                <w:sz w:val="20"/>
                <w:szCs w:val="20"/>
                <w:highlight w:val="none"/>
              </w:rPr>
              <w:t>功能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 w:hRule="atLeast"/>
        </w:trPr>
        <w:tc>
          <w:tcPr>
            <w:tcW w:w="488" w:type="pct"/>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Arial" w:cs="Times New Roman"/>
                <w:snapToGrid w:val="0"/>
                <w:color w:val="FF0000"/>
                <w:kern w:val="0"/>
                <w:sz w:val="21"/>
                <w:szCs w:val="21"/>
                <w:highlight w:val="none"/>
              </w:rPr>
            </w:pPr>
          </w:p>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Arial" w:cs="Times New Roman"/>
                <w:snapToGrid w:val="0"/>
                <w:color w:val="FF0000"/>
                <w:kern w:val="0"/>
                <w:sz w:val="21"/>
                <w:szCs w:val="21"/>
                <w:highlight w:val="none"/>
              </w:rPr>
            </w:pPr>
          </w:p>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FF0000"/>
                <w:kern w:val="0"/>
                <w:sz w:val="20"/>
                <w:szCs w:val="20"/>
                <w:highlight w:val="none"/>
              </w:rPr>
            </w:pPr>
            <w:r>
              <w:rPr>
                <w:rFonts w:hint="default" w:ascii="Times New Roman" w:hAnsi="Times New Roman" w:eastAsia="Times New Roman" w:cs="Times New Roman"/>
                <w:snapToGrid w:val="0"/>
                <w:color w:val="FF0000"/>
                <w:kern w:val="0"/>
                <w:sz w:val="20"/>
                <w:szCs w:val="20"/>
                <w:highlight w:val="none"/>
              </w:rPr>
              <w:t>1</w:t>
            </w:r>
          </w:p>
        </w:tc>
        <w:tc>
          <w:tcPr>
            <w:tcW w:w="992" w:type="pct"/>
            <w:vAlign w:val="center"/>
          </w:tcPr>
          <w:p>
            <w:pPr>
              <w:widowControl/>
              <w:kinsoku w:val="0"/>
              <w:autoSpaceDE w:val="0"/>
              <w:autoSpaceDN w:val="0"/>
              <w:adjustRightInd w:val="0"/>
              <w:snapToGrid w:val="0"/>
              <w:spacing w:line="240" w:lineRule="auto"/>
              <w:ind w:firstLine="170" w:firstLineChars="0"/>
              <w:jc w:val="center"/>
              <w:textAlignment w:val="center"/>
              <w:rPr>
                <w:rFonts w:hint="default" w:ascii="Times New Roman" w:hAnsi="Times New Roman" w:eastAsia="Arial" w:cs="Times New Roman"/>
                <w:snapToGrid w:val="0"/>
                <w:color w:val="FF0000"/>
                <w:kern w:val="0"/>
                <w:sz w:val="21"/>
                <w:szCs w:val="21"/>
                <w:highlight w:val="none"/>
              </w:rPr>
            </w:pPr>
            <w:r>
              <w:rPr>
                <w:rFonts w:hint="default" w:ascii="Times New Roman" w:hAnsi="Times New Roman" w:eastAsia="Arial" w:cs="Times New Roman"/>
                <w:snapToGrid w:val="0"/>
                <w:color w:val="FF0000"/>
                <w:kern w:val="0"/>
                <w:sz w:val="21"/>
                <w:szCs w:val="21"/>
                <w:highlight w:val="none"/>
              </w:rPr>
              <w:drawing>
                <wp:inline distT="0" distB="0" distL="0" distR="0">
                  <wp:extent cx="848360" cy="857885"/>
                  <wp:effectExtent l="0" t="0" r="8890" b="18415"/>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59" cstate="print"/>
                          <a:stretch>
                            <a:fillRect/>
                          </a:stretch>
                        </pic:blipFill>
                        <pic:spPr>
                          <a:xfrm>
                            <a:off x="0" y="0"/>
                            <a:ext cx="848868" cy="858011"/>
                          </a:xfrm>
                          <a:prstGeom prst="rect">
                            <a:avLst/>
                          </a:prstGeom>
                        </pic:spPr>
                      </pic:pic>
                    </a:graphicData>
                  </a:graphic>
                </wp:inline>
              </w:drawing>
            </w:r>
          </w:p>
        </w:tc>
        <w:tc>
          <w:tcPr>
            <w:tcW w:w="1289" w:type="pct"/>
            <w:vAlign w:val="center"/>
          </w:tcPr>
          <w:p>
            <w:pPr>
              <w:widowControl/>
              <w:kinsoku w:val="0"/>
              <w:autoSpaceDE w:val="0"/>
              <w:autoSpaceDN w:val="0"/>
              <w:adjustRightInd w:val="0"/>
              <w:snapToGrid w:val="0"/>
              <w:spacing w:line="240" w:lineRule="auto"/>
              <w:ind w:firstLine="341" w:firstLineChars="0"/>
              <w:jc w:val="center"/>
              <w:textAlignment w:val="center"/>
              <w:rPr>
                <w:rFonts w:hint="default" w:ascii="Times New Roman" w:hAnsi="Times New Roman" w:eastAsia="Arial" w:cs="Times New Roman"/>
                <w:snapToGrid w:val="0"/>
                <w:color w:val="FF0000"/>
                <w:kern w:val="0"/>
                <w:sz w:val="21"/>
                <w:szCs w:val="21"/>
                <w:highlight w:val="none"/>
              </w:rPr>
            </w:pPr>
            <w:r>
              <w:rPr>
                <w:rFonts w:hint="default" w:ascii="Times New Roman" w:hAnsi="Times New Roman" w:eastAsia="Arial" w:cs="Times New Roman"/>
                <w:snapToGrid w:val="0"/>
                <w:color w:val="FF0000"/>
                <w:kern w:val="0"/>
                <w:sz w:val="21"/>
                <w:szCs w:val="21"/>
                <w:highlight w:val="none"/>
              </w:rPr>
              <w:drawing>
                <wp:inline distT="0" distB="0" distL="0" distR="0">
                  <wp:extent cx="949325" cy="843915"/>
                  <wp:effectExtent l="0" t="0" r="3175" b="13335"/>
                  <wp:docPr id="73" name="IM 73"/>
                  <wp:cNvGraphicFramePr/>
                  <a:graphic xmlns:a="http://schemas.openxmlformats.org/drawingml/2006/main">
                    <a:graphicData uri="http://schemas.openxmlformats.org/drawingml/2006/picture">
                      <pic:pic xmlns:pic="http://schemas.openxmlformats.org/drawingml/2006/picture">
                        <pic:nvPicPr>
                          <pic:cNvPr id="73" name="IM 73"/>
                          <pic:cNvPicPr/>
                        </pic:nvPicPr>
                        <pic:blipFill>
                          <a:blip r:embed="rId60" cstate="print"/>
                          <a:stretch>
                            <a:fillRect/>
                          </a:stretch>
                        </pic:blipFill>
                        <pic:spPr>
                          <a:xfrm>
                            <a:off x="0" y="0"/>
                            <a:ext cx="949452" cy="844296"/>
                          </a:xfrm>
                          <a:prstGeom prst="rect">
                            <a:avLst/>
                          </a:prstGeom>
                        </pic:spPr>
                      </pic:pic>
                    </a:graphicData>
                  </a:graphic>
                </wp:inline>
              </w:drawing>
            </w:r>
          </w:p>
        </w:tc>
        <w:tc>
          <w:tcPr>
            <w:tcW w:w="585" w:type="pct"/>
            <w:vAlign w:val="center"/>
          </w:tcPr>
          <w:p>
            <w:pPr>
              <w:widowControl/>
              <w:kinsoku w:val="0"/>
              <w:autoSpaceDE w:val="0"/>
              <w:autoSpaceDN w:val="0"/>
              <w:adjustRightInd w:val="0"/>
              <w:snapToGrid w:val="0"/>
              <w:spacing w:line="240" w:lineRule="auto"/>
              <w:ind w:right="182" w:firstLine="0" w:firstLineChars="0"/>
              <w:jc w:val="center"/>
              <w:textAlignment w:val="baseline"/>
              <w:rPr>
                <w:rFonts w:hint="default" w:ascii="Times New Roman" w:hAnsi="Times New Roman" w:cs="Times New Roman"/>
                <w:snapToGrid w:val="0"/>
                <w:color w:val="FF0000"/>
                <w:kern w:val="0"/>
                <w:sz w:val="20"/>
                <w:szCs w:val="20"/>
                <w:highlight w:val="none"/>
              </w:rPr>
            </w:pPr>
            <w:r>
              <w:rPr>
                <w:rFonts w:hint="default" w:ascii="Times New Roman" w:hAnsi="Times New Roman" w:cs="Times New Roman"/>
                <w:snapToGrid w:val="0"/>
                <w:color w:val="FF0000"/>
                <w:spacing w:val="4"/>
                <w:kern w:val="0"/>
                <w:sz w:val="20"/>
                <w:szCs w:val="20"/>
                <w:highlight w:val="none"/>
              </w:rPr>
              <w:t>污</w:t>
            </w:r>
            <w:r>
              <w:rPr>
                <w:rFonts w:hint="default" w:ascii="Times New Roman" w:hAnsi="Times New Roman" w:cs="Times New Roman"/>
                <w:snapToGrid w:val="0"/>
                <w:color w:val="FF0000"/>
                <w:spacing w:val="3"/>
                <w:kern w:val="0"/>
                <w:sz w:val="20"/>
                <w:szCs w:val="20"/>
                <w:highlight w:val="none"/>
              </w:rPr>
              <w:t>水</w:t>
            </w:r>
            <w:r>
              <w:rPr>
                <w:rFonts w:hint="default" w:ascii="Times New Roman" w:hAnsi="Times New Roman" w:cs="Times New Roman"/>
                <w:snapToGrid w:val="0"/>
                <w:color w:val="FF0000"/>
                <w:spacing w:val="7"/>
                <w:kern w:val="0"/>
                <w:sz w:val="20"/>
                <w:szCs w:val="20"/>
                <w:highlight w:val="none"/>
              </w:rPr>
              <w:t>排放</w:t>
            </w:r>
            <w:r>
              <w:rPr>
                <w:rFonts w:hint="default" w:ascii="Times New Roman" w:hAnsi="Times New Roman" w:cs="Times New Roman"/>
                <w:snapToGrid w:val="0"/>
                <w:color w:val="FF0000"/>
                <w:spacing w:val="6"/>
                <w:kern w:val="0"/>
                <w:sz w:val="20"/>
                <w:szCs w:val="20"/>
                <w:highlight w:val="none"/>
              </w:rPr>
              <w:t>口</w:t>
            </w:r>
          </w:p>
        </w:tc>
        <w:tc>
          <w:tcPr>
            <w:tcW w:w="1643" w:type="pct"/>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FF0000"/>
                <w:kern w:val="0"/>
                <w:sz w:val="20"/>
                <w:szCs w:val="20"/>
                <w:highlight w:val="none"/>
              </w:rPr>
            </w:pPr>
            <w:r>
              <w:rPr>
                <w:rFonts w:hint="default" w:ascii="Times New Roman" w:hAnsi="Times New Roman" w:cs="Times New Roman"/>
                <w:snapToGrid w:val="0"/>
                <w:color w:val="FF0000"/>
                <w:spacing w:val="9"/>
                <w:kern w:val="0"/>
                <w:sz w:val="20"/>
                <w:szCs w:val="20"/>
                <w:highlight w:val="none"/>
              </w:rPr>
              <w:t>表示污水向水体排放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 w:hRule="atLeast"/>
        </w:trPr>
        <w:tc>
          <w:tcPr>
            <w:tcW w:w="488" w:type="pct"/>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Arial" w:cs="Times New Roman"/>
                <w:snapToGrid w:val="0"/>
                <w:color w:val="FF0000"/>
                <w:kern w:val="0"/>
                <w:sz w:val="21"/>
                <w:szCs w:val="21"/>
                <w:highlight w:val="none"/>
              </w:rPr>
            </w:pPr>
          </w:p>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Arial" w:cs="Times New Roman"/>
                <w:snapToGrid w:val="0"/>
                <w:color w:val="FF0000"/>
                <w:kern w:val="0"/>
                <w:sz w:val="21"/>
                <w:szCs w:val="21"/>
                <w:highlight w:val="none"/>
              </w:rPr>
            </w:pPr>
          </w:p>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FF0000"/>
                <w:kern w:val="0"/>
                <w:sz w:val="20"/>
                <w:szCs w:val="20"/>
                <w:highlight w:val="none"/>
              </w:rPr>
            </w:pPr>
            <w:r>
              <w:rPr>
                <w:rFonts w:hint="default" w:ascii="Times New Roman" w:hAnsi="Times New Roman" w:eastAsia="Times New Roman" w:cs="Times New Roman"/>
                <w:snapToGrid w:val="0"/>
                <w:color w:val="FF0000"/>
                <w:kern w:val="0"/>
                <w:sz w:val="20"/>
                <w:szCs w:val="20"/>
                <w:highlight w:val="none"/>
              </w:rPr>
              <w:t>2</w:t>
            </w:r>
          </w:p>
        </w:tc>
        <w:tc>
          <w:tcPr>
            <w:tcW w:w="992" w:type="pct"/>
            <w:vAlign w:val="center"/>
          </w:tcPr>
          <w:p>
            <w:pPr>
              <w:widowControl/>
              <w:kinsoku w:val="0"/>
              <w:autoSpaceDE w:val="0"/>
              <w:autoSpaceDN w:val="0"/>
              <w:adjustRightInd w:val="0"/>
              <w:snapToGrid w:val="0"/>
              <w:spacing w:line="240" w:lineRule="auto"/>
              <w:ind w:firstLine="170" w:firstLineChars="0"/>
              <w:jc w:val="center"/>
              <w:textAlignment w:val="center"/>
              <w:rPr>
                <w:rFonts w:hint="default" w:ascii="Times New Roman" w:hAnsi="Times New Roman" w:eastAsia="Arial" w:cs="Times New Roman"/>
                <w:snapToGrid w:val="0"/>
                <w:color w:val="FF0000"/>
                <w:kern w:val="0"/>
                <w:sz w:val="21"/>
                <w:szCs w:val="21"/>
                <w:highlight w:val="none"/>
              </w:rPr>
            </w:pPr>
            <w:r>
              <w:rPr>
                <w:rFonts w:hint="default" w:ascii="Times New Roman" w:hAnsi="Times New Roman" w:eastAsia="Arial" w:cs="Times New Roman"/>
                <w:snapToGrid w:val="0"/>
                <w:color w:val="FF0000"/>
                <w:kern w:val="0"/>
                <w:sz w:val="21"/>
                <w:szCs w:val="21"/>
                <w:highlight w:val="none"/>
              </w:rPr>
              <w:drawing>
                <wp:inline distT="0" distB="0" distL="0" distR="0">
                  <wp:extent cx="848360" cy="857885"/>
                  <wp:effectExtent l="0" t="0" r="8890" b="18415"/>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61" cstate="print"/>
                          <a:stretch>
                            <a:fillRect/>
                          </a:stretch>
                        </pic:blipFill>
                        <pic:spPr>
                          <a:xfrm>
                            <a:off x="0" y="0"/>
                            <a:ext cx="848868" cy="858011"/>
                          </a:xfrm>
                          <a:prstGeom prst="rect">
                            <a:avLst/>
                          </a:prstGeom>
                        </pic:spPr>
                      </pic:pic>
                    </a:graphicData>
                  </a:graphic>
                </wp:inline>
              </w:drawing>
            </w:r>
          </w:p>
        </w:tc>
        <w:tc>
          <w:tcPr>
            <w:tcW w:w="1289" w:type="pct"/>
            <w:vAlign w:val="center"/>
          </w:tcPr>
          <w:p>
            <w:pPr>
              <w:widowControl/>
              <w:kinsoku w:val="0"/>
              <w:autoSpaceDE w:val="0"/>
              <w:autoSpaceDN w:val="0"/>
              <w:adjustRightInd w:val="0"/>
              <w:snapToGrid w:val="0"/>
              <w:spacing w:line="240" w:lineRule="auto"/>
              <w:ind w:firstLine="425" w:firstLineChars="0"/>
              <w:jc w:val="center"/>
              <w:textAlignment w:val="center"/>
              <w:rPr>
                <w:rFonts w:hint="default" w:ascii="Times New Roman" w:hAnsi="Times New Roman" w:eastAsia="Arial" w:cs="Times New Roman"/>
                <w:snapToGrid w:val="0"/>
                <w:color w:val="FF0000"/>
                <w:kern w:val="0"/>
                <w:sz w:val="21"/>
                <w:szCs w:val="21"/>
                <w:highlight w:val="none"/>
              </w:rPr>
            </w:pPr>
            <w:r>
              <w:rPr>
                <w:rFonts w:hint="default" w:ascii="Times New Roman" w:hAnsi="Times New Roman" w:eastAsia="Arial" w:cs="Times New Roman"/>
                <w:snapToGrid w:val="0"/>
                <w:color w:val="FF0000"/>
                <w:kern w:val="0"/>
                <w:sz w:val="21"/>
                <w:szCs w:val="21"/>
                <w:highlight w:val="none"/>
              </w:rPr>
              <w:drawing>
                <wp:inline distT="0" distB="0" distL="0" distR="0">
                  <wp:extent cx="848360" cy="857885"/>
                  <wp:effectExtent l="0" t="0" r="8890" b="18415"/>
                  <wp:docPr id="75" name="IM 75"/>
                  <wp:cNvGraphicFramePr/>
                  <a:graphic xmlns:a="http://schemas.openxmlformats.org/drawingml/2006/main">
                    <a:graphicData uri="http://schemas.openxmlformats.org/drawingml/2006/picture">
                      <pic:pic xmlns:pic="http://schemas.openxmlformats.org/drawingml/2006/picture">
                        <pic:nvPicPr>
                          <pic:cNvPr id="75" name="IM 75"/>
                          <pic:cNvPicPr/>
                        </pic:nvPicPr>
                        <pic:blipFill>
                          <a:blip r:embed="rId62" cstate="print"/>
                          <a:stretch>
                            <a:fillRect/>
                          </a:stretch>
                        </pic:blipFill>
                        <pic:spPr>
                          <a:xfrm>
                            <a:off x="0" y="0"/>
                            <a:ext cx="848868" cy="858011"/>
                          </a:xfrm>
                          <a:prstGeom prst="rect">
                            <a:avLst/>
                          </a:prstGeom>
                        </pic:spPr>
                      </pic:pic>
                    </a:graphicData>
                  </a:graphic>
                </wp:inline>
              </w:drawing>
            </w:r>
          </w:p>
        </w:tc>
        <w:tc>
          <w:tcPr>
            <w:tcW w:w="585" w:type="pct"/>
            <w:vAlign w:val="center"/>
          </w:tcPr>
          <w:p>
            <w:pPr>
              <w:widowControl/>
              <w:kinsoku w:val="0"/>
              <w:autoSpaceDE w:val="0"/>
              <w:autoSpaceDN w:val="0"/>
              <w:adjustRightInd w:val="0"/>
              <w:snapToGrid w:val="0"/>
              <w:spacing w:line="240" w:lineRule="auto"/>
              <w:ind w:right="182" w:firstLine="0" w:firstLineChars="0"/>
              <w:jc w:val="center"/>
              <w:textAlignment w:val="baseline"/>
              <w:rPr>
                <w:rFonts w:hint="default" w:ascii="Times New Roman" w:hAnsi="Times New Roman" w:cs="Times New Roman"/>
                <w:snapToGrid w:val="0"/>
                <w:color w:val="FF0000"/>
                <w:kern w:val="0"/>
                <w:sz w:val="20"/>
                <w:szCs w:val="20"/>
                <w:highlight w:val="none"/>
              </w:rPr>
            </w:pPr>
            <w:r>
              <w:rPr>
                <w:rFonts w:hint="default" w:ascii="Times New Roman" w:hAnsi="Times New Roman" w:cs="Times New Roman"/>
                <w:snapToGrid w:val="0"/>
                <w:color w:val="FF0000"/>
                <w:spacing w:val="-1"/>
                <w:kern w:val="0"/>
                <w:sz w:val="20"/>
                <w:szCs w:val="20"/>
                <w:highlight w:val="none"/>
              </w:rPr>
              <w:t>噪</w:t>
            </w:r>
            <w:r>
              <w:rPr>
                <w:rFonts w:hint="default" w:ascii="Times New Roman" w:hAnsi="Times New Roman" w:cs="Times New Roman"/>
                <w:snapToGrid w:val="0"/>
                <w:color w:val="FF0000"/>
                <w:kern w:val="0"/>
                <w:sz w:val="20"/>
                <w:szCs w:val="20"/>
                <w:highlight w:val="none"/>
              </w:rPr>
              <w:t>声</w:t>
            </w:r>
            <w:r>
              <w:rPr>
                <w:rFonts w:hint="default" w:ascii="Times New Roman" w:hAnsi="Times New Roman" w:cs="Times New Roman"/>
                <w:snapToGrid w:val="0"/>
                <w:color w:val="FF0000"/>
                <w:spacing w:val="7"/>
                <w:kern w:val="0"/>
                <w:sz w:val="20"/>
                <w:szCs w:val="20"/>
                <w:highlight w:val="none"/>
              </w:rPr>
              <w:t>排放</w:t>
            </w:r>
            <w:r>
              <w:rPr>
                <w:rFonts w:hint="default" w:ascii="Times New Roman" w:hAnsi="Times New Roman" w:cs="Times New Roman"/>
                <w:snapToGrid w:val="0"/>
                <w:color w:val="FF0000"/>
                <w:spacing w:val="6"/>
                <w:kern w:val="0"/>
                <w:sz w:val="20"/>
                <w:szCs w:val="20"/>
                <w:highlight w:val="none"/>
              </w:rPr>
              <w:t>源</w:t>
            </w:r>
          </w:p>
        </w:tc>
        <w:tc>
          <w:tcPr>
            <w:tcW w:w="1643" w:type="pct"/>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FF0000"/>
                <w:kern w:val="0"/>
                <w:sz w:val="20"/>
                <w:szCs w:val="20"/>
                <w:highlight w:val="none"/>
              </w:rPr>
            </w:pPr>
            <w:r>
              <w:rPr>
                <w:rFonts w:hint="default" w:ascii="Times New Roman" w:hAnsi="Times New Roman" w:cs="Times New Roman"/>
                <w:snapToGrid w:val="0"/>
                <w:color w:val="FF0000"/>
                <w:spacing w:val="9"/>
                <w:kern w:val="0"/>
                <w:sz w:val="20"/>
                <w:szCs w:val="20"/>
                <w:highlight w:val="none"/>
              </w:rPr>
              <w:t>表示噪声向外环境排放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 w:hRule="atLeast"/>
        </w:trPr>
        <w:tc>
          <w:tcPr>
            <w:tcW w:w="488" w:type="pct"/>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Arial" w:cs="Times New Roman"/>
                <w:snapToGrid w:val="0"/>
                <w:color w:val="FF0000"/>
                <w:kern w:val="0"/>
                <w:sz w:val="21"/>
                <w:szCs w:val="21"/>
                <w:highlight w:val="none"/>
              </w:rPr>
            </w:pPr>
          </w:p>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Arial" w:cs="Times New Roman"/>
                <w:snapToGrid w:val="0"/>
                <w:color w:val="FF0000"/>
                <w:kern w:val="0"/>
                <w:sz w:val="21"/>
                <w:szCs w:val="21"/>
                <w:highlight w:val="none"/>
              </w:rPr>
            </w:pPr>
          </w:p>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eastAsia="Times New Roman" w:cs="Times New Roman"/>
                <w:snapToGrid w:val="0"/>
                <w:color w:val="FF0000"/>
                <w:kern w:val="0"/>
                <w:sz w:val="20"/>
                <w:szCs w:val="20"/>
                <w:highlight w:val="none"/>
              </w:rPr>
            </w:pPr>
            <w:r>
              <w:rPr>
                <w:rFonts w:hint="default" w:ascii="Times New Roman" w:hAnsi="Times New Roman" w:eastAsia="Times New Roman" w:cs="Times New Roman"/>
                <w:snapToGrid w:val="0"/>
                <w:color w:val="FF0000"/>
                <w:kern w:val="0"/>
                <w:sz w:val="20"/>
                <w:szCs w:val="20"/>
                <w:highlight w:val="none"/>
              </w:rPr>
              <w:t>3</w:t>
            </w:r>
          </w:p>
        </w:tc>
        <w:tc>
          <w:tcPr>
            <w:tcW w:w="992" w:type="pct"/>
            <w:vAlign w:val="center"/>
          </w:tcPr>
          <w:p>
            <w:pPr>
              <w:widowControl/>
              <w:kinsoku w:val="0"/>
              <w:autoSpaceDE w:val="0"/>
              <w:autoSpaceDN w:val="0"/>
              <w:adjustRightInd w:val="0"/>
              <w:snapToGrid w:val="0"/>
              <w:spacing w:line="240" w:lineRule="auto"/>
              <w:ind w:firstLine="170" w:firstLineChars="0"/>
              <w:jc w:val="center"/>
              <w:textAlignment w:val="center"/>
              <w:rPr>
                <w:rFonts w:hint="default" w:ascii="Times New Roman" w:hAnsi="Times New Roman" w:eastAsia="Arial" w:cs="Times New Roman"/>
                <w:snapToGrid w:val="0"/>
                <w:color w:val="FF0000"/>
                <w:kern w:val="0"/>
                <w:sz w:val="21"/>
                <w:szCs w:val="21"/>
                <w:highlight w:val="none"/>
              </w:rPr>
            </w:pPr>
            <w:r>
              <w:rPr>
                <w:rFonts w:hint="default" w:ascii="Times New Roman" w:hAnsi="Times New Roman" w:eastAsia="Arial" w:cs="Times New Roman"/>
                <w:snapToGrid w:val="0"/>
                <w:color w:val="FF0000"/>
                <w:kern w:val="0"/>
                <w:sz w:val="21"/>
                <w:szCs w:val="21"/>
                <w:highlight w:val="none"/>
              </w:rPr>
              <w:drawing>
                <wp:inline distT="0" distB="0" distL="0" distR="0">
                  <wp:extent cx="848360" cy="857885"/>
                  <wp:effectExtent l="0" t="0" r="8890" b="18415"/>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63" cstate="print"/>
                          <a:stretch>
                            <a:fillRect/>
                          </a:stretch>
                        </pic:blipFill>
                        <pic:spPr>
                          <a:xfrm>
                            <a:off x="0" y="0"/>
                            <a:ext cx="848868" cy="858011"/>
                          </a:xfrm>
                          <a:prstGeom prst="rect">
                            <a:avLst/>
                          </a:prstGeom>
                        </pic:spPr>
                      </pic:pic>
                    </a:graphicData>
                  </a:graphic>
                </wp:inline>
              </w:drawing>
            </w:r>
          </w:p>
        </w:tc>
        <w:tc>
          <w:tcPr>
            <w:tcW w:w="1289" w:type="pct"/>
            <w:vAlign w:val="center"/>
          </w:tcPr>
          <w:p>
            <w:pPr>
              <w:widowControl/>
              <w:kinsoku w:val="0"/>
              <w:autoSpaceDE w:val="0"/>
              <w:autoSpaceDN w:val="0"/>
              <w:adjustRightInd w:val="0"/>
              <w:snapToGrid w:val="0"/>
              <w:spacing w:line="240" w:lineRule="auto"/>
              <w:ind w:firstLine="341" w:firstLineChars="0"/>
              <w:jc w:val="center"/>
              <w:textAlignment w:val="center"/>
              <w:rPr>
                <w:rFonts w:hint="default" w:ascii="Times New Roman" w:hAnsi="Times New Roman" w:eastAsia="Arial" w:cs="Times New Roman"/>
                <w:snapToGrid w:val="0"/>
                <w:color w:val="FF0000"/>
                <w:kern w:val="0"/>
                <w:sz w:val="21"/>
                <w:szCs w:val="21"/>
                <w:highlight w:val="none"/>
              </w:rPr>
            </w:pPr>
            <w:r>
              <w:rPr>
                <w:rFonts w:hint="default" w:ascii="Times New Roman" w:hAnsi="Times New Roman" w:eastAsia="Arial" w:cs="Times New Roman"/>
                <w:snapToGrid w:val="0"/>
                <w:color w:val="FF0000"/>
                <w:kern w:val="0"/>
                <w:sz w:val="21"/>
                <w:szCs w:val="21"/>
                <w:highlight w:val="none"/>
              </w:rPr>
              <w:drawing>
                <wp:inline distT="0" distB="0" distL="0" distR="0">
                  <wp:extent cx="949325" cy="843915"/>
                  <wp:effectExtent l="0" t="0" r="3175" b="13335"/>
                  <wp:docPr id="77" name="IM 77"/>
                  <wp:cNvGraphicFramePr/>
                  <a:graphic xmlns:a="http://schemas.openxmlformats.org/drawingml/2006/main">
                    <a:graphicData uri="http://schemas.openxmlformats.org/drawingml/2006/picture">
                      <pic:pic xmlns:pic="http://schemas.openxmlformats.org/drawingml/2006/picture">
                        <pic:nvPicPr>
                          <pic:cNvPr id="77" name="IM 77"/>
                          <pic:cNvPicPr/>
                        </pic:nvPicPr>
                        <pic:blipFill>
                          <a:blip r:embed="rId64" cstate="print"/>
                          <a:stretch>
                            <a:fillRect/>
                          </a:stretch>
                        </pic:blipFill>
                        <pic:spPr>
                          <a:xfrm>
                            <a:off x="0" y="0"/>
                            <a:ext cx="949452" cy="844296"/>
                          </a:xfrm>
                          <a:prstGeom prst="rect">
                            <a:avLst/>
                          </a:prstGeom>
                        </pic:spPr>
                      </pic:pic>
                    </a:graphicData>
                  </a:graphic>
                </wp:inline>
              </w:drawing>
            </w:r>
          </w:p>
        </w:tc>
        <w:tc>
          <w:tcPr>
            <w:tcW w:w="585" w:type="pct"/>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FF0000"/>
                <w:kern w:val="0"/>
                <w:sz w:val="20"/>
                <w:szCs w:val="20"/>
                <w:highlight w:val="none"/>
              </w:rPr>
            </w:pPr>
            <w:r>
              <w:rPr>
                <w:rFonts w:hint="default" w:ascii="Times New Roman" w:hAnsi="Times New Roman" w:cs="Times New Roman"/>
                <w:snapToGrid w:val="0"/>
                <w:color w:val="FF0000"/>
                <w:spacing w:val="3"/>
                <w:kern w:val="0"/>
                <w:position w:val="4"/>
                <w:sz w:val="20"/>
                <w:szCs w:val="20"/>
                <w:highlight w:val="none"/>
              </w:rPr>
              <w:t>一般</w:t>
            </w:r>
          </w:p>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FF0000"/>
                <w:kern w:val="0"/>
                <w:sz w:val="20"/>
                <w:szCs w:val="20"/>
                <w:highlight w:val="none"/>
              </w:rPr>
            </w:pPr>
            <w:r>
              <w:rPr>
                <w:rFonts w:hint="default" w:ascii="Times New Roman" w:hAnsi="Times New Roman" w:cs="Times New Roman"/>
                <w:snapToGrid w:val="0"/>
                <w:color w:val="FF0000"/>
                <w:spacing w:val="-5"/>
                <w:kern w:val="0"/>
                <w:sz w:val="20"/>
                <w:szCs w:val="20"/>
                <w:highlight w:val="none"/>
              </w:rPr>
              <w:t>固</w:t>
            </w:r>
            <w:r>
              <w:rPr>
                <w:rFonts w:hint="default" w:ascii="Times New Roman" w:hAnsi="Times New Roman" w:cs="Times New Roman"/>
                <w:snapToGrid w:val="0"/>
                <w:color w:val="FF0000"/>
                <w:spacing w:val="-4"/>
                <w:kern w:val="0"/>
                <w:sz w:val="20"/>
                <w:szCs w:val="20"/>
                <w:highlight w:val="none"/>
              </w:rPr>
              <w:t>体</w:t>
            </w:r>
          </w:p>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FF0000"/>
                <w:kern w:val="0"/>
                <w:sz w:val="20"/>
                <w:szCs w:val="20"/>
                <w:highlight w:val="none"/>
              </w:rPr>
            </w:pPr>
            <w:r>
              <w:rPr>
                <w:rFonts w:hint="default" w:ascii="Times New Roman" w:hAnsi="Times New Roman" w:cs="Times New Roman"/>
                <w:snapToGrid w:val="0"/>
                <w:color w:val="FF0000"/>
                <w:spacing w:val="5"/>
                <w:kern w:val="0"/>
                <w:sz w:val="20"/>
                <w:szCs w:val="20"/>
                <w:highlight w:val="none"/>
              </w:rPr>
              <w:t>废物</w:t>
            </w:r>
          </w:p>
        </w:tc>
        <w:tc>
          <w:tcPr>
            <w:tcW w:w="1643" w:type="pct"/>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FF0000"/>
                <w:kern w:val="0"/>
                <w:sz w:val="20"/>
                <w:szCs w:val="20"/>
                <w:highlight w:val="none"/>
              </w:rPr>
            </w:pPr>
            <w:r>
              <w:rPr>
                <w:rFonts w:hint="default" w:ascii="Times New Roman" w:hAnsi="Times New Roman" w:cs="Times New Roman"/>
                <w:snapToGrid w:val="0"/>
                <w:color w:val="FF0000"/>
                <w:spacing w:val="11"/>
                <w:kern w:val="0"/>
                <w:sz w:val="20"/>
                <w:szCs w:val="20"/>
                <w:highlight w:val="none"/>
              </w:rPr>
              <w:t>表</w:t>
            </w:r>
            <w:r>
              <w:rPr>
                <w:rFonts w:hint="default" w:ascii="Times New Roman" w:hAnsi="Times New Roman" w:cs="Times New Roman"/>
                <w:snapToGrid w:val="0"/>
                <w:color w:val="FF0000"/>
                <w:spacing w:val="9"/>
                <w:kern w:val="0"/>
                <w:sz w:val="20"/>
                <w:szCs w:val="20"/>
                <w:highlight w:val="none"/>
              </w:rPr>
              <w:t>示一般固体废物贮存、处</w:t>
            </w:r>
            <w:r>
              <w:rPr>
                <w:rFonts w:hint="default" w:ascii="Times New Roman" w:hAnsi="Times New Roman" w:cs="Times New Roman"/>
                <w:snapToGrid w:val="0"/>
                <w:color w:val="FF0000"/>
                <w:spacing w:val="6"/>
                <w:kern w:val="0"/>
                <w:sz w:val="20"/>
                <w:szCs w:val="20"/>
                <w:highlight w:val="none"/>
              </w:rPr>
              <w:t>置</w:t>
            </w:r>
            <w:r>
              <w:rPr>
                <w:rFonts w:hint="default" w:ascii="Times New Roman" w:hAnsi="Times New Roman" w:cs="Times New Roman"/>
                <w:snapToGrid w:val="0"/>
                <w:color w:val="FF0000"/>
                <w:spacing w:val="5"/>
                <w:kern w:val="0"/>
                <w:sz w:val="20"/>
                <w:szCs w:val="20"/>
                <w:highlight w:val="none"/>
              </w:rPr>
              <w:t>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5000" w:type="pct"/>
            <w:gridSpan w:val="5"/>
            <w:vAlign w:val="center"/>
          </w:tcPr>
          <w:p>
            <w:pPr>
              <w:widowControl/>
              <w:kinsoku w:val="0"/>
              <w:autoSpaceDE w:val="0"/>
              <w:autoSpaceDN w:val="0"/>
              <w:adjustRightInd w:val="0"/>
              <w:snapToGrid w:val="0"/>
              <w:spacing w:line="240" w:lineRule="auto"/>
              <w:ind w:firstLine="0" w:firstLineChars="0"/>
              <w:jc w:val="center"/>
              <w:textAlignment w:val="baseline"/>
              <w:rPr>
                <w:rFonts w:hint="default" w:ascii="Times New Roman" w:hAnsi="Times New Roman" w:cs="Times New Roman"/>
                <w:snapToGrid w:val="0"/>
                <w:color w:val="FF0000"/>
                <w:kern w:val="0"/>
                <w:sz w:val="17"/>
                <w:szCs w:val="17"/>
                <w:highlight w:val="none"/>
              </w:rPr>
            </w:pPr>
            <w:r>
              <w:rPr>
                <w:rFonts w:hint="default" w:ascii="Times New Roman" w:hAnsi="Times New Roman" w:cs="Times New Roman"/>
                <w:snapToGrid w:val="0"/>
                <w:color w:val="FF0000"/>
                <w:spacing w:val="6"/>
                <w:kern w:val="0"/>
                <w:sz w:val="17"/>
                <w:szCs w:val="17"/>
                <w:highlight w:val="none"/>
              </w:rPr>
              <w:t>备注：正方形边框背景</w:t>
            </w:r>
            <w:r>
              <w:rPr>
                <w:rFonts w:hint="default" w:ascii="Times New Roman" w:hAnsi="Times New Roman" w:cs="Times New Roman"/>
                <w:snapToGrid w:val="0"/>
                <w:color w:val="FF0000"/>
                <w:spacing w:val="4"/>
                <w:kern w:val="0"/>
                <w:sz w:val="17"/>
                <w:szCs w:val="17"/>
                <w:highlight w:val="none"/>
              </w:rPr>
              <w:t>颜</w:t>
            </w:r>
            <w:r>
              <w:rPr>
                <w:rFonts w:hint="default" w:ascii="Times New Roman" w:hAnsi="Times New Roman" w:cs="Times New Roman"/>
                <w:snapToGrid w:val="0"/>
                <w:color w:val="FF0000"/>
                <w:spacing w:val="3"/>
                <w:kern w:val="0"/>
                <w:sz w:val="17"/>
                <w:szCs w:val="17"/>
                <w:highlight w:val="none"/>
              </w:rPr>
              <w:t>色：绿色；图形颜色：白色。三角形边框背景颜色：黄色；图形颜色：黑色。</w:t>
            </w:r>
          </w:p>
        </w:tc>
      </w:tr>
    </w:tbl>
    <w:p>
      <w:pPr>
        <w:pStyle w:val="16"/>
        <w:ind w:firstLine="480"/>
        <w:rPr>
          <w:rFonts w:hint="default" w:ascii="Times New Roman" w:hAnsi="Times New Roman" w:cs="Times New Roman"/>
          <w:color w:val="FF0000"/>
          <w:highlight w:val="none"/>
        </w:rPr>
      </w:pPr>
    </w:p>
    <w:p>
      <w:pPr>
        <w:pStyle w:val="4"/>
        <w:bidi w:val="0"/>
        <w:rPr>
          <w:rFonts w:hint="default"/>
          <w:color w:val="FF0000"/>
          <w:highlight w:val="none"/>
          <w:lang w:val="en-US" w:eastAsia="zh-CN"/>
        </w:rPr>
      </w:pPr>
      <w:bookmarkStart w:id="291" w:name="_Toc430014807"/>
      <w:bookmarkStart w:id="292" w:name="_Toc26185"/>
      <w:bookmarkStart w:id="293" w:name="_Toc29729"/>
      <w:bookmarkStart w:id="294" w:name="_Toc30331"/>
      <w:r>
        <w:rPr>
          <w:rFonts w:hint="default"/>
          <w:color w:val="FF0000"/>
          <w:highlight w:val="none"/>
          <w:lang w:val="en-US" w:eastAsia="zh-CN"/>
        </w:rPr>
        <w:t>环境管理要求</w:t>
      </w:r>
    </w:p>
    <w:p>
      <w:pPr>
        <w:widowControl/>
        <w:spacing w:line="360" w:lineRule="auto"/>
        <w:ind w:firstLine="480" w:firstLineChars="200"/>
        <w:jc w:val="left"/>
        <w:rPr>
          <w:rFonts w:hint="default" w:ascii="Times New Roman" w:hAnsi="Times New Roman" w:cs="Times New Roman"/>
          <w:b/>
          <w:bCs/>
          <w:color w:val="FF0000"/>
          <w:sz w:val="24"/>
          <w:highlight w:val="none"/>
        </w:rPr>
      </w:pPr>
      <w:r>
        <w:rPr>
          <w:rFonts w:hint="default" w:ascii="Times New Roman" w:hAnsi="Times New Roman" w:cs="Times New Roman"/>
          <w:color w:val="FF0000"/>
          <w:sz w:val="24"/>
          <w:highlight w:val="none"/>
        </w:rPr>
        <w:t>危废暂存间的设置</w:t>
      </w:r>
      <w:r>
        <w:rPr>
          <w:rFonts w:hint="eastAsia" w:cs="Times New Roman"/>
          <w:color w:val="FF0000"/>
          <w:sz w:val="24"/>
          <w:highlight w:val="none"/>
          <w:lang w:val="en-US" w:eastAsia="zh-CN"/>
        </w:rPr>
        <w:t>已</w:t>
      </w:r>
      <w:r>
        <w:rPr>
          <w:rFonts w:hint="default" w:ascii="Times New Roman" w:hAnsi="Times New Roman" w:cs="Times New Roman"/>
          <w:color w:val="FF0000"/>
          <w:sz w:val="24"/>
          <w:highlight w:val="none"/>
        </w:rPr>
        <w:t>严格按照《危险废物贮存污染控制标准》（GB18957-20</w:t>
      </w:r>
      <w:r>
        <w:rPr>
          <w:rFonts w:hint="default" w:ascii="Times New Roman" w:hAnsi="Times New Roman" w:cs="Times New Roman"/>
          <w:color w:val="FF0000"/>
          <w:sz w:val="24"/>
          <w:highlight w:val="none"/>
          <w:lang w:val="en-US" w:eastAsia="zh-CN"/>
        </w:rPr>
        <w:t>23</w:t>
      </w:r>
      <w:r>
        <w:rPr>
          <w:rFonts w:hint="default" w:ascii="Times New Roman" w:hAnsi="Times New Roman" w:cs="Times New Roman"/>
          <w:color w:val="FF0000"/>
          <w:sz w:val="24"/>
          <w:highlight w:val="none"/>
        </w:rPr>
        <w:t>）中有关规定，危险废物存放期间，使用完好无损容器盛装；用以存放装置危险废物容器的地方，必须有耐腐蚀的硬化地面，且表面无裂痕。储存容器上必须粘贴该标准中规定的危险废物标签；容器材质与危险废物本身相容</w:t>
      </w:r>
      <w:r>
        <w:rPr>
          <w:rFonts w:hint="eastAsia" w:cs="Times New Roman"/>
          <w:color w:val="FF0000"/>
          <w:sz w:val="24"/>
          <w:highlight w:val="none"/>
          <w:lang w:eastAsia="zh-CN"/>
        </w:rPr>
        <w:t>（</w:t>
      </w:r>
      <w:r>
        <w:rPr>
          <w:rFonts w:hint="default" w:ascii="Times New Roman" w:hAnsi="Times New Roman" w:cs="Times New Roman"/>
          <w:color w:val="FF0000"/>
          <w:sz w:val="24"/>
          <w:highlight w:val="none"/>
        </w:rPr>
        <w:t>不相互反应</w:t>
      </w:r>
      <w:r>
        <w:rPr>
          <w:rFonts w:hint="eastAsia" w:cs="Times New Roman"/>
          <w:color w:val="FF0000"/>
          <w:sz w:val="24"/>
          <w:highlight w:val="none"/>
          <w:lang w:eastAsia="zh-CN"/>
        </w:rPr>
        <w:t>）</w:t>
      </w:r>
      <w:r>
        <w:rPr>
          <w:rFonts w:hint="default" w:ascii="Times New Roman" w:hAnsi="Times New Roman" w:cs="Times New Roman"/>
          <w:color w:val="FF0000"/>
          <w:sz w:val="24"/>
          <w:highlight w:val="none"/>
        </w:rPr>
        <w:t>；危废暂存间底部基础做防渗，要求渗透系数小于等于1×10</w:t>
      </w:r>
      <w:r>
        <w:rPr>
          <w:rFonts w:hint="default" w:ascii="Times New Roman" w:hAnsi="Times New Roman" w:cs="Times New Roman"/>
          <w:color w:val="FF0000"/>
          <w:sz w:val="24"/>
          <w:highlight w:val="none"/>
          <w:vertAlign w:val="superscript"/>
        </w:rPr>
        <w:t>-7</w:t>
      </w:r>
      <w:r>
        <w:rPr>
          <w:rFonts w:hint="default" w:ascii="Times New Roman" w:hAnsi="Times New Roman" w:cs="Times New Roman"/>
          <w:color w:val="FF0000"/>
          <w:sz w:val="24"/>
          <w:highlight w:val="none"/>
        </w:rPr>
        <w:t>cm/s。</w:t>
      </w:r>
    </w:p>
    <w:p>
      <w:pPr>
        <w:widowControl/>
        <w:spacing w:line="360" w:lineRule="auto"/>
        <w:ind w:firstLine="480" w:firstLineChars="200"/>
        <w:jc w:val="left"/>
        <w:rPr>
          <w:rFonts w:hint="default" w:ascii="Times New Roman" w:hAnsi="Times New Roman" w:eastAsia="宋体" w:cs="Times New Roman"/>
          <w:color w:val="FF0000"/>
          <w:sz w:val="24"/>
          <w:highlight w:val="none"/>
          <w:lang w:val="en-US" w:eastAsia="zh-CN"/>
        </w:rPr>
      </w:pPr>
      <w:r>
        <w:rPr>
          <w:rFonts w:hint="default" w:ascii="Times New Roman" w:hAnsi="Times New Roman" w:cs="Times New Roman"/>
          <w:color w:val="FF0000"/>
          <w:sz w:val="24"/>
          <w:highlight w:val="none"/>
          <w:lang w:val="en-US" w:eastAsia="zh-CN"/>
        </w:rPr>
        <w:t>根据</w:t>
      </w:r>
      <w:r>
        <w:rPr>
          <w:rFonts w:hint="default" w:ascii="Times New Roman" w:hAnsi="Times New Roman" w:cs="Times New Roman"/>
          <w:color w:val="FF0000"/>
          <w:sz w:val="24"/>
          <w:highlight w:val="none"/>
        </w:rPr>
        <w:t>《危险废物贮存污染控制标准》（GB18957-20</w:t>
      </w:r>
      <w:r>
        <w:rPr>
          <w:rFonts w:hint="default" w:ascii="Times New Roman" w:hAnsi="Times New Roman" w:cs="Times New Roman"/>
          <w:color w:val="FF0000"/>
          <w:sz w:val="24"/>
          <w:highlight w:val="none"/>
          <w:lang w:val="en-US" w:eastAsia="zh-CN"/>
        </w:rPr>
        <w:t>23</w:t>
      </w:r>
      <w:r>
        <w:rPr>
          <w:rFonts w:hint="default" w:ascii="Times New Roman" w:hAnsi="Times New Roman" w:cs="Times New Roman"/>
          <w:color w:val="FF0000"/>
          <w:sz w:val="24"/>
          <w:highlight w:val="none"/>
        </w:rPr>
        <w:t>）中有关规定</w:t>
      </w:r>
      <w:r>
        <w:rPr>
          <w:rFonts w:hint="default" w:ascii="Times New Roman" w:hAnsi="Times New Roman" w:cs="Times New Roman"/>
          <w:color w:val="FF0000"/>
          <w:sz w:val="24"/>
          <w:highlight w:val="none"/>
          <w:lang w:eastAsia="zh-CN"/>
        </w:rPr>
        <w:t>：</w:t>
      </w:r>
    </w:p>
    <w:p>
      <w:pPr>
        <w:widowControl/>
        <w:spacing w:line="360" w:lineRule="auto"/>
        <w:ind w:firstLine="480" w:firstLineChars="200"/>
        <w:jc w:val="left"/>
        <w:rPr>
          <w:rFonts w:hint="default" w:ascii="Times New Roman" w:hAnsi="Times New Roman" w:cs="Times New Roman" w:eastAsiaTheme="minorEastAsia"/>
          <w:color w:val="FF0000"/>
          <w:sz w:val="24"/>
          <w:highlight w:val="none"/>
        </w:rPr>
      </w:pPr>
      <w:r>
        <w:rPr>
          <w:rFonts w:hint="eastAsia" w:cs="Times New Roman" w:eastAsiaTheme="minorEastAsia"/>
          <w:color w:val="FF0000"/>
          <w:sz w:val="24"/>
          <w:highlight w:val="none"/>
          <w:lang w:val="en-US" w:eastAsia="zh-CN"/>
        </w:rPr>
        <w:t>（1）</w:t>
      </w:r>
      <w:r>
        <w:rPr>
          <w:rFonts w:hint="default" w:ascii="Times New Roman" w:hAnsi="Times New Roman" w:cs="Times New Roman" w:eastAsiaTheme="minorEastAsia"/>
          <w:color w:val="FF0000"/>
          <w:sz w:val="24"/>
          <w:highlight w:val="none"/>
          <w:lang w:val="en-US" w:eastAsia="zh-CN"/>
        </w:rPr>
        <w:t>贮存危险废物应根据危险废物的类别、数量、形态、物理化学性质和环境风险等因素，确定贮存设施或场所类型和规模。</w:t>
      </w:r>
    </w:p>
    <w:p>
      <w:pPr>
        <w:widowControl/>
        <w:spacing w:line="360" w:lineRule="auto"/>
        <w:ind w:firstLine="480" w:firstLineChars="200"/>
        <w:jc w:val="left"/>
        <w:rPr>
          <w:rFonts w:hint="default" w:ascii="Times New Roman" w:hAnsi="Times New Roman" w:cs="Times New Roman" w:eastAsiaTheme="minorEastAsia"/>
          <w:color w:val="FF0000"/>
          <w:sz w:val="24"/>
          <w:highlight w:val="none"/>
        </w:rPr>
      </w:pPr>
      <w:r>
        <w:rPr>
          <w:rFonts w:hint="eastAsia" w:cs="Times New Roman" w:eastAsiaTheme="minorEastAsia"/>
          <w:color w:val="FF0000"/>
          <w:sz w:val="24"/>
          <w:highlight w:val="none"/>
          <w:lang w:val="en-US" w:eastAsia="zh-CN"/>
        </w:rPr>
        <w:t>（2）</w:t>
      </w:r>
      <w:r>
        <w:rPr>
          <w:rFonts w:hint="default" w:ascii="Times New Roman" w:hAnsi="Times New Roman" w:cs="Times New Roman" w:eastAsiaTheme="minorEastAsia"/>
          <w:color w:val="FF0000"/>
          <w:sz w:val="24"/>
          <w:highlight w:val="none"/>
          <w:lang w:val="en-US" w:eastAsia="zh-CN"/>
        </w:rPr>
        <w:t>贮存危险废物应根据危险废物的类别、形态、物理化学性质和污染防治要求进行分类贮存，且应避免危险废物与不相容的物质或材料接触。</w:t>
      </w:r>
    </w:p>
    <w:p>
      <w:pPr>
        <w:widowControl/>
        <w:spacing w:line="360" w:lineRule="auto"/>
        <w:ind w:firstLine="480" w:firstLineChars="200"/>
        <w:jc w:val="left"/>
        <w:rPr>
          <w:rFonts w:hint="default" w:ascii="Times New Roman" w:hAnsi="Times New Roman" w:cs="Times New Roman" w:eastAsiaTheme="minorEastAsia"/>
          <w:color w:val="FF0000"/>
          <w:sz w:val="24"/>
          <w:highlight w:val="none"/>
        </w:rPr>
      </w:pPr>
      <w:r>
        <w:rPr>
          <w:rFonts w:hint="eastAsia" w:cs="Times New Roman" w:eastAsiaTheme="minorEastAsia"/>
          <w:color w:val="FF0000"/>
          <w:sz w:val="24"/>
          <w:highlight w:val="none"/>
          <w:lang w:val="en-US" w:eastAsia="zh-CN"/>
        </w:rPr>
        <w:t>（3）</w:t>
      </w:r>
      <w:r>
        <w:rPr>
          <w:rFonts w:hint="default" w:ascii="Times New Roman" w:hAnsi="Times New Roman" w:cs="Times New Roman" w:eastAsiaTheme="minorEastAsia"/>
          <w:color w:val="FF0000"/>
          <w:sz w:val="24"/>
          <w:highlight w:val="none"/>
          <w:lang w:val="en-US" w:eastAsia="zh-CN"/>
        </w:rPr>
        <w:t>贮存危险废物应根据危险废物的形态、物理化学性质、包装形式和污染物迁移途径，采取措施减少渗滤液及其衍生废物、渗漏的液态废物（简称渗漏液）、粉尘、VOCs、酸雾、有毒有害大气污染物和刺激性气味气体等污染物的产生，防止其污染环境。</w:t>
      </w:r>
    </w:p>
    <w:p>
      <w:pPr>
        <w:widowControl/>
        <w:spacing w:line="360" w:lineRule="auto"/>
        <w:ind w:firstLine="480" w:firstLineChars="200"/>
        <w:jc w:val="left"/>
        <w:rPr>
          <w:rFonts w:hint="default" w:ascii="Times New Roman" w:hAnsi="Times New Roman" w:cs="Times New Roman" w:eastAsiaTheme="minorEastAsia"/>
          <w:color w:val="FF0000"/>
          <w:sz w:val="24"/>
          <w:highlight w:val="none"/>
        </w:rPr>
      </w:pPr>
      <w:r>
        <w:rPr>
          <w:rFonts w:hint="eastAsia" w:cs="Times New Roman" w:eastAsiaTheme="minorEastAsia"/>
          <w:color w:val="FF0000"/>
          <w:sz w:val="24"/>
          <w:highlight w:val="none"/>
          <w:lang w:val="en-US" w:eastAsia="zh-CN"/>
        </w:rPr>
        <w:t>（4）</w:t>
      </w:r>
      <w:r>
        <w:rPr>
          <w:rFonts w:hint="default" w:ascii="Times New Roman" w:hAnsi="Times New Roman" w:cs="Times New Roman" w:eastAsiaTheme="minorEastAsia"/>
          <w:color w:val="FF0000"/>
          <w:sz w:val="24"/>
          <w:highlight w:val="none"/>
          <w:lang w:val="en-US" w:eastAsia="zh-CN"/>
        </w:rPr>
        <w:t>危险废物贮存过程产生的液态废物和固态废物应分类收集，按其环境管理要求妥善处理。</w:t>
      </w:r>
    </w:p>
    <w:p>
      <w:pPr>
        <w:widowControl/>
        <w:spacing w:line="360" w:lineRule="auto"/>
        <w:ind w:firstLine="480" w:firstLineChars="200"/>
        <w:jc w:val="left"/>
        <w:rPr>
          <w:rFonts w:hint="default" w:ascii="Times New Roman" w:hAnsi="Times New Roman" w:cs="Times New Roman" w:eastAsiaTheme="minorEastAsia"/>
          <w:color w:val="FF0000"/>
          <w:sz w:val="24"/>
          <w:highlight w:val="none"/>
        </w:rPr>
      </w:pPr>
      <w:r>
        <w:rPr>
          <w:rFonts w:hint="eastAsia" w:cs="Times New Roman" w:eastAsiaTheme="minorEastAsia"/>
          <w:color w:val="FF0000"/>
          <w:sz w:val="24"/>
          <w:highlight w:val="none"/>
          <w:lang w:val="en-US" w:eastAsia="zh-CN"/>
        </w:rPr>
        <w:t>（5）</w:t>
      </w:r>
      <w:r>
        <w:rPr>
          <w:rFonts w:hint="default" w:ascii="Times New Roman" w:hAnsi="Times New Roman" w:cs="Times New Roman" w:eastAsiaTheme="minorEastAsia"/>
          <w:color w:val="FF0000"/>
          <w:sz w:val="24"/>
          <w:highlight w:val="none"/>
          <w:lang w:val="en-US" w:eastAsia="zh-CN"/>
        </w:rPr>
        <w:t>贮存设施或场所、容器和包装物应按HJ1276要求设置危险废物贮存设施或场所标志、危险废物贮存分区标志和危险废物标签等危险废物识别标志。</w:t>
      </w:r>
    </w:p>
    <w:p>
      <w:pPr>
        <w:widowControl/>
        <w:spacing w:line="360" w:lineRule="auto"/>
        <w:ind w:firstLine="480" w:firstLineChars="200"/>
        <w:jc w:val="left"/>
        <w:rPr>
          <w:rFonts w:hint="default" w:ascii="Times New Roman" w:hAnsi="Times New Roman" w:cs="Times New Roman" w:eastAsiaTheme="minorEastAsia"/>
          <w:color w:val="FF0000"/>
          <w:sz w:val="24"/>
          <w:highlight w:val="none"/>
        </w:rPr>
      </w:pPr>
      <w:r>
        <w:rPr>
          <w:rFonts w:hint="eastAsia" w:cs="Times New Roman" w:eastAsiaTheme="minorEastAsia"/>
          <w:color w:val="FF0000"/>
          <w:sz w:val="24"/>
          <w:highlight w:val="none"/>
          <w:lang w:val="en-US" w:eastAsia="zh-CN"/>
        </w:rPr>
        <w:t>（6）</w:t>
      </w:r>
      <w:r>
        <w:rPr>
          <w:rFonts w:hint="default" w:ascii="Times New Roman" w:hAnsi="Times New Roman" w:cs="Times New Roman" w:eastAsiaTheme="minorEastAsia"/>
          <w:color w:val="FF0000"/>
          <w:sz w:val="24"/>
          <w:highlight w:val="none"/>
          <w:lang w:val="en-US" w:eastAsia="zh-CN"/>
        </w:rPr>
        <w:t>HJ1259规定的危险废物环境重点监管单位，应采用电子地磅、电子标签、电子管理台账等技术手段对危险废物贮存过程进行信息化管理，确保数据完整、真实、准确；采用视频监控的应确保监控画面清晰，视频记录保存时间至少为3个月。</w:t>
      </w:r>
    </w:p>
    <w:p>
      <w:pPr>
        <w:widowControl/>
        <w:spacing w:line="360" w:lineRule="auto"/>
        <w:ind w:firstLine="480" w:firstLineChars="200"/>
        <w:jc w:val="left"/>
        <w:rPr>
          <w:rFonts w:hint="default" w:ascii="Times New Roman" w:hAnsi="Times New Roman" w:cs="Times New Roman" w:eastAsiaTheme="minorEastAsia"/>
          <w:color w:val="FF0000"/>
          <w:sz w:val="24"/>
          <w:highlight w:val="none"/>
        </w:rPr>
      </w:pPr>
      <w:r>
        <w:rPr>
          <w:rFonts w:hint="eastAsia" w:cs="Times New Roman" w:eastAsiaTheme="minorEastAsia"/>
          <w:color w:val="FF0000"/>
          <w:sz w:val="24"/>
          <w:highlight w:val="none"/>
          <w:lang w:val="en-US" w:eastAsia="zh-CN"/>
        </w:rPr>
        <w:t>（7）</w:t>
      </w:r>
      <w:r>
        <w:rPr>
          <w:rFonts w:hint="default" w:ascii="Times New Roman" w:hAnsi="Times New Roman" w:cs="Times New Roman" w:eastAsiaTheme="minorEastAsia"/>
          <w:color w:val="FF0000"/>
          <w:sz w:val="24"/>
          <w:highlight w:val="none"/>
          <w:lang w:val="en-US" w:eastAsia="zh-CN"/>
        </w:rPr>
        <w:t>贮存设施退役时，所有者或运营者应依法履行环境保护责任，退役前应妥善处理处置贮存设施内剩余的危险废物，并对贮存设施进行清理，消除污染；还应依据土壤污染防治相关法律法规履行场地环境风险防控责任。</w:t>
      </w:r>
    </w:p>
    <w:p>
      <w:pPr>
        <w:widowControl/>
        <w:spacing w:line="360" w:lineRule="auto"/>
        <w:ind w:firstLine="480" w:firstLineChars="200"/>
        <w:jc w:val="left"/>
        <w:rPr>
          <w:rFonts w:hint="default" w:ascii="Times New Roman" w:hAnsi="Times New Roman" w:cs="Times New Roman" w:eastAsiaTheme="minorEastAsia"/>
          <w:color w:val="FF0000"/>
          <w:sz w:val="24"/>
          <w:highlight w:val="none"/>
        </w:rPr>
      </w:pPr>
      <w:r>
        <w:rPr>
          <w:rFonts w:hint="eastAsia" w:cs="Times New Roman" w:eastAsiaTheme="minorEastAsia"/>
          <w:color w:val="FF0000"/>
          <w:sz w:val="24"/>
          <w:highlight w:val="none"/>
          <w:lang w:val="en-US" w:eastAsia="zh-CN"/>
        </w:rPr>
        <w:t>（8）</w:t>
      </w:r>
      <w:r>
        <w:rPr>
          <w:rFonts w:hint="default" w:ascii="Times New Roman" w:hAnsi="Times New Roman" w:cs="Times New Roman" w:eastAsiaTheme="minorEastAsia"/>
          <w:color w:val="FF0000"/>
          <w:sz w:val="24"/>
          <w:highlight w:val="none"/>
          <w:lang w:val="en-US" w:eastAsia="zh-CN"/>
        </w:rPr>
        <w:t>在常温常压下易爆、易燃及排出有毒气体的危险废物应进行预处理，使之稳定后贮存，否则应按易爆、易燃危险品贮存。</w:t>
      </w:r>
    </w:p>
    <w:p>
      <w:pPr>
        <w:widowControl/>
        <w:spacing w:line="360" w:lineRule="auto"/>
        <w:ind w:firstLine="480" w:firstLineChars="200"/>
        <w:jc w:val="left"/>
        <w:rPr>
          <w:rFonts w:hint="default" w:ascii="Times New Roman" w:hAnsi="Times New Roman" w:cs="Times New Roman" w:eastAsiaTheme="minorEastAsia"/>
          <w:color w:val="FF0000"/>
          <w:sz w:val="24"/>
          <w:highlight w:val="none"/>
        </w:rPr>
      </w:pPr>
      <w:r>
        <w:rPr>
          <w:rFonts w:hint="eastAsia" w:cs="Times New Roman" w:eastAsiaTheme="minorEastAsia"/>
          <w:color w:val="FF0000"/>
          <w:sz w:val="24"/>
          <w:highlight w:val="none"/>
          <w:lang w:val="en-US" w:eastAsia="zh-CN"/>
        </w:rPr>
        <w:t>（8）</w:t>
      </w:r>
      <w:r>
        <w:rPr>
          <w:rFonts w:hint="default" w:ascii="Times New Roman" w:hAnsi="Times New Roman" w:cs="Times New Roman" w:eastAsiaTheme="minorEastAsia"/>
          <w:color w:val="FF0000"/>
          <w:sz w:val="24"/>
          <w:highlight w:val="none"/>
          <w:lang w:val="en-US" w:eastAsia="zh-CN"/>
        </w:rPr>
        <w:t>危险废物贮存除应满足环境保护相关要求外，还应执行国家安全生产、职业健康、交通运输、消防等法律法规和标准的相关要求。</w:t>
      </w:r>
    </w:p>
    <w:p>
      <w:pPr>
        <w:pStyle w:val="5"/>
        <w:bidi w:val="0"/>
        <w:rPr>
          <w:rFonts w:hint="default"/>
          <w:color w:val="FF0000"/>
          <w:highlight w:val="none"/>
        </w:rPr>
      </w:pPr>
      <w:r>
        <w:rPr>
          <w:rFonts w:hint="default"/>
          <w:color w:val="FF0000"/>
          <w:highlight w:val="none"/>
          <w:lang w:val="en-US" w:eastAsia="zh-CN"/>
        </w:rPr>
        <w:t>贮存设施运行环境管理要求</w:t>
      </w:r>
    </w:p>
    <w:p>
      <w:pPr>
        <w:widowControl/>
        <w:spacing w:line="360" w:lineRule="auto"/>
        <w:ind w:firstLine="480" w:firstLineChars="200"/>
        <w:jc w:val="left"/>
        <w:rPr>
          <w:rFonts w:hint="default" w:ascii="Times New Roman" w:hAnsi="Times New Roman" w:cs="Times New Roman" w:eastAsiaTheme="minorEastAsia"/>
          <w:color w:val="FF0000"/>
          <w:sz w:val="24"/>
          <w:highlight w:val="none"/>
        </w:rPr>
      </w:pPr>
      <w:r>
        <w:rPr>
          <w:rFonts w:hint="default" w:ascii="Times New Roman" w:hAnsi="Times New Roman" w:cs="Times New Roman" w:eastAsiaTheme="minorEastAsia"/>
          <w:color w:val="FF0000"/>
          <w:sz w:val="24"/>
          <w:highlight w:val="none"/>
          <w:lang w:val="en-US" w:eastAsia="zh-CN"/>
        </w:rPr>
        <w:t>（1）危险废物存入贮存设施前应对危险废物类别和特性与危险废物标签等危险废物识别标志的一致性进行核验，不一致的或类别、特性不明的不应存入。</w:t>
      </w:r>
    </w:p>
    <w:p>
      <w:pPr>
        <w:widowControl/>
        <w:spacing w:line="360" w:lineRule="auto"/>
        <w:ind w:firstLine="480" w:firstLineChars="200"/>
        <w:jc w:val="left"/>
        <w:rPr>
          <w:rFonts w:hint="default" w:ascii="Times New Roman" w:hAnsi="Times New Roman" w:cs="Times New Roman" w:eastAsiaTheme="minorEastAsia"/>
          <w:color w:val="FF0000"/>
          <w:sz w:val="24"/>
          <w:highlight w:val="none"/>
          <w:lang w:val="en-US" w:eastAsia="zh-CN"/>
        </w:rPr>
      </w:pPr>
      <w:r>
        <w:rPr>
          <w:rFonts w:hint="default" w:ascii="Times New Roman" w:hAnsi="Times New Roman" w:cs="Times New Roman" w:eastAsiaTheme="minorEastAsia"/>
          <w:color w:val="FF0000"/>
          <w:sz w:val="24"/>
          <w:highlight w:val="none"/>
          <w:lang w:val="en-US" w:eastAsia="zh-CN"/>
        </w:rPr>
        <w:t>（2）应定期检查危险废物的贮存状况，及时清理贮存设施地面，更换破损泄漏的危险废物贮存容器和包装物，保证堆存危险废物的防雨、防风、防扬尘等设施功能完好。</w:t>
      </w:r>
    </w:p>
    <w:p>
      <w:pPr>
        <w:widowControl/>
        <w:spacing w:line="360" w:lineRule="auto"/>
        <w:ind w:firstLine="480" w:firstLineChars="200"/>
        <w:jc w:val="left"/>
        <w:rPr>
          <w:rFonts w:hint="default" w:ascii="Times New Roman" w:hAnsi="Times New Roman" w:cs="Times New Roman" w:eastAsiaTheme="minorEastAsia"/>
          <w:color w:val="FF0000"/>
          <w:sz w:val="24"/>
          <w:highlight w:val="none"/>
        </w:rPr>
      </w:pPr>
      <w:r>
        <w:rPr>
          <w:rFonts w:hint="default" w:ascii="Times New Roman" w:hAnsi="Times New Roman" w:cs="Times New Roman" w:eastAsiaTheme="minorEastAsia"/>
          <w:color w:val="FF0000"/>
          <w:sz w:val="24"/>
          <w:highlight w:val="none"/>
          <w:lang w:val="en-US" w:eastAsia="zh-CN"/>
        </w:rPr>
        <w:t>（3）作业设备及车辆等结束作业离开贮存设施时，应对其残留的危险废物进行清理，清理的废物或清洗废水应收集处理。</w:t>
      </w:r>
    </w:p>
    <w:p>
      <w:pPr>
        <w:widowControl/>
        <w:spacing w:line="360" w:lineRule="auto"/>
        <w:ind w:firstLine="480" w:firstLineChars="200"/>
        <w:jc w:val="left"/>
        <w:rPr>
          <w:rFonts w:hint="default" w:ascii="Times New Roman" w:hAnsi="Times New Roman" w:cs="Times New Roman" w:eastAsiaTheme="minorEastAsia"/>
          <w:color w:val="FF0000"/>
          <w:sz w:val="24"/>
          <w:highlight w:val="none"/>
        </w:rPr>
      </w:pPr>
      <w:r>
        <w:rPr>
          <w:rFonts w:hint="default" w:ascii="Times New Roman" w:hAnsi="Times New Roman" w:cs="Times New Roman" w:eastAsiaTheme="minorEastAsia"/>
          <w:color w:val="FF0000"/>
          <w:sz w:val="24"/>
          <w:highlight w:val="none"/>
          <w:lang w:val="en-US" w:eastAsia="zh-CN"/>
        </w:rPr>
        <w:t>（4）贮存设施运行期间，应按国家有关标准和规定建立危险废物管理台账并保存。</w:t>
      </w:r>
    </w:p>
    <w:p>
      <w:pPr>
        <w:widowControl/>
        <w:spacing w:line="360" w:lineRule="auto"/>
        <w:ind w:firstLine="480" w:firstLineChars="200"/>
        <w:jc w:val="left"/>
        <w:rPr>
          <w:rFonts w:hint="default" w:ascii="Times New Roman" w:hAnsi="Times New Roman" w:cs="Times New Roman" w:eastAsiaTheme="minorEastAsia"/>
          <w:color w:val="FF0000"/>
          <w:sz w:val="24"/>
          <w:highlight w:val="none"/>
        </w:rPr>
      </w:pPr>
      <w:r>
        <w:rPr>
          <w:rFonts w:hint="default" w:ascii="Times New Roman" w:hAnsi="Times New Roman" w:cs="Times New Roman" w:eastAsiaTheme="minorEastAsia"/>
          <w:color w:val="FF0000"/>
          <w:sz w:val="24"/>
          <w:highlight w:val="none"/>
          <w:lang w:val="en-US" w:eastAsia="zh-CN"/>
        </w:rPr>
        <w:t>（5）贮存设施所有者或运营者应建立贮存设施环境管理制度、管理人员岗位职责制度、设施运行操作制度、人员岗位培训制度等。</w:t>
      </w:r>
    </w:p>
    <w:p>
      <w:pPr>
        <w:widowControl/>
        <w:spacing w:line="360" w:lineRule="auto"/>
        <w:ind w:firstLine="480" w:firstLineChars="200"/>
        <w:jc w:val="left"/>
        <w:rPr>
          <w:rFonts w:hint="default" w:ascii="Times New Roman" w:hAnsi="Times New Roman" w:cs="Times New Roman" w:eastAsiaTheme="minorEastAsia"/>
          <w:color w:val="FF0000"/>
          <w:sz w:val="24"/>
          <w:highlight w:val="none"/>
        </w:rPr>
      </w:pPr>
      <w:r>
        <w:rPr>
          <w:rFonts w:hint="default" w:ascii="Times New Roman" w:hAnsi="Times New Roman" w:cs="Times New Roman" w:eastAsiaTheme="minorEastAsia"/>
          <w:color w:val="FF0000"/>
          <w:sz w:val="24"/>
          <w:highlight w:val="none"/>
          <w:lang w:val="en-US" w:eastAsia="zh-CN"/>
        </w:rPr>
        <w:t>（6）贮存设施所有者或运营者应依据国家土壤和地下水污染防治的有关规定，结合贮存设施特点建立土壤和地下水污染隐患排查制度，并定期开展隐患排查；发现隐患应及时采取措施消除隐患，并建立档案。</w:t>
      </w:r>
    </w:p>
    <w:p>
      <w:pPr>
        <w:widowControl/>
        <w:spacing w:line="360" w:lineRule="auto"/>
        <w:ind w:firstLine="480" w:firstLineChars="200"/>
        <w:jc w:val="left"/>
        <w:rPr>
          <w:rFonts w:hint="default" w:ascii="Times New Roman" w:hAnsi="Times New Roman" w:cs="Times New Roman" w:eastAsiaTheme="minorEastAsia"/>
          <w:color w:val="FF0000"/>
          <w:sz w:val="24"/>
          <w:highlight w:val="none"/>
        </w:rPr>
      </w:pPr>
      <w:r>
        <w:rPr>
          <w:rFonts w:hint="default" w:ascii="Times New Roman" w:hAnsi="Times New Roman" w:cs="Times New Roman" w:eastAsiaTheme="minorEastAsia"/>
          <w:color w:val="FF0000"/>
          <w:sz w:val="24"/>
          <w:highlight w:val="none"/>
          <w:lang w:val="en-US" w:eastAsia="zh-CN"/>
        </w:rPr>
        <w:t>（7）贮存设施所有者或运营者应建立贮存设施全部档案，包括设计、施工、验收、运行、监测和环境应急等，应按国家有关档案管理的法律法规进行整理和归档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HAnsi" w:hAnsiTheme="minorHAnsi" w:eastAsiaTheme="minorEastAsia"/>
          <w:color w:val="FF0000"/>
          <w:sz w:val="24"/>
          <w:szCs w:val="32"/>
          <w:highlight w:val="none"/>
          <w:lang w:val="en-US" w:eastAsia="zh-CN"/>
        </w:rPr>
      </w:pPr>
      <w:r>
        <w:rPr>
          <w:rFonts w:hint="default" w:ascii="Times New Roman" w:hAnsi="Times New Roman" w:cs="Times New Roman" w:eastAsiaTheme="minorEastAsia"/>
          <w:color w:val="FF0000"/>
          <w:sz w:val="24"/>
          <w:highlight w:val="none"/>
        </w:rPr>
        <w:t>危险废物转存前建设单位须在新疆维吾尔自治区固体废物动态信息管理平台注册账号后，对公司信息进行完善填报，每次清运危险废物前需在此平台进行申报，申请电子转运单，待取得电子转运联单后由专门运输单位将危险废物转运至指定危废处置单位进行处置。</w:t>
      </w:r>
    </w:p>
    <w:p>
      <w:pPr>
        <w:pStyle w:val="5"/>
        <w:bidi w:val="0"/>
        <w:rPr>
          <w:rFonts w:hint="default"/>
          <w:color w:val="FF0000"/>
          <w:highlight w:val="none"/>
        </w:rPr>
      </w:pPr>
      <w:r>
        <w:rPr>
          <w:rFonts w:hint="default"/>
          <w:color w:val="FF0000"/>
          <w:highlight w:val="none"/>
          <w:lang w:val="en-US" w:eastAsia="zh-CN"/>
        </w:rPr>
        <w:t>危险废物环境管理台账记录要求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HAnsi" w:hAnsiTheme="minorHAnsi" w:eastAsiaTheme="minorEastAsia"/>
          <w:color w:val="FF0000"/>
          <w:sz w:val="24"/>
          <w:szCs w:val="32"/>
          <w:highlight w:val="none"/>
        </w:rPr>
      </w:pPr>
      <w:r>
        <w:rPr>
          <w:rFonts w:hint="default" w:asciiTheme="minorHAnsi" w:hAnsiTheme="minorHAnsi" w:eastAsiaTheme="minorEastAsia"/>
          <w:color w:val="FF0000"/>
          <w:sz w:val="24"/>
          <w:szCs w:val="32"/>
          <w:highlight w:val="none"/>
          <w:lang w:val="en-US" w:eastAsia="zh-CN"/>
        </w:rPr>
        <w:t>排污单位应建立环境管理台账，危险废物环境管理台账记录应符合《危险废物产生单位管理计划制定指南》等标准及管理文件的相关要求。待危险废物环境管理台账相关标准或管理文件发布实施后，从其规定。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HAnsi" w:hAnsiTheme="minorHAnsi" w:eastAsiaTheme="minorEastAsia"/>
          <w:color w:val="FF0000"/>
          <w:sz w:val="24"/>
          <w:szCs w:val="32"/>
          <w:highlight w:val="none"/>
          <w:lang w:eastAsia="zh-CN"/>
        </w:rPr>
      </w:pPr>
      <w:r>
        <w:rPr>
          <w:rFonts w:hint="default" w:asciiTheme="minorHAnsi" w:hAnsiTheme="minorHAnsi" w:eastAsiaTheme="minorEastAsia"/>
          <w:color w:val="FF0000"/>
          <w:sz w:val="24"/>
          <w:szCs w:val="32"/>
          <w:highlight w:val="none"/>
        </w:rPr>
        <w:t>（一）</w:t>
      </w:r>
      <w:r>
        <w:rPr>
          <w:rFonts w:hint="default" w:asciiTheme="minorHAnsi" w:hAnsiTheme="minorHAnsi" w:eastAsiaTheme="minorEastAsia"/>
          <w:color w:val="FF0000"/>
          <w:sz w:val="24"/>
          <w:szCs w:val="32"/>
          <w:highlight w:val="none"/>
          <w:lang w:val="en-US" w:eastAsia="zh-CN"/>
        </w:rPr>
        <w:t>危险废物</w:t>
      </w:r>
      <w:r>
        <w:rPr>
          <w:rFonts w:hint="default" w:asciiTheme="minorHAnsi" w:hAnsiTheme="minorHAnsi" w:eastAsiaTheme="minorEastAsia"/>
          <w:color w:val="FF0000"/>
          <w:sz w:val="24"/>
          <w:szCs w:val="32"/>
          <w:highlight w:val="none"/>
        </w:rPr>
        <w:t>管理台账实施分级管理。附表1至附表3为必填信息，主要用于记录</w:t>
      </w:r>
      <w:r>
        <w:rPr>
          <w:rFonts w:hint="default" w:asciiTheme="minorHAnsi" w:hAnsiTheme="minorHAnsi" w:eastAsiaTheme="minorEastAsia"/>
          <w:color w:val="FF0000"/>
          <w:sz w:val="24"/>
          <w:szCs w:val="32"/>
          <w:highlight w:val="none"/>
          <w:lang w:val="en-US" w:eastAsia="zh-CN"/>
        </w:rPr>
        <w:t>危险废物</w:t>
      </w:r>
      <w:r>
        <w:rPr>
          <w:rFonts w:hint="default" w:asciiTheme="minorHAnsi" w:hAnsiTheme="minorHAnsi" w:eastAsiaTheme="minorEastAsia"/>
          <w:color w:val="FF0000"/>
          <w:sz w:val="24"/>
          <w:szCs w:val="32"/>
          <w:highlight w:val="none"/>
        </w:rPr>
        <w:t>的基础信息及流向信息，所有产废单位均应当填写。附表1按年填写，应当结合环境影响评价、排污许可等材料，根据实际生产运营情况记录</w:t>
      </w:r>
      <w:r>
        <w:rPr>
          <w:rFonts w:hint="default" w:asciiTheme="minorHAnsi" w:hAnsiTheme="minorHAnsi" w:eastAsiaTheme="minorEastAsia"/>
          <w:color w:val="FF0000"/>
          <w:sz w:val="24"/>
          <w:szCs w:val="32"/>
          <w:highlight w:val="none"/>
          <w:lang w:val="en-US" w:eastAsia="zh-CN"/>
        </w:rPr>
        <w:t>危险废物</w:t>
      </w:r>
      <w:r>
        <w:rPr>
          <w:rFonts w:hint="default" w:asciiTheme="minorHAnsi" w:hAnsiTheme="minorHAnsi" w:eastAsiaTheme="minorEastAsia"/>
          <w:color w:val="FF0000"/>
          <w:sz w:val="24"/>
          <w:szCs w:val="32"/>
          <w:highlight w:val="none"/>
        </w:rPr>
        <w:t>产生信息，生产工艺发生重大变动等原因导致</w:t>
      </w:r>
      <w:r>
        <w:rPr>
          <w:rFonts w:hint="default" w:asciiTheme="minorHAnsi" w:hAnsiTheme="minorHAnsi" w:eastAsiaTheme="minorEastAsia"/>
          <w:color w:val="FF0000"/>
          <w:sz w:val="24"/>
          <w:szCs w:val="32"/>
          <w:highlight w:val="none"/>
          <w:lang w:val="en-US" w:eastAsia="zh-CN"/>
        </w:rPr>
        <w:t>危险废物</w:t>
      </w:r>
      <w:r>
        <w:rPr>
          <w:rFonts w:hint="default" w:asciiTheme="minorHAnsi" w:hAnsiTheme="minorHAnsi" w:eastAsiaTheme="minorEastAsia"/>
          <w:color w:val="FF0000"/>
          <w:sz w:val="24"/>
          <w:szCs w:val="32"/>
          <w:highlight w:val="none"/>
        </w:rPr>
        <w:t>产生种类等发生变化的，应当及时另行填写附表1；附表2按月填写，记录</w:t>
      </w:r>
      <w:r>
        <w:rPr>
          <w:rFonts w:hint="default" w:asciiTheme="minorHAnsi" w:hAnsiTheme="minorHAnsi" w:eastAsiaTheme="minorEastAsia"/>
          <w:color w:val="FF0000"/>
          <w:sz w:val="24"/>
          <w:szCs w:val="32"/>
          <w:highlight w:val="none"/>
          <w:lang w:val="en-US" w:eastAsia="zh-CN"/>
        </w:rPr>
        <w:t>危险废物</w:t>
      </w:r>
      <w:r>
        <w:rPr>
          <w:rFonts w:hint="default" w:asciiTheme="minorHAnsi" w:hAnsiTheme="minorHAnsi" w:eastAsiaTheme="minorEastAsia"/>
          <w:color w:val="FF0000"/>
          <w:sz w:val="24"/>
          <w:szCs w:val="32"/>
          <w:highlight w:val="none"/>
        </w:rPr>
        <w:t>的产生、贮存、利用、处置数量和利用、处置方式等信息；附表3按批次填写，每一批次固体废物的出厂以及转移信息均应当如实记录。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HAnsi" w:hAnsiTheme="minorHAnsi" w:eastAsiaTheme="minorEastAsia"/>
          <w:color w:val="FF0000"/>
          <w:sz w:val="24"/>
          <w:szCs w:val="32"/>
          <w:highlight w:val="none"/>
          <w:lang w:eastAsia="zh-CN"/>
        </w:rPr>
      </w:pPr>
      <w:r>
        <w:rPr>
          <w:rFonts w:hint="default" w:asciiTheme="minorHAnsi" w:hAnsiTheme="minorHAnsi" w:eastAsiaTheme="minorEastAsia"/>
          <w:color w:val="FF0000"/>
          <w:sz w:val="24"/>
          <w:szCs w:val="32"/>
          <w:highlight w:val="none"/>
        </w:rPr>
        <w:t>（二）附表4至附表7为选填信息，主要用于记录</w:t>
      </w:r>
      <w:r>
        <w:rPr>
          <w:rFonts w:hint="default" w:asciiTheme="minorHAnsi" w:hAnsiTheme="minorHAnsi" w:eastAsiaTheme="minorEastAsia"/>
          <w:color w:val="FF0000"/>
          <w:sz w:val="24"/>
          <w:szCs w:val="32"/>
          <w:highlight w:val="none"/>
          <w:lang w:val="en-US" w:eastAsia="zh-CN"/>
        </w:rPr>
        <w:t>危险废物</w:t>
      </w:r>
      <w:r>
        <w:rPr>
          <w:rFonts w:hint="default" w:asciiTheme="minorHAnsi" w:hAnsiTheme="minorHAnsi" w:eastAsiaTheme="minorEastAsia"/>
          <w:color w:val="FF0000"/>
          <w:sz w:val="24"/>
          <w:szCs w:val="32"/>
          <w:highlight w:val="none"/>
        </w:rPr>
        <w:t>在产废单位内部的贮存、利用、处置等信息。附表4至附表7，根据地方及企业管理需要填写，省级生态环境主管部门可根据工作需要另行规定具体适用范围和记录要求。填写时应确保固体废物的来源信息、流向信息完整准确；根据固体废物产生周期，可按日或按班次、批次填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HAnsi" w:hAnsiTheme="minorHAnsi" w:eastAsiaTheme="minorEastAsia"/>
          <w:color w:val="FF0000"/>
          <w:sz w:val="24"/>
          <w:szCs w:val="32"/>
          <w:highlight w:val="none"/>
        </w:rPr>
      </w:pPr>
      <w:r>
        <w:rPr>
          <w:rFonts w:hint="default" w:asciiTheme="minorHAnsi" w:hAnsiTheme="minorHAnsi" w:eastAsiaTheme="minorEastAsia"/>
          <w:color w:val="FF0000"/>
          <w:sz w:val="24"/>
          <w:szCs w:val="32"/>
          <w:highlight w:val="none"/>
        </w:rPr>
        <w:t>（三）产废单位填写台账记录表时，应当根据自身</w:t>
      </w:r>
      <w:r>
        <w:rPr>
          <w:rFonts w:hint="default" w:asciiTheme="minorHAnsi" w:hAnsiTheme="minorHAnsi" w:eastAsiaTheme="minorEastAsia"/>
          <w:color w:val="FF0000"/>
          <w:sz w:val="24"/>
          <w:szCs w:val="32"/>
          <w:highlight w:val="none"/>
          <w:lang w:val="en-US" w:eastAsia="zh-CN"/>
        </w:rPr>
        <w:t>危险废物</w:t>
      </w:r>
      <w:r>
        <w:rPr>
          <w:rFonts w:hint="default" w:asciiTheme="minorHAnsi" w:hAnsiTheme="minorHAnsi" w:eastAsiaTheme="minorEastAsia"/>
          <w:color w:val="FF0000"/>
          <w:sz w:val="24"/>
          <w:szCs w:val="32"/>
          <w:highlight w:val="none"/>
        </w:rPr>
        <w:t>产生情况，从附表8中选择对应的固体废物种类和代码，并根据固体废物种类确定固体废物的具体名称。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HAnsi" w:hAnsiTheme="minorHAnsi" w:eastAsiaTheme="minorEastAsia"/>
          <w:color w:val="FF0000"/>
          <w:sz w:val="24"/>
          <w:szCs w:val="32"/>
          <w:highlight w:val="none"/>
          <w:lang w:eastAsia="zh-CN"/>
        </w:rPr>
      </w:pPr>
      <w:r>
        <w:rPr>
          <w:rFonts w:hint="default" w:asciiTheme="minorHAnsi" w:hAnsiTheme="minorHAnsi" w:eastAsiaTheme="minorEastAsia"/>
          <w:color w:val="FF0000"/>
          <w:sz w:val="24"/>
          <w:szCs w:val="32"/>
          <w:highlight w:val="none"/>
        </w:rPr>
        <w:t>（四）鼓励产废单位采用国家建立的</w:t>
      </w:r>
      <w:r>
        <w:rPr>
          <w:rFonts w:hint="default" w:asciiTheme="minorHAnsi" w:hAnsiTheme="minorHAnsi" w:eastAsiaTheme="minorEastAsia"/>
          <w:color w:val="FF0000"/>
          <w:sz w:val="24"/>
          <w:szCs w:val="32"/>
          <w:highlight w:val="none"/>
          <w:lang w:val="en-US" w:eastAsia="zh-CN"/>
        </w:rPr>
        <w:t>危险废物</w:t>
      </w:r>
      <w:r>
        <w:rPr>
          <w:rFonts w:hint="default" w:asciiTheme="minorHAnsi" w:hAnsiTheme="minorHAnsi" w:eastAsiaTheme="minorEastAsia"/>
          <w:color w:val="FF0000"/>
          <w:sz w:val="24"/>
          <w:szCs w:val="32"/>
          <w:highlight w:val="none"/>
        </w:rPr>
        <w:t>管理电子台账，简化数据填写、台账管理等工作。地方和企业自行开发的电子台账要实现与国家系统对接。建立电子台账的产废单位，可不再记录纸质台账</w:t>
      </w:r>
      <w:r>
        <w:rPr>
          <w:rFonts w:hint="eastAsia" w:asciiTheme="minorHAnsi" w:hAnsiTheme="minorHAnsi" w:eastAsiaTheme="minorEastAsia"/>
          <w:color w:val="FF0000"/>
          <w:sz w:val="24"/>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HAnsi" w:hAnsiTheme="minorHAnsi" w:eastAsiaTheme="minorEastAsia"/>
          <w:color w:val="FF0000"/>
          <w:sz w:val="24"/>
          <w:szCs w:val="32"/>
          <w:highlight w:val="none"/>
          <w:lang w:eastAsia="zh-CN"/>
        </w:rPr>
      </w:pPr>
      <w:r>
        <w:rPr>
          <w:rFonts w:hint="default" w:asciiTheme="minorHAnsi" w:hAnsiTheme="minorHAnsi" w:eastAsiaTheme="minorEastAsia"/>
          <w:color w:val="FF0000"/>
          <w:sz w:val="24"/>
          <w:szCs w:val="32"/>
          <w:highlight w:val="none"/>
        </w:rPr>
        <w:t>（五）台账记录表各表单的负责人对记录信息的真实性、完整性和规范性负责。</w:t>
      </w:r>
    </w:p>
    <w:p>
      <w:pPr>
        <w:widowControl/>
        <w:spacing w:line="360" w:lineRule="auto"/>
        <w:ind w:firstLine="480" w:firstLineChars="200"/>
        <w:jc w:val="left"/>
        <w:rPr>
          <w:rFonts w:hint="default" w:asciiTheme="minorHAnsi" w:hAnsiTheme="minorHAnsi" w:eastAsiaTheme="minorEastAsia"/>
          <w:color w:val="FF0000"/>
          <w:sz w:val="24"/>
          <w:szCs w:val="32"/>
          <w:highlight w:val="none"/>
        </w:rPr>
      </w:pPr>
      <w:r>
        <w:rPr>
          <w:rFonts w:hint="default" w:asciiTheme="minorHAnsi" w:hAnsiTheme="minorHAnsi" w:eastAsiaTheme="minorEastAsia"/>
          <w:color w:val="FF0000"/>
          <w:sz w:val="24"/>
          <w:szCs w:val="32"/>
          <w:highlight w:val="none"/>
        </w:rPr>
        <w:t>（六）产废单位应当设立专人负责台账的管理与归档，</w:t>
      </w:r>
      <w:r>
        <w:rPr>
          <w:rFonts w:hint="eastAsia" w:asciiTheme="minorHAnsi" w:hAnsiTheme="minorHAnsi" w:eastAsiaTheme="minorEastAsia"/>
          <w:color w:val="FF0000"/>
          <w:sz w:val="24"/>
          <w:szCs w:val="32"/>
          <w:highlight w:val="none"/>
          <w:lang w:val="en-US" w:eastAsia="zh-CN"/>
        </w:rPr>
        <w:t>危险</w:t>
      </w:r>
      <w:r>
        <w:rPr>
          <w:rFonts w:hint="default" w:asciiTheme="minorHAnsi" w:hAnsiTheme="minorHAnsi" w:eastAsiaTheme="minorEastAsia"/>
          <w:color w:val="FF0000"/>
          <w:sz w:val="24"/>
          <w:szCs w:val="32"/>
          <w:highlight w:val="none"/>
        </w:rPr>
        <w:t>废物管理台账保存期限不少于5年。</w:t>
      </w:r>
    </w:p>
    <w:p>
      <w:pPr>
        <w:pStyle w:val="5"/>
        <w:bidi w:val="0"/>
        <w:rPr>
          <w:rFonts w:hint="eastAsia"/>
          <w:color w:val="FF0000"/>
          <w:highlight w:val="none"/>
          <w:lang w:eastAsia="zh-CN"/>
        </w:rPr>
      </w:pPr>
      <w:r>
        <w:rPr>
          <w:rFonts w:hint="default"/>
          <w:color w:val="FF0000"/>
          <w:highlight w:val="none"/>
        </w:rPr>
        <w:t>危险废物管理计划制定要求</w:t>
      </w:r>
    </w:p>
    <w:p>
      <w:pPr>
        <w:keepNext w:val="0"/>
        <w:keepLines w:val="0"/>
        <w:pageBreakBefore w:val="0"/>
        <w:widowControl/>
        <w:numPr>
          <w:ilvl w:val="0"/>
          <w:numId w:val="12"/>
        </w:numPr>
        <w:suppressAutoHyphens/>
        <w:kinsoku/>
        <w:wordWrap/>
        <w:overflowPunct/>
        <w:topLinePunct/>
        <w:autoSpaceDE/>
        <w:autoSpaceDN/>
        <w:bidi w:val="0"/>
        <w:adjustRightInd/>
        <w:snapToGrid/>
        <w:spacing w:line="480" w:lineRule="exact"/>
        <w:ind w:firstLine="480" w:firstLineChars="200"/>
        <w:textAlignment w:val="auto"/>
        <w:rPr>
          <w:rFonts w:hint="default" w:ascii="Times New Roman" w:hAnsi="Times New Roman" w:eastAsia="宋体" w:cs="Times New Roman"/>
          <w:color w:val="FF0000"/>
          <w:spacing w:val="0"/>
          <w:sz w:val="24"/>
          <w:highlight w:val="none"/>
          <w:lang w:bidi="ar"/>
        </w:rPr>
      </w:pPr>
      <w:r>
        <w:rPr>
          <w:rFonts w:hint="default" w:ascii="Times New Roman" w:hAnsi="Times New Roman" w:eastAsia="宋体" w:cs="Times New Roman"/>
          <w:color w:val="FF0000"/>
          <w:spacing w:val="0"/>
          <w:sz w:val="24"/>
          <w:highlight w:val="none"/>
          <w:lang w:bidi="ar"/>
        </w:rPr>
        <w:t>制定单位</w:t>
      </w:r>
    </w:p>
    <w:p>
      <w:pPr>
        <w:keepNext w:val="0"/>
        <w:keepLines w:val="0"/>
        <w:pageBreakBefore w:val="0"/>
        <w:widowControl/>
        <w:numPr>
          <w:ilvl w:val="0"/>
          <w:numId w:val="0"/>
        </w:numPr>
        <w:suppressAutoHyphens/>
        <w:kinsoku/>
        <w:wordWrap/>
        <w:overflowPunct/>
        <w:topLinePunct/>
        <w:autoSpaceDE/>
        <w:autoSpaceDN/>
        <w:bidi w:val="0"/>
        <w:adjustRightInd/>
        <w:snapToGrid/>
        <w:spacing w:line="480" w:lineRule="exact"/>
        <w:ind w:firstLine="480" w:firstLineChars="200"/>
        <w:textAlignment w:val="auto"/>
        <w:rPr>
          <w:rFonts w:hint="default" w:ascii="Times New Roman" w:hAnsi="Times New Roman" w:eastAsia="宋体" w:cs="Times New Roman"/>
          <w:color w:val="FF0000"/>
          <w:spacing w:val="0"/>
          <w:sz w:val="24"/>
          <w:highlight w:val="none"/>
          <w:lang w:bidi="ar"/>
        </w:rPr>
      </w:pPr>
      <w:r>
        <w:rPr>
          <w:rFonts w:hint="default" w:ascii="Times New Roman" w:hAnsi="Times New Roman" w:eastAsia="宋体" w:cs="Times New Roman"/>
          <w:color w:val="FF0000"/>
          <w:spacing w:val="0"/>
          <w:sz w:val="24"/>
          <w:highlight w:val="none"/>
          <w:lang w:bidi="ar"/>
        </w:rPr>
        <w:t>同一法人单位或者其他组织所属但位于不同生产经营场所的单位，应当以每个生产经营场所为单位，分别制定危险废物管理计划，并通过国家危险废物信息管理系统向生产经营场所所在地生态环境主管部门备案。</w:t>
      </w:r>
    </w:p>
    <w:p>
      <w:pPr>
        <w:keepNext w:val="0"/>
        <w:keepLines w:val="0"/>
        <w:pageBreakBefore w:val="0"/>
        <w:widowControl/>
        <w:numPr>
          <w:ilvl w:val="0"/>
          <w:numId w:val="12"/>
        </w:numPr>
        <w:suppressAutoHyphens/>
        <w:kinsoku/>
        <w:wordWrap/>
        <w:overflowPunct/>
        <w:topLinePunct/>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color w:val="FF0000"/>
          <w:spacing w:val="0"/>
          <w:sz w:val="24"/>
          <w:highlight w:val="none"/>
          <w:lang w:bidi="ar"/>
        </w:rPr>
      </w:pPr>
      <w:r>
        <w:rPr>
          <w:rFonts w:hint="default" w:ascii="Times New Roman" w:hAnsi="Times New Roman" w:eastAsia="宋体" w:cs="Times New Roman"/>
          <w:color w:val="FF0000"/>
          <w:spacing w:val="0"/>
          <w:sz w:val="24"/>
          <w:highlight w:val="none"/>
          <w:lang w:bidi="ar"/>
        </w:rPr>
        <w:t>制定形式及时限要求</w:t>
      </w:r>
    </w:p>
    <w:p>
      <w:pPr>
        <w:keepNext w:val="0"/>
        <w:keepLines w:val="0"/>
        <w:pageBreakBefore w:val="0"/>
        <w:widowControl/>
        <w:numPr>
          <w:ilvl w:val="0"/>
          <w:numId w:val="0"/>
        </w:numPr>
        <w:suppressAutoHyphens/>
        <w:kinsoku/>
        <w:wordWrap/>
        <w:overflowPunct/>
        <w:topLinePunct/>
        <w:autoSpaceDE/>
        <w:autoSpaceDN/>
        <w:bidi w:val="0"/>
        <w:adjustRightInd/>
        <w:snapToGrid/>
        <w:spacing w:line="480" w:lineRule="exact"/>
        <w:ind w:firstLine="480" w:firstLineChars="200"/>
        <w:textAlignment w:val="auto"/>
        <w:rPr>
          <w:rFonts w:hint="default" w:ascii="Times New Roman" w:hAnsi="Times New Roman" w:eastAsia="宋体" w:cs="Times New Roman"/>
          <w:color w:val="FF0000"/>
          <w:spacing w:val="0"/>
          <w:sz w:val="24"/>
          <w:highlight w:val="none"/>
          <w:lang w:bidi="ar"/>
        </w:rPr>
      </w:pPr>
      <w:r>
        <w:rPr>
          <w:rFonts w:hint="eastAsia" w:ascii="Times New Roman" w:hAnsi="Times New Roman" w:eastAsia="宋体" w:cs="Times New Roman"/>
          <w:color w:val="FF0000"/>
          <w:spacing w:val="0"/>
          <w:sz w:val="24"/>
          <w:highlight w:val="none"/>
          <w:lang w:val="en-US" w:eastAsia="zh-CN" w:bidi="ar"/>
        </w:rPr>
        <w:t>1</w:t>
      </w:r>
      <w:r>
        <w:rPr>
          <w:rFonts w:hint="eastAsia" w:ascii="Times New Roman" w:hAnsi="Times New Roman" w:eastAsia="宋体" w:cs="Times New Roman"/>
          <w:color w:val="FF0000"/>
          <w:spacing w:val="0"/>
          <w:sz w:val="24"/>
          <w:highlight w:val="none"/>
          <w:lang w:eastAsia="zh-CN" w:bidi="ar"/>
        </w:rPr>
        <w:t>）</w:t>
      </w:r>
      <w:r>
        <w:rPr>
          <w:rFonts w:hint="default" w:ascii="Times New Roman" w:hAnsi="Times New Roman" w:eastAsia="宋体" w:cs="Times New Roman"/>
          <w:color w:val="FF0000"/>
          <w:spacing w:val="0"/>
          <w:sz w:val="24"/>
          <w:highlight w:val="none"/>
          <w:lang w:bidi="ar"/>
        </w:rPr>
        <w:t>产生危险废物的单位应当按年度制定危险废物管理计划。</w:t>
      </w:r>
    </w:p>
    <w:p>
      <w:pPr>
        <w:keepNext w:val="0"/>
        <w:keepLines w:val="0"/>
        <w:pageBreakBefore w:val="0"/>
        <w:widowControl/>
        <w:numPr>
          <w:ilvl w:val="0"/>
          <w:numId w:val="0"/>
        </w:numPr>
        <w:suppressAutoHyphens/>
        <w:kinsoku/>
        <w:wordWrap/>
        <w:overflowPunct/>
        <w:topLinePunct/>
        <w:autoSpaceDE/>
        <w:autoSpaceDN/>
        <w:bidi w:val="0"/>
        <w:adjustRightInd/>
        <w:snapToGrid/>
        <w:spacing w:line="480" w:lineRule="exact"/>
        <w:ind w:firstLine="480" w:firstLineChars="200"/>
        <w:textAlignment w:val="auto"/>
        <w:rPr>
          <w:rFonts w:hint="default" w:ascii="Times New Roman" w:hAnsi="Times New Roman" w:eastAsia="宋体" w:cs="Times New Roman"/>
          <w:color w:val="FF0000"/>
          <w:spacing w:val="0"/>
          <w:sz w:val="24"/>
          <w:highlight w:val="none"/>
          <w:lang w:bidi="ar"/>
        </w:rPr>
      </w:pPr>
      <w:r>
        <w:rPr>
          <w:rFonts w:hint="eastAsia" w:ascii="Times New Roman" w:hAnsi="Times New Roman" w:eastAsia="宋体" w:cs="Times New Roman"/>
          <w:color w:val="FF0000"/>
          <w:spacing w:val="0"/>
          <w:sz w:val="24"/>
          <w:highlight w:val="none"/>
          <w:lang w:val="en-US" w:eastAsia="zh-CN" w:bidi="ar"/>
        </w:rPr>
        <w:t>2</w:t>
      </w:r>
      <w:r>
        <w:rPr>
          <w:rFonts w:hint="eastAsia" w:ascii="Times New Roman" w:hAnsi="Times New Roman" w:eastAsia="宋体" w:cs="Times New Roman"/>
          <w:color w:val="FF0000"/>
          <w:spacing w:val="0"/>
          <w:sz w:val="24"/>
          <w:highlight w:val="none"/>
          <w:lang w:eastAsia="zh-CN" w:bidi="ar"/>
        </w:rPr>
        <w:t>）</w:t>
      </w:r>
      <w:r>
        <w:rPr>
          <w:rFonts w:hint="default" w:ascii="Times New Roman" w:hAnsi="Times New Roman" w:eastAsia="宋体" w:cs="Times New Roman"/>
          <w:color w:val="FF0000"/>
          <w:spacing w:val="0"/>
          <w:sz w:val="24"/>
          <w:highlight w:val="none"/>
          <w:lang w:bidi="ar"/>
        </w:rPr>
        <w:t>产生危险废物的单位应当于每年3月31日前通过国家危险废物信息管理系统在线填写并提交当年度的危险废物管理计划，由国家危险废物信息管理系统自动生成备案编号和回执，完成备案。</w:t>
      </w:r>
    </w:p>
    <w:p>
      <w:pPr>
        <w:keepNext w:val="0"/>
        <w:keepLines w:val="0"/>
        <w:pageBreakBefore w:val="0"/>
        <w:widowControl/>
        <w:numPr>
          <w:ilvl w:val="0"/>
          <w:numId w:val="0"/>
        </w:numPr>
        <w:suppressAutoHyphens/>
        <w:kinsoku/>
        <w:wordWrap/>
        <w:overflowPunct/>
        <w:topLinePunct/>
        <w:autoSpaceDE/>
        <w:autoSpaceDN/>
        <w:bidi w:val="0"/>
        <w:adjustRightInd/>
        <w:snapToGrid/>
        <w:spacing w:line="480" w:lineRule="exact"/>
        <w:ind w:firstLine="480" w:firstLineChars="200"/>
        <w:textAlignment w:val="auto"/>
        <w:rPr>
          <w:rFonts w:hint="default" w:ascii="Times New Roman" w:hAnsi="Times New Roman" w:eastAsia="宋体" w:cs="Times New Roman"/>
          <w:color w:val="FF0000"/>
          <w:spacing w:val="0"/>
          <w:sz w:val="24"/>
          <w:highlight w:val="none"/>
          <w:lang w:bidi="ar"/>
        </w:rPr>
      </w:pPr>
      <w:r>
        <w:rPr>
          <w:rFonts w:hint="eastAsia" w:ascii="Times New Roman" w:hAnsi="Times New Roman" w:eastAsia="宋体" w:cs="Times New Roman"/>
          <w:color w:val="FF0000"/>
          <w:spacing w:val="0"/>
          <w:sz w:val="24"/>
          <w:highlight w:val="none"/>
          <w:lang w:val="en-US" w:eastAsia="zh-CN" w:bidi="ar"/>
        </w:rPr>
        <w:t>3</w:t>
      </w:r>
      <w:r>
        <w:rPr>
          <w:rFonts w:hint="eastAsia" w:ascii="Times New Roman" w:hAnsi="Times New Roman" w:eastAsia="宋体" w:cs="Times New Roman"/>
          <w:color w:val="FF0000"/>
          <w:spacing w:val="0"/>
          <w:sz w:val="24"/>
          <w:highlight w:val="none"/>
          <w:lang w:eastAsia="zh-CN" w:bidi="ar"/>
        </w:rPr>
        <w:t>）</w:t>
      </w:r>
      <w:r>
        <w:rPr>
          <w:rFonts w:hint="default" w:ascii="Times New Roman" w:hAnsi="Times New Roman" w:eastAsia="宋体" w:cs="Times New Roman"/>
          <w:color w:val="FF0000"/>
          <w:spacing w:val="0"/>
          <w:sz w:val="24"/>
          <w:highlight w:val="none"/>
          <w:lang w:bidi="ar"/>
        </w:rPr>
        <w:t>危险废物管理计划备案内容需要调整的，产生危险废物的单位应当及时变更。</w:t>
      </w:r>
    </w:p>
    <w:p>
      <w:pPr>
        <w:keepNext w:val="0"/>
        <w:keepLines w:val="0"/>
        <w:pageBreakBefore w:val="0"/>
        <w:widowControl/>
        <w:numPr>
          <w:ilvl w:val="0"/>
          <w:numId w:val="0"/>
        </w:numPr>
        <w:suppressAutoHyphens/>
        <w:kinsoku/>
        <w:wordWrap/>
        <w:overflowPunct/>
        <w:topLinePunct/>
        <w:autoSpaceDE/>
        <w:autoSpaceDN/>
        <w:bidi w:val="0"/>
        <w:adjustRightInd/>
        <w:snapToGrid/>
        <w:spacing w:line="480" w:lineRule="exact"/>
        <w:ind w:firstLine="480" w:firstLineChars="200"/>
        <w:textAlignment w:val="auto"/>
        <w:rPr>
          <w:rFonts w:hint="default" w:ascii="Times New Roman" w:hAnsi="Times New Roman" w:eastAsia="宋体" w:cs="Times New Roman"/>
          <w:color w:val="FF0000"/>
          <w:spacing w:val="0"/>
          <w:sz w:val="24"/>
          <w:highlight w:val="none"/>
          <w:lang w:bidi="ar"/>
        </w:rPr>
      </w:pPr>
      <w:r>
        <w:rPr>
          <w:rFonts w:hint="eastAsia" w:ascii="Times New Roman" w:hAnsi="Times New Roman" w:eastAsia="宋体" w:cs="Times New Roman"/>
          <w:color w:val="FF0000"/>
          <w:spacing w:val="0"/>
          <w:sz w:val="24"/>
          <w:highlight w:val="none"/>
          <w:lang w:eastAsia="zh-CN" w:bidi="ar"/>
        </w:rPr>
        <w:t>（</w:t>
      </w:r>
      <w:r>
        <w:rPr>
          <w:rFonts w:hint="eastAsia" w:ascii="Times New Roman" w:hAnsi="Times New Roman" w:eastAsia="宋体" w:cs="Times New Roman"/>
          <w:color w:val="FF0000"/>
          <w:spacing w:val="0"/>
          <w:sz w:val="24"/>
          <w:highlight w:val="none"/>
          <w:lang w:val="en-US" w:eastAsia="zh-CN" w:bidi="ar"/>
        </w:rPr>
        <w:t>3</w:t>
      </w:r>
      <w:r>
        <w:rPr>
          <w:rFonts w:hint="eastAsia" w:ascii="Times New Roman" w:hAnsi="Times New Roman" w:eastAsia="宋体" w:cs="Times New Roman"/>
          <w:color w:val="FF0000"/>
          <w:spacing w:val="0"/>
          <w:sz w:val="24"/>
          <w:highlight w:val="none"/>
          <w:lang w:eastAsia="zh-CN" w:bidi="ar"/>
        </w:rPr>
        <w:t>）</w:t>
      </w:r>
      <w:r>
        <w:rPr>
          <w:rFonts w:hint="default" w:ascii="Times New Roman" w:hAnsi="Times New Roman" w:eastAsia="宋体" w:cs="Times New Roman"/>
          <w:color w:val="FF0000"/>
          <w:spacing w:val="0"/>
          <w:sz w:val="24"/>
          <w:highlight w:val="none"/>
          <w:lang w:bidi="ar"/>
        </w:rPr>
        <w:t>一般原则</w:t>
      </w:r>
    </w:p>
    <w:p>
      <w:pPr>
        <w:keepNext w:val="0"/>
        <w:keepLines w:val="0"/>
        <w:pageBreakBefore w:val="0"/>
        <w:widowControl/>
        <w:numPr>
          <w:ilvl w:val="0"/>
          <w:numId w:val="0"/>
        </w:numPr>
        <w:suppressAutoHyphens/>
        <w:kinsoku/>
        <w:wordWrap/>
        <w:overflowPunct/>
        <w:topLinePunct/>
        <w:autoSpaceDE/>
        <w:autoSpaceDN/>
        <w:bidi w:val="0"/>
        <w:adjustRightInd/>
        <w:snapToGrid/>
        <w:spacing w:line="480" w:lineRule="exact"/>
        <w:ind w:firstLine="480" w:firstLineChars="200"/>
        <w:textAlignment w:val="auto"/>
        <w:rPr>
          <w:rFonts w:hint="eastAsia" w:ascii="Times New Roman" w:hAnsi="Times New Roman" w:eastAsia="宋体" w:cs="Times New Roman"/>
          <w:color w:val="FF0000"/>
          <w:spacing w:val="0"/>
          <w:sz w:val="24"/>
          <w:highlight w:val="none"/>
          <w:lang w:eastAsia="zh-CN" w:bidi="ar"/>
        </w:rPr>
      </w:pPr>
      <w:r>
        <w:rPr>
          <w:rFonts w:hint="eastAsia" w:ascii="Times New Roman" w:hAnsi="Times New Roman" w:eastAsia="宋体" w:cs="Times New Roman"/>
          <w:color w:val="FF0000"/>
          <w:spacing w:val="0"/>
          <w:sz w:val="24"/>
          <w:highlight w:val="none"/>
          <w:lang w:val="en-US" w:eastAsia="zh-CN" w:bidi="ar"/>
        </w:rPr>
        <w:t>1</w:t>
      </w:r>
      <w:r>
        <w:rPr>
          <w:rFonts w:hint="eastAsia" w:ascii="Times New Roman" w:hAnsi="Times New Roman" w:eastAsia="宋体" w:cs="Times New Roman"/>
          <w:color w:val="FF0000"/>
          <w:spacing w:val="0"/>
          <w:sz w:val="24"/>
          <w:highlight w:val="none"/>
          <w:lang w:eastAsia="zh-CN" w:bidi="ar"/>
        </w:rPr>
        <w:t>）</w:t>
      </w:r>
      <w:r>
        <w:rPr>
          <w:rFonts w:hint="default" w:ascii="Times New Roman" w:hAnsi="Times New Roman" w:eastAsia="宋体" w:cs="Times New Roman"/>
          <w:color w:val="FF0000"/>
          <w:spacing w:val="0"/>
          <w:sz w:val="24"/>
          <w:highlight w:val="none"/>
          <w:lang w:bidi="ar"/>
        </w:rPr>
        <w:t>危险废物环境重点监管单位的管理计划制定内容应包括单位基本信息、设施信息、危险废物产生情况信息、危险废物贮存情况信息、危险废物自行利用/处置情况信息、危险废物减量化计划和措施、危险废物转移情况信息。</w:t>
      </w:r>
    </w:p>
    <w:p>
      <w:pPr>
        <w:keepNext w:val="0"/>
        <w:keepLines w:val="0"/>
        <w:pageBreakBefore w:val="0"/>
        <w:widowControl/>
        <w:numPr>
          <w:ilvl w:val="0"/>
          <w:numId w:val="0"/>
        </w:numPr>
        <w:suppressAutoHyphens/>
        <w:kinsoku/>
        <w:wordWrap/>
        <w:overflowPunct/>
        <w:topLinePunct/>
        <w:autoSpaceDE/>
        <w:autoSpaceDN/>
        <w:bidi w:val="0"/>
        <w:adjustRightInd/>
        <w:snapToGrid/>
        <w:spacing w:line="480" w:lineRule="exact"/>
        <w:ind w:firstLine="480" w:firstLineChars="200"/>
        <w:textAlignment w:val="auto"/>
        <w:rPr>
          <w:rFonts w:hint="default" w:ascii="Times New Roman" w:hAnsi="Times New Roman" w:eastAsia="宋体" w:cs="Times New Roman"/>
          <w:color w:val="FF0000"/>
          <w:spacing w:val="0"/>
          <w:sz w:val="24"/>
          <w:highlight w:val="none"/>
          <w:lang w:bidi="ar"/>
        </w:rPr>
      </w:pPr>
      <w:r>
        <w:rPr>
          <w:rFonts w:hint="eastAsia" w:ascii="Times New Roman" w:hAnsi="Times New Roman" w:eastAsia="宋体" w:cs="Times New Roman"/>
          <w:color w:val="FF0000"/>
          <w:spacing w:val="0"/>
          <w:sz w:val="24"/>
          <w:highlight w:val="none"/>
          <w:lang w:val="en-US" w:eastAsia="zh-CN" w:bidi="ar"/>
        </w:rPr>
        <w:t>2</w:t>
      </w:r>
      <w:r>
        <w:rPr>
          <w:rFonts w:hint="eastAsia" w:ascii="Times New Roman" w:hAnsi="Times New Roman" w:eastAsia="宋体" w:cs="Times New Roman"/>
          <w:color w:val="FF0000"/>
          <w:spacing w:val="0"/>
          <w:sz w:val="24"/>
          <w:highlight w:val="none"/>
          <w:lang w:eastAsia="zh-CN" w:bidi="ar"/>
        </w:rPr>
        <w:t>）</w:t>
      </w:r>
      <w:r>
        <w:rPr>
          <w:rFonts w:hint="default" w:ascii="Times New Roman" w:hAnsi="Times New Roman" w:eastAsia="宋体" w:cs="Times New Roman"/>
          <w:color w:val="FF0000"/>
          <w:spacing w:val="0"/>
          <w:sz w:val="24"/>
          <w:highlight w:val="none"/>
          <w:lang w:bidi="ar"/>
        </w:rPr>
        <w:t>危险废物简化管理单位的管理计划制定内容应包括单位基本信息、危险废物产生情况信息、危险废物贮存情况信息、危险废物减量化计划和措施、危险废物转移情况信息。</w:t>
      </w:r>
    </w:p>
    <w:p>
      <w:pPr>
        <w:keepNext w:val="0"/>
        <w:keepLines w:val="0"/>
        <w:pageBreakBefore w:val="0"/>
        <w:widowControl/>
        <w:numPr>
          <w:ilvl w:val="0"/>
          <w:numId w:val="0"/>
        </w:numPr>
        <w:suppressAutoHyphens/>
        <w:kinsoku/>
        <w:wordWrap/>
        <w:overflowPunct/>
        <w:topLinePunct/>
        <w:autoSpaceDE/>
        <w:autoSpaceDN/>
        <w:bidi w:val="0"/>
        <w:adjustRightInd/>
        <w:snapToGrid/>
        <w:spacing w:line="480" w:lineRule="exact"/>
        <w:ind w:firstLine="480" w:firstLineChars="200"/>
        <w:textAlignment w:val="auto"/>
        <w:rPr>
          <w:rFonts w:hint="default" w:ascii="Times New Roman" w:hAnsi="Times New Roman" w:eastAsia="宋体" w:cs="Times New Roman"/>
          <w:color w:val="FF0000"/>
          <w:spacing w:val="0"/>
          <w:sz w:val="24"/>
          <w:highlight w:val="none"/>
          <w:lang w:bidi="ar"/>
        </w:rPr>
      </w:pPr>
      <w:r>
        <w:rPr>
          <w:rFonts w:hint="eastAsia" w:ascii="Times New Roman" w:hAnsi="Times New Roman" w:eastAsia="宋体" w:cs="Times New Roman"/>
          <w:color w:val="FF0000"/>
          <w:spacing w:val="0"/>
          <w:sz w:val="24"/>
          <w:highlight w:val="none"/>
          <w:lang w:val="en-US" w:eastAsia="zh-CN" w:bidi="ar"/>
        </w:rPr>
        <w:t>3</w:t>
      </w:r>
      <w:r>
        <w:rPr>
          <w:rFonts w:hint="eastAsia" w:ascii="Times New Roman" w:hAnsi="Times New Roman" w:eastAsia="宋体" w:cs="Times New Roman"/>
          <w:color w:val="FF0000"/>
          <w:spacing w:val="0"/>
          <w:sz w:val="24"/>
          <w:highlight w:val="none"/>
          <w:lang w:eastAsia="zh-CN" w:bidi="ar"/>
        </w:rPr>
        <w:t>）</w:t>
      </w:r>
      <w:r>
        <w:rPr>
          <w:rFonts w:hint="default" w:ascii="Times New Roman" w:hAnsi="Times New Roman" w:eastAsia="宋体" w:cs="Times New Roman"/>
          <w:color w:val="FF0000"/>
          <w:spacing w:val="0"/>
          <w:sz w:val="24"/>
          <w:highlight w:val="none"/>
          <w:lang w:bidi="ar"/>
        </w:rPr>
        <w:t>危险废物登记管理单位的管理计划制定内容应包括单位基本信息、危险废物产生情况信息、危险废物转移情况信息。</w:t>
      </w:r>
    </w:p>
    <w:p>
      <w:pPr>
        <w:keepNext w:val="0"/>
        <w:keepLines w:val="0"/>
        <w:pageBreakBefore w:val="0"/>
        <w:widowControl/>
        <w:numPr>
          <w:ilvl w:val="0"/>
          <w:numId w:val="0"/>
        </w:numPr>
        <w:suppressAutoHyphens/>
        <w:kinsoku/>
        <w:wordWrap/>
        <w:overflowPunct/>
        <w:topLinePunct/>
        <w:autoSpaceDE/>
        <w:autoSpaceDN/>
        <w:bidi w:val="0"/>
        <w:adjustRightInd/>
        <w:snapToGrid/>
        <w:spacing w:line="480" w:lineRule="exact"/>
        <w:ind w:firstLine="480" w:firstLineChars="200"/>
        <w:textAlignment w:val="auto"/>
        <w:rPr>
          <w:rFonts w:hint="default" w:ascii="Times New Roman" w:hAnsi="Times New Roman" w:eastAsia="宋体" w:cs="Times New Roman"/>
          <w:color w:val="FF0000"/>
          <w:spacing w:val="0"/>
          <w:sz w:val="24"/>
          <w:highlight w:val="none"/>
          <w:lang w:val="en-US" w:eastAsia="zh-CN" w:bidi="ar"/>
        </w:rPr>
      </w:pPr>
      <w:r>
        <w:rPr>
          <w:rFonts w:hint="eastAsia" w:ascii="Times New Roman" w:hAnsi="Times New Roman" w:eastAsia="宋体" w:cs="Times New Roman"/>
          <w:color w:val="FF0000"/>
          <w:spacing w:val="0"/>
          <w:sz w:val="24"/>
          <w:highlight w:val="none"/>
          <w:lang w:eastAsia="zh-CN" w:bidi="ar"/>
        </w:rPr>
        <w:t>（</w:t>
      </w:r>
      <w:r>
        <w:rPr>
          <w:rFonts w:hint="eastAsia" w:ascii="Times New Roman" w:hAnsi="Times New Roman" w:eastAsia="宋体" w:cs="Times New Roman"/>
          <w:color w:val="FF0000"/>
          <w:spacing w:val="0"/>
          <w:sz w:val="24"/>
          <w:highlight w:val="none"/>
          <w:lang w:val="en-US" w:eastAsia="zh-CN" w:bidi="ar"/>
        </w:rPr>
        <w:t>4</w:t>
      </w:r>
      <w:r>
        <w:rPr>
          <w:rFonts w:hint="eastAsia" w:ascii="Times New Roman" w:hAnsi="Times New Roman" w:eastAsia="宋体" w:cs="Times New Roman"/>
          <w:color w:val="FF0000"/>
          <w:spacing w:val="0"/>
          <w:sz w:val="24"/>
          <w:highlight w:val="none"/>
          <w:lang w:eastAsia="zh-CN" w:bidi="ar"/>
        </w:rPr>
        <w:t>）</w:t>
      </w:r>
      <w:r>
        <w:rPr>
          <w:rFonts w:hint="default" w:ascii="Times New Roman" w:hAnsi="Times New Roman" w:eastAsia="宋体" w:cs="Times New Roman"/>
          <w:color w:val="FF0000"/>
          <w:spacing w:val="0"/>
          <w:sz w:val="24"/>
          <w:highlight w:val="none"/>
          <w:lang w:bidi="ar"/>
        </w:rPr>
        <w:t>单位基本</w:t>
      </w:r>
      <w:r>
        <w:rPr>
          <w:rFonts w:hint="default" w:ascii="Times New Roman" w:hAnsi="Times New Roman" w:eastAsia="宋体" w:cs="Times New Roman"/>
          <w:color w:val="FF0000"/>
          <w:spacing w:val="0"/>
          <w:sz w:val="24"/>
          <w:highlight w:val="none"/>
          <w:lang w:val="en-US" w:eastAsia="zh-CN" w:bidi="ar"/>
        </w:rPr>
        <w:t>情况填写要求</w:t>
      </w:r>
    </w:p>
    <w:p>
      <w:pPr>
        <w:keepNext w:val="0"/>
        <w:keepLines w:val="0"/>
        <w:pageBreakBefore w:val="0"/>
        <w:widowControl/>
        <w:numPr>
          <w:ilvl w:val="0"/>
          <w:numId w:val="0"/>
        </w:numPr>
        <w:suppressAutoHyphens/>
        <w:kinsoku/>
        <w:wordWrap/>
        <w:overflowPunct/>
        <w:topLinePunct/>
        <w:autoSpaceDE/>
        <w:autoSpaceDN/>
        <w:bidi w:val="0"/>
        <w:adjustRightInd/>
        <w:snapToGrid/>
        <w:spacing w:line="480" w:lineRule="exact"/>
        <w:ind w:firstLine="480" w:firstLineChars="200"/>
        <w:textAlignment w:val="auto"/>
        <w:rPr>
          <w:rFonts w:hint="default" w:ascii="Times New Roman" w:hAnsi="Times New Roman" w:eastAsia="宋体" w:cs="Times New Roman"/>
          <w:color w:val="FF0000"/>
          <w:spacing w:val="0"/>
          <w:sz w:val="24"/>
          <w:highlight w:val="none"/>
          <w:lang w:val="en-US" w:eastAsia="zh-CN" w:bidi="ar"/>
        </w:rPr>
      </w:pPr>
      <w:r>
        <w:rPr>
          <w:rFonts w:hint="eastAsia" w:ascii="Times New Roman" w:hAnsi="Times New Roman" w:eastAsia="宋体" w:cs="Times New Roman"/>
          <w:color w:val="FF0000"/>
          <w:spacing w:val="0"/>
          <w:sz w:val="24"/>
          <w:highlight w:val="none"/>
          <w:lang w:val="en-US" w:eastAsia="zh-CN" w:bidi="ar"/>
        </w:rPr>
        <w:t>1）</w:t>
      </w:r>
      <w:r>
        <w:rPr>
          <w:rFonts w:hint="default" w:ascii="Times New Roman" w:hAnsi="Times New Roman" w:eastAsia="宋体" w:cs="Times New Roman"/>
          <w:color w:val="FF0000"/>
          <w:spacing w:val="0"/>
          <w:sz w:val="24"/>
          <w:highlight w:val="none"/>
          <w:lang w:val="en-US" w:eastAsia="zh-CN" w:bidi="ar"/>
        </w:rPr>
        <w:t>单位基本信息单位基本信息填写内容参见附录A.1，填写应满足以下要求。a）行业类别：根据GB/T4754中对应的类别和代码填写。b）管理类别：指危险废物环境重点监管单位、危险废物简化管理单位或者危险废物登记管理单位。</w:t>
      </w:r>
    </w:p>
    <w:p>
      <w:pPr>
        <w:keepNext w:val="0"/>
        <w:keepLines w:val="0"/>
        <w:pageBreakBefore w:val="0"/>
        <w:widowControl/>
        <w:numPr>
          <w:ilvl w:val="0"/>
          <w:numId w:val="0"/>
        </w:numPr>
        <w:suppressAutoHyphens/>
        <w:kinsoku/>
        <w:wordWrap/>
        <w:overflowPunct/>
        <w:topLinePunct/>
        <w:autoSpaceDE/>
        <w:autoSpaceDN/>
        <w:bidi w:val="0"/>
        <w:adjustRightInd/>
        <w:snapToGrid/>
        <w:spacing w:line="480" w:lineRule="exact"/>
        <w:ind w:firstLine="480" w:firstLineChars="200"/>
        <w:textAlignment w:val="auto"/>
        <w:rPr>
          <w:rFonts w:hint="default" w:ascii="Times New Roman" w:hAnsi="Times New Roman" w:eastAsia="宋体" w:cs="Times New Roman"/>
          <w:color w:val="FF0000"/>
          <w:spacing w:val="0"/>
          <w:sz w:val="24"/>
          <w:highlight w:val="none"/>
          <w:lang w:bidi="ar"/>
        </w:rPr>
      </w:pPr>
      <w:r>
        <w:rPr>
          <w:rFonts w:hint="eastAsia" w:ascii="Times New Roman" w:hAnsi="Times New Roman" w:eastAsia="宋体" w:cs="Times New Roman"/>
          <w:color w:val="FF0000"/>
          <w:spacing w:val="0"/>
          <w:sz w:val="24"/>
          <w:highlight w:val="none"/>
          <w:lang w:val="en-US" w:eastAsia="zh-CN" w:bidi="ar"/>
        </w:rPr>
        <w:t>2）</w:t>
      </w:r>
      <w:r>
        <w:rPr>
          <w:rFonts w:hint="default" w:ascii="Times New Roman" w:hAnsi="Times New Roman" w:eastAsia="宋体" w:cs="Times New Roman"/>
          <w:color w:val="FF0000"/>
          <w:spacing w:val="0"/>
          <w:sz w:val="24"/>
          <w:highlight w:val="none"/>
          <w:lang w:val="en-US" w:eastAsia="zh-CN" w:bidi="ar"/>
        </w:rPr>
        <w:t>设施信息设施信息填写内容参见附录A.2，填写应满足以下要求。a）主要生产单元、主要工艺、生产设施及设施参数、产品名称、生产能力、原辅材料：与排污许可证副本中载明的内容保持一致。b）设施编码：填写排污许可证副本中载明的编码。若无编码，则根据HJ608进行编码并填写。HJ1259—20224对于产生环节不固定的危险废物，选取其中一个产生该类别危险废物的设施编码填写。c）污染防治</w:t>
      </w:r>
      <w:r>
        <w:rPr>
          <w:rFonts w:hint="default" w:ascii="Times New Roman" w:hAnsi="Times New Roman" w:eastAsia="宋体" w:cs="Times New Roman"/>
          <w:color w:val="FF0000"/>
          <w:spacing w:val="0"/>
          <w:sz w:val="24"/>
          <w:highlight w:val="none"/>
          <w:lang w:bidi="ar"/>
        </w:rPr>
        <w:t>设施参数：指危险废物自行利用设施、自行处置设施和贮存设施的参数。</w:t>
      </w:r>
    </w:p>
    <w:p>
      <w:pPr>
        <w:pStyle w:val="5"/>
        <w:bidi w:val="0"/>
        <w:rPr>
          <w:rFonts w:hint="eastAsia"/>
          <w:color w:val="FF0000"/>
          <w:highlight w:val="none"/>
          <w:lang w:val="en-US" w:eastAsia="zh-CN"/>
        </w:rPr>
      </w:pPr>
      <w:r>
        <w:rPr>
          <w:rFonts w:hint="eastAsia"/>
          <w:color w:val="FF0000"/>
          <w:highlight w:val="none"/>
          <w:lang w:val="en-US" w:eastAsia="zh-CN"/>
        </w:rPr>
        <w:t>《一般工业固体废物管理台账制定指南（试行）》及其管理要求：</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eastAsia="宋体" w:cs="宋体"/>
          <w:color w:val="FF0000"/>
          <w:sz w:val="24"/>
          <w:szCs w:val="24"/>
          <w:highlight w:val="none"/>
        </w:rPr>
      </w:pPr>
      <w:r>
        <w:rPr>
          <w:rFonts w:hint="default" w:ascii="Calibri" w:hAnsi="Calibri" w:eastAsia="宋体" w:cs="Calibri"/>
          <w:color w:val="FF0000"/>
          <w:sz w:val="24"/>
          <w:szCs w:val="24"/>
          <w:highlight w:val="none"/>
        </w:rPr>
        <w:t>①</w:t>
      </w:r>
      <w:r>
        <w:rPr>
          <w:rFonts w:ascii="宋体" w:hAnsi="宋体" w:eastAsia="宋体" w:cs="宋体"/>
          <w:color w:val="FF0000"/>
          <w:sz w:val="24"/>
          <w:szCs w:val="24"/>
          <w:highlight w:val="none"/>
        </w:rPr>
        <w:t>一般工业固体废物管理台账实施分级管理。附表1至附表3为必填信息，主要用于记录固体废物的基础信息及流向信息，所有产废单位均应当填写。附表1按年填写，应当结合环境影响评价、排污许可等材料，根据实际生产运营情况记录固体废物产生信息，生产工艺发生重大变动等原因导致固体废物产生种类等发生变化的，应当及时另行填写附表1；附表2按月填写，记录固体废物的产生、贮存、利用、处置数量和利用、处置方式等信息；附表3按批次填写，每一批次固体废物的出厂以及转移信息均应当如实记录。</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eastAsia="宋体" w:cs="宋体"/>
          <w:color w:val="FF0000"/>
          <w:sz w:val="24"/>
          <w:szCs w:val="24"/>
          <w:highlight w:val="none"/>
        </w:rPr>
      </w:pPr>
      <w:r>
        <w:rPr>
          <w:rFonts w:hint="default" w:ascii="Calibri" w:hAnsi="Calibri" w:eastAsia="宋体" w:cs="Calibri"/>
          <w:color w:val="FF0000"/>
          <w:sz w:val="24"/>
          <w:szCs w:val="24"/>
          <w:highlight w:val="none"/>
        </w:rPr>
        <w:t>②</w:t>
      </w:r>
      <w:r>
        <w:rPr>
          <w:rFonts w:ascii="宋体" w:hAnsi="宋体" w:eastAsia="宋体" w:cs="宋体"/>
          <w:color w:val="FF0000"/>
          <w:sz w:val="24"/>
          <w:szCs w:val="24"/>
          <w:highlight w:val="none"/>
        </w:rPr>
        <w:t>附表4至附表7为选填信息，主要用于记录固体废物在产废单位内部的贮存、利用、处置等信息。附表4至附表7，根据地方及企业管理需要填写，省级生态环境主管部门可根据工作需要另行规定具体适用范围和记录要求。填写时应确保固体废物的来源信息、流向信息完整准确；根据固体废物产生周期，可按日或按班次、批次填写。</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eastAsia="宋体" w:cs="宋体"/>
          <w:color w:val="FF0000"/>
          <w:sz w:val="24"/>
          <w:szCs w:val="24"/>
          <w:highlight w:val="none"/>
        </w:rPr>
      </w:pPr>
      <w:r>
        <w:rPr>
          <w:rFonts w:hint="default" w:ascii="Calibri" w:hAnsi="Calibri" w:eastAsia="宋体" w:cs="Calibri"/>
          <w:color w:val="FF0000"/>
          <w:sz w:val="24"/>
          <w:szCs w:val="24"/>
          <w:highlight w:val="none"/>
        </w:rPr>
        <w:t>③</w:t>
      </w:r>
      <w:r>
        <w:rPr>
          <w:rFonts w:ascii="宋体" w:hAnsi="宋体" w:eastAsia="宋体" w:cs="宋体"/>
          <w:color w:val="FF0000"/>
          <w:sz w:val="24"/>
          <w:szCs w:val="24"/>
          <w:highlight w:val="none"/>
        </w:rPr>
        <w:t>产废单位填写台账记录表时，应当根据自身固体废物产生情况，从附表8中选择对应的固体废物种类和代码，并根据固体废物种类确定固体废物的具体名称。</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eastAsia="宋体" w:cs="宋体"/>
          <w:color w:val="FF0000"/>
          <w:sz w:val="24"/>
          <w:szCs w:val="24"/>
          <w:highlight w:val="none"/>
        </w:rPr>
      </w:pPr>
      <w:r>
        <w:rPr>
          <w:rFonts w:hint="eastAsia" w:ascii="宋体" w:hAnsi="宋体" w:eastAsia="宋体" w:cs="宋体"/>
          <w:color w:val="FF0000"/>
          <w:sz w:val="24"/>
          <w:szCs w:val="24"/>
          <w:highlight w:val="none"/>
        </w:rPr>
        <w:t>④</w:t>
      </w:r>
      <w:r>
        <w:rPr>
          <w:rFonts w:ascii="宋体" w:hAnsi="宋体" w:eastAsia="宋体" w:cs="宋体"/>
          <w:color w:val="FF0000"/>
          <w:sz w:val="24"/>
          <w:szCs w:val="24"/>
          <w:highlight w:val="none"/>
        </w:rPr>
        <w:t>鼓励产废单位采用国家建立的一般工业固体废物管理电子台账，简化数据填写、台账管理等工作。地方和企业自行开发的电子台账要实现与国家系统对接。建立电子台账的产废单位，可不再记录纸质台账。</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eastAsia="宋体" w:cs="宋体"/>
          <w:color w:val="FF0000"/>
          <w:sz w:val="24"/>
          <w:szCs w:val="24"/>
          <w:highlight w:val="none"/>
        </w:rPr>
      </w:pPr>
      <w:r>
        <w:rPr>
          <w:rFonts w:hint="eastAsia" w:ascii="宋体" w:hAnsi="宋体" w:eastAsia="宋体" w:cs="宋体"/>
          <w:color w:val="FF0000"/>
          <w:sz w:val="24"/>
          <w:szCs w:val="24"/>
          <w:highlight w:val="none"/>
        </w:rPr>
        <w:t>⑤</w:t>
      </w:r>
      <w:r>
        <w:rPr>
          <w:rFonts w:ascii="宋体" w:hAnsi="宋体" w:eastAsia="宋体" w:cs="宋体"/>
          <w:color w:val="FF0000"/>
          <w:sz w:val="24"/>
          <w:szCs w:val="24"/>
          <w:highlight w:val="none"/>
        </w:rPr>
        <w:t>台账记录表各表单的负责人对记录信息的真实性、完整性和规范性负责。</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eastAsia="宋体" w:cs="宋体"/>
          <w:color w:val="FF0000"/>
          <w:sz w:val="24"/>
          <w:szCs w:val="24"/>
          <w:highlight w:val="none"/>
        </w:rPr>
      </w:pPr>
      <w:r>
        <w:rPr>
          <w:rFonts w:hint="eastAsia" w:ascii="宋体" w:hAnsi="宋体" w:eastAsia="宋体" w:cs="宋体"/>
          <w:color w:val="FF0000"/>
          <w:sz w:val="24"/>
          <w:szCs w:val="24"/>
          <w:highlight w:val="none"/>
        </w:rPr>
        <w:t>⑥</w:t>
      </w:r>
      <w:r>
        <w:rPr>
          <w:rFonts w:ascii="宋体" w:hAnsi="宋体" w:eastAsia="宋体" w:cs="宋体"/>
          <w:color w:val="FF0000"/>
          <w:sz w:val="24"/>
          <w:szCs w:val="24"/>
          <w:highlight w:val="none"/>
        </w:rPr>
        <w:t>产废单位应当设立专人负责台账的管理与归档，一般工业固体废物管理台账保存期限不少于5年。</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eastAsia="宋体" w:cs="宋体"/>
          <w:color w:val="FF0000"/>
          <w:sz w:val="24"/>
          <w:szCs w:val="24"/>
          <w:highlight w:val="none"/>
        </w:rPr>
      </w:pPr>
      <w:r>
        <w:rPr>
          <w:rFonts w:ascii="宋体" w:hAnsi="宋体" w:eastAsia="宋体" w:cs="宋体"/>
          <w:color w:val="FF0000"/>
          <w:sz w:val="24"/>
          <w:szCs w:val="24"/>
          <w:highlight w:val="none"/>
        </w:rPr>
        <w:fldChar w:fldCharType="begin"/>
      </w:r>
      <w:r>
        <w:rPr>
          <w:rFonts w:ascii="宋体" w:hAnsi="宋体" w:eastAsia="宋体" w:cs="宋体"/>
          <w:color w:val="FF0000"/>
          <w:sz w:val="24"/>
          <w:szCs w:val="24"/>
          <w:highlight w:val="none"/>
        </w:rPr>
        <w:instrText xml:space="preserve"> = 7 \* GB3 \* MERGEFORMAT </w:instrText>
      </w:r>
      <w:r>
        <w:rPr>
          <w:rFonts w:ascii="宋体" w:hAnsi="宋体" w:eastAsia="宋体" w:cs="宋体"/>
          <w:color w:val="FF0000"/>
          <w:sz w:val="24"/>
          <w:szCs w:val="24"/>
          <w:highlight w:val="none"/>
        </w:rPr>
        <w:fldChar w:fldCharType="separate"/>
      </w:r>
      <w:r>
        <w:rPr>
          <w:color w:val="FF0000"/>
          <w:highlight w:val="none"/>
        </w:rPr>
        <w:t>⑦</w:t>
      </w:r>
      <w:r>
        <w:rPr>
          <w:rFonts w:ascii="宋体" w:hAnsi="宋体" w:eastAsia="宋体" w:cs="宋体"/>
          <w:color w:val="FF0000"/>
          <w:sz w:val="24"/>
          <w:szCs w:val="24"/>
          <w:highlight w:val="none"/>
        </w:rPr>
        <w:fldChar w:fldCharType="end"/>
      </w:r>
      <w:r>
        <w:rPr>
          <w:rFonts w:ascii="宋体" w:hAnsi="宋体" w:eastAsia="宋体" w:cs="宋体"/>
          <w:color w:val="FF0000"/>
          <w:sz w:val="24"/>
          <w:szCs w:val="24"/>
          <w:highlight w:val="none"/>
        </w:rPr>
        <w:t>鼓励有条件的产废单位在固体废物产生场所、贮存场所及磅秤位置等关键点位设置视频监控，提高台账记录信息的准确性。</w:t>
      </w:r>
    </w:p>
    <w:p>
      <w:pPr>
        <w:pStyle w:val="5"/>
        <w:bidi w:val="0"/>
        <w:rPr>
          <w:rFonts w:hint="eastAsia"/>
          <w:color w:val="FF0000"/>
          <w:highlight w:val="none"/>
          <w:lang w:val="en-US" w:eastAsia="zh-CN"/>
        </w:rPr>
      </w:pPr>
      <w:r>
        <w:rPr>
          <w:rFonts w:hint="eastAsia"/>
          <w:color w:val="FF0000"/>
          <w:highlight w:val="none"/>
        </w:rPr>
        <w:t>《排污许可证申请与核发技术规范工业固体废物（试行）》（HJ1200—2021）</w:t>
      </w:r>
      <w:r>
        <w:rPr>
          <w:rFonts w:hint="eastAsia"/>
          <w:color w:val="FF0000"/>
          <w:highlight w:val="none"/>
          <w:lang w:val="en-US" w:eastAsia="zh-CN"/>
        </w:rPr>
        <w:t>的管理要求</w:t>
      </w:r>
    </w:p>
    <w:p>
      <w:pPr>
        <w:bidi w:val="0"/>
        <w:rPr>
          <w:rFonts w:hint="eastAsia" w:eastAsia="宋体"/>
          <w:color w:val="FF0000"/>
          <w:highlight w:val="none"/>
          <w:lang w:eastAsia="zh-CN"/>
        </w:rPr>
      </w:pPr>
      <w:r>
        <w:rPr>
          <w:rFonts w:hint="eastAsia" w:ascii="宋体" w:hAnsi="宋体" w:eastAsia="宋体" w:cs="宋体"/>
          <w:color w:val="FF0000"/>
          <w:sz w:val="24"/>
          <w:szCs w:val="24"/>
          <w:highlight w:val="none"/>
          <w:lang w:val="en-US" w:eastAsia="zh-CN"/>
        </w:rPr>
        <w:t>本项目按照</w:t>
      </w:r>
      <w:r>
        <w:rPr>
          <w:rFonts w:hint="eastAsia" w:ascii="宋体" w:hAnsi="宋体" w:eastAsia="宋体" w:cs="宋体"/>
          <w:color w:val="FF0000"/>
          <w:sz w:val="24"/>
          <w:szCs w:val="24"/>
          <w:highlight w:val="none"/>
        </w:rPr>
        <w:t>《排污许可证申请与核发技术规范工业固体废物（试行）》（HJ1200—2021）进行全过程管理</w:t>
      </w:r>
      <w:r>
        <w:rPr>
          <w:rFonts w:hint="eastAsia" w:ascii="宋体" w:hAnsi="宋体" w:eastAsia="宋体" w:cs="宋体"/>
          <w:color w:val="FF0000"/>
          <w:sz w:val="24"/>
          <w:szCs w:val="24"/>
          <w:highlight w:val="none"/>
          <w:lang w:eastAsia="zh-CN"/>
        </w:rPr>
        <w:t>。</w:t>
      </w:r>
    </w:p>
    <w:p>
      <w:pPr>
        <w:pStyle w:val="2"/>
        <w:bidi w:val="0"/>
        <w:rPr>
          <w:color w:val="FF0000"/>
          <w:highlight w:val="none"/>
        </w:rPr>
      </w:pPr>
      <w:r>
        <w:rPr>
          <w:color w:val="FF0000"/>
          <w:highlight w:val="none"/>
        </w:rPr>
        <w:t>危险废物污染防控技术要求</w:t>
      </w:r>
    </w:p>
    <w:p>
      <w:pPr>
        <w:bidi w:val="0"/>
        <w:rPr>
          <w:rFonts w:hint="eastAsia" w:ascii="宋体" w:hAnsi="宋体" w:eastAsia="宋体" w:cs="宋体"/>
          <w:color w:val="FF0000"/>
          <w:sz w:val="24"/>
          <w:szCs w:val="24"/>
          <w:highlight w:val="none"/>
          <w:lang w:eastAsia="zh-CN"/>
        </w:rPr>
      </w:pPr>
      <w:r>
        <w:rPr>
          <w:rFonts w:hint="eastAsia" w:ascii="宋体" w:hAnsi="宋体" w:cs="宋体"/>
          <w:color w:val="FF0000"/>
          <w:sz w:val="24"/>
          <w:szCs w:val="24"/>
          <w:highlight w:val="none"/>
          <w:lang w:val="en-US" w:eastAsia="zh-CN"/>
        </w:rPr>
        <w:t>（</w:t>
      </w:r>
      <w:r>
        <w:rPr>
          <w:rFonts w:hint="eastAsia" w:ascii="宋体" w:hAnsi="宋体" w:eastAsia="宋体" w:cs="宋体"/>
          <w:color w:val="FF0000"/>
          <w:sz w:val="24"/>
          <w:szCs w:val="24"/>
          <w:highlight w:val="none"/>
          <w:lang w:val="en-US" w:eastAsia="zh-CN"/>
        </w:rPr>
        <w:t>1</w:t>
      </w:r>
      <w:r>
        <w:rPr>
          <w:rFonts w:hint="eastAsia" w:ascii="宋体" w:hAnsi="宋体" w:cs="宋体"/>
          <w:color w:val="FF0000"/>
          <w:sz w:val="24"/>
          <w:szCs w:val="24"/>
          <w:highlight w:val="none"/>
          <w:lang w:val="en-US" w:eastAsia="zh-CN"/>
        </w:rPr>
        <w:t>）</w:t>
      </w:r>
      <w:r>
        <w:rPr>
          <w:rFonts w:ascii="宋体" w:hAnsi="宋体" w:eastAsia="宋体" w:cs="宋体"/>
          <w:color w:val="FF0000"/>
          <w:sz w:val="24"/>
          <w:szCs w:val="24"/>
          <w:highlight w:val="none"/>
        </w:rPr>
        <w:t>委托贮存/利用/处置环节污染防控技术要求</w:t>
      </w:r>
    </w:p>
    <w:p>
      <w:pPr>
        <w:bidi w:val="0"/>
        <w:rPr>
          <w:rFonts w:hint="eastAsia" w:ascii="宋体" w:hAnsi="宋体" w:eastAsia="宋体" w:cs="宋体"/>
          <w:color w:val="FF0000"/>
          <w:sz w:val="24"/>
          <w:szCs w:val="24"/>
          <w:highlight w:val="none"/>
          <w:lang w:eastAsia="zh-CN"/>
        </w:rPr>
      </w:pPr>
      <w:r>
        <w:rPr>
          <w:rFonts w:ascii="宋体" w:hAnsi="宋体" w:eastAsia="宋体" w:cs="宋体"/>
          <w:color w:val="FF0000"/>
          <w:sz w:val="24"/>
          <w:szCs w:val="24"/>
          <w:highlight w:val="none"/>
        </w:rPr>
        <w:t>排污单位委托他人运输、利用、处置危险废物的，应落实《中华人民共和国固体废物污染环境防治法》等法律法规要求，对受托方的主体资格和技术能力进行核实，依法签订书面合同，在合同中约定污染防治要求；转移危险废物的，应当按照国家有关规定填写、运行危险废物转移联单等。</w:t>
      </w:r>
    </w:p>
    <w:p>
      <w:pPr>
        <w:bidi w:val="0"/>
        <w:rPr>
          <w:rFonts w:hint="eastAsia" w:ascii="宋体" w:hAnsi="宋体" w:eastAsia="宋体" w:cs="宋体"/>
          <w:color w:val="FF0000"/>
          <w:sz w:val="24"/>
          <w:szCs w:val="24"/>
          <w:highlight w:val="none"/>
          <w:lang w:eastAsia="zh-CN"/>
        </w:rPr>
      </w:pPr>
      <w:r>
        <w:rPr>
          <w:rFonts w:hint="eastAsia" w:ascii="宋体" w:hAnsi="宋体" w:cs="宋体"/>
          <w:color w:val="FF0000"/>
          <w:sz w:val="24"/>
          <w:szCs w:val="24"/>
          <w:highlight w:val="none"/>
          <w:lang w:val="en-US" w:eastAsia="zh-CN"/>
        </w:rPr>
        <w:t>（</w:t>
      </w:r>
      <w:r>
        <w:rPr>
          <w:rFonts w:hint="eastAsia" w:ascii="宋体" w:hAnsi="宋体" w:eastAsia="宋体" w:cs="宋体"/>
          <w:color w:val="FF0000"/>
          <w:sz w:val="24"/>
          <w:szCs w:val="24"/>
          <w:highlight w:val="none"/>
          <w:lang w:val="en-US" w:eastAsia="zh-CN"/>
        </w:rPr>
        <w:t>2</w:t>
      </w:r>
      <w:r>
        <w:rPr>
          <w:rFonts w:hint="eastAsia" w:ascii="宋体" w:hAnsi="宋体" w:cs="宋体"/>
          <w:color w:val="FF0000"/>
          <w:sz w:val="24"/>
          <w:szCs w:val="24"/>
          <w:highlight w:val="none"/>
          <w:lang w:val="en-US" w:eastAsia="zh-CN"/>
        </w:rPr>
        <w:t>）</w:t>
      </w:r>
      <w:r>
        <w:rPr>
          <w:rFonts w:ascii="宋体" w:hAnsi="宋体" w:eastAsia="宋体" w:cs="宋体"/>
          <w:color w:val="FF0000"/>
          <w:sz w:val="24"/>
          <w:szCs w:val="24"/>
          <w:highlight w:val="none"/>
        </w:rPr>
        <w:t>自行贮存设施污染防控技术要求</w:t>
      </w:r>
    </w:p>
    <w:p>
      <w:pPr>
        <w:bidi w:val="0"/>
        <w:rPr>
          <w:rFonts w:ascii="宋体" w:hAnsi="宋体" w:eastAsia="宋体" w:cs="宋体"/>
          <w:color w:val="FF0000"/>
          <w:sz w:val="24"/>
          <w:szCs w:val="24"/>
          <w:highlight w:val="none"/>
        </w:rPr>
      </w:pPr>
      <w:r>
        <w:rPr>
          <w:rFonts w:hint="eastAsia" w:ascii="宋体" w:hAnsi="宋体" w:eastAsia="宋体" w:cs="宋体"/>
          <w:color w:val="FF0000"/>
          <w:sz w:val="24"/>
          <w:szCs w:val="24"/>
          <w:highlight w:val="none"/>
        </w:rPr>
        <w:t>本项目</w:t>
      </w:r>
      <w:r>
        <w:rPr>
          <w:rFonts w:hint="eastAsia" w:ascii="宋体" w:hAnsi="宋体" w:eastAsia="宋体" w:cs="宋体"/>
          <w:color w:val="FF0000"/>
          <w:sz w:val="24"/>
          <w:szCs w:val="24"/>
          <w:highlight w:val="none"/>
          <w:lang w:val="en-US" w:eastAsia="zh-CN"/>
        </w:rPr>
        <w:t>属于</w:t>
      </w:r>
      <w:r>
        <w:rPr>
          <w:rFonts w:hint="eastAsia" w:ascii="宋体" w:hAnsi="宋体" w:eastAsia="宋体" w:cs="宋体"/>
          <w:color w:val="FF0000"/>
          <w:sz w:val="24"/>
          <w:szCs w:val="24"/>
          <w:highlight w:val="none"/>
        </w:rPr>
        <w:t>登记单位管理</w:t>
      </w:r>
      <w:r>
        <w:rPr>
          <w:rFonts w:hint="eastAsia" w:ascii="宋体" w:hAnsi="宋体" w:eastAsia="宋体" w:cs="宋体"/>
          <w:color w:val="FF0000"/>
          <w:sz w:val="24"/>
          <w:szCs w:val="24"/>
          <w:highlight w:val="none"/>
          <w:lang w:eastAsia="zh-CN"/>
        </w:rPr>
        <w:t>，</w:t>
      </w:r>
      <w:r>
        <w:rPr>
          <w:rFonts w:hint="eastAsia" w:ascii="宋体" w:hAnsi="宋体" w:eastAsia="宋体" w:cs="宋体"/>
          <w:color w:val="FF0000"/>
          <w:sz w:val="24"/>
          <w:szCs w:val="24"/>
          <w:highlight w:val="none"/>
        </w:rPr>
        <w:t>登记单位仅需建设贮存点</w:t>
      </w:r>
      <w:r>
        <w:rPr>
          <w:rFonts w:hint="eastAsia" w:ascii="宋体" w:hAnsi="宋体" w:eastAsia="宋体" w:cs="宋体"/>
          <w:color w:val="FF0000"/>
          <w:sz w:val="24"/>
          <w:szCs w:val="24"/>
          <w:highlight w:val="none"/>
          <w:lang w:eastAsia="zh-CN"/>
        </w:rPr>
        <w:t>，</w:t>
      </w:r>
      <w:r>
        <w:rPr>
          <w:rFonts w:ascii="宋体" w:hAnsi="宋体" w:eastAsia="宋体" w:cs="宋体"/>
          <w:color w:val="FF0000"/>
          <w:sz w:val="24"/>
          <w:szCs w:val="24"/>
          <w:highlight w:val="none"/>
        </w:rPr>
        <w:t>包装容器应达到相应的强度要求并完好无损，禁止混合贮存性质不相容而未经安全性处置的危险废物；危险废物容器和包装物以及危险废物贮存设施、场所应按规定设置危险废物识别标志；贮存堆场要防风、防雨、防晒；排污单位生产运营期间危险废物自行贮存设施的环境管理和相关设施运行维护还应符合GB15562.2、GB18484、GB18597、GB30485、HJ2025和HJ2042等相关标准规范要求。</w:t>
      </w:r>
    </w:p>
    <w:p>
      <w:pPr>
        <w:pStyle w:val="2"/>
        <w:bidi w:val="0"/>
        <w:rPr>
          <w:color w:val="FF0000"/>
          <w:highlight w:val="none"/>
        </w:rPr>
      </w:pPr>
      <w:r>
        <w:rPr>
          <w:color w:val="FF0000"/>
          <w:highlight w:val="none"/>
        </w:rPr>
        <w:t>一般工业固体废物污染防控技术要求</w:t>
      </w:r>
    </w:p>
    <w:p>
      <w:pPr>
        <w:bidi w:val="0"/>
        <w:rPr>
          <w:rFonts w:ascii="宋体" w:hAnsi="宋体" w:eastAsia="宋体" w:cs="宋体"/>
          <w:color w:val="FF0000"/>
          <w:sz w:val="24"/>
          <w:szCs w:val="24"/>
          <w:highlight w:val="none"/>
        </w:rPr>
      </w:pPr>
      <w:r>
        <w:rPr>
          <w:rFonts w:hint="eastAsia" w:ascii="宋体" w:hAnsi="宋体" w:cs="宋体"/>
          <w:color w:val="FF0000"/>
          <w:sz w:val="24"/>
          <w:szCs w:val="24"/>
          <w:highlight w:val="none"/>
          <w:lang w:val="en-US" w:eastAsia="zh-CN"/>
        </w:rPr>
        <w:t>（</w:t>
      </w:r>
      <w:r>
        <w:rPr>
          <w:rFonts w:hint="eastAsia" w:ascii="宋体" w:hAnsi="宋体" w:eastAsia="宋体" w:cs="宋体"/>
          <w:color w:val="FF0000"/>
          <w:sz w:val="24"/>
          <w:szCs w:val="24"/>
          <w:highlight w:val="none"/>
          <w:lang w:val="en-US" w:eastAsia="zh-CN"/>
        </w:rPr>
        <w:t>1</w:t>
      </w:r>
      <w:r>
        <w:rPr>
          <w:rFonts w:hint="eastAsia" w:ascii="宋体" w:hAnsi="宋体" w:cs="宋体"/>
          <w:color w:val="FF0000"/>
          <w:sz w:val="24"/>
          <w:szCs w:val="24"/>
          <w:highlight w:val="none"/>
          <w:lang w:val="en-US" w:eastAsia="zh-CN"/>
        </w:rPr>
        <w:t>）</w:t>
      </w:r>
      <w:r>
        <w:rPr>
          <w:rFonts w:ascii="宋体" w:hAnsi="宋体" w:eastAsia="宋体" w:cs="宋体"/>
          <w:color w:val="FF0000"/>
          <w:sz w:val="24"/>
          <w:szCs w:val="24"/>
          <w:highlight w:val="none"/>
        </w:rPr>
        <w:t>委托贮存/利用/处置环节污染防控技术要求</w:t>
      </w:r>
    </w:p>
    <w:p>
      <w:pPr>
        <w:bidi w:val="0"/>
        <w:rPr>
          <w:rFonts w:ascii="宋体" w:hAnsi="宋体" w:eastAsia="宋体" w:cs="宋体"/>
          <w:color w:val="FF0000"/>
          <w:sz w:val="24"/>
          <w:szCs w:val="24"/>
          <w:highlight w:val="none"/>
        </w:rPr>
      </w:pPr>
      <w:r>
        <w:rPr>
          <w:rFonts w:ascii="宋体" w:hAnsi="宋体" w:eastAsia="宋体" w:cs="宋体"/>
          <w:color w:val="FF0000"/>
          <w:sz w:val="24"/>
          <w:szCs w:val="24"/>
          <w:highlight w:val="none"/>
        </w:rPr>
        <w:t>排污单位委托他人运输、利用、处置一般工业固体废物的，应落实《中华人民共和国固体废物污染环境防治法》等法律法规要求，对受托方的主体资格和技术能力进行核实，依法签订书面合同，在合同中约定污染防治要求等。</w:t>
      </w:r>
    </w:p>
    <w:p>
      <w:pPr>
        <w:numPr>
          <w:ilvl w:val="0"/>
          <w:numId w:val="13"/>
        </w:numPr>
        <w:bidi w:val="0"/>
        <w:rPr>
          <w:rFonts w:ascii="宋体" w:hAnsi="宋体" w:eastAsia="宋体" w:cs="宋体"/>
          <w:color w:val="FF0000"/>
          <w:sz w:val="24"/>
          <w:szCs w:val="24"/>
          <w:highlight w:val="none"/>
        </w:rPr>
      </w:pPr>
      <w:r>
        <w:rPr>
          <w:rFonts w:ascii="宋体" w:hAnsi="宋体" w:eastAsia="宋体" w:cs="宋体"/>
          <w:color w:val="FF0000"/>
          <w:sz w:val="24"/>
          <w:szCs w:val="24"/>
          <w:highlight w:val="none"/>
        </w:rPr>
        <w:t>自行贮存/利用/处置设施污染防控技术要求</w:t>
      </w:r>
    </w:p>
    <w:p>
      <w:pPr>
        <w:numPr>
          <w:ilvl w:val="0"/>
          <w:numId w:val="0"/>
        </w:numPr>
        <w:bidi w:val="0"/>
        <w:ind w:firstLine="480" w:firstLineChars="200"/>
        <w:rPr>
          <w:rFonts w:hint="eastAsia" w:ascii="宋体" w:hAnsi="宋体" w:eastAsia="宋体" w:cs="宋体"/>
          <w:color w:val="FF0000"/>
          <w:sz w:val="24"/>
          <w:szCs w:val="24"/>
          <w:highlight w:val="none"/>
          <w:lang w:val="en-US" w:eastAsia="zh-CN"/>
        </w:rPr>
      </w:pPr>
      <w:r>
        <w:rPr>
          <w:rFonts w:ascii="宋体" w:hAnsi="宋体" w:eastAsia="宋体" w:cs="宋体"/>
          <w:color w:val="FF0000"/>
          <w:sz w:val="24"/>
          <w:szCs w:val="24"/>
          <w:highlight w:val="none"/>
        </w:rPr>
        <w:t>采用库房、包装工具（罐、桶、包装袋等）贮存一般工业固体废物的，贮存过程应满足相应防渗漏、防雨淋、防扬尘等环境保护要求；排污单位生产运营期间一般工业固体废物自行贮存/利用/处置设施的环境管理和相关设施运行维护要求还应符合GB15562.2、GB18599、GB30485和HJ2035等相关标准规范要求。</w:t>
      </w:r>
    </w:p>
    <w:p>
      <w:pPr>
        <w:pStyle w:val="5"/>
        <w:bidi w:val="0"/>
        <w:rPr>
          <w:color w:val="FF0000"/>
          <w:highlight w:val="none"/>
        </w:rPr>
      </w:pPr>
      <w:r>
        <w:rPr>
          <w:color w:val="FF0000"/>
          <w:highlight w:val="none"/>
        </w:rPr>
        <w:t>环境管理台账编制要求</w:t>
      </w:r>
    </w:p>
    <w:p>
      <w:pPr>
        <w:pStyle w:val="2"/>
        <w:bidi w:val="0"/>
        <w:rPr>
          <w:color w:val="FF0000"/>
          <w:highlight w:val="none"/>
        </w:rPr>
      </w:pPr>
      <w:r>
        <w:rPr>
          <w:color w:val="FF0000"/>
          <w:highlight w:val="none"/>
        </w:rPr>
        <w:t>危险废物环境管理台账记录要求</w:t>
      </w:r>
    </w:p>
    <w:p>
      <w:pPr>
        <w:bidi w:val="0"/>
        <w:rPr>
          <w:color w:val="FF0000"/>
          <w:highlight w:val="none"/>
        </w:rPr>
      </w:pPr>
      <w:r>
        <w:rPr>
          <w:color w:val="FF0000"/>
          <w:highlight w:val="none"/>
        </w:rPr>
        <w:t>排污单位应建立环境管理台账，危险废物环境管理台账记录应符合《危险废物产生单位管理计划制定指南》等标准及管理文件的相关要求。待危险废物环境管理台账相关标准或管理文件发布实施后，从其规定。</w:t>
      </w:r>
    </w:p>
    <w:p>
      <w:pPr>
        <w:pStyle w:val="2"/>
        <w:bidi w:val="0"/>
        <w:rPr>
          <w:color w:val="FF0000"/>
          <w:highlight w:val="none"/>
        </w:rPr>
      </w:pPr>
      <w:r>
        <w:rPr>
          <w:color w:val="FF0000"/>
          <w:highlight w:val="none"/>
        </w:rPr>
        <w:t>一般工业固体废物环境管理台账记录要求</w:t>
      </w:r>
    </w:p>
    <w:p>
      <w:pPr>
        <w:bidi w:val="0"/>
        <w:rPr>
          <w:rFonts w:hint="default"/>
          <w:color w:val="FF0000"/>
          <w:highlight w:val="none"/>
        </w:rPr>
      </w:pPr>
      <w:r>
        <w:rPr>
          <w:color w:val="FF0000"/>
          <w:highlight w:val="none"/>
        </w:rPr>
        <w:t>排污单位应建立环境管理台账制度，一般工业固体废物环境管理台账记录应符合生态环境部规定的一般工业固体废物环境管理台账相关标准及管理文件要求。</w:t>
      </w:r>
    </w:p>
    <w:p>
      <w:pPr>
        <w:pStyle w:val="4"/>
        <w:bidi w:val="0"/>
        <w:rPr>
          <w:rFonts w:hint="default"/>
          <w:color w:val="FF0000"/>
          <w:highlight w:val="none"/>
        </w:rPr>
      </w:pPr>
      <w:r>
        <w:rPr>
          <w:rFonts w:hint="default"/>
          <w:color w:val="FF0000"/>
          <w:highlight w:val="none"/>
        </w:rPr>
        <w:t>竣工环境保护验收计划</w:t>
      </w:r>
      <w:bookmarkEnd w:id="291"/>
      <w:bookmarkEnd w:id="292"/>
      <w:bookmarkEnd w:id="293"/>
      <w:bookmarkEnd w:id="294"/>
    </w:p>
    <w:p>
      <w:pPr>
        <w:ind w:firstLine="470" w:firstLineChars="196"/>
        <w:rPr>
          <w:rFonts w:hint="default" w:ascii="Times New Roman" w:hAnsi="Times New Roman" w:cs="Times New Roman"/>
          <w:color w:val="FF0000"/>
          <w:highlight w:val="none"/>
        </w:rPr>
      </w:pPr>
      <w:r>
        <w:rPr>
          <w:rFonts w:hint="eastAsia" w:cs="Times New Roman"/>
          <w:color w:val="FF0000"/>
          <w:highlight w:val="none"/>
          <w:lang w:val="en-US" w:eastAsia="zh-CN"/>
        </w:rPr>
        <w:t>依托的</w:t>
      </w:r>
      <w:r>
        <w:rPr>
          <w:rFonts w:hint="eastAsia" w:cs="Times New Roman"/>
          <w:color w:val="FF0000"/>
          <w:highlight w:val="none"/>
          <w:lang w:eastAsia="zh-CN"/>
        </w:rPr>
        <w:t>中水池</w:t>
      </w:r>
      <w:r>
        <w:rPr>
          <w:rFonts w:hint="default" w:ascii="Times New Roman" w:hAnsi="Times New Roman" w:cs="Times New Roman"/>
          <w:color w:val="FF0000"/>
          <w:highlight w:val="none"/>
        </w:rPr>
        <w:t>扩建、林地灌溉管网建成</w:t>
      </w:r>
      <w:r>
        <w:rPr>
          <w:rFonts w:hint="eastAsia" w:cs="Times New Roman"/>
          <w:color w:val="FF0000"/>
          <w:highlight w:val="none"/>
          <w:lang w:val="en-US" w:eastAsia="zh-CN"/>
        </w:rPr>
        <w:t>后本项目才允许投产。</w:t>
      </w:r>
      <w:r>
        <w:rPr>
          <w:rFonts w:hint="default" w:ascii="Times New Roman" w:hAnsi="Times New Roman" w:cs="Times New Roman"/>
          <w:color w:val="FF0000"/>
          <w:highlight w:val="none"/>
        </w:rPr>
        <w:t>扩建工程竣工环境保护验收计划见下表。</w:t>
      </w:r>
    </w:p>
    <w:p>
      <w:pPr>
        <w:spacing w:line="240" w:lineRule="auto"/>
        <w:ind w:firstLine="480"/>
        <w:jc w:val="center"/>
        <w:rPr>
          <w:rFonts w:hint="default" w:ascii="Times New Roman" w:hAnsi="Times New Roman" w:cs="Times New Roman"/>
          <w:b/>
          <w:color w:val="FF0000"/>
          <w:sz w:val="21"/>
          <w:szCs w:val="21"/>
          <w:highlight w:val="none"/>
        </w:rPr>
      </w:pPr>
      <w:r>
        <w:rPr>
          <w:rFonts w:hint="default" w:ascii="Times New Roman" w:hAnsi="Times New Roman" w:eastAsia="黑体" w:cs="Times New Roman"/>
          <w:bCs/>
          <w:color w:val="FF0000"/>
          <w:highlight w:val="none"/>
        </w:rPr>
        <w:t>表</w:t>
      </w:r>
      <w:r>
        <w:rPr>
          <w:rFonts w:hint="default" w:ascii="Times New Roman" w:hAnsi="Times New Roman" w:cs="Times New Roman"/>
          <w:color w:val="FF0000"/>
          <w:kern w:val="0"/>
          <w:highlight w:val="none"/>
        </w:rPr>
        <w:t>8.5-1</w:t>
      </w:r>
      <w:r>
        <w:rPr>
          <w:rFonts w:hint="default" w:ascii="Times New Roman" w:hAnsi="Times New Roman" w:eastAsia="黑体" w:cs="Times New Roman"/>
          <w:bCs/>
          <w:color w:val="FF0000"/>
          <w:highlight w:val="none"/>
        </w:rPr>
        <w:t>项目污染物防治措施环保竣工验收表</w:t>
      </w:r>
    </w:p>
    <w:tbl>
      <w:tblPr>
        <w:tblStyle w:val="33"/>
        <w:tblW w:w="972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5"/>
        <w:gridCol w:w="725"/>
        <w:gridCol w:w="1545"/>
        <w:gridCol w:w="2975"/>
        <w:gridCol w:w="1348"/>
        <w:gridCol w:w="2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875"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bookmarkStart w:id="295" w:name="_Toc12262"/>
            <w:bookmarkStart w:id="296" w:name="_Toc150367038"/>
            <w:bookmarkStart w:id="297" w:name="_Toc10145"/>
            <w:r>
              <w:rPr>
                <w:rFonts w:hint="default" w:ascii="Times New Roman" w:hAnsi="Times New Roman" w:cs="Times New Roman"/>
                <w:color w:val="FF0000"/>
                <w:kern w:val="2"/>
                <w:highlight w:val="none"/>
              </w:rPr>
              <w:t>时期</w:t>
            </w:r>
          </w:p>
        </w:tc>
        <w:tc>
          <w:tcPr>
            <w:tcW w:w="2270" w:type="dxa"/>
            <w:gridSpan w:val="2"/>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排放源</w:t>
            </w:r>
          </w:p>
        </w:tc>
        <w:tc>
          <w:tcPr>
            <w:tcW w:w="2975"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竣工环境保护验收内容</w:t>
            </w:r>
          </w:p>
        </w:tc>
        <w:tc>
          <w:tcPr>
            <w:tcW w:w="1348"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验收监测项目</w:t>
            </w:r>
          </w:p>
        </w:tc>
        <w:tc>
          <w:tcPr>
            <w:tcW w:w="2261"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预期治理效果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9729" w:type="dxa"/>
            <w:gridSpan w:val="6"/>
            <w:tcBorders>
              <w:tl2br w:val="nil"/>
              <w:tr2bl w:val="nil"/>
            </w:tcBorders>
            <w:shd w:val="clear" w:color="auto" w:fill="auto"/>
            <w:vAlign w:val="center"/>
          </w:tcPr>
          <w:p>
            <w:pPr>
              <w:pStyle w:val="74"/>
              <w:rPr>
                <w:rFonts w:hint="default" w:ascii="Times New Roman" w:hAnsi="Times New Roman" w:eastAsia="宋体" w:cs="Times New Roman"/>
                <w:color w:val="FF0000"/>
                <w:kern w:val="2"/>
                <w:highlight w:val="none"/>
                <w:lang w:val="en-US" w:eastAsia="zh-CN"/>
              </w:rPr>
            </w:pPr>
            <w:r>
              <w:rPr>
                <w:rFonts w:hint="eastAsia" w:cs="Times New Roman"/>
                <w:color w:val="FF0000"/>
                <w:kern w:val="2"/>
                <w:highlight w:val="none"/>
                <w:lang w:val="en-US" w:eastAsia="zh-CN"/>
              </w:rPr>
              <w:t>扩建工程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875" w:type="dxa"/>
            <w:vMerge w:val="restart"/>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施工期</w:t>
            </w:r>
          </w:p>
        </w:tc>
        <w:tc>
          <w:tcPr>
            <w:tcW w:w="725"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废气</w:t>
            </w:r>
          </w:p>
        </w:tc>
        <w:tc>
          <w:tcPr>
            <w:tcW w:w="1545"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扬尘、尾气</w:t>
            </w:r>
          </w:p>
        </w:tc>
        <w:tc>
          <w:tcPr>
            <w:tcW w:w="2975"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防尘网、围挡、洒水、洗车平台等</w:t>
            </w:r>
          </w:p>
        </w:tc>
        <w:tc>
          <w:tcPr>
            <w:tcW w:w="1348"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TSP</w:t>
            </w:r>
          </w:p>
        </w:tc>
        <w:tc>
          <w:tcPr>
            <w:tcW w:w="2261"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达《大气污染物综合排放标准》（GB16297-</w:t>
            </w:r>
            <w:r>
              <w:rPr>
                <w:rFonts w:hint="eastAsia" w:cs="Times New Roman"/>
                <w:color w:val="FF0000"/>
                <w:kern w:val="2"/>
                <w:highlight w:val="none"/>
                <w:lang w:val="en-US" w:eastAsia="zh-CN"/>
              </w:rPr>
              <w:t>1996</w:t>
            </w:r>
            <w:r>
              <w:rPr>
                <w:rFonts w:hint="default" w:ascii="Times New Roman" w:hAnsi="Times New Roman" w:cs="Times New Roman"/>
                <w:color w:val="FF0000"/>
                <w:kern w:val="2"/>
                <w:highlight w:val="none"/>
              </w:rPr>
              <w:t>）无组织标准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875" w:type="dxa"/>
            <w:vMerge w:val="continue"/>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p>
        </w:tc>
        <w:tc>
          <w:tcPr>
            <w:tcW w:w="725"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废水</w:t>
            </w:r>
          </w:p>
        </w:tc>
        <w:tc>
          <w:tcPr>
            <w:tcW w:w="1545"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施工废水、生活污水</w:t>
            </w:r>
          </w:p>
        </w:tc>
        <w:tc>
          <w:tcPr>
            <w:tcW w:w="2975"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施工废水经沉淀池处理回用</w:t>
            </w:r>
          </w:p>
        </w:tc>
        <w:tc>
          <w:tcPr>
            <w:tcW w:w="1348"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w:t>
            </w:r>
          </w:p>
        </w:tc>
        <w:tc>
          <w:tcPr>
            <w:tcW w:w="2261"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达到环保要求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875" w:type="dxa"/>
            <w:vMerge w:val="continue"/>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p>
        </w:tc>
        <w:tc>
          <w:tcPr>
            <w:tcW w:w="725"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噪声</w:t>
            </w:r>
          </w:p>
        </w:tc>
        <w:tc>
          <w:tcPr>
            <w:tcW w:w="1545"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施工设备噪声</w:t>
            </w:r>
          </w:p>
        </w:tc>
        <w:tc>
          <w:tcPr>
            <w:tcW w:w="2975"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低噪设备、控制施工时间、隔声、减震等</w:t>
            </w:r>
          </w:p>
        </w:tc>
        <w:tc>
          <w:tcPr>
            <w:tcW w:w="1348"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Leq(A)</w:t>
            </w:r>
          </w:p>
        </w:tc>
        <w:tc>
          <w:tcPr>
            <w:tcW w:w="2261"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场界达《</w:t>
            </w:r>
            <w:r>
              <w:rPr>
                <w:rFonts w:hint="default" w:ascii="Times New Roman" w:hAnsi="Times New Roman" w:cs="Times New Roman"/>
                <w:color w:val="FF0000"/>
                <w:kern w:val="2"/>
                <w:highlight w:val="none"/>
                <w:lang w:eastAsia="zh-CN"/>
              </w:rPr>
              <w:t>建筑施工场界环境噪声排放标准</w:t>
            </w:r>
            <w:r>
              <w:rPr>
                <w:rFonts w:hint="default" w:ascii="Times New Roman" w:hAnsi="Times New Roman" w:cs="Times New Roman"/>
                <w:color w:val="FF0000"/>
                <w:kern w:val="2"/>
                <w:highlight w:val="none"/>
              </w:rPr>
              <w:t>》（GB12523-2011）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2" w:hRule="atLeast"/>
          <w:jc w:val="center"/>
        </w:trPr>
        <w:tc>
          <w:tcPr>
            <w:tcW w:w="875" w:type="dxa"/>
            <w:vMerge w:val="continue"/>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p>
        </w:tc>
        <w:tc>
          <w:tcPr>
            <w:tcW w:w="725"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固废</w:t>
            </w:r>
          </w:p>
        </w:tc>
        <w:tc>
          <w:tcPr>
            <w:tcW w:w="1545"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渣土、建筑垃圾</w:t>
            </w:r>
          </w:p>
        </w:tc>
        <w:tc>
          <w:tcPr>
            <w:tcW w:w="2975"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弃土用于本项目回填，淤泥等无法利用部分由渣土办处理</w:t>
            </w:r>
          </w:p>
        </w:tc>
        <w:tc>
          <w:tcPr>
            <w:tcW w:w="1348"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w:t>
            </w:r>
          </w:p>
        </w:tc>
        <w:tc>
          <w:tcPr>
            <w:tcW w:w="2261"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达到环保要求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jc w:val="center"/>
        </w:trPr>
        <w:tc>
          <w:tcPr>
            <w:tcW w:w="875" w:type="dxa"/>
            <w:vMerge w:val="continue"/>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p>
        </w:tc>
        <w:tc>
          <w:tcPr>
            <w:tcW w:w="725"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生态</w:t>
            </w:r>
          </w:p>
        </w:tc>
        <w:tc>
          <w:tcPr>
            <w:tcW w:w="1545"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植被破坏、水土流失</w:t>
            </w:r>
          </w:p>
        </w:tc>
        <w:tc>
          <w:tcPr>
            <w:tcW w:w="2975"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截排水沟、挡土墙、雨天不开挖、沉砂池、及时覆土绿化</w:t>
            </w:r>
          </w:p>
        </w:tc>
        <w:tc>
          <w:tcPr>
            <w:tcW w:w="1348"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w:t>
            </w:r>
          </w:p>
        </w:tc>
        <w:tc>
          <w:tcPr>
            <w:tcW w:w="2261"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达到环保要求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875" w:type="dxa"/>
            <w:vMerge w:val="restart"/>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运营期</w:t>
            </w:r>
          </w:p>
        </w:tc>
        <w:tc>
          <w:tcPr>
            <w:tcW w:w="725" w:type="dxa"/>
            <w:vMerge w:val="restart"/>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废气</w:t>
            </w:r>
          </w:p>
        </w:tc>
        <w:tc>
          <w:tcPr>
            <w:tcW w:w="1545"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有组织排放的恶臭类气体</w:t>
            </w:r>
          </w:p>
        </w:tc>
        <w:tc>
          <w:tcPr>
            <w:tcW w:w="2975"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密闭污水处理装置</w:t>
            </w:r>
            <w:r>
              <w:rPr>
                <w:rFonts w:hint="default" w:ascii="Times New Roman" w:hAnsi="Times New Roman" w:cs="Times New Roman"/>
                <w:color w:val="FF0000"/>
                <w:kern w:val="2"/>
                <w:highlight w:val="none"/>
                <w:u w:val="single"/>
              </w:rPr>
              <w:t>（包括格栅、沉砂池、调节池、水解酸化池、好氧、厌氧池、贮泥池和污泥脱水机房等）</w:t>
            </w:r>
            <w:r>
              <w:rPr>
                <w:rFonts w:hint="default" w:ascii="Times New Roman" w:hAnsi="Times New Roman" w:cs="Times New Roman"/>
                <w:color w:val="FF0000"/>
                <w:kern w:val="2"/>
                <w:highlight w:val="none"/>
              </w:rPr>
              <w:t>、生物除臭系统</w:t>
            </w:r>
          </w:p>
        </w:tc>
        <w:tc>
          <w:tcPr>
            <w:tcW w:w="1348"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NH</w:t>
            </w:r>
            <w:r>
              <w:rPr>
                <w:rFonts w:hint="default" w:ascii="Times New Roman" w:hAnsi="Times New Roman" w:cs="Times New Roman"/>
                <w:color w:val="FF0000"/>
                <w:kern w:val="2"/>
                <w:highlight w:val="none"/>
                <w:vertAlign w:val="subscript"/>
              </w:rPr>
              <w:t>3</w:t>
            </w:r>
            <w:r>
              <w:rPr>
                <w:rFonts w:hint="default" w:ascii="Times New Roman" w:hAnsi="Times New Roman" w:cs="Times New Roman"/>
                <w:color w:val="FF0000"/>
                <w:kern w:val="2"/>
                <w:highlight w:val="none"/>
              </w:rPr>
              <w:t>、H</w:t>
            </w:r>
            <w:r>
              <w:rPr>
                <w:rFonts w:hint="default" w:ascii="Times New Roman" w:hAnsi="Times New Roman" w:cs="Times New Roman"/>
                <w:color w:val="FF0000"/>
                <w:kern w:val="2"/>
                <w:highlight w:val="none"/>
                <w:vertAlign w:val="subscript"/>
              </w:rPr>
              <w:t>2</w:t>
            </w:r>
            <w:r>
              <w:rPr>
                <w:rFonts w:hint="default" w:ascii="Times New Roman" w:hAnsi="Times New Roman" w:cs="Times New Roman"/>
                <w:color w:val="FF0000"/>
                <w:kern w:val="2"/>
                <w:highlight w:val="none"/>
              </w:rPr>
              <w:t>S、臭气浓度</w:t>
            </w:r>
          </w:p>
        </w:tc>
        <w:tc>
          <w:tcPr>
            <w:tcW w:w="2261"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臭气污染物达到《恶臭污染物排放标准》（GB14554-93）标准要求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1" w:hRule="atLeast"/>
          <w:jc w:val="center"/>
        </w:trPr>
        <w:tc>
          <w:tcPr>
            <w:tcW w:w="875" w:type="dxa"/>
            <w:vMerge w:val="continue"/>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p>
        </w:tc>
        <w:tc>
          <w:tcPr>
            <w:tcW w:w="725" w:type="dxa"/>
            <w:vMerge w:val="continue"/>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p>
        </w:tc>
        <w:tc>
          <w:tcPr>
            <w:tcW w:w="1545"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无组织排放的恶臭类气体</w:t>
            </w:r>
          </w:p>
        </w:tc>
        <w:tc>
          <w:tcPr>
            <w:tcW w:w="2975"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加盖、绿化隔离带、卫生防护距离内无敏感目标</w:t>
            </w:r>
          </w:p>
        </w:tc>
        <w:tc>
          <w:tcPr>
            <w:tcW w:w="1348"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NH</w:t>
            </w:r>
            <w:r>
              <w:rPr>
                <w:rFonts w:hint="default" w:ascii="Times New Roman" w:hAnsi="Times New Roman" w:cs="Times New Roman"/>
                <w:color w:val="FF0000"/>
                <w:kern w:val="2"/>
                <w:highlight w:val="none"/>
                <w:vertAlign w:val="subscript"/>
              </w:rPr>
              <w:t>3</w:t>
            </w:r>
            <w:r>
              <w:rPr>
                <w:rFonts w:hint="default" w:ascii="Times New Roman" w:hAnsi="Times New Roman" w:cs="Times New Roman"/>
                <w:color w:val="FF0000"/>
                <w:kern w:val="2"/>
                <w:highlight w:val="none"/>
              </w:rPr>
              <w:t>、H</w:t>
            </w:r>
            <w:r>
              <w:rPr>
                <w:rFonts w:hint="default" w:ascii="Times New Roman" w:hAnsi="Times New Roman" w:cs="Times New Roman"/>
                <w:color w:val="FF0000"/>
                <w:kern w:val="2"/>
                <w:highlight w:val="none"/>
                <w:vertAlign w:val="subscript"/>
              </w:rPr>
              <w:t>2</w:t>
            </w:r>
            <w:r>
              <w:rPr>
                <w:rFonts w:hint="default" w:ascii="Times New Roman" w:hAnsi="Times New Roman" w:cs="Times New Roman"/>
                <w:color w:val="FF0000"/>
                <w:kern w:val="2"/>
                <w:highlight w:val="none"/>
              </w:rPr>
              <w:t>S、臭气浓度</w:t>
            </w:r>
          </w:p>
        </w:tc>
        <w:tc>
          <w:tcPr>
            <w:tcW w:w="2261"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恶臭污染物满足《城镇污水处理厂污染物排放标准》（GB18918-2002）修改单中表4二级标准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9" w:hRule="atLeast"/>
          <w:jc w:val="center"/>
        </w:trPr>
        <w:tc>
          <w:tcPr>
            <w:tcW w:w="875" w:type="dxa"/>
            <w:vMerge w:val="continue"/>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p>
        </w:tc>
        <w:tc>
          <w:tcPr>
            <w:tcW w:w="725"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废水</w:t>
            </w:r>
          </w:p>
        </w:tc>
        <w:tc>
          <w:tcPr>
            <w:tcW w:w="1545"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拟建工程污水处理进口和厂区总出口</w:t>
            </w:r>
          </w:p>
        </w:tc>
        <w:tc>
          <w:tcPr>
            <w:tcW w:w="2975"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用</w:t>
            </w:r>
            <w:r>
              <w:rPr>
                <w:rFonts w:hint="eastAsia" w:cs="Times New Roman"/>
                <w:color w:val="FF0000"/>
                <w:kern w:val="2"/>
                <w:highlight w:val="none"/>
                <w:lang w:eastAsia="zh-CN"/>
              </w:rPr>
              <w:t>“预处理+调节池+AAO生物池＋高效沉淀池+反硝化深床滤池+接触消毒池”</w:t>
            </w:r>
            <w:r>
              <w:rPr>
                <w:rFonts w:hint="default" w:ascii="Times New Roman" w:hAnsi="Times New Roman" w:cs="Times New Roman"/>
                <w:color w:val="FF0000"/>
                <w:kern w:val="2"/>
                <w:highlight w:val="none"/>
              </w:rPr>
              <w:t>处理工艺。</w:t>
            </w:r>
          </w:p>
        </w:tc>
        <w:tc>
          <w:tcPr>
            <w:tcW w:w="1348"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pH、氨氮、SS、BOD</w:t>
            </w:r>
            <w:r>
              <w:rPr>
                <w:rFonts w:hint="default" w:ascii="Times New Roman" w:hAnsi="Times New Roman" w:cs="Times New Roman"/>
                <w:color w:val="FF0000"/>
                <w:kern w:val="2"/>
                <w:highlight w:val="none"/>
                <w:vertAlign w:val="subscript"/>
              </w:rPr>
              <w:t>5</w:t>
            </w:r>
            <w:r>
              <w:rPr>
                <w:rFonts w:hint="default" w:ascii="Times New Roman" w:hAnsi="Times New Roman" w:cs="Times New Roman"/>
                <w:color w:val="FF0000"/>
                <w:kern w:val="2"/>
                <w:highlight w:val="none"/>
              </w:rPr>
              <w:t>、CODcr、总磷、动植物油、粪大肠菌群、废水量等</w:t>
            </w:r>
          </w:p>
        </w:tc>
        <w:tc>
          <w:tcPr>
            <w:tcW w:w="2261"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出水达《城镇污水处理厂污染物排放标准》（GB18918-2002）修改单中一级A标准</w:t>
            </w:r>
            <w:r>
              <w:rPr>
                <w:rFonts w:hint="default" w:ascii="Times New Roman" w:hAnsi="Times New Roman" w:cs="Times New Roman"/>
                <w:color w:val="FF0000"/>
                <w:highlight w:val="none"/>
              </w:rPr>
              <w:t>同时满足《</w:t>
            </w:r>
            <w:r>
              <w:rPr>
                <w:rFonts w:hint="eastAsia" w:cs="Times New Roman"/>
                <w:color w:val="FF0000"/>
                <w:highlight w:val="none"/>
                <w:lang w:eastAsia="zh-CN"/>
              </w:rPr>
              <w:t>城市污水再生利用城市杂用水水质》（GB/T18920-2020）</w:t>
            </w:r>
            <w:r>
              <w:rPr>
                <w:rFonts w:hint="default" w:ascii="Times New Roman" w:hAnsi="Times New Roman" w:cs="Times New Roman"/>
                <w:color w:val="FF0000"/>
                <w:highlight w:val="none"/>
              </w:rPr>
              <w:t>和《城市污水再生利用绿地灌溉水质》（GB/T25499-2010）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875" w:type="dxa"/>
            <w:vMerge w:val="continue"/>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p>
        </w:tc>
        <w:tc>
          <w:tcPr>
            <w:tcW w:w="725" w:type="dxa"/>
            <w:vMerge w:val="restart"/>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固废</w:t>
            </w:r>
          </w:p>
        </w:tc>
        <w:tc>
          <w:tcPr>
            <w:tcW w:w="1545"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生活垃圾</w:t>
            </w:r>
          </w:p>
        </w:tc>
        <w:tc>
          <w:tcPr>
            <w:tcW w:w="2975"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lang w:val="zh-CN"/>
              </w:rPr>
              <w:t>交由环卫部门收集统一处理</w:t>
            </w:r>
          </w:p>
        </w:tc>
        <w:tc>
          <w:tcPr>
            <w:tcW w:w="1348"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w:t>
            </w:r>
          </w:p>
        </w:tc>
        <w:tc>
          <w:tcPr>
            <w:tcW w:w="2261" w:type="dxa"/>
            <w:tcBorders>
              <w:tl2br w:val="nil"/>
              <w:tr2bl w:val="nil"/>
            </w:tcBorders>
            <w:shd w:val="clear" w:color="auto" w:fill="auto"/>
            <w:vAlign w:val="center"/>
          </w:tcPr>
          <w:p>
            <w:pPr>
              <w:pStyle w:val="74"/>
              <w:rPr>
                <w:rFonts w:hint="eastAsia" w:ascii="Times New Roman" w:hAnsi="Times New Roman" w:eastAsia="宋体" w:cs="Times New Roman"/>
                <w:color w:val="FF0000"/>
                <w:kern w:val="2"/>
                <w:highlight w:val="none"/>
                <w:lang w:eastAsia="zh-CN"/>
              </w:rPr>
            </w:pPr>
            <w:r>
              <w:rPr>
                <w:rFonts w:hint="eastAsia" w:cs="Times New Roman"/>
                <w:color w:val="FF0000"/>
                <w:kern w:val="2"/>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75" w:type="dxa"/>
            <w:vMerge w:val="continue"/>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p>
        </w:tc>
        <w:tc>
          <w:tcPr>
            <w:tcW w:w="725" w:type="dxa"/>
            <w:vMerge w:val="continue"/>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p>
        </w:tc>
        <w:tc>
          <w:tcPr>
            <w:tcW w:w="1545"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污泥</w:t>
            </w:r>
          </w:p>
        </w:tc>
        <w:tc>
          <w:tcPr>
            <w:tcW w:w="2975"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设置污泥间，脱水</w:t>
            </w:r>
            <w:r>
              <w:rPr>
                <w:rFonts w:hint="eastAsia" w:cs="Times New Roman"/>
                <w:color w:val="FF0000"/>
                <w:kern w:val="2"/>
                <w:highlight w:val="none"/>
                <w:lang w:val="en-US" w:eastAsia="zh-CN"/>
              </w:rPr>
              <w:t>小于60</w:t>
            </w:r>
            <w:r>
              <w:rPr>
                <w:rFonts w:hint="default" w:ascii="Times New Roman" w:hAnsi="Times New Roman" w:cs="Times New Roman"/>
                <w:color w:val="FF0000"/>
                <w:kern w:val="2"/>
                <w:highlight w:val="none"/>
              </w:rPr>
              <w:t>%后及时外运送</w:t>
            </w:r>
            <w:r>
              <w:rPr>
                <w:rFonts w:hint="eastAsia" w:cs="Times New Roman"/>
                <w:color w:val="FF0000"/>
                <w:kern w:val="2"/>
                <w:highlight w:val="none"/>
                <w:lang w:val="en-US" w:eastAsia="zh-CN"/>
              </w:rPr>
              <w:t>填埋场</w:t>
            </w:r>
            <w:r>
              <w:rPr>
                <w:rFonts w:hint="default" w:ascii="Times New Roman" w:hAnsi="Times New Roman" w:cs="Times New Roman"/>
                <w:color w:val="FF0000"/>
                <w:kern w:val="2"/>
                <w:highlight w:val="none"/>
              </w:rPr>
              <w:t>处理</w:t>
            </w:r>
          </w:p>
        </w:tc>
        <w:tc>
          <w:tcPr>
            <w:tcW w:w="1348"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p>
        </w:tc>
        <w:tc>
          <w:tcPr>
            <w:tcW w:w="2261"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lang w:eastAsia="zh-CN"/>
              </w:rPr>
              <w:t>GB18599-2020</w:t>
            </w:r>
            <w:r>
              <w:rPr>
                <w:rFonts w:hint="default" w:ascii="Times New Roman" w:hAnsi="Times New Roman" w:cs="Times New Roman"/>
                <w:color w:val="FF0000"/>
                <w:kern w:val="2"/>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 w:hRule="atLeast"/>
          <w:jc w:val="center"/>
        </w:trPr>
        <w:tc>
          <w:tcPr>
            <w:tcW w:w="875" w:type="dxa"/>
            <w:vMerge w:val="continue"/>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p>
        </w:tc>
        <w:tc>
          <w:tcPr>
            <w:tcW w:w="725"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噪声</w:t>
            </w:r>
          </w:p>
        </w:tc>
        <w:tc>
          <w:tcPr>
            <w:tcW w:w="1545"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厂界噪声</w:t>
            </w:r>
          </w:p>
        </w:tc>
        <w:tc>
          <w:tcPr>
            <w:tcW w:w="2975"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基础减振、建筑隔声、隔声罩、消声器等</w:t>
            </w:r>
          </w:p>
        </w:tc>
        <w:tc>
          <w:tcPr>
            <w:tcW w:w="1348"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Leq(A)</w:t>
            </w:r>
          </w:p>
        </w:tc>
        <w:tc>
          <w:tcPr>
            <w:tcW w:w="2261"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厂界达到GB12348-2008</w:t>
            </w:r>
          </w:p>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3类标准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 w:hRule="atLeast"/>
          <w:jc w:val="center"/>
        </w:trPr>
        <w:tc>
          <w:tcPr>
            <w:tcW w:w="9729" w:type="dxa"/>
            <w:gridSpan w:val="6"/>
            <w:tcBorders>
              <w:tl2br w:val="nil"/>
              <w:tr2bl w:val="nil"/>
            </w:tcBorders>
            <w:shd w:val="clear" w:color="auto" w:fill="auto"/>
            <w:vAlign w:val="center"/>
          </w:tcPr>
          <w:p>
            <w:pPr>
              <w:pStyle w:val="74"/>
              <w:rPr>
                <w:rFonts w:hint="default" w:ascii="Times New Roman" w:hAnsi="Times New Roman" w:eastAsia="宋体" w:cs="Times New Roman"/>
                <w:color w:val="FF0000"/>
                <w:kern w:val="2"/>
                <w:highlight w:val="none"/>
                <w:lang w:val="en-US" w:eastAsia="zh-CN"/>
              </w:rPr>
            </w:pPr>
            <w:r>
              <w:rPr>
                <w:rFonts w:hint="eastAsia" w:cs="Times New Roman"/>
                <w:color w:val="FF0000"/>
                <w:kern w:val="2"/>
                <w:highlight w:val="none"/>
                <w:lang w:val="en-US" w:eastAsia="zh-CN"/>
              </w:rPr>
              <w:t>现有工程的以新带老措施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 w:hRule="atLeast"/>
          <w:jc w:val="center"/>
        </w:trPr>
        <w:tc>
          <w:tcPr>
            <w:tcW w:w="875" w:type="dxa"/>
            <w:vMerge w:val="restart"/>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运营期</w:t>
            </w:r>
          </w:p>
        </w:tc>
        <w:tc>
          <w:tcPr>
            <w:tcW w:w="2270" w:type="dxa"/>
            <w:gridSpan w:val="2"/>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废气</w:t>
            </w:r>
          </w:p>
        </w:tc>
        <w:tc>
          <w:tcPr>
            <w:tcW w:w="2975" w:type="dxa"/>
            <w:tcBorders>
              <w:tl2br w:val="nil"/>
              <w:tr2bl w:val="nil"/>
            </w:tcBorders>
            <w:shd w:val="clear" w:color="auto" w:fill="auto"/>
            <w:vAlign w:val="center"/>
          </w:tcPr>
          <w:p>
            <w:pPr>
              <w:pStyle w:val="74"/>
              <w:rPr>
                <w:rFonts w:hint="default" w:ascii="Times New Roman" w:hAnsi="Times New Roman" w:eastAsia="宋体" w:cs="Times New Roman"/>
                <w:snapToGrid w:val="0"/>
                <w:color w:val="FF0000"/>
                <w:kern w:val="2"/>
                <w:sz w:val="21"/>
                <w:szCs w:val="21"/>
                <w:highlight w:val="none"/>
                <w:lang w:val="en-US" w:eastAsia="zh-CN" w:bidi="ar-SA"/>
              </w:rPr>
            </w:pPr>
            <w:r>
              <w:rPr>
                <w:rFonts w:hint="eastAsia" w:ascii="Times New Roman" w:hAnsi="Times New Roman" w:cs="Times New Roman"/>
                <w:color w:val="FF0000"/>
                <w:kern w:val="2"/>
                <w:highlight w:val="none"/>
                <w:lang w:val="en-US" w:eastAsia="zh-CN"/>
              </w:rPr>
              <w:t>按要求</w:t>
            </w:r>
            <w:r>
              <w:rPr>
                <w:rFonts w:hint="default" w:ascii="Times New Roman" w:hAnsi="Times New Roman" w:cs="Times New Roman"/>
                <w:color w:val="FF0000"/>
                <w:kern w:val="2"/>
                <w:highlight w:val="none"/>
              </w:rPr>
              <w:t>密闭污水处理装置</w:t>
            </w:r>
            <w:r>
              <w:rPr>
                <w:rFonts w:hint="default" w:ascii="Times New Roman" w:hAnsi="Times New Roman" w:cs="Times New Roman"/>
                <w:color w:val="FF0000"/>
                <w:kern w:val="2"/>
                <w:highlight w:val="none"/>
                <w:u w:val="single"/>
              </w:rPr>
              <w:t>（包括格栅、沉砂池、调节池、水解酸化池、好氧、厌氧池、贮泥池和污泥脱水机房等）</w:t>
            </w:r>
            <w:r>
              <w:rPr>
                <w:rFonts w:hint="default" w:ascii="Times New Roman" w:hAnsi="Times New Roman" w:cs="Times New Roman"/>
                <w:color w:val="FF0000"/>
                <w:kern w:val="2"/>
                <w:highlight w:val="none"/>
              </w:rPr>
              <w:t>、生物除臭系统</w:t>
            </w:r>
            <w:r>
              <w:rPr>
                <w:rFonts w:hint="eastAsia" w:ascii="Times New Roman" w:hAnsi="Times New Roman" w:cs="Times New Roman"/>
                <w:color w:val="FF0000"/>
                <w:kern w:val="2"/>
                <w:highlight w:val="none"/>
                <w:lang w:eastAsia="zh-CN"/>
              </w:rPr>
              <w:t>，</w:t>
            </w:r>
            <w:r>
              <w:rPr>
                <w:rFonts w:hint="default" w:ascii="Times New Roman" w:hAnsi="Times New Roman" w:cs="Times New Roman"/>
                <w:color w:val="FF0000"/>
                <w:kern w:val="2"/>
                <w:highlight w:val="none"/>
              </w:rPr>
              <w:t>去除率为90%，通过1根15m高排气筒外排。</w:t>
            </w:r>
          </w:p>
        </w:tc>
        <w:tc>
          <w:tcPr>
            <w:tcW w:w="1348"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NH</w:t>
            </w:r>
            <w:r>
              <w:rPr>
                <w:rFonts w:hint="default" w:ascii="Times New Roman" w:hAnsi="Times New Roman" w:cs="Times New Roman"/>
                <w:color w:val="FF0000"/>
                <w:kern w:val="2"/>
                <w:highlight w:val="none"/>
                <w:vertAlign w:val="subscript"/>
              </w:rPr>
              <w:t>3</w:t>
            </w:r>
            <w:r>
              <w:rPr>
                <w:rFonts w:hint="default" w:ascii="Times New Roman" w:hAnsi="Times New Roman" w:cs="Times New Roman"/>
                <w:color w:val="FF0000"/>
                <w:kern w:val="2"/>
                <w:highlight w:val="none"/>
              </w:rPr>
              <w:t>、H</w:t>
            </w:r>
            <w:r>
              <w:rPr>
                <w:rFonts w:hint="default" w:ascii="Times New Roman" w:hAnsi="Times New Roman" w:cs="Times New Roman"/>
                <w:color w:val="FF0000"/>
                <w:kern w:val="2"/>
                <w:highlight w:val="none"/>
                <w:vertAlign w:val="subscript"/>
              </w:rPr>
              <w:t>2</w:t>
            </w:r>
            <w:r>
              <w:rPr>
                <w:rFonts w:hint="default" w:ascii="Times New Roman" w:hAnsi="Times New Roman" w:cs="Times New Roman"/>
                <w:color w:val="FF0000"/>
                <w:kern w:val="2"/>
                <w:highlight w:val="none"/>
              </w:rPr>
              <w:t>S、臭气浓度</w:t>
            </w:r>
          </w:p>
        </w:tc>
        <w:tc>
          <w:tcPr>
            <w:tcW w:w="2261" w:type="dxa"/>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kern w:val="2"/>
                <w:highlight w:val="none"/>
              </w:rPr>
              <w:t>臭气污染物达到《恶臭污染物排放标准》（GB14554-93）标准要求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 w:hRule="atLeast"/>
          <w:jc w:val="center"/>
        </w:trPr>
        <w:tc>
          <w:tcPr>
            <w:tcW w:w="875" w:type="dxa"/>
            <w:vMerge w:val="continue"/>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p>
        </w:tc>
        <w:tc>
          <w:tcPr>
            <w:tcW w:w="2270" w:type="dxa"/>
            <w:gridSpan w:val="2"/>
            <w:tcBorders>
              <w:tl2br w:val="nil"/>
              <w:tr2bl w:val="nil"/>
            </w:tcBorders>
            <w:shd w:val="clear" w:color="auto" w:fill="auto"/>
            <w:vAlign w:val="center"/>
          </w:tcPr>
          <w:p>
            <w:pPr>
              <w:pStyle w:val="74"/>
              <w:rPr>
                <w:rFonts w:hint="default" w:ascii="Times New Roman" w:hAnsi="Times New Roman" w:eastAsia="宋体" w:cs="Times New Roman"/>
                <w:color w:val="FF0000"/>
                <w:kern w:val="2"/>
                <w:highlight w:val="none"/>
                <w:lang w:val="en-US" w:eastAsia="zh-CN"/>
              </w:rPr>
            </w:pPr>
            <w:r>
              <w:rPr>
                <w:rFonts w:hint="eastAsia" w:cs="Times New Roman"/>
                <w:color w:val="FF0000"/>
                <w:kern w:val="2"/>
                <w:highlight w:val="none"/>
                <w:lang w:val="en-US" w:eastAsia="zh-CN"/>
              </w:rPr>
              <w:t>环境管理</w:t>
            </w:r>
          </w:p>
        </w:tc>
        <w:tc>
          <w:tcPr>
            <w:tcW w:w="6584" w:type="dxa"/>
            <w:gridSpan w:val="3"/>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eastAsia"/>
                <w:color w:val="FF0000"/>
                <w:highlight w:val="none"/>
                <w:lang w:val="en-US" w:eastAsia="zh-CN"/>
              </w:rPr>
              <w:t>对现有项目例行监测进行整改，恶臭通过本次改扩建的采用</w:t>
            </w:r>
            <w:r>
              <w:rPr>
                <w:rFonts w:hint="eastAsia" w:cs="Times New Roman"/>
                <w:color w:val="FF0000"/>
                <w:highlight w:val="none"/>
                <w:lang w:val="en-US" w:eastAsia="zh-CN"/>
              </w:rPr>
              <w:t>生物滤池处理后，</w:t>
            </w:r>
            <w:r>
              <w:rPr>
                <w:rFonts w:hint="eastAsia"/>
                <w:color w:val="FF0000"/>
                <w:highlight w:val="none"/>
                <w:lang w:val="en-US" w:eastAsia="zh-CN"/>
              </w:rPr>
              <w:t>按要求进行有组织监测氨、硫化氢和臭气浓度；无组织监测氨、硫化氢和臭气浓度、甲烷，废水补充余氯的监测，满足要求用于生态林灌溉要求。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 w:hRule="atLeast"/>
          <w:jc w:val="center"/>
        </w:trPr>
        <w:tc>
          <w:tcPr>
            <w:tcW w:w="9729" w:type="dxa"/>
            <w:gridSpan w:val="6"/>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eastAsia" w:cs="Times New Roman"/>
                <w:color w:val="FF0000"/>
                <w:kern w:val="2"/>
                <w:highlight w:val="none"/>
                <w:lang w:val="en-US" w:eastAsia="zh-CN"/>
              </w:rPr>
              <w:t>依托工程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 w:hRule="atLeast"/>
          <w:jc w:val="center"/>
        </w:trPr>
        <w:tc>
          <w:tcPr>
            <w:tcW w:w="875" w:type="dxa"/>
            <w:vMerge w:val="restart"/>
            <w:tcBorders>
              <w:tl2br w:val="nil"/>
              <w:tr2bl w:val="nil"/>
            </w:tcBorders>
            <w:shd w:val="clear" w:color="auto" w:fill="auto"/>
            <w:vAlign w:val="center"/>
          </w:tcPr>
          <w:p>
            <w:pPr>
              <w:pStyle w:val="74"/>
              <w:rPr>
                <w:rFonts w:hint="default" w:ascii="Times New Roman" w:hAnsi="Times New Roman" w:eastAsia="宋体" w:cs="Times New Roman"/>
                <w:color w:val="FF0000"/>
                <w:kern w:val="2"/>
                <w:highlight w:val="none"/>
                <w:lang w:val="en-US" w:eastAsia="zh-CN"/>
              </w:rPr>
            </w:pPr>
            <w:r>
              <w:rPr>
                <w:rFonts w:hint="default" w:ascii="Times New Roman" w:hAnsi="Times New Roman" w:cs="Times New Roman"/>
                <w:color w:val="FF0000"/>
                <w:kern w:val="2"/>
                <w:highlight w:val="none"/>
              </w:rPr>
              <w:t>运营期</w:t>
            </w:r>
          </w:p>
        </w:tc>
        <w:tc>
          <w:tcPr>
            <w:tcW w:w="725" w:type="dxa"/>
            <w:vMerge w:val="restart"/>
            <w:tcBorders>
              <w:tl2br w:val="nil"/>
              <w:tr2bl w:val="nil"/>
            </w:tcBorders>
            <w:shd w:val="clear" w:color="auto" w:fill="auto"/>
            <w:vAlign w:val="center"/>
          </w:tcPr>
          <w:p>
            <w:pPr>
              <w:pStyle w:val="74"/>
              <w:rPr>
                <w:rFonts w:hint="default" w:cs="Times New Roman"/>
                <w:color w:val="FF0000"/>
                <w:kern w:val="2"/>
                <w:highlight w:val="none"/>
                <w:lang w:val="en-US" w:eastAsia="zh-CN"/>
              </w:rPr>
            </w:pPr>
            <w:r>
              <w:rPr>
                <w:rFonts w:hint="eastAsia" w:cs="Times New Roman"/>
                <w:color w:val="FF0000"/>
                <w:kern w:val="2"/>
                <w:highlight w:val="none"/>
                <w:lang w:val="en-US" w:eastAsia="zh-CN"/>
              </w:rPr>
              <w:t>辅助工程</w:t>
            </w:r>
          </w:p>
        </w:tc>
        <w:tc>
          <w:tcPr>
            <w:tcW w:w="1545"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FF0000"/>
                <w:kern w:val="2"/>
                <w:sz w:val="21"/>
                <w:szCs w:val="20"/>
                <w:highlight w:val="none"/>
                <w:lang w:val="en-US" w:eastAsia="zh-CN" w:bidi="ar-SA"/>
              </w:rPr>
            </w:pPr>
            <w:r>
              <w:rPr>
                <w:rFonts w:hint="eastAsia" w:cs="Times New Roman"/>
                <w:color w:val="FF0000"/>
                <w:sz w:val="21"/>
                <w:szCs w:val="20"/>
                <w:highlight w:val="none"/>
                <w:lang w:val="en-US" w:eastAsia="zh-CN"/>
              </w:rPr>
              <w:t>中水池</w:t>
            </w:r>
          </w:p>
        </w:tc>
        <w:tc>
          <w:tcPr>
            <w:tcW w:w="6584" w:type="dxa"/>
            <w:gridSpan w:val="3"/>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FF0000"/>
                <w:kern w:val="2"/>
                <w:highlight w:val="none"/>
              </w:rPr>
            </w:pPr>
            <w:r>
              <w:rPr>
                <w:rFonts w:hint="default" w:ascii="Times New Roman" w:hAnsi="Times New Roman" w:cs="Times New Roman"/>
                <w:color w:val="FF0000"/>
                <w:sz w:val="21"/>
                <w:szCs w:val="20"/>
                <w:highlight w:val="none"/>
              </w:rPr>
              <w:t>2024年4月26日昌吉回族自治州生态环境局批复《关于昌吉农高区现代农业精深加工示范区中水池建设项目环境影响报告表的批复》（昌州环评〔2024〕90号），新建容积20万m³的中水池一座。环评要求</w:t>
            </w:r>
            <w:r>
              <w:rPr>
                <w:rFonts w:hint="eastAsia" w:cs="Times New Roman"/>
                <w:color w:val="FF0000"/>
                <w:sz w:val="21"/>
                <w:szCs w:val="20"/>
                <w:highlight w:val="none"/>
                <w:lang w:eastAsia="zh-CN"/>
              </w:rPr>
              <w:t>中水池</w:t>
            </w:r>
            <w:r>
              <w:rPr>
                <w:rFonts w:hint="default" w:ascii="Times New Roman" w:hAnsi="Times New Roman" w:cs="Times New Roman"/>
                <w:color w:val="FF0000"/>
                <w:sz w:val="21"/>
                <w:szCs w:val="20"/>
                <w:highlight w:val="none"/>
              </w:rPr>
              <w:t>及相应尾水管网建设完成后，本项目才可以投入运行。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 w:hRule="atLeast"/>
          <w:jc w:val="center"/>
        </w:trPr>
        <w:tc>
          <w:tcPr>
            <w:tcW w:w="875" w:type="dxa"/>
            <w:vMerge w:val="continue"/>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p>
        </w:tc>
        <w:tc>
          <w:tcPr>
            <w:tcW w:w="725" w:type="dxa"/>
            <w:vMerge w:val="continue"/>
            <w:tcBorders>
              <w:tl2br w:val="nil"/>
              <w:tr2bl w:val="nil"/>
            </w:tcBorders>
            <w:shd w:val="clear" w:color="auto" w:fill="auto"/>
            <w:vAlign w:val="center"/>
          </w:tcPr>
          <w:p>
            <w:pPr>
              <w:pStyle w:val="74"/>
              <w:rPr>
                <w:rFonts w:hint="eastAsia" w:cs="Times New Roman"/>
                <w:color w:val="FF0000"/>
                <w:kern w:val="2"/>
                <w:highlight w:val="none"/>
                <w:lang w:val="en-US" w:eastAsia="zh-CN"/>
              </w:rPr>
            </w:pPr>
          </w:p>
        </w:tc>
        <w:tc>
          <w:tcPr>
            <w:tcW w:w="1545"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FF0000"/>
                <w:kern w:val="2"/>
                <w:sz w:val="21"/>
                <w:szCs w:val="20"/>
                <w:highlight w:val="none"/>
                <w:lang w:val="en-US" w:eastAsia="zh-CN" w:bidi="ar-SA"/>
              </w:rPr>
            </w:pPr>
            <w:r>
              <w:rPr>
                <w:rFonts w:hint="eastAsia" w:cs="Times New Roman"/>
                <w:color w:val="FF0000"/>
                <w:sz w:val="21"/>
                <w:szCs w:val="20"/>
                <w:highlight w:val="none"/>
                <w:lang w:val="en-US" w:eastAsia="zh-CN"/>
              </w:rPr>
              <w:t>排水管线工程</w:t>
            </w:r>
          </w:p>
        </w:tc>
        <w:tc>
          <w:tcPr>
            <w:tcW w:w="6584" w:type="dxa"/>
            <w:gridSpan w:val="3"/>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r>
              <w:rPr>
                <w:rFonts w:hint="default" w:ascii="Times New Roman" w:hAnsi="Times New Roman" w:cs="Times New Roman"/>
                <w:color w:val="FF0000"/>
                <w:sz w:val="21"/>
                <w:szCs w:val="20"/>
                <w:highlight w:val="none"/>
              </w:rPr>
              <w:t>2024年4月26日昌吉回族自治州生态环境局批复《关于昌吉农高区现代农业精深加工示范区中水池建设项目环境影响报告表的批复》（昌州环评〔2024〕90号），新建中水管线37.729km，新增一体化提升泵站1座。环评要求相应尾水管网建设完成后，本项目才可以投入运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 w:hRule="atLeast"/>
          <w:jc w:val="center"/>
        </w:trPr>
        <w:tc>
          <w:tcPr>
            <w:tcW w:w="875" w:type="dxa"/>
            <w:vMerge w:val="continue"/>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p>
        </w:tc>
        <w:tc>
          <w:tcPr>
            <w:tcW w:w="725" w:type="dxa"/>
            <w:vMerge w:val="continue"/>
            <w:tcBorders>
              <w:tl2br w:val="nil"/>
              <w:tr2bl w:val="nil"/>
            </w:tcBorders>
            <w:shd w:val="clear" w:color="auto" w:fill="auto"/>
            <w:vAlign w:val="center"/>
          </w:tcPr>
          <w:p>
            <w:pPr>
              <w:pStyle w:val="74"/>
              <w:rPr>
                <w:rFonts w:hint="eastAsia" w:cs="Times New Roman"/>
                <w:color w:val="FF0000"/>
                <w:kern w:val="2"/>
                <w:highlight w:val="none"/>
                <w:lang w:val="en-US" w:eastAsia="zh-CN"/>
              </w:rPr>
            </w:pPr>
          </w:p>
        </w:tc>
        <w:tc>
          <w:tcPr>
            <w:tcW w:w="1545" w:type="dxa"/>
            <w:tcBorders>
              <w:tl2br w:val="nil"/>
              <w:tr2bl w:val="nil"/>
            </w:tcBorders>
            <w:shd w:val="clear" w:color="auto" w:fill="auto"/>
            <w:vAlign w:val="center"/>
          </w:tcPr>
          <w:p>
            <w:pPr>
              <w:spacing w:line="240" w:lineRule="auto"/>
              <w:ind w:firstLine="0" w:firstLineChars="0"/>
              <w:jc w:val="center"/>
              <w:rPr>
                <w:rFonts w:hint="default" w:cs="Times New Roman"/>
                <w:color w:val="FF0000"/>
                <w:sz w:val="21"/>
                <w:szCs w:val="20"/>
                <w:highlight w:val="none"/>
                <w:lang w:val="en-US" w:eastAsia="zh-CN"/>
              </w:rPr>
            </w:pPr>
            <w:r>
              <w:rPr>
                <w:rFonts w:hint="eastAsia" w:cs="Times New Roman"/>
                <w:color w:val="FF0000"/>
                <w:sz w:val="21"/>
                <w:szCs w:val="20"/>
                <w:highlight w:val="none"/>
                <w:lang w:val="en-US" w:eastAsia="zh-CN"/>
              </w:rPr>
              <w:t>应急池</w:t>
            </w:r>
          </w:p>
        </w:tc>
        <w:tc>
          <w:tcPr>
            <w:tcW w:w="6584" w:type="dxa"/>
            <w:gridSpan w:val="3"/>
            <w:tcBorders>
              <w:tl2br w:val="nil"/>
              <w:tr2bl w:val="nil"/>
            </w:tcBorders>
            <w:shd w:val="clear" w:color="auto" w:fill="auto"/>
            <w:vAlign w:val="center"/>
          </w:tcPr>
          <w:p>
            <w:pPr>
              <w:pStyle w:val="74"/>
              <w:rPr>
                <w:rFonts w:hint="default" w:ascii="Times New Roman" w:hAnsi="Times New Roman" w:eastAsia="宋体" w:cs="Times New Roman"/>
                <w:color w:val="FF0000"/>
                <w:sz w:val="21"/>
                <w:szCs w:val="20"/>
                <w:highlight w:val="none"/>
                <w:lang w:val="en-US" w:eastAsia="zh-CN"/>
              </w:rPr>
            </w:pPr>
            <w:r>
              <w:rPr>
                <w:rFonts w:hint="eastAsia" w:cs="Times New Roman"/>
                <w:color w:val="FF0000"/>
                <w:sz w:val="21"/>
                <w:szCs w:val="20"/>
                <w:highlight w:val="none"/>
                <w:lang w:val="en-US" w:eastAsia="zh-CN"/>
              </w:rPr>
              <w:t>扩建1200m</w:t>
            </w:r>
            <w:r>
              <w:rPr>
                <w:rFonts w:hint="eastAsia" w:cs="Times New Roman"/>
                <w:color w:val="FF0000"/>
                <w:sz w:val="21"/>
                <w:szCs w:val="20"/>
                <w:highlight w:val="none"/>
                <w:vertAlign w:val="superscript"/>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 w:hRule="atLeast"/>
          <w:jc w:val="center"/>
        </w:trPr>
        <w:tc>
          <w:tcPr>
            <w:tcW w:w="875" w:type="dxa"/>
            <w:vMerge w:val="continue"/>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p>
        </w:tc>
        <w:tc>
          <w:tcPr>
            <w:tcW w:w="725" w:type="dxa"/>
            <w:vMerge w:val="continue"/>
            <w:tcBorders>
              <w:tl2br w:val="nil"/>
              <w:tr2bl w:val="nil"/>
            </w:tcBorders>
            <w:shd w:val="clear" w:color="auto" w:fill="auto"/>
            <w:vAlign w:val="center"/>
          </w:tcPr>
          <w:p>
            <w:pPr>
              <w:pStyle w:val="74"/>
              <w:rPr>
                <w:rFonts w:hint="eastAsia" w:cs="Times New Roman"/>
                <w:color w:val="FF0000"/>
                <w:kern w:val="2"/>
                <w:highlight w:val="none"/>
                <w:lang w:val="en-US" w:eastAsia="zh-CN"/>
              </w:rPr>
            </w:pPr>
          </w:p>
        </w:tc>
        <w:tc>
          <w:tcPr>
            <w:tcW w:w="1545" w:type="dxa"/>
            <w:tcBorders>
              <w:tl2br w:val="nil"/>
              <w:tr2bl w:val="nil"/>
            </w:tcBorders>
            <w:shd w:val="clear" w:color="auto" w:fill="auto"/>
            <w:vAlign w:val="center"/>
          </w:tcPr>
          <w:p>
            <w:pPr>
              <w:spacing w:line="240" w:lineRule="auto"/>
              <w:ind w:firstLine="0" w:firstLineChars="0"/>
              <w:jc w:val="center"/>
              <w:rPr>
                <w:rFonts w:hint="default" w:cs="Times New Roman"/>
                <w:color w:val="FF0000"/>
                <w:sz w:val="21"/>
                <w:szCs w:val="20"/>
                <w:highlight w:val="none"/>
                <w:lang w:val="en-US" w:eastAsia="zh-CN"/>
              </w:rPr>
            </w:pPr>
            <w:r>
              <w:rPr>
                <w:rFonts w:hint="eastAsia" w:cs="Times New Roman"/>
                <w:color w:val="FF0000"/>
                <w:sz w:val="21"/>
                <w:szCs w:val="20"/>
                <w:highlight w:val="none"/>
                <w:lang w:val="en-US" w:eastAsia="zh-CN"/>
              </w:rPr>
              <w:t>地下水监测井</w:t>
            </w:r>
          </w:p>
        </w:tc>
        <w:tc>
          <w:tcPr>
            <w:tcW w:w="6584" w:type="dxa"/>
            <w:gridSpan w:val="3"/>
            <w:tcBorders>
              <w:tl2br w:val="nil"/>
              <w:tr2bl w:val="nil"/>
            </w:tcBorders>
            <w:shd w:val="clear" w:color="auto" w:fill="auto"/>
            <w:vAlign w:val="center"/>
          </w:tcPr>
          <w:p>
            <w:pPr>
              <w:pStyle w:val="74"/>
              <w:rPr>
                <w:rFonts w:hint="eastAsia" w:cs="Times New Roman"/>
                <w:color w:val="FF0000"/>
                <w:sz w:val="21"/>
                <w:szCs w:val="20"/>
                <w:highlight w:val="none"/>
                <w:lang w:val="en-US" w:eastAsia="zh-CN"/>
              </w:rPr>
            </w:pPr>
            <w:r>
              <w:rPr>
                <w:rFonts w:hint="default" w:ascii="Times New Roman" w:hAnsi="Times New Roman" w:cs="Times New Roman"/>
                <w:color w:val="FF0000"/>
                <w:kern w:val="2"/>
                <w:highlight w:val="none"/>
              </w:rPr>
              <w:t>监测井</w:t>
            </w:r>
            <w:r>
              <w:rPr>
                <w:rFonts w:hint="eastAsia" w:cs="Times New Roman"/>
                <w:color w:val="FF0000"/>
                <w:kern w:val="2"/>
                <w:highlight w:val="none"/>
                <w:lang w:val="en-US" w:eastAsia="zh-CN"/>
              </w:rPr>
              <w:t>3</w:t>
            </w:r>
            <w:bookmarkStart w:id="321" w:name="_GoBack"/>
            <w:bookmarkEnd w:id="321"/>
            <w:r>
              <w:rPr>
                <w:rFonts w:hint="default" w:ascii="Times New Roman" w:hAnsi="Times New Roman" w:cs="Times New Roman"/>
                <w:color w:val="FF0000"/>
                <w:kern w:val="2"/>
                <w:highlight w:val="none"/>
              </w:rPr>
              <w:t>口，与工程同步建设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 w:hRule="atLeast"/>
          <w:jc w:val="center"/>
        </w:trPr>
        <w:tc>
          <w:tcPr>
            <w:tcW w:w="875" w:type="dxa"/>
            <w:vMerge w:val="continue"/>
            <w:tcBorders>
              <w:tl2br w:val="nil"/>
              <w:tr2bl w:val="nil"/>
            </w:tcBorders>
            <w:shd w:val="clear" w:color="auto" w:fill="auto"/>
            <w:vAlign w:val="center"/>
          </w:tcPr>
          <w:p>
            <w:pPr>
              <w:pStyle w:val="74"/>
              <w:rPr>
                <w:rFonts w:hint="default" w:ascii="Times New Roman" w:hAnsi="Times New Roman" w:cs="Times New Roman"/>
                <w:color w:val="FF0000"/>
                <w:kern w:val="2"/>
                <w:highlight w:val="none"/>
              </w:rPr>
            </w:pPr>
          </w:p>
        </w:tc>
        <w:tc>
          <w:tcPr>
            <w:tcW w:w="725" w:type="dxa"/>
            <w:vMerge w:val="continue"/>
            <w:tcBorders>
              <w:tl2br w:val="nil"/>
              <w:tr2bl w:val="nil"/>
            </w:tcBorders>
            <w:shd w:val="clear" w:color="auto" w:fill="auto"/>
            <w:vAlign w:val="center"/>
          </w:tcPr>
          <w:p>
            <w:pPr>
              <w:pStyle w:val="74"/>
              <w:rPr>
                <w:rFonts w:hint="eastAsia" w:cs="Times New Roman"/>
                <w:color w:val="FF0000"/>
                <w:kern w:val="2"/>
                <w:highlight w:val="none"/>
                <w:lang w:val="en-US" w:eastAsia="zh-CN"/>
              </w:rPr>
            </w:pPr>
          </w:p>
        </w:tc>
        <w:tc>
          <w:tcPr>
            <w:tcW w:w="1545" w:type="dxa"/>
            <w:tcBorders>
              <w:tl2br w:val="nil"/>
              <w:tr2bl w:val="nil"/>
            </w:tcBorders>
            <w:shd w:val="clear" w:color="auto" w:fill="auto"/>
            <w:vAlign w:val="center"/>
          </w:tcPr>
          <w:p>
            <w:pPr>
              <w:spacing w:line="240" w:lineRule="auto"/>
              <w:ind w:firstLine="0" w:firstLineChars="0"/>
              <w:jc w:val="center"/>
              <w:rPr>
                <w:rFonts w:hint="default" w:cs="Times New Roman"/>
                <w:color w:val="FF0000"/>
                <w:sz w:val="21"/>
                <w:szCs w:val="20"/>
                <w:highlight w:val="none"/>
                <w:lang w:val="en-US" w:eastAsia="zh-CN"/>
              </w:rPr>
            </w:pPr>
            <w:r>
              <w:rPr>
                <w:rFonts w:hint="eastAsia" w:cs="Times New Roman"/>
                <w:color w:val="FF0000"/>
                <w:sz w:val="21"/>
                <w:szCs w:val="20"/>
                <w:highlight w:val="none"/>
                <w:lang w:val="en-US" w:eastAsia="zh-CN"/>
              </w:rPr>
              <w:t>污泥监测</w:t>
            </w:r>
          </w:p>
        </w:tc>
        <w:tc>
          <w:tcPr>
            <w:tcW w:w="6584" w:type="dxa"/>
            <w:gridSpan w:val="3"/>
            <w:tcBorders>
              <w:tl2br w:val="nil"/>
              <w:tr2bl w:val="nil"/>
            </w:tcBorders>
            <w:shd w:val="clear" w:color="auto" w:fill="auto"/>
            <w:vAlign w:val="center"/>
          </w:tcPr>
          <w:p>
            <w:pPr>
              <w:pStyle w:val="74"/>
              <w:rPr>
                <w:rFonts w:hint="default" w:ascii="Times New Roman" w:hAnsi="Times New Roman" w:eastAsia="宋体" w:cs="Times New Roman"/>
                <w:color w:val="FF0000"/>
                <w:kern w:val="2"/>
                <w:highlight w:val="none"/>
                <w:lang w:val="en-US" w:eastAsia="zh-CN"/>
              </w:rPr>
            </w:pPr>
            <w:r>
              <w:rPr>
                <w:rFonts w:hint="eastAsia" w:cs="Times New Roman"/>
                <w:color w:val="FF0000"/>
                <w:kern w:val="2"/>
                <w:highlight w:val="none"/>
                <w:lang w:val="en-US" w:eastAsia="zh-CN"/>
              </w:rPr>
              <w:t>定期对污泥进行危废鉴定</w:t>
            </w:r>
          </w:p>
        </w:tc>
      </w:tr>
    </w:tbl>
    <w:p>
      <w:pPr>
        <w:pStyle w:val="4"/>
        <w:tabs>
          <w:tab w:val="left" w:pos="0"/>
          <w:tab w:val="left" w:pos="420"/>
          <w:tab w:val="clear" w:pos="360"/>
          <w:tab w:val="clear" w:pos="903"/>
        </w:tabs>
        <w:spacing w:before="120"/>
        <w:rPr>
          <w:color w:val="auto"/>
          <w:highlight w:val="none"/>
        </w:rPr>
      </w:pPr>
      <w:r>
        <w:rPr>
          <w:color w:val="auto"/>
          <w:highlight w:val="none"/>
        </w:rPr>
        <w:t>污染源排放清单</w:t>
      </w:r>
      <w:bookmarkEnd w:id="295"/>
      <w:bookmarkEnd w:id="296"/>
    </w:p>
    <w:p>
      <w:pPr>
        <w:ind w:firstLine="480"/>
        <w:rPr>
          <w:color w:val="auto"/>
          <w:highlight w:val="none"/>
        </w:rPr>
      </w:pPr>
      <w:r>
        <w:rPr>
          <w:color w:val="auto"/>
          <w:highlight w:val="none"/>
        </w:rPr>
        <w:t>本工程</w:t>
      </w:r>
      <w:r>
        <w:rPr>
          <w:rFonts w:hint="eastAsia"/>
          <w:color w:val="auto"/>
          <w:highlight w:val="none"/>
        </w:rPr>
        <w:t>扩建</w:t>
      </w:r>
      <w:r>
        <w:rPr>
          <w:color w:val="auto"/>
          <w:highlight w:val="none"/>
        </w:rPr>
        <w:t>污水处理</w:t>
      </w:r>
      <w:r>
        <w:rPr>
          <w:rFonts w:hint="eastAsia"/>
          <w:color w:val="auto"/>
          <w:highlight w:val="none"/>
        </w:rPr>
        <w:t>厂</w:t>
      </w:r>
      <w:r>
        <w:rPr>
          <w:color w:val="auto"/>
          <w:highlight w:val="none"/>
        </w:rPr>
        <w:t>污染源排放清单见</w:t>
      </w:r>
      <w:r>
        <w:rPr>
          <w:rFonts w:hint="eastAsia"/>
          <w:color w:val="auto"/>
          <w:highlight w:val="none"/>
          <w:lang w:val="en-US" w:eastAsia="zh-CN"/>
        </w:rPr>
        <w:t>下</w:t>
      </w:r>
      <w:r>
        <w:rPr>
          <w:color w:val="auto"/>
          <w:highlight w:val="none"/>
        </w:rPr>
        <w:fldChar w:fldCharType="begin"/>
      </w:r>
      <w:r>
        <w:rPr>
          <w:color w:val="auto"/>
          <w:highlight w:val="none"/>
        </w:rPr>
        <w:instrText xml:space="preserve"> REF _Ref149660537 \h </w:instrText>
      </w:r>
      <w:r>
        <w:rPr>
          <w:color w:val="auto"/>
          <w:highlight w:val="none"/>
        </w:rPr>
        <w:fldChar w:fldCharType="separate"/>
      </w:r>
      <w:r>
        <w:rPr>
          <w:rFonts w:hint="eastAsia"/>
          <w:color w:val="auto"/>
          <w:highlight w:val="none"/>
        </w:rPr>
        <w:t>表</w:t>
      </w:r>
      <w:r>
        <w:rPr>
          <w:color w:val="auto"/>
          <w:highlight w:val="none"/>
        </w:rPr>
        <w:fldChar w:fldCharType="end"/>
      </w:r>
      <w:r>
        <w:rPr>
          <w:color w:val="auto"/>
          <w:highlight w:val="none"/>
        </w:rPr>
        <w:t>。</w:t>
      </w:r>
    </w:p>
    <w:p>
      <w:pPr>
        <w:rPr>
          <w:color w:val="auto"/>
          <w:highlight w:val="none"/>
        </w:rPr>
      </w:pPr>
    </w:p>
    <w:p>
      <w:pPr>
        <w:pStyle w:val="16"/>
        <w:rPr>
          <w:color w:val="auto"/>
          <w:highlight w:val="none"/>
        </w:rPr>
        <w:sectPr>
          <w:pgSz w:w="11906" w:h="16838"/>
          <w:pgMar w:top="1440" w:right="1304" w:bottom="1440" w:left="1304" w:header="851" w:footer="992" w:gutter="0"/>
          <w:pgBorders>
            <w:top w:val="none" w:sz="0" w:space="0"/>
            <w:left w:val="none" w:sz="0" w:space="0"/>
            <w:bottom w:val="none" w:sz="0" w:space="0"/>
            <w:right w:val="none" w:sz="0" w:space="0"/>
          </w:pgBorders>
          <w:pgNumType w:fmt="numberInDash"/>
          <w:cols w:space="0" w:num="1"/>
          <w:docGrid w:type="lines" w:linePitch="312" w:charSpace="0"/>
        </w:sectPr>
      </w:pPr>
    </w:p>
    <w:p>
      <w:pPr>
        <w:pStyle w:val="13"/>
        <w:rPr>
          <w:color w:val="auto"/>
          <w:highlight w:val="none"/>
        </w:rPr>
      </w:pPr>
      <w:bookmarkStart w:id="298" w:name="_Ref149660537"/>
      <w:r>
        <w:rPr>
          <w:rFonts w:hint="eastAsia"/>
          <w:color w:val="auto"/>
          <w:highlight w:val="none"/>
        </w:rPr>
        <w:t>表</w:t>
      </w:r>
      <w:r>
        <w:rPr>
          <w:rFonts w:hint="eastAsia"/>
          <w:color w:val="auto"/>
          <w:highlight w:val="none"/>
          <w:lang w:val="en-US" w:eastAsia="zh-CN"/>
        </w:rPr>
        <w:t>8.6</w:t>
      </w:r>
      <w:r>
        <w:rPr>
          <w:color w:val="auto"/>
          <w:highlight w:val="none"/>
        </w:rPr>
        <w:noBreakHyphen/>
      </w:r>
      <w:r>
        <w:rPr>
          <w:color w:val="auto"/>
          <w:highlight w:val="none"/>
        </w:rPr>
        <w:fldChar w:fldCharType="begin"/>
      </w:r>
      <w:r>
        <w:rPr>
          <w:color w:val="auto"/>
          <w:highlight w:val="none"/>
        </w:rPr>
        <w:instrText xml:space="preserve"> </w:instrText>
      </w:r>
      <w:r>
        <w:rPr>
          <w:rFonts w:hint="eastAsia"/>
          <w:color w:val="auto"/>
          <w:highlight w:val="none"/>
        </w:rPr>
        <w:instrText xml:space="preserve">SEQ 表 \* ARABIC \s 3</w:instrText>
      </w:r>
      <w:r>
        <w:rPr>
          <w:color w:val="auto"/>
          <w:highlight w:val="none"/>
        </w:rPr>
        <w:instrText xml:space="preserve"> </w:instrText>
      </w:r>
      <w:r>
        <w:rPr>
          <w:color w:val="auto"/>
          <w:highlight w:val="none"/>
        </w:rPr>
        <w:fldChar w:fldCharType="separate"/>
      </w:r>
      <w:r>
        <w:rPr>
          <w:color w:val="auto"/>
          <w:highlight w:val="none"/>
        </w:rPr>
        <w:t>1</w:t>
      </w:r>
      <w:r>
        <w:rPr>
          <w:color w:val="auto"/>
          <w:highlight w:val="none"/>
        </w:rPr>
        <w:fldChar w:fldCharType="end"/>
      </w:r>
      <w:bookmarkEnd w:id="298"/>
      <w:r>
        <w:rPr>
          <w:rFonts w:hint="eastAsia"/>
          <w:color w:val="auto"/>
          <w:highlight w:val="none"/>
        </w:rPr>
        <w:t>污水处理厂扩建</w:t>
      </w:r>
      <w:r>
        <w:rPr>
          <w:color w:val="auto"/>
          <w:highlight w:val="none"/>
        </w:rPr>
        <w:t>污染源排放清单</w:t>
      </w:r>
    </w:p>
    <w:tbl>
      <w:tblPr>
        <w:tblStyle w:val="34"/>
        <w:tblW w:w="506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916"/>
        <w:gridCol w:w="1509"/>
        <w:gridCol w:w="1185"/>
        <w:gridCol w:w="973"/>
        <w:gridCol w:w="1967"/>
        <w:gridCol w:w="1080"/>
        <w:gridCol w:w="1119"/>
        <w:gridCol w:w="1066"/>
        <w:gridCol w:w="1925"/>
        <w:gridCol w:w="24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914" w:type="dxa"/>
            <w:vMerge w:val="restart"/>
            <w:vAlign w:val="center"/>
          </w:tcPr>
          <w:p>
            <w:pPr>
              <w:pStyle w:val="104"/>
              <w:rPr>
                <w:color w:val="auto"/>
                <w:highlight w:val="none"/>
              </w:rPr>
            </w:pPr>
            <w:r>
              <w:rPr>
                <w:color w:val="auto"/>
                <w:highlight w:val="none"/>
              </w:rPr>
              <w:t>污染物类型</w:t>
            </w:r>
          </w:p>
        </w:tc>
        <w:tc>
          <w:tcPr>
            <w:tcW w:w="1506" w:type="dxa"/>
            <w:vMerge w:val="restart"/>
            <w:vAlign w:val="center"/>
          </w:tcPr>
          <w:p>
            <w:pPr>
              <w:pStyle w:val="104"/>
              <w:rPr>
                <w:color w:val="auto"/>
                <w:highlight w:val="none"/>
              </w:rPr>
            </w:pPr>
            <w:r>
              <w:rPr>
                <w:color w:val="auto"/>
                <w:highlight w:val="none"/>
              </w:rPr>
              <w:t>产生环节</w:t>
            </w:r>
          </w:p>
        </w:tc>
        <w:tc>
          <w:tcPr>
            <w:tcW w:w="1183" w:type="dxa"/>
            <w:vMerge w:val="restart"/>
            <w:vAlign w:val="center"/>
          </w:tcPr>
          <w:p>
            <w:pPr>
              <w:pStyle w:val="104"/>
              <w:rPr>
                <w:color w:val="auto"/>
                <w:highlight w:val="none"/>
              </w:rPr>
            </w:pPr>
            <w:r>
              <w:rPr>
                <w:color w:val="auto"/>
                <w:highlight w:val="none"/>
              </w:rPr>
              <w:t>污染物</w:t>
            </w:r>
          </w:p>
        </w:tc>
        <w:tc>
          <w:tcPr>
            <w:tcW w:w="971" w:type="dxa"/>
            <w:vMerge w:val="restart"/>
            <w:vAlign w:val="center"/>
          </w:tcPr>
          <w:p>
            <w:pPr>
              <w:pStyle w:val="104"/>
              <w:rPr>
                <w:color w:val="auto"/>
                <w:highlight w:val="none"/>
              </w:rPr>
            </w:pPr>
            <w:r>
              <w:rPr>
                <w:color w:val="auto"/>
                <w:highlight w:val="none"/>
              </w:rPr>
              <w:t>排放形式</w:t>
            </w:r>
          </w:p>
        </w:tc>
        <w:tc>
          <w:tcPr>
            <w:tcW w:w="1963" w:type="dxa"/>
            <w:vMerge w:val="restart"/>
            <w:vAlign w:val="center"/>
          </w:tcPr>
          <w:p>
            <w:pPr>
              <w:pStyle w:val="104"/>
              <w:rPr>
                <w:color w:val="auto"/>
                <w:highlight w:val="none"/>
              </w:rPr>
            </w:pPr>
            <w:r>
              <w:rPr>
                <w:color w:val="auto"/>
                <w:highlight w:val="none"/>
              </w:rPr>
              <w:t>拟采取的环境保护措施</w:t>
            </w:r>
          </w:p>
        </w:tc>
        <w:tc>
          <w:tcPr>
            <w:tcW w:w="1078" w:type="dxa"/>
            <w:vMerge w:val="restart"/>
            <w:vAlign w:val="center"/>
          </w:tcPr>
          <w:p>
            <w:pPr>
              <w:pStyle w:val="104"/>
              <w:rPr>
                <w:color w:val="auto"/>
                <w:highlight w:val="none"/>
              </w:rPr>
            </w:pPr>
            <w:r>
              <w:rPr>
                <w:color w:val="auto"/>
                <w:highlight w:val="none"/>
              </w:rPr>
              <w:t>排放浓度</w:t>
            </w:r>
          </w:p>
          <w:p>
            <w:pPr>
              <w:pStyle w:val="104"/>
              <w:rPr>
                <w:color w:val="auto"/>
                <w:highlight w:val="none"/>
              </w:rPr>
            </w:pPr>
            <w:r>
              <w:rPr>
                <w:color w:val="auto"/>
                <w:highlight w:val="none"/>
              </w:rPr>
              <w:t>mg/m³</w:t>
            </w:r>
          </w:p>
        </w:tc>
        <w:tc>
          <w:tcPr>
            <w:tcW w:w="1117" w:type="dxa"/>
            <w:vMerge w:val="restart"/>
            <w:vAlign w:val="center"/>
          </w:tcPr>
          <w:p>
            <w:pPr>
              <w:pStyle w:val="104"/>
              <w:rPr>
                <w:color w:val="auto"/>
                <w:highlight w:val="none"/>
              </w:rPr>
            </w:pPr>
            <w:r>
              <w:rPr>
                <w:color w:val="auto"/>
                <w:highlight w:val="none"/>
              </w:rPr>
              <w:t>排放速率</w:t>
            </w:r>
          </w:p>
          <w:p>
            <w:pPr>
              <w:pStyle w:val="104"/>
              <w:rPr>
                <w:color w:val="auto"/>
                <w:highlight w:val="none"/>
              </w:rPr>
            </w:pPr>
            <w:r>
              <w:rPr>
                <w:color w:val="auto"/>
                <w:highlight w:val="none"/>
              </w:rPr>
              <w:t>kg/h</w:t>
            </w:r>
          </w:p>
        </w:tc>
        <w:tc>
          <w:tcPr>
            <w:tcW w:w="2985" w:type="dxa"/>
            <w:gridSpan w:val="2"/>
            <w:vAlign w:val="center"/>
          </w:tcPr>
          <w:p>
            <w:pPr>
              <w:pStyle w:val="104"/>
              <w:rPr>
                <w:color w:val="auto"/>
                <w:highlight w:val="none"/>
              </w:rPr>
            </w:pPr>
            <w:r>
              <w:rPr>
                <w:color w:val="auto"/>
                <w:highlight w:val="none"/>
              </w:rPr>
              <w:t>排放标准</w:t>
            </w:r>
          </w:p>
        </w:tc>
        <w:tc>
          <w:tcPr>
            <w:tcW w:w="2411" w:type="dxa"/>
            <w:vMerge w:val="restart"/>
            <w:vAlign w:val="center"/>
          </w:tcPr>
          <w:p>
            <w:pPr>
              <w:pStyle w:val="104"/>
              <w:rPr>
                <w:color w:val="auto"/>
                <w:highlight w:val="none"/>
              </w:rPr>
            </w:pPr>
            <w:r>
              <w:rPr>
                <w:color w:val="auto"/>
                <w:highlight w:val="none"/>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914" w:type="dxa"/>
            <w:vMerge w:val="continue"/>
            <w:vAlign w:val="center"/>
          </w:tcPr>
          <w:p>
            <w:pPr>
              <w:pStyle w:val="104"/>
              <w:rPr>
                <w:color w:val="auto"/>
                <w:highlight w:val="none"/>
              </w:rPr>
            </w:pPr>
          </w:p>
        </w:tc>
        <w:tc>
          <w:tcPr>
            <w:tcW w:w="1506" w:type="dxa"/>
            <w:vMerge w:val="continue"/>
            <w:vAlign w:val="center"/>
          </w:tcPr>
          <w:p>
            <w:pPr>
              <w:pStyle w:val="104"/>
              <w:rPr>
                <w:color w:val="auto"/>
                <w:highlight w:val="none"/>
              </w:rPr>
            </w:pPr>
          </w:p>
        </w:tc>
        <w:tc>
          <w:tcPr>
            <w:tcW w:w="1183" w:type="dxa"/>
            <w:vMerge w:val="continue"/>
            <w:vAlign w:val="center"/>
          </w:tcPr>
          <w:p>
            <w:pPr>
              <w:pStyle w:val="104"/>
              <w:rPr>
                <w:color w:val="auto"/>
                <w:highlight w:val="none"/>
              </w:rPr>
            </w:pPr>
          </w:p>
        </w:tc>
        <w:tc>
          <w:tcPr>
            <w:tcW w:w="971" w:type="dxa"/>
            <w:vMerge w:val="continue"/>
            <w:vAlign w:val="center"/>
          </w:tcPr>
          <w:p>
            <w:pPr>
              <w:pStyle w:val="104"/>
              <w:rPr>
                <w:color w:val="auto"/>
                <w:highlight w:val="none"/>
              </w:rPr>
            </w:pPr>
          </w:p>
        </w:tc>
        <w:tc>
          <w:tcPr>
            <w:tcW w:w="1963" w:type="dxa"/>
            <w:vMerge w:val="continue"/>
            <w:vAlign w:val="center"/>
          </w:tcPr>
          <w:p>
            <w:pPr>
              <w:pStyle w:val="104"/>
              <w:rPr>
                <w:color w:val="auto"/>
                <w:highlight w:val="none"/>
              </w:rPr>
            </w:pPr>
          </w:p>
        </w:tc>
        <w:tc>
          <w:tcPr>
            <w:tcW w:w="1078" w:type="dxa"/>
            <w:vMerge w:val="continue"/>
            <w:vAlign w:val="center"/>
          </w:tcPr>
          <w:p>
            <w:pPr>
              <w:pStyle w:val="104"/>
              <w:rPr>
                <w:color w:val="auto"/>
                <w:highlight w:val="none"/>
              </w:rPr>
            </w:pPr>
          </w:p>
        </w:tc>
        <w:tc>
          <w:tcPr>
            <w:tcW w:w="1117" w:type="dxa"/>
            <w:vMerge w:val="continue"/>
            <w:vAlign w:val="center"/>
          </w:tcPr>
          <w:p>
            <w:pPr>
              <w:pStyle w:val="104"/>
              <w:rPr>
                <w:color w:val="auto"/>
                <w:highlight w:val="none"/>
              </w:rPr>
            </w:pPr>
          </w:p>
        </w:tc>
        <w:tc>
          <w:tcPr>
            <w:tcW w:w="1064" w:type="dxa"/>
            <w:vAlign w:val="center"/>
          </w:tcPr>
          <w:p>
            <w:pPr>
              <w:pStyle w:val="104"/>
              <w:rPr>
                <w:color w:val="auto"/>
                <w:highlight w:val="none"/>
              </w:rPr>
            </w:pPr>
            <w:r>
              <w:rPr>
                <w:color w:val="auto"/>
                <w:highlight w:val="none"/>
              </w:rPr>
              <w:t>排放浓度</w:t>
            </w:r>
          </w:p>
          <w:p>
            <w:pPr>
              <w:pStyle w:val="104"/>
              <w:rPr>
                <w:color w:val="auto"/>
                <w:highlight w:val="none"/>
              </w:rPr>
            </w:pPr>
            <w:r>
              <w:rPr>
                <w:color w:val="auto"/>
                <w:highlight w:val="none"/>
              </w:rPr>
              <w:t>mg/m³</w:t>
            </w:r>
          </w:p>
        </w:tc>
        <w:tc>
          <w:tcPr>
            <w:tcW w:w="1921" w:type="dxa"/>
            <w:vAlign w:val="center"/>
          </w:tcPr>
          <w:p>
            <w:pPr>
              <w:pStyle w:val="104"/>
              <w:rPr>
                <w:color w:val="auto"/>
                <w:highlight w:val="none"/>
              </w:rPr>
            </w:pPr>
            <w:r>
              <w:rPr>
                <w:color w:val="auto"/>
                <w:highlight w:val="none"/>
              </w:rPr>
              <w:t>排放速率</w:t>
            </w:r>
          </w:p>
          <w:p>
            <w:pPr>
              <w:pStyle w:val="104"/>
              <w:rPr>
                <w:color w:val="auto"/>
                <w:highlight w:val="none"/>
              </w:rPr>
            </w:pPr>
            <w:r>
              <w:rPr>
                <w:color w:val="auto"/>
                <w:highlight w:val="none"/>
              </w:rPr>
              <w:t>kg/h</w:t>
            </w:r>
          </w:p>
        </w:tc>
        <w:tc>
          <w:tcPr>
            <w:tcW w:w="2411" w:type="dxa"/>
            <w:vMerge w:val="continue"/>
            <w:vAlign w:val="center"/>
          </w:tcPr>
          <w:p>
            <w:pPr>
              <w:pStyle w:val="104"/>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914" w:type="dxa"/>
            <w:vMerge w:val="restart"/>
            <w:vAlign w:val="center"/>
          </w:tcPr>
          <w:p>
            <w:pPr>
              <w:pStyle w:val="104"/>
              <w:rPr>
                <w:color w:val="auto"/>
                <w:highlight w:val="none"/>
              </w:rPr>
            </w:pPr>
            <w:r>
              <w:rPr>
                <w:color w:val="auto"/>
                <w:highlight w:val="none"/>
              </w:rPr>
              <w:t>废气</w:t>
            </w:r>
          </w:p>
        </w:tc>
        <w:tc>
          <w:tcPr>
            <w:tcW w:w="1506" w:type="dxa"/>
            <w:vMerge w:val="restart"/>
            <w:vAlign w:val="center"/>
          </w:tcPr>
          <w:p>
            <w:pPr>
              <w:pStyle w:val="104"/>
              <w:rPr>
                <w:color w:val="auto"/>
                <w:highlight w:val="none"/>
              </w:rPr>
            </w:pPr>
            <w:r>
              <w:rPr>
                <w:color w:val="auto"/>
                <w:highlight w:val="none"/>
              </w:rPr>
              <w:t>生化处理工段</w:t>
            </w:r>
          </w:p>
        </w:tc>
        <w:tc>
          <w:tcPr>
            <w:tcW w:w="1183" w:type="dxa"/>
            <w:vAlign w:val="center"/>
          </w:tcPr>
          <w:p>
            <w:pPr>
              <w:pStyle w:val="104"/>
              <w:rPr>
                <w:color w:val="auto"/>
                <w:highlight w:val="none"/>
              </w:rPr>
            </w:pPr>
            <w:r>
              <w:rPr>
                <w:color w:val="auto"/>
                <w:highlight w:val="none"/>
              </w:rPr>
              <w:t>NH</w:t>
            </w:r>
            <w:r>
              <w:rPr>
                <w:color w:val="auto"/>
                <w:highlight w:val="none"/>
                <w:vertAlign w:val="subscript"/>
              </w:rPr>
              <w:t>3</w:t>
            </w:r>
          </w:p>
        </w:tc>
        <w:tc>
          <w:tcPr>
            <w:tcW w:w="971" w:type="dxa"/>
            <w:vMerge w:val="restart"/>
            <w:vAlign w:val="center"/>
          </w:tcPr>
          <w:p>
            <w:pPr>
              <w:pStyle w:val="104"/>
              <w:rPr>
                <w:color w:val="auto"/>
                <w:highlight w:val="none"/>
              </w:rPr>
            </w:pPr>
            <w:r>
              <w:rPr>
                <w:color w:val="auto"/>
                <w:highlight w:val="none"/>
              </w:rPr>
              <w:t>有组织</w:t>
            </w:r>
          </w:p>
        </w:tc>
        <w:tc>
          <w:tcPr>
            <w:tcW w:w="1963" w:type="dxa"/>
            <w:vMerge w:val="restart"/>
            <w:vAlign w:val="center"/>
          </w:tcPr>
          <w:p>
            <w:pPr>
              <w:pStyle w:val="104"/>
              <w:rPr>
                <w:color w:val="auto"/>
                <w:highlight w:val="none"/>
              </w:rPr>
            </w:pPr>
            <w:r>
              <w:rPr>
                <w:rFonts w:hint="eastAsia"/>
                <w:color w:val="auto"/>
                <w:highlight w:val="none"/>
              </w:rPr>
              <w:t>生物滤池</w:t>
            </w:r>
            <w:r>
              <w:rPr>
                <w:color w:val="auto"/>
                <w:highlight w:val="none"/>
              </w:rPr>
              <w:t>+15m排气筒</w:t>
            </w:r>
          </w:p>
        </w:tc>
        <w:tc>
          <w:tcPr>
            <w:tcW w:w="1078" w:type="dxa"/>
            <w:vAlign w:val="center"/>
          </w:tcPr>
          <w:p>
            <w:pPr>
              <w:pStyle w:val="104"/>
              <w:rPr>
                <w:color w:val="auto"/>
                <w:highlight w:val="none"/>
              </w:rPr>
            </w:pPr>
            <w:r>
              <w:rPr>
                <w:rFonts w:hint="eastAsia" w:ascii="Times New Roman" w:hAnsi="Times New Roman" w:eastAsia="宋体" w:cstheme="minorBidi"/>
                <w:color w:val="auto"/>
                <w:kern w:val="2"/>
                <w:sz w:val="21"/>
                <w:szCs w:val="24"/>
                <w:highlight w:val="none"/>
                <w:lang w:val="en-US" w:eastAsia="zh-CN" w:bidi="ar-SA"/>
              </w:rPr>
              <w:t>3.120</w:t>
            </w:r>
          </w:p>
        </w:tc>
        <w:tc>
          <w:tcPr>
            <w:tcW w:w="1117" w:type="dxa"/>
            <w:vAlign w:val="center"/>
          </w:tcPr>
          <w:p>
            <w:pPr>
              <w:pStyle w:val="104"/>
              <w:rPr>
                <w:color w:val="auto"/>
                <w:highlight w:val="none"/>
              </w:rPr>
            </w:pPr>
            <w:r>
              <w:rPr>
                <w:rFonts w:hint="eastAsia" w:ascii="Times New Roman" w:hAnsi="Times New Roman" w:eastAsia="宋体" w:cstheme="minorBidi"/>
                <w:color w:val="auto"/>
                <w:kern w:val="2"/>
                <w:sz w:val="21"/>
                <w:szCs w:val="24"/>
                <w:highlight w:val="none"/>
                <w:lang w:val="en-US" w:eastAsia="zh-CN" w:bidi="ar-SA"/>
              </w:rPr>
              <w:t>0.156</w:t>
            </w:r>
          </w:p>
        </w:tc>
        <w:tc>
          <w:tcPr>
            <w:tcW w:w="1064" w:type="dxa"/>
            <w:vAlign w:val="center"/>
          </w:tcPr>
          <w:p>
            <w:pPr>
              <w:pStyle w:val="104"/>
              <w:rPr>
                <w:color w:val="auto"/>
                <w:highlight w:val="none"/>
              </w:rPr>
            </w:pPr>
            <w:r>
              <w:rPr>
                <w:color w:val="auto"/>
                <w:highlight w:val="none"/>
              </w:rPr>
              <w:t>——</w:t>
            </w:r>
          </w:p>
        </w:tc>
        <w:tc>
          <w:tcPr>
            <w:tcW w:w="1921" w:type="dxa"/>
            <w:vAlign w:val="center"/>
          </w:tcPr>
          <w:p>
            <w:pPr>
              <w:pStyle w:val="104"/>
              <w:rPr>
                <w:color w:val="auto"/>
                <w:highlight w:val="none"/>
              </w:rPr>
            </w:pPr>
            <w:r>
              <w:rPr>
                <w:color w:val="auto"/>
                <w:highlight w:val="none"/>
              </w:rPr>
              <w:t>4.9</w:t>
            </w:r>
          </w:p>
        </w:tc>
        <w:tc>
          <w:tcPr>
            <w:tcW w:w="2411" w:type="dxa"/>
            <w:vMerge w:val="restart"/>
            <w:vAlign w:val="center"/>
          </w:tcPr>
          <w:p>
            <w:pPr>
              <w:pStyle w:val="104"/>
              <w:rPr>
                <w:color w:val="auto"/>
                <w:highlight w:val="none"/>
              </w:rPr>
            </w:pPr>
            <w:r>
              <w:rPr>
                <w:color w:val="auto"/>
                <w:highlight w:val="none"/>
              </w:rPr>
              <w:t>《恶臭污染物排放标准》（GB14554-93）表2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914" w:type="dxa"/>
            <w:vMerge w:val="continue"/>
            <w:vAlign w:val="center"/>
          </w:tcPr>
          <w:p>
            <w:pPr>
              <w:pStyle w:val="104"/>
              <w:rPr>
                <w:color w:val="auto"/>
                <w:highlight w:val="none"/>
              </w:rPr>
            </w:pPr>
          </w:p>
        </w:tc>
        <w:tc>
          <w:tcPr>
            <w:tcW w:w="1506" w:type="dxa"/>
            <w:vMerge w:val="continue"/>
            <w:vAlign w:val="center"/>
          </w:tcPr>
          <w:p>
            <w:pPr>
              <w:pStyle w:val="104"/>
              <w:rPr>
                <w:color w:val="auto"/>
                <w:highlight w:val="none"/>
              </w:rPr>
            </w:pPr>
          </w:p>
        </w:tc>
        <w:tc>
          <w:tcPr>
            <w:tcW w:w="1183" w:type="dxa"/>
            <w:vAlign w:val="center"/>
          </w:tcPr>
          <w:p>
            <w:pPr>
              <w:pStyle w:val="104"/>
              <w:rPr>
                <w:color w:val="auto"/>
                <w:highlight w:val="none"/>
              </w:rPr>
            </w:pPr>
            <w:r>
              <w:rPr>
                <w:color w:val="auto"/>
                <w:highlight w:val="none"/>
              </w:rPr>
              <w:t>H</w:t>
            </w:r>
            <w:r>
              <w:rPr>
                <w:color w:val="auto"/>
                <w:highlight w:val="none"/>
                <w:vertAlign w:val="subscript"/>
              </w:rPr>
              <w:t>2</w:t>
            </w:r>
            <w:r>
              <w:rPr>
                <w:color w:val="auto"/>
                <w:highlight w:val="none"/>
              </w:rPr>
              <w:t>S</w:t>
            </w:r>
          </w:p>
        </w:tc>
        <w:tc>
          <w:tcPr>
            <w:tcW w:w="971" w:type="dxa"/>
            <w:vMerge w:val="continue"/>
            <w:vAlign w:val="center"/>
          </w:tcPr>
          <w:p>
            <w:pPr>
              <w:pStyle w:val="104"/>
              <w:rPr>
                <w:color w:val="auto"/>
                <w:highlight w:val="none"/>
              </w:rPr>
            </w:pPr>
          </w:p>
        </w:tc>
        <w:tc>
          <w:tcPr>
            <w:tcW w:w="1963" w:type="dxa"/>
            <w:vMerge w:val="continue"/>
            <w:vAlign w:val="center"/>
          </w:tcPr>
          <w:p>
            <w:pPr>
              <w:pStyle w:val="104"/>
              <w:rPr>
                <w:color w:val="auto"/>
                <w:highlight w:val="none"/>
              </w:rPr>
            </w:pPr>
          </w:p>
        </w:tc>
        <w:tc>
          <w:tcPr>
            <w:tcW w:w="1078" w:type="dxa"/>
            <w:vAlign w:val="center"/>
          </w:tcPr>
          <w:p>
            <w:pPr>
              <w:pStyle w:val="104"/>
              <w:rPr>
                <w:color w:val="auto"/>
                <w:highlight w:val="none"/>
              </w:rPr>
            </w:pPr>
            <w:r>
              <w:rPr>
                <w:rFonts w:hint="eastAsia" w:ascii="Times New Roman" w:hAnsi="Times New Roman" w:eastAsia="宋体" w:cstheme="minorBidi"/>
                <w:color w:val="auto"/>
                <w:kern w:val="2"/>
                <w:sz w:val="21"/>
                <w:szCs w:val="24"/>
                <w:highlight w:val="none"/>
                <w:lang w:val="en-US" w:eastAsia="zh-CN" w:bidi="ar-SA"/>
              </w:rPr>
              <w:t>0.065</w:t>
            </w:r>
          </w:p>
        </w:tc>
        <w:tc>
          <w:tcPr>
            <w:tcW w:w="1117" w:type="dxa"/>
            <w:vAlign w:val="center"/>
          </w:tcPr>
          <w:p>
            <w:pPr>
              <w:pStyle w:val="104"/>
              <w:rPr>
                <w:color w:val="auto"/>
                <w:highlight w:val="none"/>
              </w:rPr>
            </w:pPr>
            <w:r>
              <w:rPr>
                <w:rFonts w:hint="eastAsia" w:ascii="Times New Roman" w:hAnsi="Times New Roman" w:eastAsia="宋体" w:cstheme="minorBidi"/>
                <w:color w:val="auto"/>
                <w:kern w:val="2"/>
                <w:sz w:val="21"/>
                <w:szCs w:val="24"/>
                <w:highlight w:val="none"/>
                <w:lang w:val="en-US" w:eastAsia="zh-CN" w:bidi="ar-SA"/>
              </w:rPr>
              <w:t>0.003</w:t>
            </w:r>
          </w:p>
        </w:tc>
        <w:tc>
          <w:tcPr>
            <w:tcW w:w="1064" w:type="dxa"/>
            <w:vAlign w:val="center"/>
          </w:tcPr>
          <w:p>
            <w:pPr>
              <w:pStyle w:val="104"/>
              <w:rPr>
                <w:color w:val="auto"/>
                <w:highlight w:val="none"/>
              </w:rPr>
            </w:pPr>
            <w:r>
              <w:rPr>
                <w:color w:val="auto"/>
                <w:highlight w:val="none"/>
              </w:rPr>
              <w:t>——</w:t>
            </w:r>
          </w:p>
        </w:tc>
        <w:tc>
          <w:tcPr>
            <w:tcW w:w="1921" w:type="dxa"/>
            <w:vAlign w:val="center"/>
          </w:tcPr>
          <w:p>
            <w:pPr>
              <w:pStyle w:val="104"/>
              <w:rPr>
                <w:color w:val="auto"/>
                <w:highlight w:val="none"/>
              </w:rPr>
            </w:pPr>
            <w:r>
              <w:rPr>
                <w:color w:val="auto"/>
                <w:highlight w:val="none"/>
              </w:rPr>
              <w:t>0.33</w:t>
            </w:r>
          </w:p>
        </w:tc>
        <w:tc>
          <w:tcPr>
            <w:tcW w:w="2411" w:type="dxa"/>
            <w:vMerge w:val="continue"/>
            <w:vAlign w:val="center"/>
          </w:tcPr>
          <w:p>
            <w:pPr>
              <w:pStyle w:val="104"/>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914" w:type="dxa"/>
            <w:vMerge w:val="continue"/>
            <w:vAlign w:val="center"/>
          </w:tcPr>
          <w:p>
            <w:pPr>
              <w:pStyle w:val="104"/>
              <w:rPr>
                <w:color w:val="auto"/>
                <w:highlight w:val="none"/>
              </w:rPr>
            </w:pPr>
          </w:p>
        </w:tc>
        <w:tc>
          <w:tcPr>
            <w:tcW w:w="1506" w:type="dxa"/>
            <w:vMerge w:val="restart"/>
            <w:vAlign w:val="center"/>
          </w:tcPr>
          <w:p>
            <w:pPr>
              <w:pStyle w:val="104"/>
              <w:rPr>
                <w:color w:val="auto"/>
                <w:highlight w:val="none"/>
              </w:rPr>
            </w:pPr>
            <w:r>
              <w:rPr>
                <w:color w:val="auto"/>
                <w:highlight w:val="none"/>
              </w:rPr>
              <w:t>厂界</w:t>
            </w:r>
          </w:p>
        </w:tc>
        <w:tc>
          <w:tcPr>
            <w:tcW w:w="1183" w:type="dxa"/>
            <w:vAlign w:val="center"/>
          </w:tcPr>
          <w:p>
            <w:pPr>
              <w:pStyle w:val="104"/>
              <w:rPr>
                <w:color w:val="auto"/>
                <w:highlight w:val="none"/>
              </w:rPr>
            </w:pPr>
            <w:r>
              <w:rPr>
                <w:color w:val="auto"/>
                <w:highlight w:val="none"/>
              </w:rPr>
              <w:t>NH</w:t>
            </w:r>
            <w:r>
              <w:rPr>
                <w:color w:val="auto"/>
                <w:highlight w:val="none"/>
                <w:vertAlign w:val="subscript"/>
              </w:rPr>
              <w:t>3</w:t>
            </w:r>
          </w:p>
        </w:tc>
        <w:tc>
          <w:tcPr>
            <w:tcW w:w="971" w:type="dxa"/>
            <w:vMerge w:val="restart"/>
            <w:vAlign w:val="center"/>
          </w:tcPr>
          <w:p>
            <w:pPr>
              <w:pStyle w:val="104"/>
              <w:rPr>
                <w:color w:val="auto"/>
                <w:highlight w:val="none"/>
              </w:rPr>
            </w:pPr>
            <w:r>
              <w:rPr>
                <w:color w:val="auto"/>
                <w:highlight w:val="none"/>
              </w:rPr>
              <w:t>无组织</w:t>
            </w:r>
          </w:p>
        </w:tc>
        <w:tc>
          <w:tcPr>
            <w:tcW w:w="1963" w:type="dxa"/>
            <w:vMerge w:val="restart"/>
            <w:vAlign w:val="center"/>
          </w:tcPr>
          <w:p>
            <w:pPr>
              <w:pStyle w:val="104"/>
              <w:rPr>
                <w:color w:val="auto"/>
                <w:highlight w:val="none"/>
              </w:rPr>
            </w:pPr>
            <w:r>
              <w:rPr>
                <w:color w:val="auto"/>
                <w:highlight w:val="none"/>
              </w:rPr>
              <w:t>产污节点有组织收集</w:t>
            </w:r>
          </w:p>
        </w:tc>
        <w:tc>
          <w:tcPr>
            <w:tcW w:w="1078" w:type="dxa"/>
            <w:vAlign w:val="center"/>
          </w:tcPr>
          <w:p>
            <w:pPr>
              <w:pStyle w:val="104"/>
              <w:rPr>
                <w:color w:val="auto"/>
                <w:highlight w:val="none"/>
              </w:rPr>
            </w:pPr>
            <w:r>
              <w:rPr>
                <w:color w:val="auto"/>
                <w:highlight w:val="none"/>
              </w:rPr>
              <w:t>——</w:t>
            </w:r>
          </w:p>
        </w:tc>
        <w:tc>
          <w:tcPr>
            <w:tcW w:w="1117" w:type="dxa"/>
            <w:vAlign w:val="center"/>
          </w:tcPr>
          <w:p>
            <w:pPr>
              <w:pStyle w:val="104"/>
              <w:rPr>
                <w:color w:val="auto"/>
                <w:highlight w:val="none"/>
              </w:rPr>
            </w:pPr>
            <w:r>
              <w:rPr>
                <w:rFonts w:hint="eastAsia" w:ascii="Times New Roman" w:hAnsi="Times New Roman" w:eastAsia="宋体" w:cstheme="minorBidi"/>
                <w:color w:val="auto"/>
                <w:kern w:val="2"/>
                <w:sz w:val="21"/>
                <w:szCs w:val="24"/>
                <w:highlight w:val="none"/>
                <w:lang w:val="en-US" w:eastAsia="zh-CN" w:bidi="ar-SA"/>
              </w:rPr>
              <w:t>0.082</w:t>
            </w:r>
          </w:p>
        </w:tc>
        <w:tc>
          <w:tcPr>
            <w:tcW w:w="1064" w:type="dxa"/>
            <w:vAlign w:val="center"/>
          </w:tcPr>
          <w:p>
            <w:pPr>
              <w:pStyle w:val="104"/>
              <w:rPr>
                <w:color w:val="auto"/>
                <w:highlight w:val="none"/>
              </w:rPr>
            </w:pPr>
            <w:r>
              <w:rPr>
                <w:color w:val="auto"/>
                <w:highlight w:val="none"/>
              </w:rPr>
              <w:t>1.5</w:t>
            </w:r>
          </w:p>
        </w:tc>
        <w:tc>
          <w:tcPr>
            <w:tcW w:w="1921" w:type="dxa"/>
            <w:vAlign w:val="center"/>
          </w:tcPr>
          <w:p>
            <w:pPr>
              <w:pStyle w:val="104"/>
              <w:rPr>
                <w:color w:val="auto"/>
                <w:highlight w:val="none"/>
              </w:rPr>
            </w:pPr>
            <w:r>
              <w:rPr>
                <w:color w:val="auto"/>
                <w:highlight w:val="none"/>
              </w:rPr>
              <w:t>——</w:t>
            </w:r>
          </w:p>
        </w:tc>
        <w:tc>
          <w:tcPr>
            <w:tcW w:w="2411" w:type="dxa"/>
            <w:vMerge w:val="restart"/>
            <w:vAlign w:val="center"/>
          </w:tcPr>
          <w:p>
            <w:pPr>
              <w:pStyle w:val="104"/>
              <w:rPr>
                <w:color w:val="auto"/>
                <w:highlight w:val="none"/>
              </w:rPr>
            </w:pPr>
            <w:r>
              <w:rPr>
                <w:color w:val="auto"/>
                <w:highlight w:val="none"/>
              </w:rPr>
              <w:t>《恶臭污染物排放标准》（GB14554-93）表1恶臭污染物厂界标准值新改扩建二级标准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914" w:type="dxa"/>
            <w:vMerge w:val="continue"/>
            <w:vAlign w:val="center"/>
          </w:tcPr>
          <w:p>
            <w:pPr>
              <w:pStyle w:val="104"/>
              <w:rPr>
                <w:color w:val="auto"/>
                <w:highlight w:val="none"/>
              </w:rPr>
            </w:pPr>
          </w:p>
        </w:tc>
        <w:tc>
          <w:tcPr>
            <w:tcW w:w="1506" w:type="dxa"/>
            <w:vMerge w:val="continue"/>
            <w:vAlign w:val="center"/>
          </w:tcPr>
          <w:p>
            <w:pPr>
              <w:pStyle w:val="104"/>
              <w:rPr>
                <w:color w:val="auto"/>
                <w:highlight w:val="none"/>
              </w:rPr>
            </w:pPr>
          </w:p>
        </w:tc>
        <w:tc>
          <w:tcPr>
            <w:tcW w:w="1183" w:type="dxa"/>
            <w:vAlign w:val="center"/>
          </w:tcPr>
          <w:p>
            <w:pPr>
              <w:pStyle w:val="104"/>
              <w:rPr>
                <w:color w:val="auto"/>
                <w:highlight w:val="none"/>
              </w:rPr>
            </w:pPr>
            <w:r>
              <w:rPr>
                <w:color w:val="auto"/>
                <w:highlight w:val="none"/>
              </w:rPr>
              <w:t>H</w:t>
            </w:r>
            <w:r>
              <w:rPr>
                <w:color w:val="auto"/>
                <w:highlight w:val="none"/>
                <w:vertAlign w:val="subscript"/>
              </w:rPr>
              <w:t>2</w:t>
            </w:r>
            <w:r>
              <w:rPr>
                <w:color w:val="auto"/>
                <w:highlight w:val="none"/>
              </w:rPr>
              <w:t>S</w:t>
            </w:r>
          </w:p>
        </w:tc>
        <w:tc>
          <w:tcPr>
            <w:tcW w:w="971" w:type="dxa"/>
            <w:vMerge w:val="continue"/>
            <w:vAlign w:val="center"/>
          </w:tcPr>
          <w:p>
            <w:pPr>
              <w:pStyle w:val="104"/>
              <w:rPr>
                <w:color w:val="auto"/>
                <w:highlight w:val="none"/>
              </w:rPr>
            </w:pPr>
          </w:p>
        </w:tc>
        <w:tc>
          <w:tcPr>
            <w:tcW w:w="1963" w:type="dxa"/>
            <w:vMerge w:val="continue"/>
            <w:vAlign w:val="center"/>
          </w:tcPr>
          <w:p>
            <w:pPr>
              <w:pStyle w:val="104"/>
              <w:rPr>
                <w:color w:val="auto"/>
                <w:highlight w:val="none"/>
              </w:rPr>
            </w:pPr>
          </w:p>
        </w:tc>
        <w:tc>
          <w:tcPr>
            <w:tcW w:w="1078" w:type="dxa"/>
            <w:vAlign w:val="center"/>
          </w:tcPr>
          <w:p>
            <w:pPr>
              <w:pStyle w:val="104"/>
              <w:rPr>
                <w:color w:val="auto"/>
                <w:highlight w:val="none"/>
              </w:rPr>
            </w:pPr>
            <w:r>
              <w:rPr>
                <w:color w:val="auto"/>
                <w:highlight w:val="none"/>
              </w:rPr>
              <w:t>——</w:t>
            </w:r>
          </w:p>
        </w:tc>
        <w:tc>
          <w:tcPr>
            <w:tcW w:w="1117" w:type="dxa"/>
            <w:vAlign w:val="center"/>
          </w:tcPr>
          <w:p>
            <w:pPr>
              <w:pStyle w:val="104"/>
              <w:rPr>
                <w:color w:val="auto"/>
                <w:highlight w:val="none"/>
              </w:rPr>
            </w:pPr>
            <w:r>
              <w:rPr>
                <w:rFonts w:hint="eastAsia" w:ascii="Times New Roman" w:hAnsi="Times New Roman" w:eastAsia="宋体" w:cstheme="minorBidi"/>
                <w:color w:val="auto"/>
                <w:kern w:val="2"/>
                <w:sz w:val="21"/>
                <w:szCs w:val="24"/>
                <w:highlight w:val="none"/>
                <w:lang w:val="en-US" w:eastAsia="zh-CN" w:bidi="ar-SA"/>
              </w:rPr>
              <w:t>0.002</w:t>
            </w:r>
          </w:p>
        </w:tc>
        <w:tc>
          <w:tcPr>
            <w:tcW w:w="1064" w:type="dxa"/>
            <w:vAlign w:val="center"/>
          </w:tcPr>
          <w:p>
            <w:pPr>
              <w:pStyle w:val="104"/>
              <w:rPr>
                <w:color w:val="auto"/>
                <w:highlight w:val="none"/>
              </w:rPr>
            </w:pPr>
            <w:r>
              <w:rPr>
                <w:color w:val="auto"/>
                <w:highlight w:val="none"/>
              </w:rPr>
              <w:t>0.06</w:t>
            </w:r>
          </w:p>
        </w:tc>
        <w:tc>
          <w:tcPr>
            <w:tcW w:w="1921" w:type="dxa"/>
            <w:vAlign w:val="center"/>
          </w:tcPr>
          <w:p>
            <w:pPr>
              <w:pStyle w:val="104"/>
              <w:rPr>
                <w:color w:val="auto"/>
                <w:highlight w:val="none"/>
              </w:rPr>
            </w:pPr>
            <w:r>
              <w:rPr>
                <w:color w:val="auto"/>
                <w:highlight w:val="none"/>
              </w:rPr>
              <w:t>——</w:t>
            </w:r>
          </w:p>
        </w:tc>
        <w:tc>
          <w:tcPr>
            <w:tcW w:w="2411" w:type="dxa"/>
            <w:vMerge w:val="continue"/>
            <w:vAlign w:val="center"/>
          </w:tcPr>
          <w:p>
            <w:pPr>
              <w:pStyle w:val="104"/>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914" w:type="dxa"/>
            <w:vAlign w:val="center"/>
          </w:tcPr>
          <w:p>
            <w:pPr>
              <w:pStyle w:val="104"/>
              <w:rPr>
                <w:color w:val="auto"/>
                <w:highlight w:val="none"/>
              </w:rPr>
            </w:pPr>
            <w:r>
              <w:rPr>
                <w:color w:val="auto"/>
                <w:highlight w:val="none"/>
              </w:rPr>
              <w:t>废水</w:t>
            </w:r>
          </w:p>
        </w:tc>
        <w:tc>
          <w:tcPr>
            <w:tcW w:w="1506" w:type="dxa"/>
            <w:vAlign w:val="center"/>
          </w:tcPr>
          <w:p>
            <w:pPr>
              <w:pStyle w:val="104"/>
              <w:rPr>
                <w:color w:val="auto"/>
                <w:highlight w:val="none"/>
              </w:rPr>
            </w:pPr>
            <w:r>
              <w:rPr>
                <w:rFonts w:hint="eastAsia"/>
                <w:color w:val="auto"/>
                <w:highlight w:val="none"/>
              </w:rPr>
              <w:t>园区企业来水</w:t>
            </w:r>
          </w:p>
        </w:tc>
        <w:tc>
          <w:tcPr>
            <w:tcW w:w="1183" w:type="dxa"/>
            <w:vAlign w:val="center"/>
          </w:tcPr>
          <w:p>
            <w:pPr>
              <w:pStyle w:val="104"/>
              <w:rPr>
                <w:color w:val="auto"/>
                <w:highlight w:val="none"/>
              </w:rPr>
            </w:pPr>
            <w:r>
              <w:rPr>
                <w:color w:val="auto"/>
                <w:highlight w:val="none"/>
              </w:rPr>
              <w:t>COD、石油类、SS、氨氮</w:t>
            </w:r>
          </w:p>
        </w:tc>
        <w:tc>
          <w:tcPr>
            <w:tcW w:w="971" w:type="dxa"/>
            <w:vAlign w:val="center"/>
          </w:tcPr>
          <w:p>
            <w:pPr>
              <w:pStyle w:val="104"/>
              <w:rPr>
                <w:color w:val="auto"/>
                <w:highlight w:val="none"/>
              </w:rPr>
            </w:pPr>
            <w:r>
              <w:rPr>
                <w:rFonts w:hint="eastAsia"/>
                <w:color w:val="auto"/>
                <w:highlight w:val="none"/>
              </w:rPr>
              <w:t>冬储夏罐</w:t>
            </w:r>
          </w:p>
        </w:tc>
        <w:tc>
          <w:tcPr>
            <w:tcW w:w="1963" w:type="dxa"/>
            <w:vAlign w:val="center"/>
          </w:tcPr>
          <w:p>
            <w:pPr>
              <w:pStyle w:val="104"/>
              <w:rPr>
                <w:color w:val="auto"/>
                <w:highlight w:val="none"/>
              </w:rPr>
            </w:pPr>
            <w:r>
              <w:rPr>
                <w:rFonts w:hint="eastAsia"/>
                <w:color w:val="auto"/>
                <w:highlight w:val="none"/>
              </w:rPr>
              <w:t>采用“预处理+调节池+AAO生物池＋高效沉淀池+反硝化深床滤池+接触消毒池”工艺。</w:t>
            </w:r>
          </w:p>
        </w:tc>
        <w:tc>
          <w:tcPr>
            <w:tcW w:w="1078" w:type="dxa"/>
            <w:vAlign w:val="center"/>
          </w:tcPr>
          <w:p>
            <w:pPr>
              <w:pStyle w:val="104"/>
              <w:rPr>
                <w:color w:val="auto"/>
                <w:highlight w:val="none"/>
              </w:rPr>
            </w:pPr>
            <w:r>
              <w:rPr>
                <w:color w:val="auto"/>
                <w:highlight w:val="none"/>
              </w:rPr>
              <w:t>——</w:t>
            </w:r>
          </w:p>
        </w:tc>
        <w:tc>
          <w:tcPr>
            <w:tcW w:w="1117" w:type="dxa"/>
            <w:vAlign w:val="center"/>
          </w:tcPr>
          <w:p>
            <w:pPr>
              <w:pStyle w:val="104"/>
              <w:rPr>
                <w:color w:val="auto"/>
                <w:highlight w:val="none"/>
              </w:rPr>
            </w:pPr>
            <w:r>
              <w:rPr>
                <w:color w:val="auto"/>
                <w:highlight w:val="none"/>
              </w:rPr>
              <w:t>——</w:t>
            </w:r>
          </w:p>
        </w:tc>
        <w:tc>
          <w:tcPr>
            <w:tcW w:w="1064" w:type="dxa"/>
            <w:vAlign w:val="center"/>
          </w:tcPr>
          <w:p>
            <w:pPr>
              <w:pStyle w:val="104"/>
              <w:rPr>
                <w:color w:val="auto"/>
                <w:highlight w:val="none"/>
              </w:rPr>
            </w:pPr>
            <w:r>
              <w:rPr>
                <w:color w:val="auto"/>
                <w:highlight w:val="none"/>
              </w:rPr>
              <w:t>——</w:t>
            </w:r>
          </w:p>
        </w:tc>
        <w:tc>
          <w:tcPr>
            <w:tcW w:w="1921" w:type="dxa"/>
            <w:vAlign w:val="center"/>
          </w:tcPr>
          <w:p>
            <w:pPr>
              <w:pStyle w:val="104"/>
              <w:rPr>
                <w:color w:val="auto"/>
                <w:highlight w:val="none"/>
              </w:rPr>
            </w:pPr>
            <w:r>
              <w:rPr>
                <w:color w:val="auto"/>
                <w:highlight w:val="none"/>
              </w:rPr>
              <w:t>——</w:t>
            </w:r>
          </w:p>
        </w:tc>
        <w:tc>
          <w:tcPr>
            <w:tcW w:w="2411" w:type="dxa"/>
            <w:vAlign w:val="center"/>
          </w:tcPr>
          <w:p>
            <w:pPr>
              <w:pStyle w:val="104"/>
              <w:rPr>
                <w:color w:val="auto"/>
                <w:highlight w:val="none"/>
              </w:rPr>
            </w:pPr>
            <w:r>
              <w:rPr>
                <w:rFonts w:hint="eastAsia"/>
                <w:color w:val="auto"/>
                <w:highlight w:val="none"/>
              </w:rPr>
              <w:t>《城镇污水处理厂污染物排放标准》（GB18918－2002）一级A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2420" w:type="dxa"/>
            <w:gridSpan w:val="2"/>
            <w:vMerge w:val="restart"/>
            <w:vAlign w:val="center"/>
          </w:tcPr>
          <w:p>
            <w:pPr>
              <w:pStyle w:val="104"/>
              <w:rPr>
                <w:color w:val="auto"/>
                <w:highlight w:val="none"/>
              </w:rPr>
            </w:pPr>
            <w:r>
              <w:rPr>
                <w:color w:val="auto"/>
                <w:highlight w:val="none"/>
              </w:rPr>
              <w:t>固体废物</w:t>
            </w:r>
          </w:p>
        </w:tc>
        <w:tc>
          <w:tcPr>
            <w:tcW w:w="1183" w:type="dxa"/>
            <w:vAlign w:val="center"/>
          </w:tcPr>
          <w:p>
            <w:pPr>
              <w:keepNext w:val="0"/>
              <w:keepLines w:val="0"/>
              <w:widowControl/>
              <w:suppressLineNumbers w:val="0"/>
              <w:ind w:left="0" w:leftChars="0" w:firstLine="0" w:firstLineChars="0"/>
              <w:jc w:val="both"/>
              <w:textAlignment w:val="center"/>
              <w:rPr>
                <w:color w:val="auto"/>
                <w:highlight w:val="none"/>
              </w:rPr>
            </w:pPr>
            <w:r>
              <w:rPr>
                <w:rFonts w:hint="eastAsia" w:ascii="宋体" w:hAnsi="宋体" w:eastAsia="宋体" w:cs="宋体"/>
                <w:i w:val="0"/>
                <w:iCs w:val="0"/>
                <w:color w:val="auto"/>
                <w:kern w:val="0"/>
                <w:sz w:val="21"/>
                <w:szCs w:val="21"/>
                <w:highlight w:val="none"/>
                <w:u w:val="none"/>
                <w:lang w:val="en-US" w:eastAsia="zh-CN" w:bidi="ar"/>
              </w:rPr>
              <w:t>污泥（含水率</w:t>
            </w:r>
            <w:r>
              <w:rPr>
                <w:rFonts w:hint="default" w:ascii="Times New Roman" w:hAnsi="Times New Roman" w:eastAsia="宋体" w:cs="Times New Roman"/>
                <w:i w:val="0"/>
                <w:iCs w:val="0"/>
                <w:color w:val="auto"/>
                <w:kern w:val="0"/>
                <w:sz w:val="21"/>
                <w:szCs w:val="21"/>
                <w:highlight w:val="none"/>
                <w:u w:val="none"/>
                <w:lang w:val="en-US" w:eastAsia="zh-CN" w:bidi="ar"/>
              </w:rPr>
              <w:t>60%</w:t>
            </w:r>
            <w:r>
              <w:rPr>
                <w:rFonts w:hint="eastAsia" w:ascii="宋体" w:hAnsi="宋体" w:eastAsia="宋体" w:cs="宋体"/>
                <w:i w:val="0"/>
                <w:iCs w:val="0"/>
                <w:color w:val="auto"/>
                <w:kern w:val="0"/>
                <w:sz w:val="21"/>
                <w:szCs w:val="21"/>
                <w:highlight w:val="none"/>
                <w:u w:val="none"/>
                <w:lang w:val="en-US" w:eastAsia="zh-CN" w:bidi="ar"/>
              </w:rPr>
              <w:t>）</w:t>
            </w:r>
          </w:p>
        </w:tc>
        <w:tc>
          <w:tcPr>
            <w:tcW w:w="971" w:type="dxa"/>
            <w:vAlign w:val="center"/>
          </w:tcPr>
          <w:p>
            <w:pPr>
              <w:pStyle w:val="104"/>
              <w:rPr>
                <w:rFonts w:hint="eastAsia" w:eastAsia="宋体"/>
                <w:color w:val="auto"/>
                <w:highlight w:val="none"/>
                <w:lang w:val="en-US" w:eastAsia="zh-CN"/>
              </w:rPr>
            </w:pPr>
            <w:r>
              <w:rPr>
                <w:rFonts w:hint="eastAsia"/>
                <w:color w:val="auto"/>
                <w:highlight w:val="none"/>
                <w:lang w:val="en-US" w:eastAsia="zh-CN"/>
              </w:rPr>
              <w:t>-</w:t>
            </w:r>
          </w:p>
        </w:tc>
        <w:tc>
          <w:tcPr>
            <w:tcW w:w="1963" w:type="dxa"/>
            <w:vMerge w:val="restart"/>
            <w:vAlign w:val="center"/>
          </w:tcPr>
          <w:p>
            <w:pPr>
              <w:pStyle w:val="104"/>
              <w:rPr>
                <w:color w:val="auto"/>
                <w:highlight w:val="none"/>
                <w:lang w:bidi="en-US"/>
              </w:rPr>
            </w:pPr>
            <w:r>
              <w:rPr>
                <w:rFonts w:hint="eastAsia"/>
                <w:color w:val="auto"/>
                <w:highlight w:val="none"/>
                <w:lang w:bidi="en-US"/>
              </w:rPr>
              <w:t>属于一般工业固体废物，暂存于厂区内，定期委托环卫部门清运</w:t>
            </w:r>
          </w:p>
        </w:tc>
        <w:tc>
          <w:tcPr>
            <w:tcW w:w="2195" w:type="dxa"/>
            <w:gridSpan w:val="2"/>
            <w:vAlign w:val="center"/>
          </w:tcPr>
          <w:p>
            <w:pPr>
              <w:keepNext w:val="0"/>
              <w:keepLines w:val="0"/>
              <w:widowControl/>
              <w:suppressLineNumbers w:val="0"/>
              <w:ind w:firstLine="420" w:firstLineChars="200"/>
              <w:jc w:val="center"/>
              <w:textAlignment w:val="center"/>
              <w:rPr>
                <w:rFonts w:hint="default"/>
                <w:color w:val="auto"/>
                <w:highlight w:val="none"/>
                <w:lang w:val="en-US"/>
              </w:rPr>
            </w:pPr>
            <w:r>
              <w:rPr>
                <w:rFonts w:hint="eastAsia" w:cs="Times New Roman"/>
                <w:i w:val="0"/>
                <w:iCs w:val="0"/>
                <w:color w:val="auto"/>
                <w:kern w:val="0"/>
                <w:sz w:val="21"/>
                <w:szCs w:val="21"/>
                <w:highlight w:val="none"/>
                <w:u w:val="none"/>
                <w:lang w:val="en-US" w:eastAsia="zh-CN" w:bidi="ar"/>
              </w:rPr>
              <w:t>9537.52t/a</w:t>
            </w:r>
          </w:p>
        </w:tc>
        <w:tc>
          <w:tcPr>
            <w:tcW w:w="1064" w:type="dxa"/>
            <w:vAlign w:val="center"/>
          </w:tcPr>
          <w:p>
            <w:pPr>
              <w:pStyle w:val="104"/>
              <w:rPr>
                <w:color w:val="auto"/>
                <w:highlight w:val="none"/>
              </w:rPr>
            </w:pPr>
            <w:r>
              <w:rPr>
                <w:color w:val="auto"/>
                <w:highlight w:val="none"/>
              </w:rPr>
              <w:t>——</w:t>
            </w:r>
          </w:p>
        </w:tc>
        <w:tc>
          <w:tcPr>
            <w:tcW w:w="1921" w:type="dxa"/>
            <w:vAlign w:val="center"/>
          </w:tcPr>
          <w:p>
            <w:pPr>
              <w:pStyle w:val="104"/>
              <w:rPr>
                <w:color w:val="auto"/>
                <w:highlight w:val="none"/>
              </w:rPr>
            </w:pPr>
            <w:r>
              <w:rPr>
                <w:color w:val="auto"/>
                <w:highlight w:val="none"/>
              </w:rPr>
              <w:t>——</w:t>
            </w:r>
          </w:p>
        </w:tc>
        <w:tc>
          <w:tcPr>
            <w:tcW w:w="2411" w:type="dxa"/>
            <w:vAlign w:val="center"/>
          </w:tcPr>
          <w:p>
            <w:pPr>
              <w:pStyle w:val="104"/>
              <w:rPr>
                <w:rFonts w:hint="default" w:eastAsia="宋体"/>
                <w:color w:val="auto"/>
                <w:highlight w:val="none"/>
                <w:lang w:val="en-US" w:eastAsia="zh-CN"/>
              </w:rPr>
            </w:pP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2420" w:type="dxa"/>
            <w:gridSpan w:val="2"/>
            <w:vMerge w:val="continue"/>
            <w:vAlign w:val="center"/>
          </w:tcPr>
          <w:p>
            <w:pPr>
              <w:pStyle w:val="104"/>
              <w:rPr>
                <w:color w:val="auto"/>
                <w:highlight w:val="none"/>
              </w:rPr>
            </w:pPr>
          </w:p>
        </w:tc>
        <w:tc>
          <w:tcPr>
            <w:tcW w:w="1183" w:type="dxa"/>
            <w:vAlign w:val="center"/>
          </w:tcPr>
          <w:p>
            <w:pPr>
              <w:keepNext w:val="0"/>
              <w:keepLines w:val="0"/>
              <w:widowControl/>
              <w:suppressLineNumbers w:val="0"/>
              <w:ind w:left="0" w:leftChars="0" w:firstLine="0" w:firstLineChars="0"/>
              <w:jc w:val="both"/>
              <w:textAlignment w:val="center"/>
              <w:rPr>
                <w:color w:val="auto"/>
                <w:highlight w:val="none"/>
              </w:rPr>
            </w:pPr>
            <w:r>
              <w:rPr>
                <w:rFonts w:hint="eastAsia" w:ascii="宋体" w:hAnsi="宋体" w:eastAsia="宋体" w:cs="宋体"/>
                <w:i w:val="0"/>
                <w:iCs w:val="0"/>
                <w:color w:val="auto"/>
                <w:kern w:val="0"/>
                <w:sz w:val="21"/>
                <w:szCs w:val="21"/>
                <w:highlight w:val="none"/>
                <w:u w:val="none"/>
                <w:lang w:val="en-US" w:eastAsia="zh-CN" w:bidi="ar"/>
              </w:rPr>
              <w:t>栅渣及沉砂</w:t>
            </w:r>
          </w:p>
        </w:tc>
        <w:tc>
          <w:tcPr>
            <w:tcW w:w="971" w:type="dxa"/>
            <w:vAlign w:val="center"/>
          </w:tcPr>
          <w:p>
            <w:pPr>
              <w:pStyle w:val="104"/>
              <w:rPr>
                <w:color w:val="auto"/>
                <w:highlight w:val="none"/>
              </w:rPr>
            </w:pPr>
            <w:r>
              <w:rPr>
                <w:color w:val="auto"/>
                <w:highlight w:val="none"/>
              </w:rPr>
              <w:t>——</w:t>
            </w:r>
          </w:p>
        </w:tc>
        <w:tc>
          <w:tcPr>
            <w:tcW w:w="1963" w:type="dxa"/>
            <w:vMerge w:val="continue"/>
            <w:vAlign w:val="center"/>
          </w:tcPr>
          <w:p>
            <w:pPr>
              <w:pStyle w:val="104"/>
              <w:rPr>
                <w:color w:val="auto"/>
                <w:highlight w:val="none"/>
                <w:lang w:bidi="en-US"/>
              </w:rPr>
            </w:pPr>
          </w:p>
        </w:tc>
        <w:tc>
          <w:tcPr>
            <w:tcW w:w="2195" w:type="dxa"/>
            <w:gridSpan w:val="2"/>
            <w:vAlign w:val="center"/>
          </w:tcPr>
          <w:p>
            <w:pPr>
              <w:keepNext w:val="0"/>
              <w:keepLines w:val="0"/>
              <w:widowControl/>
              <w:suppressLineNumbers w:val="0"/>
              <w:ind w:firstLine="420" w:firstLineChars="200"/>
              <w:jc w:val="center"/>
              <w:textAlignment w:val="center"/>
              <w:rPr>
                <w:color w:val="auto"/>
                <w:highlight w:val="none"/>
                <w:lang w:bidi="en-US"/>
              </w:rPr>
            </w:pPr>
            <w:r>
              <w:rPr>
                <w:rFonts w:hint="eastAsia" w:cs="Times New Roman"/>
                <w:i w:val="0"/>
                <w:iCs w:val="0"/>
                <w:color w:val="auto"/>
                <w:kern w:val="0"/>
                <w:sz w:val="21"/>
                <w:szCs w:val="21"/>
                <w:highlight w:val="none"/>
                <w:u w:val="none"/>
                <w:lang w:val="en-US" w:eastAsia="zh-CN" w:bidi="ar"/>
              </w:rPr>
              <w:t>24.27t/a</w:t>
            </w:r>
          </w:p>
        </w:tc>
        <w:tc>
          <w:tcPr>
            <w:tcW w:w="1064" w:type="dxa"/>
            <w:vAlign w:val="center"/>
          </w:tcPr>
          <w:p>
            <w:pPr>
              <w:pStyle w:val="104"/>
              <w:rPr>
                <w:color w:val="auto"/>
                <w:highlight w:val="none"/>
              </w:rPr>
            </w:pPr>
            <w:r>
              <w:rPr>
                <w:color w:val="auto"/>
                <w:highlight w:val="none"/>
              </w:rPr>
              <w:t>——</w:t>
            </w:r>
          </w:p>
        </w:tc>
        <w:tc>
          <w:tcPr>
            <w:tcW w:w="1921" w:type="dxa"/>
            <w:vAlign w:val="center"/>
          </w:tcPr>
          <w:p>
            <w:pPr>
              <w:pStyle w:val="104"/>
              <w:rPr>
                <w:color w:val="auto"/>
                <w:highlight w:val="none"/>
              </w:rPr>
            </w:pPr>
            <w:r>
              <w:rPr>
                <w:color w:val="auto"/>
                <w:highlight w:val="none"/>
              </w:rPr>
              <w:t>——</w:t>
            </w:r>
          </w:p>
        </w:tc>
        <w:tc>
          <w:tcPr>
            <w:tcW w:w="2411" w:type="dxa"/>
            <w:vAlign w:val="center"/>
          </w:tcPr>
          <w:p>
            <w:pPr>
              <w:pStyle w:val="104"/>
              <w:rPr>
                <w:color w:val="auto"/>
                <w:highlight w:val="none"/>
              </w:rPr>
            </w:pP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2420" w:type="dxa"/>
            <w:gridSpan w:val="2"/>
            <w:vMerge w:val="continue"/>
            <w:vAlign w:val="center"/>
          </w:tcPr>
          <w:p>
            <w:pPr>
              <w:pStyle w:val="104"/>
              <w:rPr>
                <w:color w:val="auto"/>
                <w:highlight w:val="none"/>
                <w:lang w:bidi="en-US"/>
              </w:rPr>
            </w:pPr>
          </w:p>
        </w:tc>
        <w:tc>
          <w:tcPr>
            <w:tcW w:w="1183" w:type="dxa"/>
            <w:vAlign w:val="center"/>
          </w:tcPr>
          <w:p>
            <w:pPr>
              <w:keepNext w:val="0"/>
              <w:keepLines w:val="0"/>
              <w:widowControl/>
              <w:suppressLineNumbers w:val="0"/>
              <w:ind w:left="0" w:leftChars="0" w:firstLine="0" w:firstLineChars="0"/>
              <w:jc w:val="both"/>
              <w:textAlignment w:val="center"/>
              <w:rPr>
                <w:color w:val="auto"/>
                <w:highlight w:val="none"/>
                <w:lang w:bidi="en-US"/>
              </w:rPr>
            </w:pPr>
            <w:r>
              <w:rPr>
                <w:rFonts w:hint="eastAsia" w:ascii="宋体" w:hAnsi="宋体" w:eastAsia="宋体" w:cs="宋体"/>
                <w:i w:val="0"/>
                <w:iCs w:val="0"/>
                <w:color w:val="auto"/>
                <w:kern w:val="0"/>
                <w:sz w:val="21"/>
                <w:szCs w:val="21"/>
                <w:highlight w:val="none"/>
                <w:u w:val="none"/>
                <w:lang w:val="en-US" w:eastAsia="zh-CN" w:bidi="ar"/>
              </w:rPr>
              <w:t>生活垃圾</w:t>
            </w:r>
          </w:p>
        </w:tc>
        <w:tc>
          <w:tcPr>
            <w:tcW w:w="971" w:type="dxa"/>
            <w:vAlign w:val="center"/>
          </w:tcPr>
          <w:p>
            <w:pPr>
              <w:pStyle w:val="104"/>
              <w:rPr>
                <w:color w:val="auto"/>
                <w:highlight w:val="none"/>
              </w:rPr>
            </w:pPr>
            <w:r>
              <w:rPr>
                <w:color w:val="auto"/>
                <w:highlight w:val="none"/>
              </w:rPr>
              <w:t>——</w:t>
            </w:r>
          </w:p>
        </w:tc>
        <w:tc>
          <w:tcPr>
            <w:tcW w:w="1963" w:type="dxa"/>
            <w:vMerge w:val="continue"/>
            <w:vAlign w:val="center"/>
          </w:tcPr>
          <w:p>
            <w:pPr>
              <w:pStyle w:val="104"/>
              <w:rPr>
                <w:color w:val="auto"/>
                <w:highlight w:val="none"/>
                <w:lang w:bidi="en-US"/>
              </w:rPr>
            </w:pPr>
          </w:p>
        </w:tc>
        <w:tc>
          <w:tcPr>
            <w:tcW w:w="2195" w:type="dxa"/>
            <w:gridSpan w:val="2"/>
            <w:vAlign w:val="center"/>
          </w:tcPr>
          <w:p>
            <w:pPr>
              <w:keepNext w:val="0"/>
              <w:keepLines w:val="0"/>
              <w:widowControl/>
              <w:suppressLineNumbers w:val="0"/>
              <w:ind w:firstLine="420" w:firstLineChars="200"/>
              <w:jc w:val="center"/>
              <w:textAlignment w:val="center"/>
              <w:rPr>
                <w:color w:val="auto"/>
                <w:highlight w:val="none"/>
                <w:lang w:bidi="en-US"/>
              </w:rPr>
            </w:pPr>
            <w:r>
              <w:rPr>
                <w:rFonts w:hint="default" w:ascii="Times New Roman" w:hAnsi="Times New Roman" w:eastAsia="宋体" w:cs="Times New Roman"/>
                <w:i w:val="0"/>
                <w:iCs w:val="0"/>
                <w:color w:val="auto"/>
                <w:kern w:val="0"/>
                <w:sz w:val="21"/>
                <w:szCs w:val="21"/>
                <w:highlight w:val="none"/>
                <w:u w:val="none"/>
                <w:lang w:val="en-US" w:eastAsia="zh-CN" w:bidi="ar"/>
              </w:rPr>
              <w:t>4.38</w:t>
            </w:r>
            <w:r>
              <w:rPr>
                <w:rFonts w:hint="eastAsia" w:cs="Times New Roman"/>
                <w:i w:val="0"/>
                <w:iCs w:val="0"/>
                <w:color w:val="auto"/>
                <w:kern w:val="0"/>
                <w:sz w:val="21"/>
                <w:szCs w:val="21"/>
                <w:highlight w:val="none"/>
                <w:u w:val="none"/>
                <w:lang w:val="en-US" w:eastAsia="zh-CN" w:bidi="ar"/>
              </w:rPr>
              <w:t>t/a</w:t>
            </w:r>
          </w:p>
        </w:tc>
        <w:tc>
          <w:tcPr>
            <w:tcW w:w="1064" w:type="dxa"/>
            <w:vAlign w:val="center"/>
          </w:tcPr>
          <w:p>
            <w:pPr>
              <w:pStyle w:val="104"/>
              <w:rPr>
                <w:color w:val="auto"/>
                <w:highlight w:val="none"/>
              </w:rPr>
            </w:pPr>
            <w:r>
              <w:rPr>
                <w:color w:val="auto"/>
                <w:highlight w:val="none"/>
              </w:rPr>
              <w:t>——</w:t>
            </w:r>
          </w:p>
        </w:tc>
        <w:tc>
          <w:tcPr>
            <w:tcW w:w="1921" w:type="dxa"/>
            <w:vAlign w:val="center"/>
          </w:tcPr>
          <w:p>
            <w:pPr>
              <w:pStyle w:val="104"/>
              <w:rPr>
                <w:color w:val="auto"/>
                <w:highlight w:val="none"/>
              </w:rPr>
            </w:pPr>
            <w:r>
              <w:rPr>
                <w:color w:val="auto"/>
                <w:highlight w:val="none"/>
              </w:rPr>
              <w:t>——</w:t>
            </w:r>
          </w:p>
        </w:tc>
        <w:tc>
          <w:tcPr>
            <w:tcW w:w="2411" w:type="dxa"/>
            <w:vAlign w:val="center"/>
          </w:tcPr>
          <w:p>
            <w:pPr>
              <w:pStyle w:val="104"/>
              <w:rPr>
                <w:color w:val="auto"/>
                <w:highlight w:val="none"/>
              </w:rPr>
            </w:pP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2420" w:type="dxa"/>
            <w:gridSpan w:val="2"/>
            <w:vMerge w:val="continue"/>
            <w:vAlign w:val="center"/>
          </w:tcPr>
          <w:p>
            <w:pPr>
              <w:pStyle w:val="104"/>
              <w:rPr>
                <w:color w:val="auto"/>
                <w:highlight w:val="none"/>
              </w:rPr>
            </w:pPr>
          </w:p>
        </w:tc>
        <w:tc>
          <w:tcPr>
            <w:tcW w:w="1183" w:type="dxa"/>
            <w:vAlign w:val="center"/>
          </w:tcPr>
          <w:p>
            <w:pPr>
              <w:keepNext w:val="0"/>
              <w:keepLines w:val="0"/>
              <w:widowControl/>
              <w:suppressLineNumbers w:val="0"/>
              <w:ind w:left="0" w:leftChars="0" w:firstLine="0" w:firstLineChars="0"/>
              <w:jc w:val="both"/>
              <w:textAlignment w:val="center"/>
              <w:rPr>
                <w:color w:val="auto"/>
                <w:highlight w:val="none"/>
              </w:rPr>
            </w:pPr>
            <w:r>
              <w:rPr>
                <w:rFonts w:hint="eastAsia" w:ascii="宋体" w:hAnsi="宋体" w:eastAsia="宋体" w:cs="宋体"/>
                <w:i w:val="0"/>
                <w:iCs w:val="0"/>
                <w:color w:val="auto"/>
                <w:kern w:val="0"/>
                <w:sz w:val="21"/>
                <w:szCs w:val="21"/>
                <w:highlight w:val="none"/>
                <w:u w:val="none"/>
                <w:lang w:val="en-US" w:eastAsia="zh-CN" w:bidi="ar"/>
              </w:rPr>
              <w:t>废润滑油</w:t>
            </w:r>
          </w:p>
        </w:tc>
        <w:tc>
          <w:tcPr>
            <w:tcW w:w="971" w:type="dxa"/>
            <w:vMerge w:val="restart"/>
            <w:vAlign w:val="center"/>
          </w:tcPr>
          <w:p>
            <w:pPr>
              <w:pStyle w:val="104"/>
              <w:rPr>
                <w:rFonts w:ascii="Times New Roman" w:hAnsi="Times New Roman" w:eastAsia="宋体" w:cstheme="minorBidi"/>
                <w:color w:val="auto"/>
                <w:kern w:val="2"/>
                <w:sz w:val="21"/>
                <w:szCs w:val="24"/>
                <w:highlight w:val="none"/>
                <w:lang w:val="en-US" w:eastAsia="zh-CN" w:bidi="ar-SA"/>
              </w:rPr>
            </w:pPr>
            <w:r>
              <w:rPr>
                <w:color w:val="auto"/>
                <w:highlight w:val="none"/>
              </w:rPr>
              <w:t>危险废物</w:t>
            </w:r>
          </w:p>
        </w:tc>
        <w:tc>
          <w:tcPr>
            <w:tcW w:w="1963" w:type="dxa"/>
            <w:vMerge w:val="restart"/>
            <w:vAlign w:val="center"/>
          </w:tcPr>
          <w:p>
            <w:pPr>
              <w:pStyle w:val="104"/>
              <w:rPr>
                <w:rFonts w:ascii="Times New Roman" w:hAnsi="Times New Roman" w:eastAsia="宋体" w:cstheme="minorBidi"/>
                <w:color w:val="auto"/>
                <w:kern w:val="2"/>
                <w:sz w:val="21"/>
                <w:szCs w:val="24"/>
                <w:highlight w:val="none"/>
                <w:lang w:val="en-US" w:eastAsia="zh-CN" w:bidi="ar-SA"/>
              </w:rPr>
            </w:pPr>
            <w:r>
              <w:rPr>
                <w:rFonts w:hint="eastAsia"/>
                <w:color w:val="auto"/>
                <w:highlight w:val="none"/>
              </w:rPr>
              <w:t>送有资质的单位处置</w:t>
            </w:r>
          </w:p>
        </w:tc>
        <w:tc>
          <w:tcPr>
            <w:tcW w:w="2195" w:type="dxa"/>
            <w:gridSpan w:val="2"/>
            <w:vAlign w:val="center"/>
          </w:tcPr>
          <w:p>
            <w:pPr>
              <w:keepNext w:val="0"/>
              <w:keepLines w:val="0"/>
              <w:widowControl/>
              <w:suppressLineNumbers w:val="0"/>
              <w:ind w:firstLine="420" w:firstLineChars="20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w:t>
            </w:r>
            <w:r>
              <w:rPr>
                <w:rFonts w:hint="eastAsia" w:cs="Times New Roman"/>
                <w:i w:val="0"/>
                <w:iCs w:val="0"/>
                <w:color w:val="auto"/>
                <w:kern w:val="0"/>
                <w:sz w:val="21"/>
                <w:szCs w:val="21"/>
                <w:highlight w:val="none"/>
                <w:u w:val="none"/>
                <w:lang w:val="en-US" w:eastAsia="zh-CN" w:bidi="ar"/>
              </w:rPr>
              <w:t>t/a</w:t>
            </w:r>
          </w:p>
        </w:tc>
        <w:tc>
          <w:tcPr>
            <w:tcW w:w="1064" w:type="dxa"/>
            <w:vAlign w:val="center"/>
          </w:tcPr>
          <w:p>
            <w:pPr>
              <w:pStyle w:val="104"/>
              <w:rPr>
                <w:color w:val="auto"/>
                <w:highlight w:val="none"/>
              </w:rPr>
            </w:pPr>
            <w:r>
              <w:rPr>
                <w:color w:val="auto"/>
                <w:highlight w:val="none"/>
              </w:rPr>
              <w:t>——</w:t>
            </w:r>
          </w:p>
        </w:tc>
        <w:tc>
          <w:tcPr>
            <w:tcW w:w="1921" w:type="dxa"/>
            <w:vAlign w:val="center"/>
          </w:tcPr>
          <w:p>
            <w:pPr>
              <w:pStyle w:val="104"/>
              <w:rPr>
                <w:color w:val="auto"/>
                <w:highlight w:val="none"/>
              </w:rPr>
            </w:pPr>
            <w:r>
              <w:rPr>
                <w:color w:val="auto"/>
                <w:highlight w:val="none"/>
              </w:rPr>
              <w:t>——</w:t>
            </w:r>
          </w:p>
        </w:tc>
        <w:tc>
          <w:tcPr>
            <w:tcW w:w="2411" w:type="dxa"/>
            <w:vAlign w:val="center"/>
          </w:tcPr>
          <w:p>
            <w:pPr>
              <w:pStyle w:val="104"/>
              <w:rPr>
                <w:color w:val="auto"/>
                <w:highlight w:val="none"/>
              </w:rPr>
            </w:pP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2420" w:type="dxa"/>
            <w:gridSpan w:val="2"/>
            <w:vMerge w:val="continue"/>
            <w:vAlign w:val="center"/>
          </w:tcPr>
          <w:p>
            <w:pPr>
              <w:pStyle w:val="104"/>
              <w:rPr>
                <w:color w:val="auto"/>
                <w:highlight w:val="none"/>
              </w:rPr>
            </w:pPr>
          </w:p>
        </w:tc>
        <w:tc>
          <w:tcPr>
            <w:tcW w:w="1183"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废抹布、手套</w:t>
            </w:r>
          </w:p>
        </w:tc>
        <w:tc>
          <w:tcPr>
            <w:tcW w:w="971" w:type="dxa"/>
            <w:vMerge w:val="continue"/>
            <w:vAlign w:val="center"/>
          </w:tcPr>
          <w:p>
            <w:pPr>
              <w:pStyle w:val="104"/>
              <w:rPr>
                <w:color w:val="auto"/>
                <w:highlight w:val="none"/>
              </w:rPr>
            </w:pPr>
          </w:p>
        </w:tc>
        <w:tc>
          <w:tcPr>
            <w:tcW w:w="1963" w:type="dxa"/>
            <w:vMerge w:val="continue"/>
            <w:vAlign w:val="center"/>
          </w:tcPr>
          <w:p>
            <w:pPr>
              <w:pStyle w:val="104"/>
              <w:rPr>
                <w:rFonts w:hint="eastAsia"/>
                <w:color w:val="auto"/>
                <w:highlight w:val="none"/>
              </w:rPr>
            </w:pPr>
          </w:p>
        </w:tc>
        <w:tc>
          <w:tcPr>
            <w:tcW w:w="2195" w:type="dxa"/>
            <w:gridSpan w:val="2"/>
            <w:vAlign w:val="center"/>
          </w:tcPr>
          <w:p>
            <w:pPr>
              <w:keepNext w:val="0"/>
              <w:keepLines w:val="0"/>
              <w:widowControl/>
              <w:suppressLineNumbers w:val="0"/>
              <w:ind w:firstLine="420" w:firstLineChars="20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0.01</w:t>
            </w:r>
            <w:r>
              <w:rPr>
                <w:rFonts w:hint="eastAsia" w:cs="Times New Roman"/>
                <w:i w:val="0"/>
                <w:iCs w:val="0"/>
                <w:color w:val="auto"/>
                <w:kern w:val="0"/>
                <w:sz w:val="21"/>
                <w:szCs w:val="21"/>
                <w:highlight w:val="none"/>
                <w:u w:val="none"/>
                <w:lang w:val="en-US" w:eastAsia="zh-CN" w:bidi="ar"/>
              </w:rPr>
              <w:t>t/a</w:t>
            </w:r>
          </w:p>
        </w:tc>
        <w:tc>
          <w:tcPr>
            <w:tcW w:w="1064" w:type="dxa"/>
            <w:vAlign w:val="center"/>
          </w:tcPr>
          <w:p>
            <w:pPr>
              <w:pStyle w:val="104"/>
              <w:rPr>
                <w:color w:val="auto"/>
                <w:highlight w:val="none"/>
              </w:rPr>
            </w:pPr>
          </w:p>
        </w:tc>
        <w:tc>
          <w:tcPr>
            <w:tcW w:w="1921" w:type="dxa"/>
            <w:vAlign w:val="center"/>
          </w:tcPr>
          <w:p>
            <w:pPr>
              <w:pStyle w:val="104"/>
              <w:rPr>
                <w:color w:val="auto"/>
                <w:highlight w:val="none"/>
              </w:rPr>
            </w:pPr>
          </w:p>
        </w:tc>
        <w:tc>
          <w:tcPr>
            <w:tcW w:w="2411" w:type="dxa"/>
            <w:vAlign w:val="center"/>
          </w:tcPr>
          <w:p>
            <w:pPr>
              <w:pStyle w:val="104"/>
              <w:rPr>
                <w:color w:val="auto"/>
                <w:highlight w:val="none"/>
              </w:rPr>
            </w:pPr>
            <w:r>
              <w:rPr>
                <w:color w:val="auto"/>
                <w:highlight w:val="none"/>
              </w:rPr>
              <w:t>《危险废物贮存污染控制标准》（GB18597-20</w:t>
            </w:r>
            <w:r>
              <w:rPr>
                <w:rFonts w:hint="eastAsia"/>
                <w:color w:val="auto"/>
                <w:highlight w:val="none"/>
                <w:lang w:val="en-US" w:eastAsia="zh-CN"/>
              </w:rPr>
              <w:t>23</w:t>
            </w: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914" w:type="dxa"/>
            <w:vAlign w:val="center"/>
          </w:tcPr>
          <w:p>
            <w:pPr>
              <w:pStyle w:val="104"/>
              <w:rPr>
                <w:color w:val="auto"/>
                <w:highlight w:val="none"/>
              </w:rPr>
            </w:pPr>
            <w:r>
              <w:rPr>
                <w:color w:val="auto"/>
                <w:highlight w:val="none"/>
              </w:rPr>
              <w:t>噪声</w:t>
            </w:r>
          </w:p>
        </w:tc>
        <w:tc>
          <w:tcPr>
            <w:tcW w:w="2689" w:type="dxa"/>
            <w:gridSpan w:val="2"/>
            <w:vAlign w:val="center"/>
          </w:tcPr>
          <w:p>
            <w:pPr>
              <w:pStyle w:val="104"/>
              <w:rPr>
                <w:color w:val="auto"/>
                <w:highlight w:val="none"/>
              </w:rPr>
            </w:pPr>
            <w:r>
              <w:rPr>
                <w:color w:val="auto"/>
                <w:highlight w:val="none"/>
              </w:rPr>
              <w:t>各类水泵、污泥泵、风机、空压机等</w:t>
            </w:r>
          </w:p>
        </w:tc>
        <w:tc>
          <w:tcPr>
            <w:tcW w:w="971" w:type="dxa"/>
            <w:vAlign w:val="center"/>
          </w:tcPr>
          <w:p>
            <w:pPr>
              <w:pStyle w:val="104"/>
              <w:rPr>
                <w:color w:val="auto"/>
                <w:highlight w:val="none"/>
              </w:rPr>
            </w:pPr>
            <w:r>
              <w:rPr>
                <w:color w:val="auto"/>
                <w:highlight w:val="none"/>
              </w:rPr>
              <w:t>连续排放</w:t>
            </w:r>
          </w:p>
        </w:tc>
        <w:tc>
          <w:tcPr>
            <w:tcW w:w="1963" w:type="dxa"/>
            <w:vAlign w:val="center"/>
          </w:tcPr>
          <w:p>
            <w:pPr>
              <w:pStyle w:val="104"/>
              <w:rPr>
                <w:color w:val="auto"/>
                <w:highlight w:val="none"/>
              </w:rPr>
            </w:pPr>
            <w:r>
              <w:rPr>
                <w:color w:val="auto"/>
                <w:highlight w:val="none"/>
              </w:rPr>
              <w:t>基础减振、隔声、吸声等</w:t>
            </w:r>
          </w:p>
        </w:tc>
        <w:tc>
          <w:tcPr>
            <w:tcW w:w="1078" w:type="dxa"/>
            <w:vAlign w:val="center"/>
          </w:tcPr>
          <w:p>
            <w:pPr>
              <w:pStyle w:val="104"/>
              <w:rPr>
                <w:color w:val="auto"/>
                <w:highlight w:val="none"/>
              </w:rPr>
            </w:pPr>
            <w:r>
              <w:rPr>
                <w:color w:val="auto"/>
                <w:highlight w:val="none"/>
              </w:rPr>
              <w:t>——</w:t>
            </w:r>
          </w:p>
        </w:tc>
        <w:tc>
          <w:tcPr>
            <w:tcW w:w="1117" w:type="dxa"/>
            <w:vAlign w:val="center"/>
          </w:tcPr>
          <w:p>
            <w:pPr>
              <w:pStyle w:val="104"/>
              <w:rPr>
                <w:color w:val="auto"/>
                <w:highlight w:val="none"/>
              </w:rPr>
            </w:pPr>
            <w:r>
              <w:rPr>
                <w:color w:val="auto"/>
                <w:highlight w:val="none"/>
              </w:rPr>
              <w:t>——</w:t>
            </w:r>
          </w:p>
        </w:tc>
        <w:tc>
          <w:tcPr>
            <w:tcW w:w="1064" w:type="dxa"/>
            <w:vAlign w:val="center"/>
          </w:tcPr>
          <w:p>
            <w:pPr>
              <w:pStyle w:val="104"/>
              <w:rPr>
                <w:color w:val="auto"/>
                <w:highlight w:val="none"/>
              </w:rPr>
            </w:pPr>
            <w:r>
              <w:rPr>
                <w:color w:val="auto"/>
                <w:highlight w:val="none"/>
              </w:rPr>
              <w:t>——</w:t>
            </w:r>
          </w:p>
        </w:tc>
        <w:tc>
          <w:tcPr>
            <w:tcW w:w="1921" w:type="dxa"/>
            <w:vAlign w:val="center"/>
          </w:tcPr>
          <w:p>
            <w:pPr>
              <w:pStyle w:val="104"/>
              <w:rPr>
                <w:color w:val="auto"/>
                <w:highlight w:val="none"/>
              </w:rPr>
            </w:pPr>
            <w:r>
              <w:rPr>
                <w:color w:val="auto"/>
                <w:highlight w:val="none"/>
              </w:rPr>
              <w:t>——</w:t>
            </w:r>
          </w:p>
        </w:tc>
        <w:tc>
          <w:tcPr>
            <w:tcW w:w="2411" w:type="dxa"/>
            <w:vAlign w:val="center"/>
          </w:tcPr>
          <w:p>
            <w:pPr>
              <w:pStyle w:val="104"/>
              <w:rPr>
                <w:color w:val="auto"/>
                <w:highlight w:val="none"/>
              </w:rPr>
            </w:pPr>
            <w:r>
              <w:rPr>
                <w:color w:val="auto"/>
                <w:highlight w:val="none"/>
              </w:rPr>
              <w:t>《工业企业厂界环境噪声排放标准》（GB12348-2008）中3类排放限值</w:t>
            </w:r>
          </w:p>
        </w:tc>
      </w:tr>
    </w:tbl>
    <w:p>
      <w:pPr>
        <w:rPr>
          <w:color w:val="auto"/>
          <w:highlight w:val="none"/>
        </w:rPr>
        <w:sectPr>
          <w:pgSz w:w="16838" w:h="11906" w:orient="landscape"/>
          <w:pgMar w:top="1304" w:right="1440" w:bottom="1304" w:left="1440" w:header="851" w:footer="992" w:gutter="0"/>
          <w:pgBorders>
            <w:top w:val="none" w:sz="0" w:space="0"/>
            <w:left w:val="none" w:sz="0" w:space="0"/>
            <w:bottom w:val="none" w:sz="0" w:space="0"/>
            <w:right w:val="none" w:sz="0" w:space="0"/>
          </w:pgBorders>
          <w:pgNumType w:fmt="numberInDash"/>
          <w:cols w:space="0" w:num="1"/>
          <w:docGrid w:type="lines" w:linePitch="312" w:charSpace="0"/>
        </w:sectPr>
      </w:pPr>
    </w:p>
    <w:p>
      <w:pPr>
        <w:pStyle w:val="4"/>
        <w:bidi w:val="0"/>
        <w:rPr>
          <w:rFonts w:hint="default"/>
          <w:color w:val="auto"/>
          <w:highlight w:val="none"/>
        </w:rPr>
      </w:pPr>
      <w:r>
        <w:rPr>
          <w:rFonts w:hint="default"/>
          <w:color w:val="auto"/>
          <w:highlight w:val="none"/>
        </w:rPr>
        <w:t>三本账</w:t>
      </w:r>
      <w:bookmarkEnd w:id="297"/>
    </w:p>
    <w:p>
      <w:pPr>
        <w:pStyle w:val="13"/>
        <w:rPr>
          <w:rFonts w:hint="default" w:ascii="Times New Roman" w:hAnsi="Times New Roman" w:cs="Times New Roman"/>
          <w:color w:val="auto"/>
          <w:highlight w:val="none"/>
        </w:rPr>
      </w:pPr>
      <w:r>
        <w:rPr>
          <w:rFonts w:hint="default" w:ascii="Times New Roman" w:hAnsi="Times New Roman" w:cs="Times New Roman"/>
          <w:color w:val="auto"/>
          <w:highlight w:val="none"/>
        </w:rPr>
        <w:t>表8.6-1三本账分析</w:t>
      </w:r>
    </w:p>
    <w:tbl>
      <w:tblPr>
        <w:tblStyle w:val="33"/>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1870"/>
        <w:gridCol w:w="1230"/>
        <w:gridCol w:w="1087"/>
        <w:gridCol w:w="1724"/>
        <w:gridCol w:w="14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03"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污染物种类</w:t>
            </w:r>
          </w:p>
        </w:tc>
        <w:tc>
          <w:tcPr>
            <w:tcW w:w="1098"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722"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现有工程实际排放量</w:t>
            </w:r>
            <w:r>
              <w:rPr>
                <w:rFonts w:hint="eastAsia" w:cs="Times New Roman"/>
                <w:i w:val="0"/>
                <w:iCs w:val="0"/>
                <w:color w:val="auto"/>
                <w:kern w:val="0"/>
                <w:sz w:val="21"/>
                <w:szCs w:val="21"/>
                <w:highlight w:val="none"/>
                <w:u w:val="none"/>
                <w:lang w:val="en-US" w:eastAsia="zh-CN" w:bidi="ar"/>
              </w:rPr>
              <w:t>t/a</w:t>
            </w:r>
          </w:p>
        </w:tc>
        <w:tc>
          <w:tcPr>
            <w:tcW w:w="638"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以新带老削减量</w:t>
            </w:r>
            <w:r>
              <w:rPr>
                <w:rFonts w:hint="eastAsia" w:cs="Times New Roman"/>
                <w:i w:val="0"/>
                <w:iCs w:val="0"/>
                <w:color w:val="auto"/>
                <w:kern w:val="0"/>
                <w:sz w:val="21"/>
                <w:szCs w:val="21"/>
                <w:highlight w:val="none"/>
                <w:u w:val="none"/>
                <w:lang w:val="en-US" w:eastAsia="zh-CN" w:bidi="ar"/>
              </w:rPr>
              <w:t>t/a</w:t>
            </w:r>
          </w:p>
        </w:tc>
        <w:tc>
          <w:tcPr>
            <w:tcW w:w="1012"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本项目排放量（包含提标改造后）</w:t>
            </w:r>
            <w:r>
              <w:rPr>
                <w:rFonts w:hint="eastAsia" w:cs="Times New Roman"/>
                <w:i w:val="0"/>
                <w:iCs w:val="0"/>
                <w:color w:val="auto"/>
                <w:kern w:val="0"/>
                <w:sz w:val="21"/>
                <w:szCs w:val="21"/>
                <w:highlight w:val="none"/>
                <w:u w:val="none"/>
                <w:lang w:val="en-US" w:eastAsia="zh-CN" w:bidi="ar"/>
              </w:rPr>
              <w:t>t/a</w:t>
            </w:r>
          </w:p>
        </w:tc>
        <w:tc>
          <w:tcPr>
            <w:tcW w:w="824"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本项目建成后全厂排放量</w:t>
            </w:r>
            <w:r>
              <w:rPr>
                <w:rFonts w:hint="eastAsia" w:cs="Times New Roman"/>
                <w:i w:val="0"/>
                <w:iCs w:val="0"/>
                <w:color w:val="auto"/>
                <w:kern w:val="0"/>
                <w:sz w:val="21"/>
                <w:szCs w:val="21"/>
                <w:highlight w:val="none"/>
                <w:u w:val="none"/>
                <w:lang w:val="en-US" w:eastAsia="zh-CN" w:bidi="ar"/>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703" w:type="pct"/>
            <w:vMerge w:val="restar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1098" w:type="pct"/>
            <w:vAlign w:val="center"/>
          </w:tcPr>
          <w:p>
            <w:pPr>
              <w:spacing w:line="240" w:lineRule="auto"/>
              <w:ind w:firstLine="0" w:firstLineChars="0"/>
              <w:jc w:val="center"/>
              <w:rPr>
                <w:rFonts w:hint="default" w:ascii="Times New Roman" w:hAnsi="Times New Roman" w:cs="Times New Roman"/>
                <w:bCs/>
                <w:color w:val="auto"/>
                <w:sz w:val="21"/>
                <w:szCs w:val="21"/>
                <w:highlight w:val="none"/>
                <w:lang w:bidi="zh-CN"/>
              </w:rPr>
            </w:pPr>
            <w:r>
              <w:rPr>
                <w:rFonts w:hint="default" w:ascii="Times New Roman" w:hAnsi="Times New Roman" w:cs="Times New Roman"/>
                <w:color w:val="auto"/>
                <w:sz w:val="21"/>
                <w:szCs w:val="21"/>
                <w:highlight w:val="none"/>
              </w:rPr>
              <w:t>氨</w:t>
            </w:r>
          </w:p>
        </w:tc>
        <w:tc>
          <w:tcPr>
            <w:tcW w:w="722" w:type="pct"/>
            <w:vAlign w:val="center"/>
          </w:tcPr>
          <w:p>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0.173</w:t>
            </w:r>
          </w:p>
        </w:tc>
        <w:tc>
          <w:tcPr>
            <w:tcW w:w="638"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012"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0"/>
                <w:highlight w:val="none"/>
                <w:lang w:val="en-US" w:eastAsia="zh-CN"/>
              </w:rPr>
              <w:t>2.086</w:t>
            </w:r>
          </w:p>
        </w:tc>
        <w:tc>
          <w:tcPr>
            <w:tcW w:w="824"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0"/>
                <w:highlight w:val="none"/>
                <w:lang w:val="en-US" w:eastAsia="zh-CN"/>
              </w:rPr>
              <w:t>2.086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03"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rPr>
            </w:pPr>
          </w:p>
        </w:tc>
        <w:tc>
          <w:tcPr>
            <w:tcW w:w="1098" w:type="pct"/>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1"/>
                <w:highlight w:val="none"/>
              </w:rPr>
              <w:t>硫化氢</w:t>
            </w:r>
          </w:p>
        </w:tc>
        <w:tc>
          <w:tcPr>
            <w:tcW w:w="722" w:type="pct"/>
            <w:vAlign w:val="center"/>
          </w:tcPr>
          <w:p>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0.006</w:t>
            </w:r>
          </w:p>
        </w:tc>
        <w:tc>
          <w:tcPr>
            <w:tcW w:w="638"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w:t>
            </w:r>
          </w:p>
        </w:tc>
        <w:tc>
          <w:tcPr>
            <w:tcW w:w="1012"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0"/>
                <w:highlight w:val="none"/>
                <w:lang w:val="en-US" w:eastAsia="zh-CN"/>
              </w:rPr>
              <w:t>0.044</w:t>
            </w:r>
          </w:p>
        </w:tc>
        <w:tc>
          <w:tcPr>
            <w:tcW w:w="824"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0"/>
                <w:highlight w:val="none"/>
                <w:lang w:val="en-US" w:eastAsia="zh-CN"/>
              </w:rPr>
              <w:t>0.044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03" w:type="pct"/>
            <w:vMerge w:val="restart"/>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1"/>
                <w:highlight w:val="none"/>
                <w:lang w:bidi="zh-CN"/>
              </w:rPr>
              <w:t>废水</w:t>
            </w:r>
          </w:p>
        </w:tc>
        <w:tc>
          <w:tcPr>
            <w:tcW w:w="1098" w:type="pct"/>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1"/>
                <w:highlight w:val="none"/>
                <w:lang w:bidi="zh-CN"/>
              </w:rPr>
              <w:t>尾水</w:t>
            </w:r>
          </w:p>
        </w:tc>
        <w:tc>
          <w:tcPr>
            <w:tcW w:w="722" w:type="pct"/>
            <w:vAlign w:val="center"/>
          </w:tcPr>
          <w:p>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1825000</w:t>
            </w:r>
          </w:p>
        </w:tc>
        <w:tc>
          <w:tcPr>
            <w:tcW w:w="638" w:type="pct"/>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012" w:type="pct"/>
            <w:vAlign w:val="center"/>
          </w:tcPr>
          <w:p>
            <w:pPr>
              <w:spacing w:line="240" w:lineRule="auto"/>
              <w:ind w:firstLine="0" w:firstLineChars="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6679285</w:t>
            </w:r>
          </w:p>
        </w:tc>
        <w:tc>
          <w:tcPr>
            <w:tcW w:w="824" w:type="pct"/>
            <w:vAlign w:val="center"/>
          </w:tcPr>
          <w:p>
            <w:pPr>
              <w:spacing w:line="240" w:lineRule="auto"/>
              <w:ind w:firstLine="0" w:firstLineChars="0"/>
              <w:jc w:val="center"/>
              <w:rPr>
                <w:rFonts w:hint="eastAsia" w:cs="Times New Roman"/>
                <w:color w:val="auto"/>
                <w:sz w:val="21"/>
                <w:szCs w:val="21"/>
                <w:highlight w:val="none"/>
                <w:lang w:eastAsia="zh-CN"/>
              </w:rPr>
            </w:pPr>
            <w:r>
              <w:rPr>
                <w:rFonts w:hint="eastAsia" w:cs="Times New Roman"/>
                <w:color w:val="auto"/>
                <w:sz w:val="21"/>
                <w:szCs w:val="21"/>
                <w:highlight w:val="none"/>
                <w:lang w:eastAsia="zh-CN"/>
              </w:rPr>
              <w:t>6679285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03"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p>
        </w:tc>
        <w:tc>
          <w:tcPr>
            <w:tcW w:w="1098"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21"/>
                <w:szCs w:val="21"/>
                <w:highlight w:val="none"/>
                <w:lang w:bidi="zh-CN"/>
              </w:rPr>
            </w:pPr>
            <w:r>
              <w:rPr>
                <w:rFonts w:hint="default" w:ascii="Times New Roman" w:hAnsi="Times New Roman" w:eastAsia="宋体" w:cs="Times New Roman"/>
                <w:color w:val="FF0000"/>
                <w:sz w:val="21"/>
                <w:szCs w:val="20"/>
                <w:highlight w:val="none"/>
                <w:lang w:val="en-US" w:eastAsia="zh-CN"/>
              </w:rPr>
              <w:t>COD</w:t>
            </w:r>
          </w:p>
        </w:tc>
        <w:tc>
          <w:tcPr>
            <w:tcW w:w="1230" w:type="dxa"/>
            <w:vAlign w:val="center"/>
          </w:tcPr>
          <w:p>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8.797</w:t>
            </w:r>
          </w:p>
        </w:tc>
        <w:tc>
          <w:tcPr>
            <w:tcW w:w="638"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012"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FF0000"/>
                <w:sz w:val="21"/>
                <w:szCs w:val="20"/>
                <w:highlight w:val="none"/>
                <w:lang w:val="en-US" w:eastAsia="zh-CN"/>
              </w:rPr>
              <w:t>289.535</w:t>
            </w:r>
          </w:p>
        </w:tc>
        <w:tc>
          <w:tcPr>
            <w:tcW w:w="1404"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lang w:eastAsia="zh-CN"/>
              </w:rPr>
            </w:pPr>
            <w:r>
              <w:rPr>
                <w:rFonts w:hint="eastAsia" w:ascii="Times New Roman" w:hAnsi="Times New Roman" w:eastAsia="宋体" w:cs="Times New Roman"/>
                <w:color w:val="FF0000"/>
                <w:sz w:val="21"/>
                <w:szCs w:val="20"/>
                <w:highlight w:val="none"/>
                <w:lang w:val="en-US" w:eastAsia="zh-CN"/>
              </w:rPr>
              <w:t>289.535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03"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p>
        </w:tc>
        <w:tc>
          <w:tcPr>
            <w:tcW w:w="1098"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21"/>
                <w:szCs w:val="21"/>
                <w:highlight w:val="none"/>
                <w:lang w:bidi="zh-CN"/>
              </w:rPr>
            </w:pPr>
            <w:r>
              <w:rPr>
                <w:rFonts w:hint="default" w:ascii="Times New Roman" w:hAnsi="Times New Roman" w:eastAsia="宋体" w:cs="Times New Roman"/>
                <w:color w:val="FF0000"/>
                <w:sz w:val="21"/>
                <w:szCs w:val="20"/>
                <w:highlight w:val="none"/>
                <w:lang w:val="en-US" w:eastAsia="zh-CN"/>
              </w:rPr>
              <w:t>BOD5</w:t>
            </w:r>
          </w:p>
        </w:tc>
        <w:tc>
          <w:tcPr>
            <w:tcW w:w="1230" w:type="dxa"/>
            <w:vAlign w:val="center"/>
          </w:tcPr>
          <w:p>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2.555</w:t>
            </w:r>
          </w:p>
        </w:tc>
        <w:tc>
          <w:tcPr>
            <w:tcW w:w="638"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012"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FF0000"/>
                <w:sz w:val="21"/>
                <w:szCs w:val="20"/>
                <w:highlight w:val="none"/>
                <w:lang w:val="en-US" w:eastAsia="zh-CN"/>
              </w:rPr>
              <w:t>47.356</w:t>
            </w:r>
          </w:p>
        </w:tc>
        <w:tc>
          <w:tcPr>
            <w:tcW w:w="1404"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lang w:eastAsia="zh-CN"/>
              </w:rPr>
            </w:pPr>
            <w:r>
              <w:rPr>
                <w:rFonts w:hint="eastAsia" w:ascii="Times New Roman" w:hAnsi="Times New Roman" w:eastAsia="宋体" w:cs="Times New Roman"/>
                <w:color w:val="FF0000"/>
                <w:sz w:val="21"/>
                <w:szCs w:val="20"/>
                <w:highlight w:val="none"/>
                <w:lang w:val="en-US" w:eastAsia="zh-CN"/>
              </w:rPr>
              <w:t>47.356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03"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p>
        </w:tc>
        <w:tc>
          <w:tcPr>
            <w:tcW w:w="1098"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21"/>
                <w:szCs w:val="21"/>
                <w:highlight w:val="none"/>
                <w:lang w:bidi="zh-CN"/>
              </w:rPr>
            </w:pPr>
            <w:r>
              <w:rPr>
                <w:rFonts w:hint="default" w:ascii="Times New Roman" w:hAnsi="Times New Roman" w:eastAsia="宋体" w:cs="Times New Roman"/>
                <w:color w:val="FF0000"/>
                <w:sz w:val="21"/>
                <w:szCs w:val="20"/>
                <w:highlight w:val="none"/>
                <w:lang w:val="en-US" w:eastAsia="zh-CN"/>
              </w:rPr>
              <w:t>SS</w:t>
            </w:r>
          </w:p>
        </w:tc>
        <w:tc>
          <w:tcPr>
            <w:tcW w:w="1230" w:type="dxa"/>
            <w:vAlign w:val="center"/>
          </w:tcPr>
          <w:p>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14.6</w:t>
            </w:r>
          </w:p>
        </w:tc>
        <w:tc>
          <w:tcPr>
            <w:tcW w:w="638"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012"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FF0000"/>
                <w:sz w:val="21"/>
                <w:szCs w:val="20"/>
                <w:highlight w:val="none"/>
                <w:lang w:val="en-US" w:eastAsia="zh-CN"/>
              </w:rPr>
              <w:t>33.396</w:t>
            </w:r>
          </w:p>
        </w:tc>
        <w:tc>
          <w:tcPr>
            <w:tcW w:w="1404"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lang w:eastAsia="zh-CN"/>
              </w:rPr>
            </w:pPr>
            <w:r>
              <w:rPr>
                <w:rFonts w:hint="eastAsia" w:ascii="Times New Roman" w:hAnsi="Times New Roman" w:eastAsia="宋体" w:cs="Times New Roman"/>
                <w:color w:val="FF0000"/>
                <w:sz w:val="21"/>
                <w:szCs w:val="20"/>
                <w:highlight w:val="none"/>
                <w:lang w:val="en-US" w:eastAsia="zh-CN"/>
              </w:rPr>
              <w:t>33.396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03"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p>
        </w:tc>
        <w:tc>
          <w:tcPr>
            <w:tcW w:w="1098"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21"/>
                <w:szCs w:val="21"/>
                <w:highlight w:val="none"/>
                <w:lang w:bidi="zh-CN"/>
              </w:rPr>
            </w:pPr>
            <w:r>
              <w:rPr>
                <w:rFonts w:hint="eastAsia" w:ascii="Times New Roman" w:hAnsi="Times New Roman" w:eastAsia="宋体" w:cs="Times New Roman"/>
                <w:color w:val="FF0000"/>
                <w:sz w:val="21"/>
                <w:szCs w:val="20"/>
                <w:highlight w:val="none"/>
                <w:lang w:val="en-US" w:eastAsia="zh-CN"/>
              </w:rPr>
              <w:t>氨氮</w:t>
            </w:r>
          </w:p>
        </w:tc>
        <w:tc>
          <w:tcPr>
            <w:tcW w:w="1230" w:type="dxa"/>
            <w:vAlign w:val="center"/>
          </w:tcPr>
          <w:p>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0.467</w:t>
            </w:r>
          </w:p>
        </w:tc>
        <w:tc>
          <w:tcPr>
            <w:tcW w:w="638"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012"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FF0000"/>
                <w:sz w:val="21"/>
                <w:szCs w:val="20"/>
                <w:highlight w:val="none"/>
                <w:lang w:val="en-US" w:eastAsia="zh-CN"/>
              </w:rPr>
              <w:t>32.461</w:t>
            </w:r>
          </w:p>
        </w:tc>
        <w:tc>
          <w:tcPr>
            <w:tcW w:w="1404"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lang w:eastAsia="zh-CN"/>
              </w:rPr>
            </w:pPr>
            <w:r>
              <w:rPr>
                <w:rFonts w:hint="eastAsia" w:ascii="Times New Roman" w:hAnsi="Times New Roman" w:eastAsia="宋体" w:cs="Times New Roman"/>
                <w:color w:val="FF0000"/>
                <w:sz w:val="21"/>
                <w:szCs w:val="20"/>
                <w:highlight w:val="none"/>
                <w:lang w:val="en-US" w:eastAsia="zh-CN"/>
              </w:rPr>
              <w:t>32.461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03"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p>
        </w:tc>
        <w:tc>
          <w:tcPr>
            <w:tcW w:w="1098"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21"/>
                <w:szCs w:val="21"/>
                <w:highlight w:val="none"/>
                <w:lang w:bidi="zh-CN"/>
              </w:rPr>
            </w:pPr>
            <w:r>
              <w:rPr>
                <w:rFonts w:hint="eastAsia" w:ascii="Times New Roman" w:hAnsi="Times New Roman" w:eastAsia="宋体" w:cs="Times New Roman"/>
                <w:color w:val="FF0000"/>
                <w:sz w:val="21"/>
                <w:szCs w:val="20"/>
                <w:highlight w:val="none"/>
                <w:lang w:val="en-US" w:eastAsia="zh-CN"/>
              </w:rPr>
              <w:t>总氮</w:t>
            </w:r>
          </w:p>
        </w:tc>
        <w:tc>
          <w:tcPr>
            <w:tcW w:w="1230" w:type="dxa"/>
            <w:vAlign w:val="center"/>
          </w:tcPr>
          <w:p>
            <w:pPr>
              <w:widowControl/>
              <w:spacing w:line="240"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12.26</w:t>
            </w:r>
          </w:p>
        </w:tc>
        <w:tc>
          <w:tcPr>
            <w:tcW w:w="638"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012"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FF0000"/>
                <w:sz w:val="21"/>
                <w:szCs w:val="20"/>
                <w:highlight w:val="none"/>
                <w:lang w:val="en-US" w:eastAsia="zh-CN"/>
              </w:rPr>
              <w:t>94.679</w:t>
            </w:r>
          </w:p>
        </w:tc>
        <w:tc>
          <w:tcPr>
            <w:tcW w:w="1404"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lang w:eastAsia="zh-CN"/>
              </w:rPr>
            </w:pPr>
            <w:r>
              <w:rPr>
                <w:rFonts w:hint="eastAsia" w:ascii="Times New Roman" w:hAnsi="Times New Roman" w:eastAsia="宋体" w:cs="Times New Roman"/>
                <w:color w:val="FF0000"/>
                <w:sz w:val="21"/>
                <w:szCs w:val="20"/>
                <w:highlight w:val="none"/>
                <w:lang w:val="en-US" w:eastAsia="zh-CN"/>
              </w:rPr>
              <w:t>94.679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03"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p>
        </w:tc>
        <w:tc>
          <w:tcPr>
            <w:tcW w:w="1098"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default" w:ascii="Times New Roman" w:hAnsi="Times New Roman" w:eastAsia="宋体" w:cs="Times New Roman"/>
                <w:color w:val="FF0000"/>
                <w:sz w:val="21"/>
                <w:szCs w:val="20"/>
                <w:highlight w:val="none"/>
                <w:lang w:val="en-US" w:eastAsia="zh-CN"/>
              </w:rPr>
              <w:t>TP</w:t>
            </w:r>
          </w:p>
        </w:tc>
        <w:tc>
          <w:tcPr>
            <w:tcW w:w="1230" w:type="dxa"/>
            <w:vAlign w:val="center"/>
          </w:tcPr>
          <w:p>
            <w:pPr>
              <w:widowControl/>
              <w:spacing w:line="240" w:lineRule="auto"/>
              <w:ind w:firstLine="0" w:firstLineChars="0"/>
              <w:jc w:val="center"/>
              <w:rPr>
                <w:rFonts w:hint="eastAsia" w:ascii="Times New Roman" w:hAnsi="Times New Roman" w:eastAsia="宋体" w:cs="Times New Roman"/>
                <w:color w:val="FF0000"/>
                <w:sz w:val="21"/>
                <w:szCs w:val="20"/>
                <w:highlight w:val="none"/>
                <w:lang w:val="en-US" w:eastAsia="zh-CN"/>
              </w:rPr>
            </w:pPr>
            <w:r>
              <w:rPr>
                <w:rFonts w:hint="eastAsia" w:cs="Times New Roman"/>
                <w:color w:val="auto"/>
                <w:sz w:val="21"/>
                <w:szCs w:val="21"/>
                <w:highlight w:val="none"/>
                <w:lang w:val="en-US" w:eastAsia="zh-CN"/>
              </w:rPr>
              <w:t>0.803</w:t>
            </w:r>
          </w:p>
        </w:tc>
        <w:tc>
          <w:tcPr>
            <w:tcW w:w="638"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012"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kern w:val="2"/>
                <w:sz w:val="21"/>
                <w:szCs w:val="20"/>
                <w:highlight w:val="none"/>
                <w:lang w:val="en-US" w:eastAsia="zh-CN" w:bidi="ar-SA"/>
              </w:rPr>
            </w:pPr>
            <w:r>
              <w:rPr>
                <w:rFonts w:hint="eastAsia" w:ascii="Times New Roman" w:hAnsi="Times New Roman" w:eastAsia="宋体" w:cs="Times New Roman"/>
                <w:color w:val="FF0000"/>
                <w:sz w:val="21"/>
                <w:szCs w:val="20"/>
                <w:highlight w:val="none"/>
                <w:lang w:val="en-US" w:eastAsia="zh-CN"/>
              </w:rPr>
              <w:t>1.830</w:t>
            </w:r>
          </w:p>
        </w:tc>
        <w:tc>
          <w:tcPr>
            <w:tcW w:w="1404"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lang w:eastAsia="zh-CN"/>
              </w:rPr>
            </w:pPr>
            <w:r>
              <w:rPr>
                <w:rFonts w:hint="eastAsia" w:ascii="Times New Roman" w:hAnsi="Times New Roman" w:eastAsia="宋体" w:cs="Times New Roman"/>
                <w:color w:val="FF0000"/>
                <w:sz w:val="21"/>
                <w:szCs w:val="20"/>
                <w:highlight w:val="none"/>
                <w:lang w:val="en-US" w:eastAsia="zh-CN"/>
              </w:rPr>
              <w:t>1.830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03" w:type="pct"/>
            <w:vMerge w:val="restart"/>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1"/>
                <w:highlight w:val="none"/>
                <w:lang w:bidi="zh-CN"/>
              </w:rPr>
              <w:t>固体废物</w:t>
            </w:r>
          </w:p>
        </w:tc>
        <w:tc>
          <w:tcPr>
            <w:tcW w:w="1098" w:type="pct"/>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0"/>
                <w:highlight w:val="none"/>
                <w:lang w:val="zh-CN"/>
              </w:rPr>
              <w:t>污泥（含水率</w:t>
            </w:r>
            <w:r>
              <w:rPr>
                <w:rFonts w:hint="default" w:ascii="Times New Roman" w:hAnsi="Times New Roman" w:cs="Times New Roman"/>
                <w:color w:val="auto"/>
                <w:sz w:val="21"/>
                <w:szCs w:val="20"/>
                <w:highlight w:val="none"/>
              </w:rPr>
              <w:t>60</w:t>
            </w:r>
            <w:r>
              <w:rPr>
                <w:rFonts w:hint="default" w:ascii="Times New Roman" w:hAnsi="Times New Roman" w:cs="Times New Roman"/>
                <w:color w:val="auto"/>
                <w:sz w:val="21"/>
                <w:szCs w:val="20"/>
                <w:highlight w:val="none"/>
                <w:lang w:val="zh-CN"/>
              </w:rPr>
              <w:t>%）</w:t>
            </w:r>
          </w:p>
        </w:tc>
        <w:tc>
          <w:tcPr>
            <w:tcW w:w="722"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507</w:t>
            </w:r>
          </w:p>
        </w:tc>
        <w:tc>
          <w:tcPr>
            <w:tcW w:w="638" w:type="pct"/>
            <w:vAlign w:val="center"/>
          </w:tcPr>
          <w:p>
            <w:pPr>
              <w:keepNext w:val="0"/>
              <w:keepLines w:val="0"/>
              <w:pageBreakBefore w:val="0"/>
              <w:kinsoku/>
              <w:wordWrap/>
              <w:overflowPunct/>
              <w:topLinePunct w:val="0"/>
              <w:bidi w:val="0"/>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012" w:type="pct"/>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0"/>
                <w:highlight w:val="none"/>
                <w:lang w:eastAsia="zh-CN"/>
              </w:rPr>
              <w:t>9537.52</w:t>
            </w:r>
          </w:p>
        </w:tc>
        <w:tc>
          <w:tcPr>
            <w:tcW w:w="824" w:type="pct"/>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0"/>
                <w:highlight w:val="none"/>
                <w:lang w:eastAsia="zh-CN"/>
              </w:rPr>
              <w:t>9537.52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03"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p>
        </w:tc>
        <w:tc>
          <w:tcPr>
            <w:tcW w:w="1098" w:type="pct"/>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0"/>
                <w:highlight w:val="none"/>
                <w:lang w:val="zh-CN"/>
              </w:rPr>
              <w:t>栅渣及沉砂</w:t>
            </w:r>
          </w:p>
        </w:tc>
        <w:tc>
          <w:tcPr>
            <w:tcW w:w="722" w:type="pct"/>
            <w:vAlign w:val="center"/>
          </w:tcPr>
          <w:p>
            <w:pPr>
              <w:autoSpaceDE w:val="0"/>
              <w:autoSpaceDN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2.3</w:t>
            </w:r>
          </w:p>
        </w:tc>
        <w:tc>
          <w:tcPr>
            <w:tcW w:w="638" w:type="pct"/>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012" w:type="pct"/>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0"/>
                <w:highlight w:val="none"/>
                <w:lang w:eastAsia="zh-CN"/>
              </w:rPr>
              <w:t>24.27</w:t>
            </w:r>
          </w:p>
        </w:tc>
        <w:tc>
          <w:tcPr>
            <w:tcW w:w="824" w:type="pct"/>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0"/>
                <w:highlight w:val="none"/>
                <w:lang w:eastAsia="zh-CN"/>
              </w:rPr>
              <w:t>24.27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03"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p>
        </w:tc>
        <w:tc>
          <w:tcPr>
            <w:tcW w:w="1098" w:type="pct"/>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0"/>
                <w:highlight w:val="none"/>
                <w:lang w:val="zh-CN"/>
              </w:rPr>
              <w:t>生活垃圾</w:t>
            </w:r>
          </w:p>
        </w:tc>
        <w:tc>
          <w:tcPr>
            <w:tcW w:w="722" w:type="pct"/>
            <w:vAlign w:val="center"/>
          </w:tcPr>
          <w:p>
            <w:pPr>
              <w:autoSpaceDE w:val="0"/>
              <w:autoSpaceDN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638" w:type="pct"/>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012" w:type="pct"/>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0"/>
                <w:highlight w:val="none"/>
                <w:lang w:val="en-US" w:eastAsia="zh-CN"/>
              </w:rPr>
              <w:t>0</w:t>
            </w:r>
          </w:p>
        </w:tc>
        <w:tc>
          <w:tcPr>
            <w:tcW w:w="824" w:type="pct"/>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0"/>
                <w:highlight w:val="none"/>
                <w:lang w:val="en-US" w:eastAsia="zh-CN"/>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03"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p>
        </w:tc>
        <w:tc>
          <w:tcPr>
            <w:tcW w:w="1098" w:type="pct"/>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0"/>
                <w:highlight w:val="none"/>
              </w:rPr>
              <w:t>废润滑油</w:t>
            </w:r>
          </w:p>
        </w:tc>
        <w:tc>
          <w:tcPr>
            <w:tcW w:w="722" w:type="pct"/>
            <w:vAlign w:val="center"/>
          </w:tcPr>
          <w:p>
            <w:pPr>
              <w:autoSpaceDE w:val="0"/>
              <w:autoSpaceDN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638" w:type="pct"/>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012"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0"/>
                <w:highlight w:val="none"/>
                <w:lang w:val="zh-CN"/>
              </w:rPr>
              <w:t>0.1</w:t>
            </w:r>
          </w:p>
        </w:tc>
        <w:tc>
          <w:tcPr>
            <w:tcW w:w="824" w:type="pct"/>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0"/>
                <w:highlight w:val="none"/>
                <w:lang w:val="zh-CN"/>
              </w:rPr>
              <w:t>0.</w:t>
            </w:r>
            <w:r>
              <w:rPr>
                <w:rFonts w:hint="eastAsia" w:cs="Times New Roman"/>
                <w:color w:val="auto"/>
                <w:sz w:val="21"/>
                <w:szCs w:val="20"/>
                <w:highlight w:val="none"/>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03" w:type="pct"/>
            <w:vMerge w:val="continue"/>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p>
        </w:tc>
        <w:tc>
          <w:tcPr>
            <w:tcW w:w="1098" w:type="pct"/>
            <w:vAlign w:val="center"/>
          </w:tcPr>
          <w:p>
            <w:pPr>
              <w:spacing w:line="240" w:lineRule="auto"/>
              <w:ind w:firstLine="0" w:firstLineChars="0"/>
              <w:jc w:val="center"/>
              <w:rPr>
                <w:rFonts w:hint="default" w:ascii="Times New Roman" w:hAnsi="Times New Roman" w:cs="Times New Roman"/>
                <w:color w:val="auto"/>
                <w:sz w:val="21"/>
                <w:szCs w:val="21"/>
                <w:highlight w:val="none"/>
                <w:lang w:bidi="zh-CN"/>
              </w:rPr>
            </w:pPr>
            <w:r>
              <w:rPr>
                <w:rFonts w:hint="default" w:ascii="Times New Roman" w:hAnsi="Times New Roman" w:cs="Times New Roman"/>
                <w:color w:val="auto"/>
                <w:sz w:val="21"/>
                <w:szCs w:val="20"/>
                <w:highlight w:val="none"/>
                <w:lang w:val="zh-CN"/>
              </w:rPr>
              <w:t>废抹布、手套</w:t>
            </w:r>
          </w:p>
        </w:tc>
        <w:tc>
          <w:tcPr>
            <w:tcW w:w="722" w:type="pct"/>
            <w:vAlign w:val="center"/>
          </w:tcPr>
          <w:p>
            <w:pPr>
              <w:autoSpaceDE w:val="0"/>
              <w:autoSpaceDN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638" w:type="pct"/>
            <w:vAlign w:val="center"/>
          </w:tcPr>
          <w:p>
            <w:pPr>
              <w:keepNext w:val="0"/>
              <w:keepLines w:val="0"/>
              <w:pageBreakBefore w:val="0"/>
              <w:kinsoku/>
              <w:wordWrap/>
              <w:overflowPunct/>
              <w:topLinePunct w:val="0"/>
              <w:autoSpaceDE w:val="0"/>
              <w:autoSpaceDN w:val="0"/>
              <w:bidi w:val="0"/>
              <w:adjustRightInd/>
              <w:snapToGrid/>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012"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0"/>
                <w:highlight w:val="none"/>
                <w:lang w:val="zh-CN"/>
              </w:rPr>
              <w:t>0.01</w:t>
            </w:r>
          </w:p>
        </w:tc>
        <w:tc>
          <w:tcPr>
            <w:tcW w:w="824" w:type="pct"/>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0"/>
                <w:highlight w:val="none"/>
                <w:lang w:val="zh-CN"/>
              </w:rPr>
              <w:t>0.</w:t>
            </w:r>
            <w:r>
              <w:rPr>
                <w:rFonts w:hint="eastAsia" w:cs="Times New Roman"/>
                <w:color w:val="auto"/>
                <w:sz w:val="21"/>
                <w:szCs w:val="20"/>
                <w:highlight w:val="none"/>
                <w:lang w:val="en-US" w:eastAsia="zh-CN"/>
              </w:rPr>
              <w:t>2</w:t>
            </w:r>
            <w:r>
              <w:rPr>
                <w:rFonts w:hint="default" w:ascii="Times New Roman" w:hAnsi="Times New Roman" w:cs="Times New Roman"/>
                <w:color w:val="auto"/>
                <w:sz w:val="21"/>
                <w:szCs w:val="20"/>
                <w:highlight w:val="none"/>
                <w:lang w:val="zh-CN"/>
              </w:rPr>
              <w:t>1</w:t>
            </w:r>
          </w:p>
        </w:tc>
      </w:tr>
    </w:tbl>
    <w:p>
      <w:pPr>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pPr>
        <w:pStyle w:val="3"/>
        <w:rPr>
          <w:rFonts w:hint="default" w:ascii="Times New Roman" w:hAnsi="Times New Roman" w:cs="Times New Roman"/>
          <w:color w:val="auto"/>
          <w:highlight w:val="none"/>
        </w:rPr>
      </w:pPr>
      <w:bookmarkStart w:id="299" w:name="_Toc1444"/>
      <w:bookmarkStart w:id="300" w:name="_Toc31792"/>
      <w:r>
        <w:rPr>
          <w:rFonts w:hint="default" w:ascii="Times New Roman" w:hAnsi="Times New Roman" w:cs="Times New Roman"/>
          <w:color w:val="auto"/>
          <w:highlight w:val="none"/>
        </w:rPr>
        <w:t>环境影响评价结论</w:t>
      </w:r>
      <w:bookmarkEnd w:id="250"/>
      <w:bookmarkEnd w:id="299"/>
      <w:bookmarkEnd w:id="300"/>
    </w:p>
    <w:p>
      <w:pPr>
        <w:pStyle w:val="4"/>
        <w:bidi w:val="0"/>
        <w:rPr>
          <w:rFonts w:hint="default"/>
          <w:color w:val="auto"/>
          <w:highlight w:val="none"/>
        </w:rPr>
      </w:pPr>
      <w:bookmarkStart w:id="301" w:name="_Toc27474"/>
      <w:bookmarkStart w:id="302" w:name="_Toc31722"/>
      <w:bookmarkStart w:id="303" w:name="_Toc10014"/>
      <w:r>
        <w:rPr>
          <w:rFonts w:hint="default"/>
          <w:color w:val="auto"/>
          <w:highlight w:val="none"/>
        </w:rPr>
        <w:t>项目概况</w:t>
      </w:r>
      <w:bookmarkEnd w:id="301"/>
      <w:bookmarkEnd w:id="302"/>
      <w:bookmarkEnd w:id="303"/>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项目名称：新疆昌吉国家农业高新技术产业示范区现代农业精深加工示范区污水处理厂改造扩容项目；</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建设单位：新疆昌吉国家农业高新技术产业示范区管理委员会；</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建设地点：昌吉国家农业高新技术产业示范区现代农业精深加工示范区，项目距离乌奎高速互通立交16公里，昌吉市中心城区28公里中心地理坐标为E87°6′0.371″</w:t>
      </w:r>
      <w:r>
        <w:rPr>
          <w:rFonts w:hint="eastAsia" w:cs="Times New Roman"/>
          <w:color w:val="auto"/>
          <w:highlight w:val="none"/>
          <w:lang w:eastAsia="zh-CN"/>
        </w:rPr>
        <w:t>，</w:t>
      </w:r>
      <w:r>
        <w:rPr>
          <w:rFonts w:hint="default" w:ascii="Times New Roman" w:hAnsi="Times New Roman" w:cs="Times New Roman"/>
          <w:color w:val="auto"/>
          <w:highlight w:val="none"/>
        </w:rPr>
        <w:t>N44°12′26.373″；</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建设性质：扩建；</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项目占地：规划总用地面积49044.78</w:t>
      </w:r>
      <w:r>
        <w:rPr>
          <w:rFonts w:hint="eastAsia" w:cs="Times New Roman"/>
          <w:color w:val="auto"/>
          <w:highlight w:val="none"/>
          <w:lang w:val="en-US" w:eastAsia="zh-CN"/>
        </w:rPr>
        <w:t>m</w:t>
      </w:r>
      <w:r>
        <w:rPr>
          <w:rFonts w:hint="eastAsia" w:cs="Times New Roman"/>
          <w:color w:val="auto"/>
          <w:highlight w:val="none"/>
          <w:vertAlign w:val="superscript"/>
          <w:lang w:val="en-US" w:eastAsia="zh-CN"/>
        </w:rPr>
        <w:t>2</w:t>
      </w:r>
      <w:r>
        <w:rPr>
          <w:rFonts w:hint="default" w:ascii="Times New Roman" w:hAnsi="Times New Roman" w:cs="Times New Roman"/>
          <w:color w:val="auto"/>
          <w:highlight w:val="none"/>
        </w:rPr>
        <w:t>。</w:t>
      </w:r>
    </w:p>
    <w:p>
      <w:pPr>
        <w:ind w:firstLine="480"/>
        <w:rPr>
          <w:rFonts w:hint="default" w:ascii="Times New Roman" w:hAnsi="Times New Roman" w:cs="Times New Roman"/>
          <w:color w:val="auto"/>
          <w:highlight w:val="none"/>
        </w:rPr>
      </w:pPr>
      <w:r>
        <w:rPr>
          <w:rFonts w:hint="default" w:ascii="Times New Roman" w:hAnsi="Times New Roman" w:cs="Times New Roman"/>
          <w:bCs/>
          <w:color w:val="auto"/>
          <w:highlight w:val="none"/>
        </w:rPr>
        <w:t>本项目纳污范围：</w:t>
      </w:r>
      <w:r>
        <w:rPr>
          <w:rFonts w:hint="default" w:ascii="Times New Roman" w:hAnsi="Times New Roman" w:cs="Times New Roman"/>
          <w:color w:val="auto"/>
          <w:highlight w:val="none"/>
        </w:rPr>
        <w:t>主要收集生活污水及工业园区生产废水。</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建设内容：（1）对现状污水厂的部分建、构筑物进行改造，主要改造</w:t>
      </w:r>
      <w:r>
        <w:rPr>
          <w:rFonts w:hint="eastAsia" w:cs="Times New Roman"/>
          <w:color w:val="auto"/>
          <w:highlight w:val="none"/>
          <w:lang w:eastAsia="zh-CN"/>
        </w:rPr>
        <w:t>建（构）筑物</w:t>
      </w:r>
      <w:r>
        <w:rPr>
          <w:rFonts w:hint="default" w:ascii="Times New Roman" w:hAnsi="Times New Roman" w:cs="Times New Roman"/>
          <w:color w:val="auto"/>
          <w:highlight w:val="none"/>
        </w:rPr>
        <w:t>有粗格栅及提升泵站、鼓风机房、加氯加药间和污泥脱水车间等；</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（2）现状污水厂规模为0.5万m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/d，本次扩建规模为2.5万m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s="Times New Roman"/>
          <w:color w:val="auto"/>
          <w:highlight w:val="none"/>
          <w:lang w:val="en-US" w:eastAsia="zh-CN"/>
        </w:rPr>
        <w:t>扩建后</w:t>
      </w:r>
      <w:r>
        <w:rPr>
          <w:rFonts w:hint="default" w:ascii="Times New Roman" w:hAnsi="Times New Roman" w:cs="Times New Roman"/>
          <w:color w:val="auto"/>
          <w:highlight w:val="none"/>
        </w:rPr>
        <w:t>总规模达到3万m³/d。主要</w:t>
      </w:r>
      <w:r>
        <w:rPr>
          <w:rFonts w:hint="eastAsia" w:cs="Times New Roman"/>
          <w:color w:val="auto"/>
          <w:highlight w:val="none"/>
          <w:lang w:eastAsia="zh-CN"/>
        </w:rPr>
        <w:t>新建</w:t>
      </w:r>
      <w:r>
        <w:rPr>
          <w:rFonts w:hint="default" w:ascii="Times New Roman" w:hAnsi="Times New Roman" w:cs="Times New Roman"/>
          <w:color w:val="auto"/>
          <w:highlight w:val="none"/>
        </w:rPr>
        <w:t>（构）筑物有一体化提升泵站、细格栅及旋流沉砂池车间、配水井、一体化生化池、高效沉淀池车间、反硝化深床滤池车间、接触消毒池、排泥调节池、厂区废水池、变配电室等。本项目处理后的污水达到</w:t>
      </w:r>
      <w:r>
        <w:rPr>
          <w:rFonts w:hint="eastAsia" w:cs="Times New Roman"/>
          <w:color w:val="auto"/>
          <w:highlight w:val="none"/>
          <w:lang w:eastAsia="zh-CN"/>
        </w:rPr>
        <w:t>《城镇污水处理厂污染物排放标准》（GB18918-2002）及修改单的一级A标准</w:t>
      </w:r>
      <w:r>
        <w:rPr>
          <w:rFonts w:hint="default" w:ascii="Times New Roman" w:hAnsi="Times New Roman" w:cs="Times New Roman"/>
          <w:color w:val="auto"/>
          <w:highlight w:val="none"/>
          <w:lang w:eastAsia="zh-CN"/>
        </w:rPr>
        <w:t>，同时满足《</w:t>
      </w:r>
      <w:r>
        <w:rPr>
          <w:rFonts w:hint="eastAsia" w:cs="Times New Roman"/>
          <w:color w:val="auto"/>
          <w:highlight w:val="none"/>
          <w:lang w:eastAsia="zh-CN"/>
        </w:rPr>
        <w:t>城市污水再生利用城市杂用水水质》（GB/T18920-2020）</w:t>
      </w:r>
      <w:r>
        <w:rPr>
          <w:rFonts w:hint="default" w:ascii="Times New Roman" w:hAnsi="Times New Roman" w:cs="Times New Roman"/>
          <w:color w:val="auto"/>
          <w:highlight w:val="none"/>
          <w:lang w:eastAsia="zh-CN"/>
        </w:rPr>
        <w:t>和《城市污水再生利用绿地灌溉水质》（GB/T25499-2010）的绿化用水要求</w:t>
      </w:r>
      <w:r>
        <w:rPr>
          <w:rFonts w:hint="default" w:ascii="Times New Roman" w:hAnsi="Times New Roman" w:cs="Times New Roman"/>
          <w:color w:val="auto"/>
          <w:highlight w:val="none"/>
        </w:rPr>
        <w:t>，夏季用于</w:t>
      </w:r>
      <w:r>
        <w:rPr>
          <w:rFonts w:hint="eastAsia" w:cs="Times New Roman"/>
          <w:color w:val="auto"/>
          <w:highlight w:val="none"/>
          <w:lang w:val="en-US" w:eastAsia="zh-CN"/>
        </w:rPr>
        <w:t>园区绿化及</w:t>
      </w:r>
      <w:r>
        <w:rPr>
          <w:rFonts w:hint="default" w:ascii="Times New Roman" w:hAnsi="Times New Roman" w:cs="Times New Roman"/>
          <w:color w:val="auto"/>
          <w:highlight w:val="none"/>
        </w:rPr>
        <w:t>灌溉示范区的林地，冬季储存于</w:t>
      </w:r>
      <w:r>
        <w:rPr>
          <w:rFonts w:hint="eastAsia" w:cs="Times New Roman"/>
          <w:color w:val="auto"/>
          <w:highlight w:val="none"/>
          <w:lang w:eastAsia="zh-CN"/>
        </w:rPr>
        <w:t>中水池</w:t>
      </w:r>
      <w:r>
        <w:rPr>
          <w:rFonts w:hint="default" w:ascii="Times New Roman" w:hAnsi="Times New Roman" w:cs="Times New Roman"/>
          <w:color w:val="auto"/>
          <w:highlight w:val="none"/>
        </w:rPr>
        <w:t>中，实现污水有效利用。</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项目投资：总投资约为8000万元，环保投资</w:t>
      </w:r>
      <w:r>
        <w:rPr>
          <w:rFonts w:hint="eastAsia" w:cs="Times New Roman"/>
          <w:color w:val="auto"/>
          <w:highlight w:val="none"/>
          <w:lang w:eastAsia="zh-CN"/>
        </w:rPr>
        <w:t>8000</w:t>
      </w:r>
      <w:r>
        <w:rPr>
          <w:rFonts w:hint="default" w:ascii="Times New Roman" w:hAnsi="Times New Roman" w:cs="Times New Roman"/>
          <w:color w:val="auto"/>
          <w:highlight w:val="none"/>
        </w:rPr>
        <w:t>万元。</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劳动定员及工作制度：污水处理厂总</w:t>
      </w:r>
      <w:r>
        <w:rPr>
          <w:rFonts w:hint="default" w:ascii="Times New Roman" w:hAnsi="Times New Roman" w:cs="Times New Roman"/>
          <w:color w:val="auto"/>
          <w:kern w:val="0"/>
          <w:highlight w:val="none"/>
        </w:rPr>
        <w:t>定员12人</w:t>
      </w:r>
      <w:r>
        <w:rPr>
          <w:rFonts w:hint="default" w:ascii="Times New Roman" w:hAnsi="Times New Roman" w:cs="Times New Roman"/>
          <w:color w:val="auto"/>
          <w:highlight w:val="none"/>
        </w:rPr>
        <w:t>。采用三班两运转制；全年运营时间为365天。</w:t>
      </w:r>
    </w:p>
    <w:p>
      <w:pPr>
        <w:pStyle w:val="4"/>
        <w:bidi w:val="0"/>
        <w:rPr>
          <w:rFonts w:hint="default"/>
          <w:color w:val="auto"/>
          <w:highlight w:val="none"/>
        </w:rPr>
      </w:pPr>
      <w:bookmarkStart w:id="304" w:name="_Toc17625"/>
      <w:r>
        <w:rPr>
          <w:rFonts w:hint="default"/>
          <w:color w:val="auto"/>
          <w:highlight w:val="none"/>
        </w:rPr>
        <w:t>产业政策相符性分析</w:t>
      </w:r>
      <w:bookmarkEnd w:id="304"/>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为污水处理厂提标改造工程，为园区基础设施类工程，主要服务于新疆昌吉国家农业高新技术产业示范区。经查询《产业结构调整指导目录（2024年本）》，本项目属于目录鼓励类项目中第四十三条“环境保护与资源节约综合利用”第15项“三废”综合利用及治理工程，因此本项目建设符合国家产业政策的要求。</w:t>
      </w:r>
    </w:p>
    <w:p>
      <w:pPr>
        <w:pStyle w:val="4"/>
        <w:bidi w:val="0"/>
        <w:rPr>
          <w:rFonts w:hint="default"/>
          <w:color w:val="auto"/>
          <w:highlight w:val="none"/>
        </w:rPr>
      </w:pPr>
      <w:bookmarkStart w:id="305" w:name="_Toc20958"/>
      <w:bookmarkStart w:id="306" w:name="_Toc4278"/>
      <w:bookmarkStart w:id="307" w:name="_Toc386"/>
      <w:r>
        <w:rPr>
          <w:rFonts w:hint="default"/>
          <w:color w:val="auto"/>
          <w:highlight w:val="none"/>
        </w:rPr>
        <w:t>环境质量现状结论</w:t>
      </w:r>
      <w:bookmarkEnd w:id="305"/>
      <w:bookmarkEnd w:id="306"/>
      <w:bookmarkEnd w:id="307"/>
    </w:p>
    <w:p>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szCs w:val="28"/>
          <w:highlight w:val="none"/>
        </w:rPr>
        <w:t>（1）环境空气质量现状：</w:t>
      </w:r>
      <w:r>
        <w:rPr>
          <w:rFonts w:hint="default" w:ascii="Times New Roman" w:hAnsi="Times New Roman" w:cs="Times New Roman"/>
          <w:color w:val="auto"/>
          <w:highlight w:val="none"/>
        </w:rPr>
        <w:t>项目所在区域大气环境属二类功能区，</w:t>
      </w:r>
      <w:r>
        <w:rPr>
          <w:rFonts w:hint="default" w:ascii="Times New Roman" w:hAnsi="Times New Roman" w:cs="Times New Roman"/>
          <w:color w:val="auto"/>
          <w:spacing w:val="11"/>
          <w:sz w:val="23"/>
          <w:szCs w:val="23"/>
          <w:highlight w:val="none"/>
        </w:rPr>
        <w:t>项目所在区域属于不达标区，其环境空气质量基本项目均满足《环境空</w:t>
      </w:r>
      <w:r>
        <w:rPr>
          <w:rFonts w:hint="default" w:ascii="Times New Roman" w:hAnsi="Times New Roman" w:cs="Times New Roman"/>
          <w:color w:val="auto"/>
          <w:spacing w:val="4"/>
          <w:sz w:val="23"/>
          <w:szCs w:val="23"/>
          <w:highlight w:val="none"/>
        </w:rPr>
        <w:t>气质量标准</w:t>
      </w:r>
      <w:r>
        <w:rPr>
          <w:rFonts w:hint="default" w:ascii="Times New Roman" w:hAnsi="Times New Roman" w:cs="Times New Roman"/>
          <w:color w:val="auto"/>
          <w:spacing w:val="3"/>
          <w:sz w:val="23"/>
          <w:szCs w:val="23"/>
          <w:highlight w:val="none"/>
        </w:rPr>
        <w:t>》（</w:t>
      </w:r>
      <w:r>
        <w:rPr>
          <w:rFonts w:hint="default" w:ascii="Times New Roman" w:hAnsi="Times New Roman" w:eastAsia="Times New Roman" w:cs="Times New Roman"/>
          <w:color w:val="auto"/>
          <w:sz w:val="23"/>
          <w:szCs w:val="23"/>
          <w:highlight w:val="none"/>
        </w:rPr>
        <w:t>GB</w:t>
      </w:r>
      <w:r>
        <w:rPr>
          <w:rFonts w:hint="default" w:ascii="Times New Roman" w:hAnsi="Times New Roman" w:eastAsia="Times New Roman" w:cs="Times New Roman"/>
          <w:color w:val="auto"/>
          <w:spacing w:val="2"/>
          <w:sz w:val="23"/>
          <w:szCs w:val="23"/>
          <w:highlight w:val="none"/>
        </w:rPr>
        <w:t>3095-2012</w:t>
      </w:r>
      <w:r>
        <w:rPr>
          <w:rFonts w:hint="default" w:ascii="Times New Roman" w:hAnsi="Times New Roman" w:cs="Times New Roman"/>
          <w:color w:val="auto"/>
          <w:spacing w:val="2"/>
          <w:sz w:val="23"/>
          <w:szCs w:val="23"/>
          <w:highlight w:val="none"/>
        </w:rPr>
        <w:t>）中二级标准。根据监测结果，</w:t>
      </w:r>
      <w:r>
        <w:rPr>
          <w:rFonts w:hint="default" w:ascii="Times New Roman" w:hAnsi="Times New Roman" w:cs="Times New Roman"/>
          <w:color w:val="auto"/>
          <w:highlight w:val="none"/>
        </w:rPr>
        <w:t>氨、硫化氢监测浓度满足《</w:t>
      </w:r>
      <w:r>
        <w:rPr>
          <w:rFonts w:hint="default" w:ascii="Times New Roman" w:hAnsi="Times New Roman" w:cs="Times New Roman"/>
          <w:color w:val="auto"/>
          <w:highlight w:val="none"/>
          <w:lang w:eastAsia="zh-CN"/>
        </w:rPr>
        <w:t>环境影响评价技术导则大气环境</w:t>
      </w:r>
      <w:r>
        <w:rPr>
          <w:rFonts w:hint="default" w:ascii="Times New Roman" w:hAnsi="Times New Roman" w:cs="Times New Roman"/>
          <w:color w:val="auto"/>
          <w:highlight w:val="none"/>
        </w:rPr>
        <w:t>》（HJ2.2-2018）附录D中浓度限值，项目区域环境空气质量良好。</w:t>
      </w:r>
    </w:p>
    <w:p>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（2）地下水质量</w:t>
      </w:r>
      <w:r>
        <w:rPr>
          <w:rFonts w:hint="default" w:ascii="Times New Roman" w:hAnsi="Times New Roman" w:cs="Times New Roman"/>
          <w:color w:val="auto"/>
          <w:szCs w:val="28"/>
          <w:highlight w:val="none"/>
        </w:rPr>
        <w:t>现状：</w:t>
      </w:r>
      <w:r>
        <w:rPr>
          <w:rFonts w:hint="default" w:ascii="Times New Roman" w:hAnsi="Times New Roman" w:cs="Times New Roman"/>
          <w:color w:val="auto"/>
          <w:highlight w:val="none"/>
        </w:rPr>
        <w:t>根据地下水监测结果可知，项目厂址周边上下游</w:t>
      </w:r>
      <w:r>
        <w:rPr>
          <w:rFonts w:hint="default" w:ascii="Times New Roman" w:hAnsi="Times New Roman" w:cs="Times New Roman"/>
          <w:color w:val="auto"/>
          <w:szCs w:val="20"/>
          <w:highlight w:val="none"/>
        </w:rPr>
        <w:t>各监测点位</w:t>
      </w:r>
      <w:r>
        <w:rPr>
          <w:rFonts w:hint="default" w:ascii="Times New Roman" w:hAnsi="Times New Roman" w:cs="Times New Roman"/>
          <w:color w:val="auto"/>
          <w:highlight w:val="none"/>
        </w:rPr>
        <w:t>的</w:t>
      </w:r>
      <w:r>
        <w:rPr>
          <w:rFonts w:hint="default" w:ascii="Times New Roman" w:hAnsi="Times New Roman" w:cs="Times New Roman"/>
          <w:color w:val="auto"/>
          <w:szCs w:val="20"/>
          <w:highlight w:val="none"/>
        </w:rPr>
        <w:t>各项指标均达到《地下水质量标准》（GB/T14848-2017）中的Ⅲ类标准，区域目前水质状况较好。</w:t>
      </w:r>
    </w:p>
    <w:p>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（3）土壤环境质量现状：项目区域周边土壤各监测因子均符合《</w:t>
      </w:r>
      <w:r>
        <w:rPr>
          <w:rFonts w:hint="default" w:ascii="Times New Roman" w:hAnsi="Times New Roman" w:cs="Times New Roman"/>
          <w:color w:val="auto"/>
          <w:highlight w:val="none"/>
          <w:lang w:eastAsia="zh-CN"/>
        </w:rPr>
        <w:t>土壤环境质量建设用地土壤污染风险管控标准（试行）</w:t>
      </w:r>
      <w:r>
        <w:rPr>
          <w:rFonts w:hint="default" w:ascii="Times New Roman" w:hAnsi="Times New Roman" w:cs="Times New Roman"/>
          <w:color w:val="auto"/>
          <w:highlight w:val="none"/>
        </w:rPr>
        <w:t>》GB36600-2018中的风险管制值（第二类用地），表明评价区土壤质量良好。</w:t>
      </w:r>
    </w:p>
    <w:p>
      <w:pPr>
        <w:ind w:firstLine="480"/>
        <w:jc w:val="left"/>
        <w:rPr>
          <w:rFonts w:hint="default" w:ascii="Times New Roman" w:hAnsi="Times New Roman" w:cs="Times New Roman"/>
          <w:color w:val="auto"/>
          <w:szCs w:val="28"/>
          <w:highlight w:val="none"/>
        </w:rPr>
      </w:pPr>
      <w:r>
        <w:rPr>
          <w:rFonts w:hint="default" w:ascii="Times New Roman" w:hAnsi="Times New Roman" w:cs="Times New Roman"/>
          <w:color w:val="auto"/>
          <w:highlight w:val="none"/>
        </w:rPr>
        <w:t>（4）声环境质量现状：根据监测结果可知，项目区声环境质量满足</w:t>
      </w:r>
      <w:r>
        <w:rPr>
          <w:rFonts w:hint="default" w:ascii="Times New Roman" w:hAnsi="Times New Roman" w:cs="Times New Roman"/>
          <w:color w:val="auto"/>
          <w:szCs w:val="28"/>
          <w:highlight w:val="none"/>
        </w:rPr>
        <w:t>《声环境质量标准》（GB3096-2008）3类标准要求，声环境质量良好。</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szCs w:val="28"/>
          <w:highlight w:val="none"/>
        </w:rPr>
        <w:t>（5）生态环境质量现状：</w:t>
      </w:r>
      <w:r>
        <w:rPr>
          <w:rFonts w:hint="default" w:ascii="Times New Roman" w:hAnsi="Times New Roman" w:cs="Times New Roman"/>
          <w:color w:val="auto"/>
          <w:highlight w:val="none"/>
        </w:rPr>
        <w:t>拟建项目选址于新疆昌吉国家农业高新技术产业示范区，属新疆昌吉国家农业高新技术产业示范区污水处理设施建设用地，区域内及周边主要植被为人工绿化树种，在工程区内无珍稀野生动植物存在，生态环境一般。</w:t>
      </w:r>
    </w:p>
    <w:p>
      <w:pPr>
        <w:pStyle w:val="4"/>
        <w:bidi w:val="0"/>
        <w:rPr>
          <w:rFonts w:hint="default"/>
          <w:color w:val="auto"/>
          <w:highlight w:val="none"/>
        </w:rPr>
      </w:pPr>
      <w:bookmarkStart w:id="308" w:name="_Toc16227"/>
      <w:bookmarkStart w:id="309" w:name="_Toc31566"/>
      <w:bookmarkStart w:id="310" w:name="_Toc5087"/>
      <w:r>
        <w:rPr>
          <w:rFonts w:hint="default"/>
          <w:color w:val="auto"/>
          <w:highlight w:val="none"/>
        </w:rPr>
        <w:t>环境影响预测分析结论</w:t>
      </w:r>
      <w:bookmarkEnd w:id="308"/>
      <w:bookmarkEnd w:id="309"/>
      <w:bookmarkEnd w:id="310"/>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大气环境影响预测分析</w:t>
      </w:r>
    </w:p>
    <w:p>
      <w:pPr>
        <w:ind w:firstLine="480"/>
        <w:rPr>
          <w:rFonts w:hint="default"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1</w:t>
      </w:r>
      <w:r>
        <w:rPr>
          <w:rFonts w:hint="eastAsia" w:cs="Times New Roman"/>
          <w:color w:val="auto"/>
          <w:highlight w:val="none"/>
          <w:lang w:eastAsia="zh-CN"/>
        </w:rPr>
        <w:t>）</w:t>
      </w:r>
      <w:r>
        <w:rPr>
          <w:rFonts w:hint="default" w:ascii="Times New Roman" w:hAnsi="Times New Roman" w:cs="Times New Roman"/>
          <w:color w:val="auto"/>
          <w:highlight w:val="none"/>
        </w:rPr>
        <w:t>正常工况下</w:t>
      </w:r>
    </w:p>
    <w:p>
      <w:pPr>
        <w:autoSpaceDE w:val="0"/>
        <w:autoSpaceDN w:val="0"/>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根据预测，正常工况下，污水装置臭气处理系统排气筒（DA001）排放的废气中NH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S一次最大浓度值预测值均能满足《</w:t>
      </w:r>
      <w:r>
        <w:rPr>
          <w:rFonts w:hint="default" w:ascii="Times New Roman" w:hAnsi="Times New Roman" w:cs="Times New Roman"/>
          <w:color w:val="auto"/>
          <w:highlight w:val="none"/>
          <w:lang w:eastAsia="zh-CN"/>
        </w:rPr>
        <w:t>环境影响评价技术导则大气环境</w:t>
      </w:r>
      <w:r>
        <w:rPr>
          <w:rFonts w:hint="default" w:ascii="Times New Roman" w:hAnsi="Times New Roman" w:cs="Times New Roman"/>
          <w:color w:val="auto"/>
          <w:highlight w:val="none"/>
        </w:rPr>
        <w:t>》（HJ2.2-2018）附录D其他污染物空气质量浓度参考限值要求。本项目Pmax最大值出现为矩形面源排放的NH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Pmax值为</w:t>
      </w:r>
      <w:r>
        <w:rPr>
          <w:rFonts w:hint="eastAsia" w:cs="Times New Roman"/>
          <w:color w:val="auto"/>
          <w:highlight w:val="none"/>
          <w:lang w:eastAsia="zh-CN"/>
        </w:rPr>
        <w:t>2.1058%</w:t>
      </w:r>
      <w:r>
        <w:rPr>
          <w:rFonts w:hint="default" w:ascii="Times New Roman" w:hAnsi="Times New Roman" w:cs="Times New Roman"/>
          <w:color w:val="auto"/>
          <w:highlight w:val="none"/>
        </w:rPr>
        <w:t>，Cmax为</w:t>
      </w:r>
      <w:r>
        <w:rPr>
          <w:rFonts w:hint="eastAsia" w:cs="Times New Roman"/>
          <w:color w:val="auto"/>
          <w:highlight w:val="none"/>
          <w:lang w:eastAsia="zh-CN"/>
        </w:rPr>
        <w:t>4.2116</w:t>
      </w:r>
      <w:r>
        <w:rPr>
          <w:rFonts w:hint="default" w:ascii="Times New Roman" w:hAnsi="Times New Roman" w:cs="Times New Roman"/>
          <w:color w:val="auto"/>
          <w:highlight w:val="none"/>
        </w:rPr>
        <w:t>μg/m³。项目正常工况下各敏感点各污染物浓度值能满足环境质量标准要求。</w:t>
      </w:r>
    </w:p>
    <w:p>
      <w:pPr>
        <w:autoSpaceDE w:val="0"/>
        <w:autoSpaceDN w:val="0"/>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估算模式已考虑了最不利的气象条件，分析预测结果表明，该项目的废气排放对周围大气环境质量影响较小。</w:t>
      </w:r>
    </w:p>
    <w:p>
      <w:pPr>
        <w:ind w:firstLine="480"/>
        <w:rPr>
          <w:rFonts w:hint="default"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2</w:t>
      </w:r>
      <w:r>
        <w:rPr>
          <w:rFonts w:hint="eastAsia" w:cs="Times New Roman"/>
          <w:color w:val="auto"/>
          <w:highlight w:val="none"/>
          <w:lang w:eastAsia="zh-CN"/>
        </w:rPr>
        <w:t>）</w:t>
      </w:r>
      <w:r>
        <w:rPr>
          <w:rFonts w:hint="default" w:ascii="Times New Roman" w:hAnsi="Times New Roman" w:cs="Times New Roman"/>
          <w:color w:val="auto"/>
          <w:highlight w:val="none"/>
        </w:rPr>
        <w:t>大气防护距离</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根据《大气有害物质无组织排放卫生防护距离推导技术导则》（GB/T39499-2020），厂区产臭单元H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S和NH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的卫生防护距离取值分别为</w:t>
      </w:r>
      <w:r>
        <w:rPr>
          <w:rFonts w:hint="eastAsia" w:cs="Times New Roman"/>
          <w:color w:val="auto"/>
          <w:highlight w:val="none"/>
          <w:lang w:val="en-US" w:eastAsia="zh-CN"/>
        </w:rPr>
        <w:t>25</w:t>
      </w:r>
      <w:r>
        <w:rPr>
          <w:rFonts w:hint="default" w:ascii="Times New Roman" w:hAnsi="Times New Roman" w:cs="Times New Roman"/>
          <w:color w:val="auto"/>
          <w:highlight w:val="none"/>
        </w:rPr>
        <w:t>0m和</w:t>
      </w:r>
      <w:r>
        <w:rPr>
          <w:rFonts w:hint="eastAsia" w:cs="Times New Roman"/>
          <w:color w:val="auto"/>
          <w:highlight w:val="none"/>
          <w:lang w:val="en-US" w:eastAsia="zh-CN"/>
        </w:rPr>
        <w:t>10</w:t>
      </w:r>
      <w:r>
        <w:rPr>
          <w:rFonts w:hint="default" w:ascii="Times New Roman" w:hAnsi="Times New Roman" w:cs="Times New Roman"/>
          <w:color w:val="auto"/>
          <w:highlight w:val="none"/>
        </w:rPr>
        <w:t>0m，则项目卫生防护距离计算确定卫生防护距离为</w:t>
      </w:r>
      <w:r>
        <w:rPr>
          <w:rFonts w:hint="eastAsia" w:cs="Times New Roman"/>
          <w:color w:val="auto"/>
          <w:highlight w:val="none"/>
          <w:lang w:val="en-US" w:eastAsia="zh-CN"/>
        </w:rPr>
        <w:t>20</w:t>
      </w:r>
      <w:r>
        <w:rPr>
          <w:rFonts w:hint="default" w:ascii="Times New Roman" w:hAnsi="Times New Roman" w:cs="Times New Roman"/>
          <w:color w:val="auto"/>
          <w:highlight w:val="none"/>
        </w:rPr>
        <w:t>0m。</w:t>
      </w:r>
      <w:r>
        <w:rPr>
          <w:rFonts w:hint="eastAsia" w:cs="Times New Roman"/>
          <w:color w:val="auto"/>
          <w:highlight w:val="none"/>
          <w:lang w:val="en-US" w:eastAsia="zh-CN"/>
        </w:rPr>
        <w:t>现有厂区设置卫生防护距离为300m，</w:t>
      </w:r>
      <w:r>
        <w:rPr>
          <w:rFonts w:hint="default" w:ascii="Times New Roman" w:hAnsi="Times New Roman" w:cs="Times New Roman"/>
          <w:color w:val="auto"/>
          <w:highlight w:val="none"/>
        </w:rPr>
        <w:t>参照卫生防护距离计算结果，本环评设置环境防护距离</w:t>
      </w:r>
      <w:r>
        <w:rPr>
          <w:rFonts w:hint="eastAsia" w:cs="Times New Roman"/>
          <w:color w:val="auto"/>
          <w:highlight w:val="none"/>
          <w:lang w:eastAsia="zh-CN"/>
        </w:rPr>
        <w:t>300m</w:t>
      </w:r>
      <w:r>
        <w:rPr>
          <w:rFonts w:hint="default" w:ascii="Times New Roman" w:hAnsi="Times New Roman" w:cs="Times New Roman"/>
          <w:color w:val="auto"/>
          <w:highlight w:val="none"/>
        </w:rPr>
        <w:t>，以污水处理厂厂界为起点外延</w:t>
      </w:r>
      <w:r>
        <w:rPr>
          <w:rFonts w:hint="eastAsia" w:cs="Times New Roman"/>
          <w:color w:val="auto"/>
          <w:highlight w:val="none"/>
          <w:lang w:eastAsia="zh-CN"/>
        </w:rPr>
        <w:t>300m</w:t>
      </w:r>
      <w:r>
        <w:rPr>
          <w:rFonts w:hint="default" w:ascii="Times New Roman" w:hAnsi="Times New Roman" w:cs="Times New Roman"/>
          <w:color w:val="auto"/>
          <w:highlight w:val="none"/>
        </w:rPr>
        <w:t>区域为本项目防护区域。</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经现场踏勘，项目周边</w:t>
      </w:r>
      <w:r>
        <w:rPr>
          <w:rFonts w:hint="eastAsia" w:cs="Times New Roman"/>
          <w:color w:val="auto"/>
          <w:highlight w:val="none"/>
          <w:lang w:eastAsia="zh-CN"/>
        </w:rPr>
        <w:t>300m</w:t>
      </w:r>
      <w:r>
        <w:rPr>
          <w:rFonts w:hint="default" w:ascii="Times New Roman" w:hAnsi="Times New Roman" w:cs="Times New Roman"/>
          <w:color w:val="auto"/>
          <w:highlight w:val="none"/>
        </w:rPr>
        <w:t>范围内主要为农田，无学校、医院、居住区等环境敏感点，本次评价建议，本项目环境防护距离范围内后期不得建设学校、医院、居民区等环境敏感点。</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地下水环境影响预测分析</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根据污水处理站下游方向COD、NH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-N、石油类在不同时间不同距离位置预测结果，本项目COD参照执行《</w:t>
      </w:r>
      <w:r>
        <w:rPr>
          <w:rFonts w:hint="default" w:ascii="Times New Roman" w:hAnsi="Times New Roman" w:cs="Times New Roman"/>
          <w:color w:val="auto"/>
          <w:highlight w:val="none"/>
          <w:lang w:eastAsia="zh-CN"/>
        </w:rPr>
        <w:t>地下水质量标准</w:t>
      </w:r>
      <w:r>
        <w:rPr>
          <w:rFonts w:hint="default" w:ascii="Times New Roman" w:hAnsi="Times New Roman" w:cs="Times New Roman"/>
          <w:color w:val="auto"/>
          <w:highlight w:val="none"/>
        </w:rPr>
        <w:t>》（GB/T14848-2017）中耗氧量的3.0mg</w:t>
      </w:r>
      <w:r>
        <w:rPr>
          <w:rFonts w:hint="eastAsia" w:cs="Times New Roman"/>
          <w:color w:val="auto"/>
          <w:highlight w:val="none"/>
          <w:lang w:val="en-US" w:eastAsia="zh-CN"/>
        </w:rPr>
        <w:t>/L</w:t>
      </w:r>
      <w:r>
        <w:rPr>
          <w:rFonts w:hint="default" w:ascii="Times New Roman" w:hAnsi="Times New Roman" w:cs="Times New Roman"/>
          <w:color w:val="auto"/>
          <w:highlight w:val="none"/>
        </w:rPr>
        <w:t>标准，NH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-N执行《</w:t>
      </w:r>
      <w:r>
        <w:rPr>
          <w:rFonts w:hint="default" w:ascii="Times New Roman" w:hAnsi="Times New Roman" w:cs="Times New Roman"/>
          <w:color w:val="auto"/>
          <w:highlight w:val="none"/>
          <w:lang w:eastAsia="zh-CN"/>
        </w:rPr>
        <w:t>地下水质量标准</w:t>
      </w:r>
      <w:r>
        <w:rPr>
          <w:rFonts w:hint="default" w:ascii="Times New Roman" w:hAnsi="Times New Roman" w:cs="Times New Roman"/>
          <w:color w:val="auto"/>
          <w:highlight w:val="none"/>
        </w:rPr>
        <w:t>》（GB/T14848-2017）Ⅲ类标准中的0.5mg/</w:t>
      </w:r>
      <w:r>
        <w:rPr>
          <w:rFonts w:hint="eastAsia" w:cs="Times New Roman"/>
          <w:color w:val="auto"/>
          <w:highlight w:val="none"/>
          <w:lang w:val="en-US" w:eastAsia="zh-CN"/>
        </w:rPr>
        <w:t>L</w:t>
      </w:r>
      <w:r>
        <w:rPr>
          <w:rFonts w:hint="default" w:ascii="Times New Roman" w:hAnsi="Times New Roman" w:cs="Times New Roman"/>
          <w:color w:val="auto"/>
          <w:highlight w:val="none"/>
        </w:rPr>
        <w:t>、石油类参照执行《地表水环境质量标准》（GB/3838-2002）。</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根据污水处理厂的非正常工况COD、NH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石油类预测结果，项目污水处理站污水事故泄漏会对地下水有一定影响。因此必须加强对污水处理站防渗设施的监管，确保污水处理站的防渗措施安全正常运行，并每年例行检查，从源头上防止污水泄漏发生。</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声环境影响预测分析</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根据项目噪声源强和建设单位提供的平面布置进行预测，预测结果表明，拟建工程厂界东、南、西、北三面昼、夜间厂界噪声值均达到《工业企业厂界环境噪声排放标准》（GB12348-2008）中3类标准要求。</w:t>
      </w:r>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固体废物影响分析</w:t>
      </w:r>
    </w:p>
    <w:p>
      <w:pPr>
        <w:autoSpaceDE w:val="0"/>
        <w:autoSpaceDN w:val="0"/>
        <w:adjustRightInd w:val="0"/>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固体废物来自污水处理厂产生的固体废物主要为污泥，职工的生活垃圾。</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zh-CN"/>
        </w:rPr>
        <w:t>生活垃圾分类收集后，可回收的回收再利用，不可回收的经垃圾桶收集后交由环卫部门收集统一处理，最终</w:t>
      </w:r>
      <w:r>
        <w:rPr>
          <w:rFonts w:hint="default" w:ascii="Times New Roman" w:hAnsi="Times New Roman" w:cs="Times New Roman"/>
          <w:color w:val="auto"/>
          <w:highlight w:val="none"/>
        </w:rPr>
        <w:t>外运昌吉市生活垃圾无害化填埋场处理。</w:t>
      </w:r>
    </w:p>
    <w:p>
      <w:pPr>
        <w:ind w:firstLine="480"/>
        <w:rPr>
          <w:rFonts w:hint="default" w:ascii="Times New Roman" w:hAnsi="Times New Roman" w:cs="Times New Roman"/>
          <w:color w:val="auto"/>
          <w:spacing w:val="0"/>
          <w:sz w:val="24"/>
          <w:highlight w:val="none"/>
        </w:rPr>
      </w:pPr>
      <w:r>
        <w:rPr>
          <w:rFonts w:hint="eastAsia" w:cs="Times New Roman"/>
          <w:color w:val="auto"/>
          <w:highlight w:val="none"/>
          <w:lang w:val="en-US" w:eastAsia="zh-CN"/>
        </w:rPr>
        <w:t>根据现有污水处理厂针对</w:t>
      </w:r>
      <w:r>
        <w:rPr>
          <w:rFonts w:hint="default" w:ascii="Times New Roman" w:hAnsi="Times New Roman" w:cs="Times New Roman"/>
          <w:color w:val="auto"/>
          <w:highlight w:val="none"/>
          <w:lang w:val="zh-CN"/>
        </w:rPr>
        <w:t>污泥危险废物鉴别实验，</w:t>
      </w:r>
      <w:r>
        <w:rPr>
          <w:rFonts w:hint="eastAsia" w:cs="Times New Roman"/>
          <w:color w:val="auto"/>
          <w:highlight w:val="none"/>
          <w:lang w:val="en-US" w:eastAsia="zh-CN"/>
        </w:rPr>
        <w:t>可知本项目污泥为一般固体废物（见附件污泥鉴别报告），</w:t>
      </w:r>
      <w:r>
        <w:rPr>
          <w:rFonts w:hint="eastAsia" w:cs="Times New Roman"/>
          <w:color w:val="auto"/>
          <w:highlight w:val="none"/>
          <w:lang w:val="zh-CN"/>
        </w:rPr>
        <w:t>污泥经脱水至含水率小于60%后，与栅渣、沉砂一起运至生活垃圾填埋场进行卫生填埋</w:t>
      </w:r>
      <w:r>
        <w:rPr>
          <w:rFonts w:hint="default" w:ascii="Times New Roman" w:hAnsi="Times New Roman" w:cs="Times New Roman"/>
          <w:color w:val="auto"/>
          <w:highlight w:val="none"/>
          <w:lang w:val="zh-CN"/>
        </w:rPr>
        <w:t>。</w:t>
      </w:r>
    </w:p>
    <w:p>
      <w:pPr>
        <w:autoSpaceDE w:val="0"/>
        <w:autoSpaceDN w:val="0"/>
        <w:adjustRightInd w:val="0"/>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经采取上述措施后，工程各类固体废物均可得到安全妥善处置，对外环境影响较小。</w:t>
      </w:r>
    </w:p>
    <w:p>
      <w:pPr>
        <w:pStyle w:val="4"/>
        <w:bidi w:val="0"/>
        <w:rPr>
          <w:rFonts w:hint="default"/>
          <w:color w:val="auto"/>
          <w:highlight w:val="none"/>
        </w:rPr>
      </w:pPr>
      <w:bookmarkStart w:id="311" w:name="_Toc19047"/>
      <w:bookmarkStart w:id="312" w:name="_Toc31586"/>
      <w:bookmarkStart w:id="313" w:name="_Toc32666"/>
      <w:r>
        <w:rPr>
          <w:rFonts w:hint="default"/>
          <w:color w:val="auto"/>
          <w:highlight w:val="none"/>
        </w:rPr>
        <w:t>环境风险分析</w:t>
      </w:r>
      <w:bookmarkEnd w:id="311"/>
      <w:bookmarkEnd w:id="312"/>
      <w:bookmarkEnd w:id="313"/>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不构成重大危险源，风险评价等级为简单分析。综合环境风险识别和一般污水处理厂运行期发生的环境风险事故，本项目运行期可能发生的环境风险事件主要为①风险物质泄漏造成水环境污染。②由于污水进水水质突然变化、操作不当、设备故障、管道断裂、停车检修等原因，导致本项目所接纳的废水处理效果不佳或未经处理后直接外排的废水非正常排放事件。③</w:t>
      </w:r>
      <w:r>
        <w:rPr>
          <w:rFonts w:hint="default" w:ascii="Times New Roman" w:hAnsi="Times New Roman" w:cs="Times New Roman"/>
          <w:color w:val="auto"/>
          <w:highlight w:val="none"/>
          <w:lang w:val="zh-CN"/>
        </w:rPr>
        <w:t>项目生物除臭装置故障，废气收集后直排，形成恶臭污染物的局部污染事件。</w:t>
      </w:r>
      <w:r>
        <w:rPr>
          <w:rFonts w:hint="default" w:ascii="Times New Roman" w:hAnsi="Times New Roman" w:cs="Times New Roman"/>
          <w:color w:val="auto"/>
          <w:highlight w:val="none"/>
        </w:rPr>
        <w:t>污水处理厂一旦发生环境风险事故，对周围环境及工作人员人身安全、健康均可能造成影响。④</w:t>
      </w:r>
      <w:r>
        <w:rPr>
          <w:rFonts w:hint="default" w:ascii="Times New Roman" w:hAnsi="Times New Roman" w:cs="Times New Roman"/>
          <w:color w:val="auto"/>
          <w:highlight w:val="none"/>
          <w:lang w:val="zh-CN"/>
        </w:rPr>
        <w:t>排水管道因</w:t>
      </w:r>
      <w:r>
        <w:rPr>
          <w:rFonts w:hint="default" w:ascii="Times New Roman" w:hAnsi="Times New Roman" w:cs="Times New Roman"/>
          <w:color w:val="auto"/>
          <w:highlight w:val="none"/>
        </w:rPr>
        <w:t>工人操作失误、地温冷热变化、人为破坏等原因发生破裂或渗漏风险事件。</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建设单位应按照本报告提出的风险防范措施和国家相关规定制定环境风险应急预案等。采取合理的风险防范措施和应急对策的条件下，可最大限度地降低本项目的环境风险。</w:t>
      </w:r>
    </w:p>
    <w:p>
      <w:pPr>
        <w:pStyle w:val="4"/>
        <w:bidi w:val="0"/>
        <w:rPr>
          <w:rFonts w:hint="default"/>
          <w:color w:val="auto"/>
          <w:highlight w:val="none"/>
        </w:rPr>
      </w:pPr>
      <w:bookmarkStart w:id="314" w:name="_Toc29343"/>
      <w:bookmarkStart w:id="315" w:name="_Toc1065"/>
      <w:bookmarkStart w:id="316" w:name="_Toc4648"/>
      <w:r>
        <w:rPr>
          <w:rFonts w:hint="default"/>
          <w:color w:val="auto"/>
          <w:highlight w:val="none"/>
        </w:rPr>
        <w:t>总结论</w:t>
      </w:r>
      <w:bookmarkEnd w:id="314"/>
      <w:bookmarkEnd w:id="315"/>
      <w:bookmarkEnd w:id="316"/>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符合国家产业政策要求，符合区域规划，污水处理厂的选址合理，厂区平面布置基本合理。园区工业及生活污水经采取处理装置处理后，能够更加保证污水中各污染物达标排放，将更有利于区域污染物削减，夏季用于灌溉示范区的林地，冬季储存于</w:t>
      </w:r>
      <w:r>
        <w:rPr>
          <w:rFonts w:hint="eastAsia" w:cs="Times New Roman"/>
          <w:color w:val="auto"/>
          <w:highlight w:val="none"/>
          <w:lang w:eastAsia="zh-CN"/>
        </w:rPr>
        <w:t>中水池</w:t>
      </w:r>
      <w:r>
        <w:rPr>
          <w:rFonts w:hint="default" w:ascii="Times New Roman" w:hAnsi="Times New Roman" w:cs="Times New Roman"/>
          <w:color w:val="auto"/>
          <w:highlight w:val="none"/>
        </w:rPr>
        <w:t>中。进一步优化新疆昌吉国家农业高新技术产业示范区的投资环境，实现经济、环境和社会可持续协调发展。建设单位在全面落实本报告书中提出的各污染防治措施、风险防范措施等的前提下，污染物排放能达到国家规定的标准，从环境保护的角度而言，项目的建设是可行的。</w:t>
      </w:r>
    </w:p>
    <w:p>
      <w:pPr>
        <w:pStyle w:val="4"/>
        <w:bidi w:val="0"/>
        <w:rPr>
          <w:rFonts w:hint="default"/>
          <w:color w:val="auto"/>
          <w:highlight w:val="none"/>
        </w:rPr>
      </w:pPr>
      <w:bookmarkStart w:id="317" w:name="_Toc30689"/>
      <w:bookmarkStart w:id="318" w:name="_Toc9903"/>
      <w:bookmarkStart w:id="319" w:name="_Toc20238"/>
      <w:r>
        <w:rPr>
          <w:rFonts w:hint="default"/>
          <w:color w:val="auto"/>
          <w:highlight w:val="none"/>
        </w:rPr>
        <w:t>建议和要求</w:t>
      </w:r>
      <w:bookmarkEnd w:id="317"/>
      <w:bookmarkEnd w:id="318"/>
      <w:bookmarkEnd w:id="319"/>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（1）建设单位应依据国家标准和当地环保部门的计划和要求，安装自动在线监控装置，并与环保部门的监控系统联网。</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（2）在本项目建成之后，及早实施清洁生产审核，以逐步完善环境保护方面的管理，提升环境管理水平和污染防治意识。</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（3）建议新疆昌吉国家农业高新技术产业示范区管委会加强入园企业外排废水的监管，确保入园企业外排至</w:t>
      </w:r>
      <w:r>
        <w:rPr>
          <w:rFonts w:hint="eastAsia" w:cs="Times New Roman"/>
          <w:color w:val="auto"/>
          <w:highlight w:val="none"/>
          <w:lang w:eastAsia="zh-CN"/>
        </w:rPr>
        <w:t>本项目</w:t>
      </w:r>
      <w:r>
        <w:rPr>
          <w:rFonts w:hint="default" w:ascii="Times New Roman" w:hAnsi="Times New Roman" w:cs="Times New Roman"/>
          <w:color w:val="auto"/>
          <w:highlight w:val="none"/>
        </w:rPr>
        <w:t>的各类废水达到</w:t>
      </w:r>
      <w:r>
        <w:rPr>
          <w:rFonts w:hint="eastAsia" w:cs="Times New Roman"/>
          <w:color w:val="auto"/>
          <w:highlight w:val="none"/>
          <w:lang w:eastAsia="zh-CN"/>
        </w:rPr>
        <w:t>本项目</w:t>
      </w:r>
      <w:r>
        <w:rPr>
          <w:rFonts w:hint="default" w:ascii="Times New Roman" w:hAnsi="Times New Roman" w:cs="Times New Roman"/>
          <w:color w:val="auto"/>
          <w:highlight w:val="none"/>
        </w:rPr>
        <w:t>设计的相应进水水质要求，避免因进水水质不稳定造成工程污水处理系统不稳定，引起废水非正常排放事故的发生。</w:t>
      </w:r>
    </w:p>
    <w:p>
      <w:pPr>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（4）污泥如需外运送垃圾填埋场处理，则应确保进一步脱水措施，保证污泥在脱水至含水率</w:t>
      </w:r>
      <w:r>
        <w:rPr>
          <w:rFonts w:hint="eastAsia" w:cs="Times New Roman"/>
          <w:color w:val="auto"/>
          <w:highlight w:val="none"/>
          <w:lang w:val="en-US" w:eastAsia="zh-CN"/>
        </w:rPr>
        <w:t>小于</w:t>
      </w:r>
      <w:r>
        <w:rPr>
          <w:rFonts w:hint="default" w:ascii="Times New Roman" w:hAnsi="Times New Roman" w:cs="Times New Roman"/>
          <w:color w:val="auto"/>
          <w:highlight w:val="none"/>
        </w:rPr>
        <w:t>60%以下满足填埋要求后方可填埋处理。</w:t>
      </w:r>
    </w:p>
    <w:p>
      <w:pPr>
        <w:ind w:firstLine="480"/>
        <w:rPr>
          <w:rFonts w:hint="default" w:ascii="Times New Roman" w:hAnsi="Times New Roman" w:cs="Times New Roman"/>
          <w:color w:val="auto"/>
          <w:highlight w:val="none"/>
        </w:rPr>
        <w:sectPr>
          <w:footerReference r:id="rId23"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ind w:left="0" w:leftChars="0" w:firstLine="0" w:firstLineChars="0"/>
        <w:rPr>
          <w:rFonts w:hint="eastAsia" w:eastAsia="宋体"/>
          <w:lang w:eastAsia="zh-CN"/>
        </w:rPr>
      </w:pPr>
      <w:bookmarkStart w:id="320" w:name="_Hlk107308242"/>
      <w:bookmarkEnd w:id="320"/>
    </w:p>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F5CFBD7-DD2C-42DC-89BD-8DD26B46BAE3}"/>
  </w:font>
  <w:font w:name="Arial">
    <w:panose1 w:val="020B0604020202020204"/>
    <w:charset w:val="01"/>
    <w:family w:val="swiss"/>
    <w:pitch w:val="default"/>
    <w:sig w:usb0="E0002EFF" w:usb1="C000785B" w:usb2="00000009" w:usb3="00000000" w:csb0="400001FF" w:csb1="FFFF0000"/>
    <w:embedRegular r:id="rId2" w:fontKey="{254ABFD3-037F-4A5A-A277-A5D0549DF6BD}"/>
  </w:font>
  <w:font w:name="黑体">
    <w:panose1 w:val="02010609060101010101"/>
    <w:charset w:val="86"/>
    <w:family w:val="auto"/>
    <w:pitch w:val="default"/>
    <w:sig w:usb0="800002BF" w:usb1="38CF7CFA" w:usb2="00000016" w:usb3="00000000" w:csb0="00040001" w:csb1="00000000"/>
    <w:embedRegular r:id="rId3" w:fontKey="{CA30F6B9-2001-43DA-BABE-9AFE319210A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A8AC3713-2739-4E86-94B9-BC3D1FAFF849}"/>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5" w:fontKey="{29DA96BF-B3B3-4CD8-B7E2-F7D7BEAB8B94}"/>
  </w:font>
  <w:font w:name="Arial Unicode MS">
    <w:altName w:val="宋体"/>
    <w:panose1 w:val="020B0604020202020204"/>
    <w:charset w:val="86"/>
    <w:family w:val="swiss"/>
    <w:pitch w:val="default"/>
    <w:sig w:usb0="00000000" w:usb1="00000000"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Helvetica">
    <w:altName w:val="Arial"/>
    <w:panose1 w:val="00000000000000000000"/>
    <w:charset w:val="00"/>
    <w:family w:val="auto"/>
    <w:pitch w:val="default"/>
    <w:sig w:usb0="00000000" w:usb1="00000000" w:usb2="00000000" w:usb3="00000000" w:csb0="00000000" w:csb1="00000000"/>
    <w:embedRegular r:id="rId6" w:fontKey="{48B058D5-219B-40AD-ADEC-E274B9DD074C}"/>
  </w:font>
  <w:font w:name="TimesNewRomanPSMT">
    <w:altName w:val="等线"/>
    <w:panose1 w:val="00000000000000000000"/>
    <w:charset w:val="00"/>
    <w:family w:val="auto"/>
    <w:pitch w:val="default"/>
    <w:sig w:usb0="00000000" w:usb1="00000000" w:usb2="00000000" w:usb3="00000000" w:csb0="00040001" w:csb1="00000000"/>
    <w:embedRegular r:id="rId7" w:fontKey="{44080D3A-A143-4E70-A293-9C52FF458749}"/>
  </w:font>
  <w:font w:name="仿宋">
    <w:panose1 w:val="02010609060101010101"/>
    <w:charset w:val="86"/>
    <w:family w:val="auto"/>
    <w:pitch w:val="default"/>
    <w:sig w:usb0="800002BF" w:usb1="38CF7CFA" w:usb2="00000016" w:usb3="00000000" w:csb0="00040001" w:csb1="00000000"/>
    <w:embedRegular r:id="rId8" w:fontKey="{6001FFEE-A05F-4549-98A1-EF85A60FCB85}"/>
  </w:font>
  <w:font w:name="PingFangSC-Regular">
    <w:altName w:val="Segoe Print"/>
    <w:panose1 w:val="00000000000000000000"/>
    <w:charset w:val="00"/>
    <w:family w:val="auto"/>
    <w:pitch w:val="default"/>
    <w:sig w:usb0="00000000" w:usb1="00000000" w:usb2="00000000" w:usb3="00000000" w:csb0="00000000" w:csb1="00000000"/>
    <w:embedRegular r:id="rId9" w:fontKey="{52FCA095-BC2B-4220-951C-866D4996C092}"/>
  </w:font>
  <w:font w:name="Cambria Math">
    <w:panose1 w:val="02040503050406030204"/>
    <w:charset w:val="00"/>
    <w:family w:val="roman"/>
    <w:pitch w:val="default"/>
    <w:sig w:usb0="E00006FF" w:usb1="420024FF" w:usb2="02000000" w:usb3="00000000" w:csb0="2000019F" w:csb1="00000000"/>
    <w:embedRegular r:id="rId10" w:fontKey="{3474404C-090C-4FD0-A91F-98813CD52964}"/>
  </w:font>
  <w:font w:name="Wingdings 2">
    <w:panose1 w:val="05020102010507070707"/>
    <w:charset w:val="02"/>
    <w:family w:val="roman"/>
    <w:pitch w:val="default"/>
    <w:sig w:usb0="00000000" w:usb1="00000000" w:usb2="00000000" w:usb3="00000000" w:csb0="80000000" w:csb1="00000000"/>
    <w:embedRegular r:id="rId11" w:fontKey="{D3D3E04C-A5BD-4098-BE1E-42E9144BD4EB}"/>
  </w:font>
  <w:font w:name="Segoe UI">
    <w:panose1 w:val="020B0502040204020203"/>
    <w:charset w:val="00"/>
    <w:family w:val="auto"/>
    <w:pitch w:val="default"/>
    <w:sig w:usb0="E4002EFF" w:usb1="C000E47F" w:usb2="00000009" w:usb3="00000000" w:csb0="200001FF" w:csb1="00000000"/>
    <w:embedRegular r:id="rId12" w:fontKey="{40B20306-3157-4F16-A99E-AD5C9C70FCAF}"/>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8000012" w:usb3="00000000" w:csb0="4002009F" w:csb1="DFD7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auto"/>
    <w:pitch w:val="default"/>
    <w:sig w:usb0="E0002EFF" w:usb1="C000785B" w:usb2="00000009" w:usb3="00000000" w:csb0="400001FF" w:csb1="FFFF0000"/>
    <w:embedRegular r:id="rId13" w:fontKey="{06053D2F-617D-43AF-B9FA-17D366DF9C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ascii="Times New Roman" w:hAnsi="Times New Roman"/>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288049866"/>
                          </w:sdtPr>
                          <w:sdtEndPr>
                            <w:rPr>
                              <w:rFonts w:ascii="Times New Roman" w:hAnsi="Times New Roman"/>
                            </w:rPr>
                          </w:sdtEndPr>
                          <w:sdtContent>
                            <w:p>
                              <w:pPr>
                                <w:pStyle w:val="21"/>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2</w:t>
                              </w:r>
                              <w:r>
                                <w:rPr>
                                  <w:rFonts w:ascii="Times New Roman" w:hAnsi="Times New Roman"/>
                                </w:rPr>
                                <w:fldChar w:fldCharType="end"/>
                              </w:r>
                            </w:p>
                          </w:sdtContent>
                        </w:sdt>
                        <w:p>
                          <w:pPr>
                            <w:pStyle w:val="16"/>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sdt>
                    <w:sdtPr>
                      <w:id w:val="-1288049866"/>
                    </w:sdtPr>
                    <w:sdtEndPr>
                      <w:rPr>
                        <w:rFonts w:ascii="Times New Roman" w:hAnsi="Times New Roman"/>
                      </w:rPr>
                    </w:sdtEndPr>
                    <w:sdtContent>
                      <w:p>
                        <w:pPr>
                          <w:pStyle w:val="21"/>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2</w:t>
                        </w:r>
                        <w:r>
                          <w:rPr>
                            <w:rFonts w:ascii="Times New Roman" w:hAnsi="Times New Roman"/>
                          </w:rPr>
                          <w:fldChar w:fldCharType="end"/>
                        </w:r>
                      </w:p>
                    </w:sdtContent>
                  </w:sdt>
                  <w:p>
                    <w:pPr>
                      <w:pStyle w:val="16"/>
                    </w:pP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98" w:line="178" w:lineRule="auto"/>
      <w:jc w:val="center"/>
      <w:rPr>
        <w:rFonts w:hint="default" w:ascii="Times New Roman" w:hAnsi="Times New Roman" w:eastAsia="Times New Roman" w:cs="Times New Roman"/>
        <w:sz w:val="18"/>
        <w:szCs w:val="18"/>
        <w:lang w:val="en-US"/>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69596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69596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54.8pt;mso-position-horizontal:center;mso-position-horizontal-relative:margin;z-index:251663360;mso-width-relative:page;mso-height-relative:page;" filled="f" stroked="f" coordsize="21600,21600" o:gfxdata="UEsDBAoAAAAAAIdO4kAAAAAAAAAAAAAAAAAEAAAAZHJzL1BLAwQUAAAACACHTuJAF+5ZJtQAAAAF&#10;AQAADwAAAGRycy9kb3ducmV2LnhtbE2PMU/DMBCFd6T+B+sqsVG7HaoQ4nSoSgeYSBFivMaXOBCf&#10;o9hNC78elwWWk57e3XvfFZuL68VEY+g8a1guFAji2puOWw2vh8e7DESIyAZ7z6ThiwJsytlNgbnx&#10;Z36hqYqtSCEcctRgYxxyKUNtyWFY+IE4eY0fHcYkx1aaEc8p3PVypdRaOuw4NVgcaGup/qxOLmG8&#10;PSu3/27su3vCJlT2MO13H1rfzpfqAUSkS/xbhit+uoEyMR39iU0QvYb0SPydV0/dr0EcNayyTIEs&#10;C/mfvvwBUEsDBBQAAAAIAIdO4kChzKY7OAIAAGYEAAAOAAAAZHJzL2Uyb0RvYy54bWytVEtu2zAQ&#10;3RfoHQjua8kOEjhG5MBN4KKA0QRwi65pirIE8FeSjuQeoL1BV91k33P5HH2kLKdIu8iiG2o4//dm&#10;qKvrTknyIJxvjC7oeJRTIjQ3ZaO3Bf30cflmSokPTJdMGi0KuheeXs9fv7pq7UxMTG1kKRxBEu1n&#10;rS1oHYKdZZnntVDMj4wVGsbKOMUCrm6blY61yK5kNsnzi6w1rrTOcOE9tLe9kR4zupckNFXVcHFr&#10;+E4JHfqsTkgWAMnXjfV0nrqtKsHDXVV5EYgsKJCGdKII5E08s/kVm20ds3XDjy2wl7TwDJNijUbR&#10;U6pbFhjZueavVKrhznhThRE3KuuBJEaAYpw/42ZdMysSFlDt7Yl0///S8g8P9440JTbhbEyJZgoj&#10;P/z4fvj56/D4jUQlKGqtn8FzbeEburemg/ug91BG5F3lVPwCE4EdBO9PBIsuEA7lxeX55QUsHKbx&#10;dDKd5mkC2VO0dT68E0aRKBTUYYCJV/aw8gGdwHVwicW0WTZSpiFKTVpUODvPU8DJggipERgx9L1G&#10;KXSb7ghsY8o9cDnTL4e3fNmg+Ir5cM8ctgEN472EOxyVNChijhIltXFf/6WP/hgSrJS02K6C+i87&#10;5gQl8r3G+JAyDIIbhM0g6J26MVhYDATdJBEBLshBrJxRn/GMFrEKTExz1CpoGMSb0O84niEXi0Vy&#10;2lnXbOs+AMtnWVjpteWxTKTS28UugM7EcqSo5+XIHNYvkX98KnG//7wnr6ffw/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5ZJtQAAAAFAQAADwAAAAAAAAABACAAAAAiAAAAZHJzL2Rvd25yZXYu&#10;eG1sUEsBAhQAFAAAAAgAh07iQKHMpjs4AgAAZgQAAA4AAAAAAAAAAQAgAAAAIwEAAGRycy9lMm9E&#10;b2MueG1sUEsFBgAAAAAGAAYAWQEAAM0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069" w:firstLine="360"/>
      <w:rPr>
        <w:rFonts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1M9k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b1M9kzAgAAZQ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131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069" w:firstLine="360"/>
      <w:rPr>
        <w:rFonts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196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480"/>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32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6" w:line="210" w:lineRule="auto"/>
      <w:ind w:left="24" w:firstLine="360"/>
      <w:rPr>
        <w:rFonts w:ascii="宋体" w:hAnsi="宋体" w:cs="宋体"/>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0" w:lineRule="auto"/>
      <w:ind w:left="783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utoSpaceDE w:val="0"/>
      <w:autoSpaceDN w:val="0"/>
      <w:adjustRightInd w:val="0"/>
      <w:snapToGrid w:val="0"/>
      <w:spacing w:line="186" w:lineRule="auto"/>
      <w:ind w:left="4069" w:firstLine="0" w:firstLineChars="0"/>
      <w:jc w:val="left"/>
      <w:textAlignment w:val="baseline"/>
      <w:rPr>
        <w:rFonts w:eastAsia="Times New Roman" w:cs="Times New Roman"/>
        <w:snapToGrid w:val="0"/>
        <w:color w:val="000000"/>
        <w:kern w:val="0"/>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fz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FTQzTKPn5x/fz&#10;z9/nX99IOoREtQtzRD44xMbmnW0QPpwHHCbmTel1+oITgR9gp4vAoomEp0uz6Ww2hovDN2yAnz1d&#10;dz7E98JqkoycelSwFZYdtyF2oUNIymbsRirVVlEZUuf0+urtuL1w8QBcGeRIJLrHJis2u6ZntrPF&#10;CcS87bojOL6RSL5lId4zj3bAgzEw8Q5LqSyS2N6ipLL+67/OUzyqBC8lNdorpwbTRIn6YFA9AMbB&#10;8IOxGwxz0LcW/TrBIDremrjgoxrM0lv9BVO0SjngYoYjU07jYN7GrsUxhVysVm3QwXm5r7oL6D3H&#10;4tY8OJ7SJCGDWx0ixGw1TgJ1qvS6ofvaKvWTktr7z30b9fR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GLfzszAgAAZQ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nThickSmallGap" w:color="auto" w:sz="12" w:space="1"/>
      </w:pBdr>
      <w:tabs>
        <w:tab w:val="center" w:pos="4153"/>
        <w:tab w:val="right" w:pos="8306"/>
      </w:tabs>
      <w:spacing w:line="240" w:lineRule="auto"/>
      <w:ind w:firstLine="360"/>
      <w:jc w:val="center"/>
      <w:rPr>
        <w:sz w:val="18"/>
        <w:szCs w:val="18"/>
      </w:rPr>
    </w:pPr>
    <w:r>
      <w:rPr>
        <w:rFonts w:hint="eastAsia"/>
        <w:sz w:val="18"/>
        <w:szCs w:val="18"/>
      </w:rPr>
      <w:t>新疆昌吉国家农业高新技术产业示范区现代农业精深加工示范区污水处理厂改造扩容项目</w:t>
    </w:r>
    <w:r>
      <w:rPr>
        <w:sz w:val="18"/>
        <w:szCs w:val="18"/>
      </w:rPr>
      <w:t>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nThickSmallGap" w:color="auto" w:sz="12" w:space="1"/>
      </w:pBdr>
      <w:tabs>
        <w:tab w:val="center" w:pos="4153"/>
        <w:tab w:val="right" w:pos="8306"/>
      </w:tabs>
      <w:spacing w:line="240" w:lineRule="auto"/>
      <w:ind w:firstLine="0" w:firstLineChars="0"/>
      <w:jc w:val="center"/>
      <w:rPr>
        <w:sz w:val="18"/>
        <w:szCs w:val="18"/>
      </w:rPr>
    </w:pPr>
    <w:r>
      <w:rPr>
        <w:rFonts w:hint="eastAsia"/>
        <w:sz w:val="18"/>
        <w:szCs w:val="18"/>
      </w:rPr>
      <w:t>新疆昌吉国家农业高新技术产业示范区现代农业精深加工示范区污水处理厂改造扩容项目</w:t>
    </w:r>
    <w:r>
      <w:rPr>
        <w:sz w:val="18"/>
        <w:szCs w:val="18"/>
      </w:rPr>
      <w:t>环境影响报告书</w:t>
    </w:r>
  </w:p>
  <w:p>
    <w:pPr>
      <w:widowControl/>
      <w:kinsoku w:val="0"/>
      <w:autoSpaceDE w:val="0"/>
      <w:autoSpaceDN w:val="0"/>
      <w:adjustRightInd w:val="0"/>
      <w:snapToGrid w:val="0"/>
      <w:spacing w:line="100" w:lineRule="auto"/>
      <w:ind w:firstLine="0" w:firstLineChars="0"/>
      <w:jc w:val="left"/>
      <w:textAlignment w:val="baseline"/>
      <w:rPr>
        <w:rFonts w:ascii="Arial" w:hAnsi="Arial" w:eastAsia="Arial" w:cs="Arial"/>
        <w:snapToGrid w:val="0"/>
        <w:color w:val="000000"/>
        <w:kern w:val="0"/>
        <w:sz w:val="2"/>
        <w:szCs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nThickSmallGap" w:color="auto" w:sz="12" w:space="1"/>
      </w:pBdr>
      <w:tabs>
        <w:tab w:val="center" w:pos="4153"/>
        <w:tab w:val="right" w:pos="8306"/>
      </w:tabs>
      <w:spacing w:line="240" w:lineRule="auto"/>
      <w:ind w:firstLine="0" w:firstLineChars="0"/>
      <w:jc w:val="center"/>
      <w:rPr>
        <w:sz w:val="18"/>
        <w:szCs w:val="18"/>
      </w:rPr>
    </w:pPr>
    <w:r>
      <w:rPr>
        <w:rFonts w:hint="eastAsia"/>
        <w:sz w:val="18"/>
        <w:szCs w:val="18"/>
      </w:rPr>
      <w:t>新疆昌吉国家农业高新技术产业示范区现代农业精深加工示范区污水处理厂改造扩容项目</w:t>
    </w:r>
    <w:r>
      <w:rPr>
        <w:sz w:val="18"/>
        <w:szCs w:val="18"/>
      </w:rPr>
      <w:t>环境影响报告书</w:t>
    </w:r>
  </w:p>
  <w:p>
    <w:pPr>
      <w:spacing w:line="100" w:lineRule="auto"/>
      <w:ind w:firstLine="40"/>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D051D6"/>
    <w:multiLevelType w:val="multilevel"/>
    <w:tmpl w:val="86D051D6"/>
    <w:lvl w:ilvl="0" w:tentative="0">
      <w:start w:val="1"/>
      <w:numFmt w:val="decimal"/>
      <w:pStyle w:val="3"/>
      <w:lvlText w:val="%1."/>
      <w:lvlJc w:val="left"/>
      <w:pPr>
        <w:ind w:left="432" w:hanging="432"/>
      </w:pPr>
      <w:rPr>
        <w:rFonts w:hint="default"/>
      </w:rPr>
    </w:lvl>
    <w:lvl w:ilvl="1" w:tentative="0">
      <w:start w:val="1"/>
      <w:numFmt w:val="decimal"/>
      <w:pStyle w:val="4"/>
      <w:lvlText w:val="%1.%2."/>
      <w:lvlJc w:val="left"/>
      <w:pPr>
        <w:tabs>
          <w:tab w:val="left" w:pos="0"/>
        </w:tabs>
        <w:ind w:left="0" w:leftChars="0" w:firstLine="0" w:firstLineChars="0"/>
      </w:pPr>
      <w:rPr>
        <w:rFonts w:hint="default"/>
      </w:rPr>
    </w:lvl>
    <w:lvl w:ilvl="2" w:tentative="0">
      <w:start w:val="1"/>
      <w:numFmt w:val="decimal"/>
      <w:pStyle w:val="5"/>
      <w:lvlText w:val="%1.%2.%3."/>
      <w:lvlJc w:val="left"/>
      <w:pPr>
        <w:ind w:left="720" w:hanging="720"/>
      </w:pPr>
      <w:rPr>
        <w:rFonts w:hint="default"/>
      </w:rPr>
    </w:lvl>
    <w:lvl w:ilvl="3" w:tentative="0">
      <w:start w:val="1"/>
      <w:numFmt w:val="decimal"/>
      <w:pStyle w:val="2"/>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
    <w:nsid w:val="AA0B3CD0"/>
    <w:multiLevelType w:val="singleLevel"/>
    <w:tmpl w:val="AA0B3CD0"/>
    <w:lvl w:ilvl="0" w:tentative="0">
      <w:start w:val="1"/>
      <w:numFmt w:val="decimal"/>
      <w:suff w:val="nothing"/>
      <w:lvlText w:val="（%1）"/>
      <w:lvlJc w:val="left"/>
    </w:lvl>
  </w:abstractNum>
  <w:abstractNum w:abstractNumId="2">
    <w:nsid w:val="C4713E97"/>
    <w:multiLevelType w:val="singleLevel"/>
    <w:tmpl w:val="C4713E97"/>
    <w:lvl w:ilvl="0" w:tentative="0">
      <w:start w:val="1"/>
      <w:numFmt w:val="decimal"/>
      <w:suff w:val="nothing"/>
      <w:lvlText w:val="（%1）"/>
      <w:lvlJc w:val="left"/>
    </w:lvl>
  </w:abstractNum>
  <w:abstractNum w:abstractNumId="3">
    <w:nsid w:val="D1D98C32"/>
    <w:multiLevelType w:val="singleLevel"/>
    <w:tmpl w:val="D1D98C32"/>
    <w:lvl w:ilvl="0" w:tentative="0">
      <w:start w:val="1"/>
      <w:numFmt w:val="decimal"/>
      <w:pStyle w:val="114"/>
      <w:lvlText w:val="表3.2-%1"/>
      <w:lvlJc w:val="left"/>
      <w:pPr>
        <w:tabs>
          <w:tab w:val="left" w:pos="420"/>
        </w:tabs>
        <w:ind w:left="425" w:hanging="425"/>
      </w:pPr>
      <w:rPr>
        <w:rFonts w:hint="default"/>
        <w:sz w:val="24"/>
        <w:szCs w:val="24"/>
      </w:rPr>
    </w:lvl>
  </w:abstractNum>
  <w:abstractNum w:abstractNumId="4">
    <w:nsid w:val="D27176A4"/>
    <w:multiLevelType w:val="singleLevel"/>
    <w:tmpl w:val="D27176A4"/>
    <w:lvl w:ilvl="0" w:tentative="0">
      <w:start w:val="1"/>
      <w:numFmt w:val="decimal"/>
      <w:suff w:val="nothing"/>
      <w:lvlText w:val="（%1）"/>
      <w:lvlJc w:val="left"/>
    </w:lvl>
  </w:abstractNum>
  <w:abstractNum w:abstractNumId="5">
    <w:nsid w:val="E3F09329"/>
    <w:multiLevelType w:val="singleLevel"/>
    <w:tmpl w:val="E3F09329"/>
    <w:lvl w:ilvl="0" w:tentative="0">
      <w:start w:val="2"/>
      <w:numFmt w:val="decimal"/>
      <w:lvlText w:val="(%1)"/>
      <w:lvlJc w:val="left"/>
      <w:pPr>
        <w:tabs>
          <w:tab w:val="left" w:pos="312"/>
        </w:tabs>
      </w:pPr>
    </w:lvl>
  </w:abstractNum>
  <w:abstractNum w:abstractNumId="6">
    <w:nsid w:val="F573D56A"/>
    <w:multiLevelType w:val="singleLevel"/>
    <w:tmpl w:val="F573D56A"/>
    <w:lvl w:ilvl="0" w:tentative="0">
      <w:start w:val="1"/>
      <w:numFmt w:val="decimal"/>
      <w:suff w:val="space"/>
      <w:lvlText w:val="（%1）"/>
      <w:lvlJc w:val="left"/>
    </w:lvl>
  </w:abstractNum>
  <w:abstractNum w:abstractNumId="7">
    <w:nsid w:val="04DD0743"/>
    <w:multiLevelType w:val="singleLevel"/>
    <w:tmpl w:val="04DD0743"/>
    <w:lvl w:ilvl="0" w:tentative="0">
      <w:start w:val="1"/>
      <w:numFmt w:val="decimal"/>
      <w:suff w:val="nothing"/>
      <w:lvlText w:val="（%1）"/>
      <w:lvlJc w:val="left"/>
    </w:lvl>
  </w:abstractNum>
  <w:abstractNum w:abstractNumId="8">
    <w:nsid w:val="1E66EA6B"/>
    <w:multiLevelType w:val="singleLevel"/>
    <w:tmpl w:val="1E66EA6B"/>
    <w:lvl w:ilvl="0" w:tentative="0">
      <w:start w:val="1"/>
      <w:numFmt w:val="decimal"/>
      <w:suff w:val="nothing"/>
      <w:lvlText w:val="（%1）"/>
      <w:lvlJc w:val="left"/>
    </w:lvl>
  </w:abstractNum>
  <w:abstractNum w:abstractNumId="9">
    <w:nsid w:val="622452CD"/>
    <w:multiLevelType w:val="singleLevel"/>
    <w:tmpl w:val="622452CD"/>
    <w:lvl w:ilvl="0" w:tentative="0">
      <w:start w:val="1"/>
      <w:numFmt w:val="decimal"/>
      <w:suff w:val="nothing"/>
      <w:lvlText w:val="%1）"/>
      <w:lvlJc w:val="left"/>
    </w:lvl>
  </w:abstractNum>
  <w:abstractNum w:abstractNumId="10">
    <w:nsid w:val="651A01A0"/>
    <w:multiLevelType w:val="singleLevel"/>
    <w:tmpl w:val="651A01A0"/>
    <w:lvl w:ilvl="0" w:tentative="0">
      <w:start w:val="1"/>
      <w:numFmt w:val="decimal"/>
      <w:suff w:val="nothing"/>
      <w:lvlText w:val="（%1）"/>
      <w:lvlJc w:val="left"/>
    </w:lvl>
  </w:abstractNum>
  <w:abstractNum w:abstractNumId="11">
    <w:nsid w:val="6827050D"/>
    <w:multiLevelType w:val="singleLevel"/>
    <w:tmpl w:val="6827050D"/>
    <w:lvl w:ilvl="0" w:tentative="0">
      <w:start w:val="2"/>
      <w:numFmt w:val="decimal"/>
      <w:suff w:val="nothing"/>
      <w:lvlText w:val="（%1）"/>
      <w:lvlJc w:val="left"/>
    </w:lvl>
  </w:abstractNum>
  <w:abstractNum w:abstractNumId="12">
    <w:nsid w:val="6A2D27E3"/>
    <w:multiLevelType w:val="singleLevel"/>
    <w:tmpl w:val="6A2D27E3"/>
    <w:lvl w:ilvl="0" w:tentative="0">
      <w:start w:val="1"/>
      <w:numFmt w:val="decimal"/>
      <w:suff w:val="nothing"/>
      <w:lvlText w:val="（%1）"/>
      <w:lvlJc w:val="left"/>
    </w:lvl>
  </w:abstractNum>
  <w:num w:numId="1">
    <w:abstractNumId w:val="0"/>
  </w:num>
  <w:num w:numId="2">
    <w:abstractNumId w:val="3"/>
  </w:num>
  <w:num w:numId="3">
    <w:abstractNumId w:val="4"/>
  </w:num>
  <w:num w:numId="4">
    <w:abstractNumId w:val="7"/>
  </w:num>
  <w:num w:numId="5">
    <w:abstractNumId w:val="11"/>
  </w:num>
  <w:num w:numId="6">
    <w:abstractNumId w:val="8"/>
  </w:num>
  <w:num w:numId="7">
    <w:abstractNumId w:val="1"/>
  </w:num>
  <w:num w:numId="8">
    <w:abstractNumId w:val="2"/>
  </w:num>
  <w:num w:numId="9">
    <w:abstractNumId w:val="9"/>
  </w:num>
  <w:num w:numId="10">
    <w:abstractNumId w:val="10"/>
  </w:num>
  <w:num w:numId="11">
    <w:abstractNumId w:val="12"/>
  </w:num>
  <w:num w:numId="12">
    <w:abstractNumId w:val="6"/>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JiZmQ2YmVjYmVhYWI2YjE5NGU2ZDk0MDNjNjk5NGEifQ=="/>
    <w:docVar w:name="KSO_WPS_MARK_KEY" w:val="ed685e5b-edb5-4f82-b212-0309f3574043"/>
  </w:docVars>
  <w:rsids>
    <w:rsidRoot w:val="00172A27"/>
    <w:rsid w:val="00003A78"/>
    <w:rsid w:val="0000494A"/>
    <w:rsid w:val="00005147"/>
    <w:rsid w:val="00007043"/>
    <w:rsid w:val="000132E6"/>
    <w:rsid w:val="00013B93"/>
    <w:rsid w:val="00024040"/>
    <w:rsid w:val="00024888"/>
    <w:rsid w:val="0003051F"/>
    <w:rsid w:val="00031172"/>
    <w:rsid w:val="0003345F"/>
    <w:rsid w:val="00034967"/>
    <w:rsid w:val="00035D40"/>
    <w:rsid w:val="000415CD"/>
    <w:rsid w:val="00042A50"/>
    <w:rsid w:val="00044202"/>
    <w:rsid w:val="00045233"/>
    <w:rsid w:val="00053843"/>
    <w:rsid w:val="00054E8A"/>
    <w:rsid w:val="00055852"/>
    <w:rsid w:val="00056610"/>
    <w:rsid w:val="00057103"/>
    <w:rsid w:val="00057231"/>
    <w:rsid w:val="00060D6F"/>
    <w:rsid w:val="000623DB"/>
    <w:rsid w:val="00070350"/>
    <w:rsid w:val="00071B27"/>
    <w:rsid w:val="000745F1"/>
    <w:rsid w:val="00080DBA"/>
    <w:rsid w:val="00087473"/>
    <w:rsid w:val="000875A5"/>
    <w:rsid w:val="000B112E"/>
    <w:rsid w:val="000B3255"/>
    <w:rsid w:val="000C101C"/>
    <w:rsid w:val="000C123F"/>
    <w:rsid w:val="000C5872"/>
    <w:rsid w:val="000C69EB"/>
    <w:rsid w:val="000C73D4"/>
    <w:rsid w:val="000D0471"/>
    <w:rsid w:val="000D0B2C"/>
    <w:rsid w:val="000D3864"/>
    <w:rsid w:val="000D64CC"/>
    <w:rsid w:val="000E3F5F"/>
    <w:rsid w:val="000E6370"/>
    <w:rsid w:val="000F0793"/>
    <w:rsid w:val="0010122B"/>
    <w:rsid w:val="00102877"/>
    <w:rsid w:val="00115249"/>
    <w:rsid w:val="001153C8"/>
    <w:rsid w:val="001214DE"/>
    <w:rsid w:val="001214E4"/>
    <w:rsid w:val="00121C71"/>
    <w:rsid w:val="00122546"/>
    <w:rsid w:val="001274A4"/>
    <w:rsid w:val="00130085"/>
    <w:rsid w:val="00133D36"/>
    <w:rsid w:val="00134F4F"/>
    <w:rsid w:val="00153F0C"/>
    <w:rsid w:val="00154D4A"/>
    <w:rsid w:val="001601FA"/>
    <w:rsid w:val="00166EE9"/>
    <w:rsid w:val="001671CA"/>
    <w:rsid w:val="00172A27"/>
    <w:rsid w:val="0017389E"/>
    <w:rsid w:val="00174322"/>
    <w:rsid w:val="00185085"/>
    <w:rsid w:val="001853B5"/>
    <w:rsid w:val="00187087"/>
    <w:rsid w:val="00187B24"/>
    <w:rsid w:val="00190136"/>
    <w:rsid w:val="00191B39"/>
    <w:rsid w:val="00192A28"/>
    <w:rsid w:val="001931DC"/>
    <w:rsid w:val="00193DD2"/>
    <w:rsid w:val="00194D8C"/>
    <w:rsid w:val="001A04B5"/>
    <w:rsid w:val="001A49A1"/>
    <w:rsid w:val="001A7F11"/>
    <w:rsid w:val="001B2309"/>
    <w:rsid w:val="001B41F0"/>
    <w:rsid w:val="001B570D"/>
    <w:rsid w:val="001C0612"/>
    <w:rsid w:val="001C17AE"/>
    <w:rsid w:val="001D1071"/>
    <w:rsid w:val="001D185A"/>
    <w:rsid w:val="001E75C8"/>
    <w:rsid w:val="001F5543"/>
    <w:rsid w:val="00210396"/>
    <w:rsid w:val="00214A98"/>
    <w:rsid w:val="0021515F"/>
    <w:rsid w:val="002160D2"/>
    <w:rsid w:val="00216A3E"/>
    <w:rsid w:val="00221E82"/>
    <w:rsid w:val="002232B6"/>
    <w:rsid w:val="0022500B"/>
    <w:rsid w:val="00225F24"/>
    <w:rsid w:val="00227BB7"/>
    <w:rsid w:val="00230CAA"/>
    <w:rsid w:val="00231A8E"/>
    <w:rsid w:val="0023346A"/>
    <w:rsid w:val="00236727"/>
    <w:rsid w:val="00236CBD"/>
    <w:rsid w:val="00243135"/>
    <w:rsid w:val="00244747"/>
    <w:rsid w:val="00245162"/>
    <w:rsid w:val="0024785A"/>
    <w:rsid w:val="00251BCF"/>
    <w:rsid w:val="00256113"/>
    <w:rsid w:val="00257B50"/>
    <w:rsid w:val="00257C09"/>
    <w:rsid w:val="002641A7"/>
    <w:rsid w:val="00265B8F"/>
    <w:rsid w:val="002665D5"/>
    <w:rsid w:val="00271A57"/>
    <w:rsid w:val="00273332"/>
    <w:rsid w:val="00273378"/>
    <w:rsid w:val="00273AF8"/>
    <w:rsid w:val="00274F1F"/>
    <w:rsid w:val="002768F3"/>
    <w:rsid w:val="002771F4"/>
    <w:rsid w:val="00282DDD"/>
    <w:rsid w:val="00286EB0"/>
    <w:rsid w:val="00290DD3"/>
    <w:rsid w:val="00293B0E"/>
    <w:rsid w:val="0029795D"/>
    <w:rsid w:val="002B2420"/>
    <w:rsid w:val="002B304C"/>
    <w:rsid w:val="002B7F82"/>
    <w:rsid w:val="002C09C5"/>
    <w:rsid w:val="002C78FD"/>
    <w:rsid w:val="002D5036"/>
    <w:rsid w:val="002D729B"/>
    <w:rsid w:val="002F0074"/>
    <w:rsid w:val="002F2807"/>
    <w:rsid w:val="002F5BB3"/>
    <w:rsid w:val="002F67C4"/>
    <w:rsid w:val="0030085A"/>
    <w:rsid w:val="00303B19"/>
    <w:rsid w:val="003045B4"/>
    <w:rsid w:val="00306435"/>
    <w:rsid w:val="00310A16"/>
    <w:rsid w:val="00312BFD"/>
    <w:rsid w:val="003137F8"/>
    <w:rsid w:val="003161A7"/>
    <w:rsid w:val="00325516"/>
    <w:rsid w:val="00333C0F"/>
    <w:rsid w:val="00334A74"/>
    <w:rsid w:val="00336B68"/>
    <w:rsid w:val="00345DFB"/>
    <w:rsid w:val="00346788"/>
    <w:rsid w:val="0035058D"/>
    <w:rsid w:val="003508B5"/>
    <w:rsid w:val="00352857"/>
    <w:rsid w:val="003530F0"/>
    <w:rsid w:val="003538EC"/>
    <w:rsid w:val="00357FBC"/>
    <w:rsid w:val="00362E35"/>
    <w:rsid w:val="00372039"/>
    <w:rsid w:val="00374608"/>
    <w:rsid w:val="00381C73"/>
    <w:rsid w:val="00384E11"/>
    <w:rsid w:val="003850DD"/>
    <w:rsid w:val="00387852"/>
    <w:rsid w:val="00387E90"/>
    <w:rsid w:val="003940A4"/>
    <w:rsid w:val="00394CCA"/>
    <w:rsid w:val="00396D07"/>
    <w:rsid w:val="00397B52"/>
    <w:rsid w:val="00397FEE"/>
    <w:rsid w:val="003A331B"/>
    <w:rsid w:val="003B0721"/>
    <w:rsid w:val="003B0A56"/>
    <w:rsid w:val="003B0DD4"/>
    <w:rsid w:val="003B4D51"/>
    <w:rsid w:val="003C01B5"/>
    <w:rsid w:val="003C0C41"/>
    <w:rsid w:val="003C1F22"/>
    <w:rsid w:val="003C3614"/>
    <w:rsid w:val="003C77F4"/>
    <w:rsid w:val="003D184A"/>
    <w:rsid w:val="003D3154"/>
    <w:rsid w:val="003E073F"/>
    <w:rsid w:val="003E681C"/>
    <w:rsid w:val="003E799D"/>
    <w:rsid w:val="003F36C1"/>
    <w:rsid w:val="003F36C6"/>
    <w:rsid w:val="003F6258"/>
    <w:rsid w:val="003F645E"/>
    <w:rsid w:val="00405DB8"/>
    <w:rsid w:val="00413F71"/>
    <w:rsid w:val="0041492B"/>
    <w:rsid w:val="004152A4"/>
    <w:rsid w:val="00427264"/>
    <w:rsid w:val="00432E63"/>
    <w:rsid w:val="0044194C"/>
    <w:rsid w:val="00453578"/>
    <w:rsid w:val="00462C70"/>
    <w:rsid w:val="004649D2"/>
    <w:rsid w:val="00467F86"/>
    <w:rsid w:val="00467F92"/>
    <w:rsid w:val="00472079"/>
    <w:rsid w:val="0047273E"/>
    <w:rsid w:val="004770EB"/>
    <w:rsid w:val="00482E52"/>
    <w:rsid w:val="004870EC"/>
    <w:rsid w:val="00495512"/>
    <w:rsid w:val="0049716F"/>
    <w:rsid w:val="004A11B7"/>
    <w:rsid w:val="004A1A89"/>
    <w:rsid w:val="004A24A7"/>
    <w:rsid w:val="004A5CD1"/>
    <w:rsid w:val="004A73BF"/>
    <w:rsid w:val="004A7B46"/>
    <w:rsid w:val="004A7EC4"/>
    <w:rsid w:val="004B5625"/>
    <w:rsid w:val="004B5925"/>
    <w:rsid w:val="004C2E4A"/>
    <w:rsid w:val="004C490B"/>
    <w:rsid w:val="004D031E"/>
    <w:rsid w:val="004D04D2"/>
    <w:rsid w:val="004D178C"/>
    <w:rsid w:val="004D3ED8"/>
    <w:rsid w:val="004D3F1B"/>
    <w:rsid w:val="004D47C1"/>
    <w:rsid w:val="004D5538"/>
    <w:rsid w:val="004D5D7C"/>
    <w:rsid w:val="004D7F05"/>
    <w:rsid w:val="004E1263"/>
    <w:rsid w:val="004E3160"/>
    <w:rsid w:val="004E3812"/>
    <w:rsid w:val="004E3CEA"/>
    <w:rsid w:val="004F295C"/>
    <w:rsid w:val="004F5C9E"/>
    <w:rsid w:val="00504C21"/>
    <w:rsid w:val="005108A6"/>
    <w:rsid w:val="00515147"/>
    <w:rsid w:val="0051697C"/>
    <w:rsid w:val="00516E1A"/>
    <w:rsid w:val="00521306"/>
    <w:rsid w:val="00522B94"/>
    <w:rsid w:val="0052327D"/>
    <w:rsid w:val="005260EB"/>
    <w:rsid w:val="005336F9"/>
    <w:rsid w:val="0054443A"/>
    <w:rsid w:val="005463E3"/>
    <w:rsid w:val="00551380"/>
    <w:rsid w:val="005529C7"/>
    <w:rsid w:val="00554440"/>
    <w:rsid w:val="0055615A"/>
    <w:rsid w:val="00565F4F"/>
    <w:rsid w:val="00565FCC"/>
    <w:rsid w:val="00567AD5"/>
    <w:rsid w:val="0057264E"/>
    <w:rsid w:val="00575636"/>
    <w:rsid w:val="005759D3"/>
    <w:rsid w:val="00575B89"/>
    <w:rsid w:val="005800EE"/>
    <w:rsid w:val="0058446A"/>
    <w:rsid w:val="00590EB6"/>
    <w:rsid w:val="005913CC"/>
    <w:rsid w:val="005924B5"/>
    <w:rsid w:val="00594CA6"/>
    <w:rsid w:val="005A12CD"/>
    <w:rsid w:val="005A343C"/>
    <w:rsid w:val="005A4B4B"/>
    <w:rsid w:val="005B274C"/>
    <w:rsid w:val="005B2E79"/>
    <w:rsid w:val="005C1B66"/>
    <w:rsid w:val="005C3668"/>
    <w:rsid w:val="005C3A25"/>
    <w:rsid w:val="005C44FD"/>
    <w:rsid w:val="005C47F2"/>
    <w:rsid w:val="005D6409"/>
    <w:rsid w:val="005E2978"/>
    <w:rsid w:val="005E51A2"/>
    <w:rsid w:val="005E72F5"/>
    <w:rsid w:val="005E76B8"/>
    <w:rsid w:val="005F0005"/>
    <w:rsid w:val="005F6A3A"/>
    <w:rsid w:val="005F737E"/>
    <w:rsid w:val="00603557"/>
    <w:rsid w:val="006044E5"/>
    <w:rsid w:val="00616F7D"/>
    <w:rsid w:val="00620514"/>
    <w:rsid w:val="006207A0"/>
    <w:rsid w:val="00632B09"/>
    <w:rsid w:val="00633803"/>
    <w:rsid w:val="00643CB1"/>
    <w:rsid w:val="00646B9C"/>
    <w:rsid w:val="00647C6A"/>
    <w:rsid w:val="00653D01"/>
    <w:rsid w:val="006564AF"/>
    <w:rsid w:val="00656CD8"/>
    <w:rsid w:val="00657085"/>
    <w:rsid w:val="006578B8"/>
    <w:rsid w:val="006622EB"/>
    <w:rsid w:val="006669E7"/>
    <w:rsid w:val="00667CD0"/>
    <w:rsid w:val="00673717"/>
    <w:rsid w:val="0067638E"/>
    <w:rsid w:val="0067662C"/>
    <w:rsid w:val="006816A7"/>
    <w:rsid w:val="006845F0"/>
    <w:rsid w:val="00685E6F"/>
    <w:rsid w:val="00692403"/>
    <w:rsid w:val="006961C8"/>
    <w:rsid w:val="006965F2"/>
    <w:rsid w:val="006A400E"/>
    <w:rsid w:val="006A50FC"/>
    <w:rsid w:val="006A6584"/>
    <w:rsid w:val="006B511D"/>
    <w:rsid w:val="006B51C0"/>
    <w:rsid w:val="006B6C9D"/>
    <w:rsid w:val="006C118E"/>
    <w:rsid w:val="006C742E"/>
    <w:rsid w:val="006D1495"/>
    <w:rsid w:val="006D211C"/>
    <w:rsid w:val="006D26CC"/>
    <w:rsid w:val="006D3BD2"/>
    <w:rsid w:val="006D7434"/>
    <w:rsid w:val="006F0F69"/>
    <w:rsid w:val="006F2E11"/>
    <w:rsid w:val="00700EB7"/>
    <w:rsid w:val="0070588B"/>
    <w:rsid w:val="0070688D"/>
    <w:rsid w:val="007162B7"/>
    <w:rsid w:val="00716E72"/>
    <w:rsid w:val="0071747B"/>
    <w:rsid w:val="00717EE4"/>
    <w:rsid w:val="007228BD"/>
    <w:rsid w:val="007314C6"/>
    <w:rsid w:val="0073154B"/>
    <w:rsid w:val="007329E3"/>
    <w:rsid w:val="007350CD"/>
    <w:rsid w:val="007422DF"/>
    <w:rsid w:val="007447E0"/>
    <w:rsid w:val="00750A62"/>
    <w:rsid w:val="007550A9"/>
    <w:rsid w:val="0075603D"/>
    <w:rsid w:val="0075619A"/>
    <w:rsid w:val="0076084F"/>
    <w:rsid w:val="007708D2"/>
    <w:rsid w:val="00776107"/>
    <w:rsid w:val="0078405B"/>
    <w:rsid w:val="00787C61"/>
    <w:rsid w:val="00791D8A"/>
    <w:rsid w:val="00793C44"/>
    <w:rsid w:val="00797A8C"/>
    <w:rsid w:val="007A18BA"/>
    <w:rsid w:val="007A4AD8"/>
    <w:rsid w:val="007A6AD6"/>
    <w:rsid w:val="007A6D59"/>
    <w:rsid w:val="007B1179"/>
    <w:rsid w:val="007B3F41"/>
    <w:rsid w:val="007B52D1"/>
    <w:rsid w:val="007B695B"/>
    <w:rsid w:val="007C52E3"/>
    <w:rsid w:val="007D03C1"/>
    <w:rsid w:val="007D1008"/>
    <w:rsid w:val="007D5CB5"/>
    <w:rsid w:val="007D658D"/>
    <w:rsid w:val="007E2E99"/>
    <w:rsid w:val="007E77ED"/>
    <w:rsid w:val="007F55C5"/>
    <w:rsid w:val="007F6C1F"/>
    <w:rsid w:val="00804F30"/>
    <w:rsid w:val="00805652"/>
    <w:rsid w:val="008077A8"/>
    <w:rsid w:val="00815027"/>
    <w:rsid w:val="00816723"/>
    <w:rsid w:val="00820319"/>
    <w:rsid w:val="0082313D"/>
    <w:rsid w:val="00824B6A"/>
    <w:rsid w:val="00826EDD"/>
    <w:rsid w:val="00841E92"/>
    <w:rsid w:val="00842A3A"/>
    <w:rsid w:val="00855392"/>
    <w:rsid w:val="00857541"/>
    <w:rsid w:val="00864062"/>
    <w:rsid w:val="00866D82"/>
    <w:rsid w:val="00871052"/>
    <w:rsid w:val="008731CF"/>
    <w:rsid w:val="0087571D"/>
    <w:rsid w:val="008832FA"/>
    <w:rsid w:val="00893BA3"/>
    <w:rsid w:val="00894A5F"/>
    <w:rsid w:val="008974A8"/>
    <w:rsid w:val="008A1677"/>
    <w:rsid w:val="008A4FBA"/>
    <w:rsid w:val="008B27E6"/>
    <w:rsid w:val="008B4AB4"/>
    <w:rsid w:val="008C0188"/>
    <w:rsid w:val="008C4BCC"/>
    <w:rsid w:val="008C5FDE"/>
    <w:rsid w:val="008D0914"/>
    <w:rsid w:val="008D094E"/>
    <w:rsid w:val="008D0CF8"/>
    <w:rsid w:val="008D2852"/>
    <w:rsid w:val="008D2A80"/>
    <w:rsid w:val="008D6F7E"/>
    <w:rsid w:val="008E19E4"/>
    <w:rsid w:val="008E2023"/>
    <w:rsid w:val="008E2AC6"/>
    <w:rsid w:val="008E4482"/>
    <w:rsid w:val="008E4697"/>
    <w:rsid w:val="008E505D"/>
    <w:rsid w:val="008F158B"/>
    <w:rsid w:val="008F4DE4"/>
    <w:rsid w:val="008F5C3F"/>
    <w:rsid w:val="008F6439"/>
    <w:rsid w:val="008F6D10"/>
    <w:rsid w:val="00902871"/>
    <w:rsid w:val="00903E83"/>
    <w:rsid w:val="0090442B"/>
    <w:rsid w:val="009139A0"/>
    <w:rsid w:val="009142A0"/>
    <w:rsid w:val="009200DC"/>
    <w:rsid w:val="00922C53"/>
    <w:rsid w:val="00925DC2"/>
    <w:rsid w:val="00930046"/>
    <w:rsid w:val="0093251C"/>
    <w:rsid w:val="00943139"/>
    <w:rsid w:val="00950270"/>
    <w:rsid w:val="00951D33"/>
    <w:rsid w:val="00960FAA"/>
    <w:rsid w:val="009628C2"/>
    <w:rsid w:val="00971D06"/>
    <w:rsid w:val="0098120C"/>
    <w:rsid w:val="009815DC"/>
    <w:rsid w:val="00982638"/>
    <w:rsid w:val="0098267D"/>
    <w:rsid w:val="0098529C"/>
    <w:rsid w:val="00987BFC"/>
    <w:rsid w:val="00993950"/>
    <w:rsid w:val="009969E5"/>
    <w:rsid w:val="00996AF6"/>
    <w:rsid w:val="009A3120"/>
    <w:rsid w:val="009B1C7C"/>
    <w:rsid w:val="009B24C3"/>
    <w:rsid w:val="009B2CF1"/>
    <w:rsid w:val="009B5640"/>
    <w:rsid w:val="009C0784"/>
    <w:rsid w:val="009C4395"/>
    <w:rsid w:val="009C7075"/>
    <w:rsid w:val="009D7DD0"/>
    <w:rsid w:val="009E1629"/>
    <w:rsid w:val="009E7A19"/>
    <w:rsid w:val="009F1AE9"/>
    <w:rsid w:val="009F30D9"/>
    <w:rsid w:val="009F3750"/>
    <w:rsid w:val="009F76B5"/>
    <w:rsid w:val="00A0057B"/>
    <w:rsid w:val="00A0198B"/>
    <w:rsid w:val="00A03F49"/>
    <w:rsid w:val="00A05979"/>
    <w:rsid w:val="00A05F50"/>
    <w:rsid w:val="00A076AB"/>
    <w:rsid w:val="00A10662"/>
    <w:rsid w:val="00A116B3"/>
    <w:rsid w:val="00A128D9"/>
    <w:rsid w:val="00A1523E"/>
    <w:rsid w:val="00A210D9"/>
    <w:rsid w:val="00A23BB5"/>
    <w:rsid w:val="00A2730E"/>
    <w:rsid w:val="00A3075B"/>
    <w:rsid w:val="00A3140C"/>
    <w:rsid w:val="00A324CE"/>
    <w:rsid w:val="00A326B0"/>
    <w:rsid w:val="00A32B02"/>
    <w:rsid w:val="00A36C34"/>
    <w:rsid w:val="00A374EE"/>
    <w:rsid w:val="00A41605"/>
    <w:rsid w:val="00A50264"/>
    <w:rsid w:val="00A50391"/>
    <w:rsid w:val="00A50C55"/>
    <w:rsid w:val="00A531EE"/>
    <w:rsid w:val="00A56203"/>
    <w:rsid w:val="00A62FBF"/>
    <w:rsid w:val="00A64168"/>
    <w:rsid w:val="00A65829"/>
    <w:rsid w:val="00A67EC2"/>
    <w:rsid w:val="00A7162F"/>
    <w:rsid w:val="00A73843"/>
    <w:rsid w:val="00A7497C"/>
    <w:rsid w:val="00A7513B"/>
    <w:rsid w:val="00A8274C"/>
    <w:rsid w:val="00A83813"/>
    <w:rsid w:val="00A9289A"/>
    <w:rsid w:val="00A961A1"/>
    <w:rsid w:val="00A97990"/>
    <w:rsid w:val="00AA1A19"/>
    <w:rsid w:val="00AA1B95"/>
    <w:rsid w:val="00AA2FEA"/>
    <w:rsid w:val="00AA343E"/>
    <w:rsid w:val="00AA39C5"/>
    <w:rsid w:val="00AA5E1E"/>
    <w:rsid w:val="00AA7786"/>
    <w:rsid w:val="00AB23B2"/>
    <w:rsid w:val="00AB7029"/>
    <w:rsid w:val="00AC3649"/>
    <w:rsid w:val="00AC5DE2"/>
    <w:rsid w:val="00AC79D5"/>
    <w:rsid w:val="00AC7DC5"/>
    <w:rsid w:val="00AD1224"/>
    <w:rsid w:val="00AD31AB"/>
    <w:rsid w:val="00AD6761"/>
    <w:rsid w:val="00AE164A"/>
    <w:rsid w:val="00AE381D"/>
    <w:rsid w:val="00AE4459"/>
    <w:rsid w:val="00AE4D44"/>
    <w:rsid w:val="00AE6561"/>
    <w:rsid w:val="00AF28C0"/>
    <w:rsid w:val="00AF4718"/>
    <w:rsid w:val="00AF529F"/>
    <w:rsid w:val="00B0640B"/>
    <w:rsid w:val="00B11538"/>
    <w:rsid w:val="00B12790"/>
    <w:rsid w:val="00B1548E"/>
    <w:rsid w:val="00B172BD"/>
    <w:rsid w:val="00B2268B"/>
    <w:rsid w:val="00B240D9"/>
    <w:rsid w:val="00B26380"/>
    <w:rsid w:val="00B31A68"/>
    <w:rsid w:val="00B32513"/>
    <w:rsid w:val="00B32827"/>
    <w:rsid w:val="00B37EFE"/>
    <w:rsid w:val="00B419FA"/>
    <w:rsid w:val="00B5147D"/>
    <w:rsid w:val="00B53056"/>
    <w:rsid w:val="00B54C97"/>
    <w:rsid w:val="00B567D3"/>
    <w:rsid w:val="00B6481A"/>
    <w:rsid w:val="00B707DF"/>
    <w:rsid w:val="00B70B04"/>
    <w:rsid w:val="00B75FB7"/>
    <w:rsid w:val="00B8492F"/>
    <w:rsid w:val="00B86065"/>
    <w:rsid w:val="00B86150"/>
    <w:rsid w:val="00B87C9F"/>
    <w:rsid w:val="00B90E38"/>
    <w:rsid w:val="00B958D3"/>
    <w:rsid w:val="00B9619E"/>
    <w:rsid w:val="00B97432"/>
    <w:rsid w:val="00BA11FD"/>
    <w:rsid w:val="00BA448F"/>
    <w:rsid w:val="00BA55F2"/>
    <w:rsid w:val="00BA5C83"/>
    <w:rsid w:val="00BC04AF"/>
    <w:rsid w:val="00BC083F"/>
    <w:rsid w:val="00BC5129"/>
    <w:rsid w:val="00BD6A98"/>
    <w:rsid w:val="00BE1117"/>
    <w:rsid w:val="00BE218B"/>
    <w:rsid w:val="00BE2589"/>
    <w:rsid w:val="00BE66C1"/>
    <w:rsid w:val="00BE7D12"/>
    <w:rsid w:val="00C019FC"/>
    <w:rsid w:val="00C03E9F"/>
    <w:rsid w:val="00C06BF1"/>
    <w:rsid w:val="00C11706"/>
    <w:rsid w:val="00C1352F"/>
    <w:rsid w:val="00C14FE3"/>
    <w:rsid w:val="00C17FF3"/>
    <w:rsid w:val="00C20ACD"/>
    <w:rsid w:val="00C2154F"/>
    <w:rsid w:val="00C24774"/>
    <w:rsid w:val="00C25956"/>
    <w:rsid w:val="00C341CF"/>
    <w:rsid w:val="00C34E06"/>
    <w:rsid w:val="00C449C9"/>
    <w:rsid w:val="00C4673C"/>
    <w:rsid w:val="00C50710"/>
    <w:rsid w:val="00C50B57"/>
    <w:rsid w:val="00C50E40"/>
    <w:rsid w:val="00C52392"/>
    <w:rsid w:val="00C52EA0"/>
    <w:rsid w:val="00C53C2D"/>
    <w:rsid w:val="00C55443"/>
    <w:rsid w:val="00C5683A"/>
    <w:rsid w:val="00C5774D"/>
    <w:rsid w:val="00C6052D"/>
    <w:rsid w:val="00C619D2"/>
    <w:rsid w:val="00C61EE6"/>
    <w:rsid w:val="00C65EB2"/>
    <w:rsid w:val="00C67757"/>
    <w:rsid w:val="00C74969"/>
    <w:rsid w:val="00C75C51"/>
    <w:rsid w:val="00C8234F"/>
    <w:rsid w:val="00C869A1"/>
    <w:rsid w:val="00C91889"/>
    <w:rsid w:val="00C92AA9"/>
    <w:rsid w:val="00C9617A"/>
    <w:rsid w:val="00CA4D28"/>
    <w:rsid w:val="00CB0969"/>
    <w:rsid w:val="00CB51F2"/>
    <w:rsid w:val="00CC0F64"/>
    <w:rsid w:val="00CC1CCD"/>
    <w:rsid w:val="00CC5F50"/>
    <w:rsid w:val="00CD104F"/>
    <w:rsid w:val="00CD4968"/>
    <w:rsid w:val="00CD567F"/>
    <w:rsid w:val="00CD7109"/>
    <w:rsid w:val="00CE63BC"/>
    <w:rsid w:val="00CF1A0F"/>
    <w:rsid w:val="00CF5E29"/>
    <w:rsid w:val="00CF6851"/>
    <w:rsid w:val="00D0494D"/>
    <w:rsid w:val="00D06507"/>
    <w:rsid w:val="00D12551"/>
    <w:rsid w:val="00D12AFC"/>
    <w:rsid w:val="00D150F1"/>
    <w:rsid w:val="00D17F1C"/>
    <w:rsid w:val="00D209BC"/>
    <w:rsid w:val="00D30F2F"/>
    <w:rsid w:val="00D40BA2"/>
    <w:rsid w:val="00D42CF2"/>
    <w:rsid w:val="00D502EE"/>
    <w:rsid w:val="00D5779D"/>
    <w:rsid w:val="00D603C3"/>
    <w:rsid w:val="00D6083F"/>
    <w:rsid w:val="00D62682"/>
    <w:rsid w:val="00D62890"/>
    <w:rsid w:val="00D66417"/>
    <w:rsid w:val="00D678BE"/>
    <w:rsid w:val="00D71B82"/>
    <w:rsid w:val="00D73E71"/>
    <w:rsid w:val="00D80C59"/>
    <w:rsid w:val="00D8407D"/>
    <w:rsid w:val="00D9006A"/>
    <w:rsid w:val="00DA377D"/>
    <w:rsid w:val="00DA76D6"/>
    <w:rsid w:val="00DB0EE1"/>
    <w:rsid w:val="00DB2AC1"/>
    <w:rsid w:val="00DC0A4C"/>
    <w:rsid w:val="00DC43AF"/>
    <w:rsid w:val="00DC4953"/>
    <w:rsid w:val="00DD68CA"/>
    <w:rsid w:val="00DE04C3"/>
    <w:rsid w:val="00DE1639"/>
    <w:rsid w:val="00DE5F1F"/>
    <w:rsid w:val="00DE67BC"/>
    <w:rsid w:val="00DE77F9"/>
    <w:rsid w:val="00DF2F86"/>
    <w:rsid w:val="00DF7C3E"/>
    <w:rsid w:val="00DF7D17"/>
    <w:rsid w:val="00E02EF9"/>
    <w:rsid w:val="00E0413A"/>
    <w:rsid w:val="00E05E43"/>
    <w:rsid w:val="00E132C6"/>
    <w:rsid w:val="00E152B5"/>
    <w:rsid w:val="00E207A9"/>
    <w:rsid w:val="00E22AFE"/>
    <w:rsid w:val="00E27BD0"/>
    <w:rsid w:val="00E30537"/>
    <w:rsid w:val="00E34F0A"/>
    <w:rsid w:val="00E42A67"/>
    <w:rsid w:val="00E4384D"/>
    <w:rsid w:val="00E477C0"/>
    <w:rsid w:val="00E47D94"/>
    <w:rsid w:val="00E5021F"/>
    <w:rsid w:val="00E5176D"/>
    <w:rsid w:val="00E5441D"/>
    <w:rsid w:val="00E60CAA"/>
    <w:rsid w:val="00E644E3"/>
    <w:rsid w:val="00E65063"/>
    <w:rsid w:val="00E65D68"/>
    <w:rsid w:val="00E67332"/>
    <w:rsid w:val="00E724E8"/>
    <w:rsid w:val="00E80D8D"/>
    <w:rsid w:val="00E858BC"/>
    <w:rsid w:val="00E85FBA"/>
    <w:rsid w:val="00E90E98"/>
    <w:rsid w:val="00E91781"/>
    <w:rsid w:val="00E917DD"/>
    <w:rsid w:val="00E92235"/>
    <w:rsid w:val="00E93594"/>
    <w:rsid w:val="00E936C0"/>
    <w:rsid w:val="00E94993"/>
    <w:rsid w:val="00E95A4E"/>
    <w:rsid w:val="00EA54DC"/>
    <w:rsid w:val="00EA68ED"/>
    <w:rsid w:val="00EB160C"/>
    <w:rsid w:val="00EB3829"/>
    <w:rsid w:val="00EC1CAE"/>
    <w:rsid w:val="00ED64CC"/>
    <w:rsid w:val="00ED6834"/>
    <w:rsid w:val="00EE7B2E"/>
    <w:rsid w:val="00EF5C54"/>
    <w:rsid w:val="00EF5DA3"/>
    <w:rsid w:val="00F0136A"/>
    <w:rsid w:val="00F068AA"/>
    <w:rsid w:val="00F113C3"/>
    <w:rsid w:val="00F11D81"/>
    <w:rsid w:val="00F13128"/>
    <w:rsid w:val="00F14CEF"/>
    <w:rsid w:val="00F20E17"/>
    <w:rsid w:val="00F23C86"/>
    <w:rsid w:val="00F252FC"/>
    <w:rsid w:val="00F35AAD"/>
    <w:rsid w:val="00F36897"/>
    <w:rsid w:val="00F37602"/>
    <w:rsid w:val="00F4131F"/>
    <w:rsid w:val="00F41548"/>
    <w:rsid w:val="00F42D8D"/>
    <w:rsid w:val="00F43C3E"/>
    <w:rsid w:val="00F52FAC"/>
    <w:rsid w:val="00F568F0"/>
    <w:rsid w:val="00F56F15"/>
    <w:rsid w:val="00F57C58"/>
    <w:rsid w:val="00F607D8"/>
    <w:rsid w:val="00F6430E"/>
    <w:rsid w:val="00F67C30"/>
    <w:rsid w:val="00F76ACF"/>
    <w:rsid w:val="00F77089"/>
    <w:rsid w:val="00F775E0"/>
    <w:rsid w:val="00F83469"/>
    <w:rsid w:val="00F96EFF"/>
    <w:rsid w:val="00F97311"/>
    <w:rsid w:val="00FA0D3A"/>
    <w:rsid w:val="00FA4367"/>
    <w:rsid w:val="00FA7FF1"/>
    <w:rsid w:val="00FB17F8"/>
    <w:rsid w:val="00FB22C1"/>
    <w:rsid w:val="00FB3A53"/>
    <w:rsid w:val="00FB4DEE"/>
    <w:rsid w:val="00FB5E38"/>
    <w:rsid w:val="00FC311D"/>
    <w:rsid w:val="00FC5289"/>
    <w:rsid w:val="00FD23FD"/>
    <w:rsid w:val="00FD2638"/>
    <w:rsid w:val="00FD2E7C"/>
    <w:rsid w:val="00FD5992"/>
    <w:rsid w:val="00FD5C7E"/>
    <w:rsid w:val="00FE18DE"/>
    <w:rsid w:val="00FE3A51"/>
    <w:rsid w:val="00FE6473"/>
    <w:rsid w:val="00FF113F"/>
    <w:rsid w:val="00FF1A4D"/>
    <w:rsid w:val="00FF2869"/>
    <w:rsid w:val="00FF3C5C"/>
    <w:rsid w:val="00FF4F01"/>
    <w:rsid w:val="00FF5D1B"/>
    <w:rsid w:val="00FF6FBC"/>
    <w:rsid w:val="01195E54"/>
    <w:rsid w:val="015A2A1E"/>
    <w:rsid w:val="015E792C"/>
    <w:rsid w:val="018260C8"/>
    <w:rsid w:val="01A174CA"/>
    <w:rsid w:val="01D32644"/>
    <w:rsid w:val="02021BCC"/>
    <w:rsid w:val="02046A0E"/>
    <w:rsid w:val="02345F77"/>
    <w:rsid w:val="023945C2"/>
    <w:rsid w:val="02BD407E"/>
    <w:rsid w:val="02BE0C2E"/>
    <w:rsid w:val="02F30AC7"/>
    <w:rsid w:val="02F42F11"/>
    <w:rsid w:val="03072062"/>
    <w:rsid w:val="030935C6"/>
    <w:rsid w:val="03104EFD"/>
    <w:rsid w:val="033E20E7"/>
    <w:rsid w:val="036332A1"/>
    <w:rsid w:val="03DC0FFA"/>
    <w:rsid w:val="03E669B9"/>
    <w:rsid w:val="043A2EB1"/>
    <w:rsid w:val="046D3A7A"/>
    <w:rsid w:val="04846E04"/>
    <w:rsid w:val="048F4C14"/>
    <w:rsid w:val="04B519A2"/>
    <w:rsid w:val="04EC3ED2"/>
    <w:rsid w:val="04F66A10"/>
    <w:rsid w:val="051000D5"/>
    <w:rsid w:val="05711511"/>
    <w:rsid w:val="057B05DA"/>
    <w:rsid w:val="057C1AD6"/>
    <w:rsid w:val="0589320E"/>
    <w:rsid w:val="05944867"/>
    <w:rsid w:val="05C24FB1"/>
    <w:rsid w:val="0661335C"/>
    <w:rsid w:val="066D3825"/>
    <w:rsid w:val="069D7E61"/>
    <w:rsid w:val="06A00C49"/>
    <w:rsid w:val="06A70680"/>
    <w:rsid w:val="06BB25B3"/>
    <w:rsid w:val="06C31B95"/>
    <w:rsid w:val="06D118A6"/>
    <w:rsid w:val="06D46D72"/>
    <w:rsid w:val="071C13EC"/>
    <w:rsid w:val="073E7A6D"/>
    <w:rsid w:val="07414E91"/>
    <w:rsid w:val="074C503B"/>
    <w:rsid w:val="07581BFA"/>
    <w:rsid w:val="07666493"/>
    <w:rsid w:val="076D09C2"/>
    <w:rsid w:val="0771672C"/>
    <w:rsid w:val="07801036"/>
    <w:rsid w:val="07951EC6"/>
    <w:rsid w:val="07A80735"/>
    <w:rsid w:val="07C77D20"/>
    <w:rsid w:val="07C95B75"/>
    <w:rsid w:val="08216097"/>
    <w:rsid w:val="082756BF"/>
    <w:rsid w:val="08694390"/>
    <w:rsid w:val="086D1F3C"/>
    <w:rsid w:val="08787802"/>
    <w:rsid w:val="087E06C2"/>
    <w:rsid w:val="088D2497"/>
    <w:rsid w:val="08BF6CF4"/>
    <w:rsid w:val="08C8070D"/>
    <w:rsid w:val="08C95698"/>
    <w:rsid w:val="08CB1FD6"/>
    <w:rsid w:val="090C58D8"/>
    <w:rsid w:val="092776E2"/>
    <w:rsid w:val="092A78A6"/>
    <w:rsid w:val="09580130"/>
    <w:rsid w:val="095B101E"/>
    <w:rsid w:val="09705922"/>
    <w:rsid w:val="09AF09E9"/>
    <w:rsid w:val="09C06EFC"/>
    <w:rsid w:val="09EB5698"/>
    <w:rsid w:val="09F97DD2"/>
    <w:rsid w:val="0A264A63"/>
    <w:rsid w:val="0A332F00"/>
    <w:rsid w:val="0A630EF7"/>
    <w:rsid w:val="0A6B2E91"/>
    <w:rsid w:val="0A774827"/>
    <w:rsid w:val="0A8A1DBF"/>
    <w:rsid w:val="0A94705A"/>
    <w:rsid w:val="0AB64719"/>
    <w:rsid w:val="0AD41560"/>
    <w:rsid w:val="0B172DB2"/>
    <w:rsid w:val="0BA44ED8"/>
    <w:rsid w:val="0BAD1199"/>
    <w:rsid w:val="0BB578DF"/>
    <w:rsid w:val="0BB8108C"/>
    <w:rsid w:val="0BBC27D6"/>
    <w:rsid w:val="0BBD78DD"/>
    <w:rsid w:val="0BED4067"/>
    <w:rsid w:val="0BF43058"/>
    <w:rsid w:val="0C3203E4"/>
    <w:rsid w:val="0C56080E"/>
    <w:rsid w:val="0CD85C66"/>
    <w:rsid w:val="0CE73C85"/>
    <w:rsid w:val="0CE939BD"/>
    <w:rsid w:val="0CFA67B0"/>
    <w:rsid w:val="0D0D629A"/>
    <w:rsid w:val="0D382E29"/>
    <w:rsid w:val="0D393B01"/>
    <w:rsid w:val="0D5F7BEA"/>
    <w:rsid w:val="0D752C1E"/>
    <w:rsid w:val="0D7A3766"/>
    <w:rsid w:val="0DA3668F"/>
    <w:rsid w:val="0DC13A4B"/>
    <w:rsid w:val="0DE877B2"/>
    <w:rsid w:val="0DEF45FC"/>
    <w:rsid w:val="0DFA6310"/>
    <w:rsid w:val="0E001E5F"/>
    <w:rsid w:val="0E1714FA"/>
    <w:rsid w:val="0E1A721E"/>
    <w:rsid w:val="0E247054"/>
    <w:rsid w:val="0E4D42CA"/>
    <w:rsid w:val="0E72360A"/>
    <w:rsid w:val="0E9121B6"/>
    <w:rsid w:val="0E986050"/>
    <w:rsid w:val="0EC32D44"/>
    <w:rsid w:val="0EC76E08"/>
    <w:rsid w:val="0EDB1202"/>
    <w:rsid w:val="0EE64705"/>
    <w:rsid w:val="0EE842EB"/>
    <w:rsid w:val="0EEB7AF4"/>
    <w:rsid w:val="0EFD297F"/>
    <w:rsid w:val="0F5A7CCB"/>
    <w:rsid w:val="0F6B0AEA"/>
    <w:rsid w:val="0F8E6586"/>
    <w:rsid w:val="0F9A39A4"/>
    <w:rsid w:val="0FA10A67"/>
    <w:rsid w:val="0FA31A52"/>
    <w:rsid w:val="0FA827A0"/>
    <w:rsid w:val="0FB72094"/>
    <w:rsid w:val="0FD513EA"/>
    <w:rsid w:val="0FF02F7A"/>
    <w:rsid w:val="1044241A"/>
    <w:rsid w:val="10463DB2"/>
    <w:rsid w:val="10464CB6"/>
    <w:rsid w:val="10521BB6"/>
    <w:rsid w:val="10A949D3"/>
    <w:rsid w:val="10CC50BB"/>
    <w:rsid w:val="10E76BB8"/>
    <w:rsid w:val="10F61B2E"/>
    <w:rsid w:val="111546C3"/>
    <w:rsid w:val="11457119"/>
    <w:rsid w:val="1160047A"/>
    <w:rsid w:val="119008B4"/>
    <w:rsid w:val="11D765BA"/>
    <w:rsid w:val="11E073DD"/>
    <w:rsid w:val="11F578D9"/>
    <w:rsid w:val="11FF7BF8"/>
    <w:rsid w:val="120F7405"/>
    <w:rsid w:val="122F6BF2"/>
    <w:rsid w:val="124540FC"/>
    <w:rsid w:val="124C5F1A"/>
    <w:rsid w:val="125C3D53"/>
    <w:rsid w:val="126D4A96"/>
    <w:rsid w:val="12785334"/>
    <w:rsid w:val="129E2D9A"/>
    <w:rsid w:val="12B86841"/>
    <w:rsid w:val="12C74790"/>
    <w:rsid w:val="12CA7B7E"/>
    <w:rsid w:val="12D25EBA"/>
    <w:rsid w:val="1355277C"/>
    <w:rsid w:val="139B42F8"/>
    <w:rsid w:val="13A106C1"/>
    <w:rsid w:val="13B45D45"/>
    <w:rsid w:val="13C92283"/>
    <w:rsid w:val="141B48BD"/>
    <w:rsid w:val="142B6455"/>
    <w:rsid w:val="14300DDE"/>
    <w:rsid w:val="14482C21"/>
    <w:rsid w:val="144A728B"/>
    <w:rsid w:val="14613AA7"/>
    <w:rsid w:val="1473739D"/>
    <w:rsid w:val="148123CC"/>
    <w:rsid w:val="14BA7930"/>
    <w:rsid w:val="14C34F24"/>
    <w:rsid w:val="14D17347"/>
    <w:rsid w:val="14E547D5"/>
    <w:rsid w:val="15041C69"/>
    <w:rsid w:val="1504784C"/>
    <w:rsid w:val="150C7A41"/>
    <w:rsid w:val="150D302B"/>
    <w:rsid w:val="1525130D"/>
    <w:rsid w:val="152D2C58"/>
    <w:rsid w:val="15336D70"/>
    <w:rsid w:val="156A5203"/>
    <w:rsid w:val="156E13E7"/>
    <w:rsid w:val="15AD3DCB"/>
    <w:rsid w:val="15E25231"/>
    <w:rsid w:val="15E41A33"/>
    <w:rsid w:val="161C0877"/>
    <w:rsid w:val="166B71B8"/>
    <w:rsid w:val="16A90E4F"/>
    <w:rsid w:val="16C043D8"/>
    <w:rsid w:val="16E83A43"/>
    <w:rsid w:val="16F06806"/>
    <w:rsid w:val="173C7839"/>
    <w:rsid w:val="17BA347C"/>
    <w:rsid w:val="17CC120E"/>
    <w:rsid w:val="17CE2C97"/>
    <w:rsid w:val="18043A8F"/>
    <w:rsid w:val="18137AE2"/>
    <w:rsid w:val="18541565"/>
    <w:rsid w:val="18640413"/>
    <w:rsid w:val="187E4C9C"/>
    <w:rsid w:val="188D43B8"/>
    <w:rsid w:val="189D5B44"/>
    <w:rsid w:val="18B036B1"/>
    <w:rsid w:val="18B6039C"/>
    <w:rsid w:val="18B7090A"/>
    <w:rsid w:val="18CE433E"/>
    <w:rsid w:val="18CE45CB"/>
    <w:rsid w:val="18E81DE6"/>
    <w:rsid w:val="18F91913"/>
    <w:rsid w:val="19013949"/>
    <w:rsid w:val="195D1653"/>
    <w:rsid w:val="19F07730"/>
    <w:rsid w:val="19FD238B"/>
    <w:rsid w:val="1A0E197B"/>
    <w:rsid w:val="1A174B78"/>
    <w:rsid w:val="1A31140C"/>
    <w:rsid w:val="1A547C95"/>
    <w:rsid w:val="1A554D90"/>
    <w:rsid w:val="1A7522D5"/>
    <w:rsid w:val="1A7E090E"/>
    <w:rsid w:val="1AAC6A48"/>
    <w:rsid w:val="1AD05AAD"/>
    <w:rsid w:val="1AEF6A73"/>
    <w:rsid w:val="1AF44ACF"/>
    <w:rsid w:val="1B0B074A"/>
    <w:rsid w:val="1B19433B"/>
    <w:rsid w:val="1B1E0735"/>
    <w:rsid w:val="1B24026B"/>
    <w:rsid w:val="1B335E21"/>
    <w:rsid w:val="1B393673"/>
    <w:rsid w:val="1B3E126E"/>
    <w:rsid w:val="1B4304DB"/>
    <w:rsid w:val="1B811441"/>
    <w:rsid w:val="1BA960C3"/>
    <w:rsid w:val="1BC65E20"/>
    <w:rsid w:val="1BD75BE2"/>
    <w:rsid w:val="1BDC2F3C"/>
    <w:rsid w:val="1C3D7B09"/>
    <w:rsid w:val="1C7F2848"/>
    <w:rsid w:val="1C944F70"/>
    <w:rsid w:val="1C97008F"/>
    <w:rsid w:val="1CB477A8"/>
    <w:rsid w:val="1CBC406D"/>
    <w:rsid w:val="1CCC7E03"/>
    <w:rsid w:val="1CFD2C35"/>
    <w:rsid w:val="1D000F7E"/>
    <w:rsid w:val="1D1F5503"/>
    <w:rsid w:val="1D433F09"/>
    <w:rsid w:val="1D627939"/>
    <w:rsid w:val="1D847D1E"/>
    <w:rsid w:val="1DBC0612"/>
    <w:rsid w:val="1DC64A05"/>
    <w:rsid w:val="1DF40DDD"/>
    <w:rsid w:val="1DFA3688"/>
    <w:rsid w:val="1E17332A"/>
    <w:rsid w:val="1E250CFB"/>
    <w:rsid w:val="1E3A4198"/>
    <w:rsid w:val="1E403C04"/>
    <w:rsid w:val="1E423D26"/>
    <w:rsid w:val="1E4E594C"/>
    <w:rsid w:val="1E744BAA"/>
    <w:rsid w:val="1E961E21"/>
    <w:rsid w:val="1E994660"/>
    <w:rsid w:val="1EC12B5D"/>
    <w:rsid w:val="1EEC6582"/>
    <w:rsid w:val="1F0757B7"/>
    <w:rsid w:val="1F655312"/>
    <w:rsid w:val="1F717683"/>
    <w:rsid w:val="1F745E66"/>
    <w:rsid w:val="1F7F2215"/>
    <w:rsid w:val="1F8741DE"/>
    <w:rsid w:val="1FB22715"/>
    <w:rsid w:val="20064BB7"/>
    <w:rsid w:val="20161FB5"/>
    <w:rsid w:val="201D178A"/>
    <w:rsid w:val="20202E06"/>
    <w:rsid w:val="20247E93"/>
    <w:rsid w:val="20306777"/>
    <w:rsid w:val="203610CB"/>
    <w:rsid w:val="20401992"/>
    <w:rsid w:val="206C01B1"/>
    <w:rsid w:val="207F39BB"/>
    <w:rsid w:val="20916044"/>
    <w:rsid w:val="20B13E63"/>
    <w:rsid w:val="20B40E98"/>
    <w:rsid w:val="20BE57DA"/>
    <w:rsid w:val="20DA76F3"/>
    <w:rsid w:val="21450531"/>
    <w:rsid w:val="2149582A"/>
    <w:rsid w:val="215D04AF"/>
    <w:rsid w:val="216D4B4A"/>
    <w:rsid w:val="217F0CF5"/>
    <w:rsid w:val="21996ADA"/>
    <w:rsid w:val="219D5A51"/>
    <w:rsid w:val="219D7F67"/>
    <w:rsid w:val="21A568EA"/>
    <w:rsid w:val="21B972B0"/>
    <w:rsid w:val="21DF07A9"/>
    <w:rsid w:val="21F80271"/>
    <w:rsid w:val="220C1218"/>
    <w:rsid w:val="221726AF"/>
    <w:rsid w:val="2227735D"/>
    <w:rsid w:val="22455FCF"/>
    <w:rsid w:val="226E5DFB"/>
    <w:rsid w:val="22967F19"/>
    <w:rsid w:val="229B128E"/>
    <w:rsid w:val="229B186C"/>
    <w:rsid w:val="22AD0BA1"/>
    <w:rsid w:val="22B9266A"/>
    <w:rsid w:val="22C20A8E"/>
    <w:rsid w:val="22CE0B4A"/>
    <w:rsid w:val="23017E96"/>
    <w:rsid w:val="231F2C28"/>
    <w:rsid w:val="23530B39"/>
    <w:rsid w:val="235A403A"/>
    <w:rsid w:val="23665FD3"/>
    <w:rsid w:val="236F7465"/>
    <w:rsid w:val="23730F18"/>
    <w:rsid w:val="23733B3A"/>
    <w:rsid w:val="237838A8"/>
    <w:rsid w:val="237F5A04"/>
    <w:rsid w:val="239F44DF"/>
    <w:rsid w:val="23A95F29"/>
    <w:rsid w:val="23BA36F0"/>
    <w:rsid w:val="23D3007C"/>
    <w:rsid w:val="23D34CC3"/>
    <w:rsid w:val="23E21FD6"/>
    <w:rsid w:val="241458DA"/>
    <w:rsid w:val="242D56A3"/>
    <w:rsid w:val="24436951"/>
    <w:rsid w:val="245F7CFB"/>
    <w:rsid w:val="24822553"/>
    <w:rsid w:val="24931D42"/>
    <w:rsid w:val="2494742C"/>
    <w:rsid w:val="24954DBB"/>
    <w:rsid w:val="24A42351"/>
    <w:rsid w:val="24A561AA"/>
    <w:rsid w:val="24D77B76"/>
    <w:rsid w:val="24F104A1"/>
    <w:rsid w:val="250A6C25"/>
    <w:rsid w:val="25262973"/>
    <w:rsid w:val="25505F41"/>
    <w:rsid w:val="25827D36"/>
    <w:rsid w:val="25896CC3"/>
    <w:rsid w:val="25E75947"/>
    <w:rsid w:val="25F736CE"/>
    <w:rsid w:val="261878BB"/>
    <w:rsid w:val="265A16E3"/>
    <w:rsid w:val="2684310B"/>
    <w:rsid w:val="26A93D10"/>
    <w:rsid w:val="26DF6F46"/>
    <w:rsid w:val="26F71B93"/>
    <w:rsid w:val="26F947D6"/>
    <w:rsid w:val="26FA0825"/>
    <w:rsid w:val="270E27DD"/>
    <w:rsid w:val="272563D7"/>
    <w:rsid w:val="2739723C"/>
    <w:rsid w:val="2742265F"/>
    <w:rsid w:val="27475AFE"/>
    <w:rsid w:val="276D2E43"/>
    <w:rsid w:val="277D5644"/>
    <w:rsid w:val="278D7187"/>
    <w:rsid w:val="27942F2B"/>
    <w:rsid w:val="27C963B8"/>
    <w:rsid w:val="27F35DD1"/>
    <w:rsid w:val="281D7C99"/>
    <w:rsid w:val="283814FE"/>
    <w:rsid w:val="28607243"/>
    <w:rsid w:val="286D0C6C"/>
    <w:rsid w:val="287134F0"/>
    <w:rsid w:val="289217BB"/>
    <w:rsid w:val="28B210E0"/>
    <w:rsid w:val="28B4524D"/>
    <w:rsid w:val="28C8619F"/>
    <w:rsid w:val="28DE1556"/>
    <w:rsid w:val="28E418A3"/>
    <w:rsid w:val="28E81E97"/>
    <w:rsid w:val="2959451B"/>
    <w:rsid w:val="29596448"/>
    <w:rsid w:val="29740337"/>
    <w:rsid w:val="29B25903"/>
    <w:rsid w:val="29BB7B8A"/>
    <w:rsid w:val="29C2555A"/>
    <w:rsid w:val="2A072EAB"/>
    <w:rsid w:val="2A1060BE"/>
    <w:rsid w:val="2A3F2ABE"/>
    <w:rsid w:val="2A553754"/>
    <w:rsid w:val="2A677AAD"/>
    <w:rsid w:val="2AB02BF2"/>
    <w:rsid w:val="2AB5616E"/>
    <w:rsid w:val="2AE44645"/>
    <w:rsid w:val="2AF754D0"/>
    <w:rsid w:val="2AF956FF"/>
    <w:rsid w:val="2B1E1E8B"/>
    <w:rsid w:val="2B526D3F"/>
    <w:rsid w:val="2B552758"/>
    <w:rsid w:val="2B5A4882"/>
    <w:rsid w:val="2B736F53"/>
    <w:rsid w:val="2B961830"/>
    <w:rsid w:val="2B9F0D5C"/>
    <w:rsid w:val="2BAD2D0C"/>
    <w:rsid w:val="2BDA0992"/>
    <w:rsid w:val="2C14088A"/>
    <w:rsid w:val="2C145274"/>
    <w:rsid w:val="2C8F0C5F"/>
    <w:rsid w:val="2CAC6B34"/>
    <w:rsid w:val="2CDC124A"/>
    <w:rsid w:val="2CF03C30"/>
    <w:rsid w:val="2CFC3A75"/>
    <w:rsid w:val="2D1E6905"/>
    <w:rsid w:val="2D2A2815"/>
    <w:rsid w:val="2D3C186F"/>
    <w:rsid w:val="2D420680"/>
    <w:rsid w:val="2D48771E"/>
    <w:rsid w:val="2D5D283E"/>
    <w:rsid w:val="2D9865C0"/>
    <w:rsid w:val="2DA77304"/>
    <w:rsid w:val="2DCC5F58"/>
    <w:rsid w:val="2DCE5794"/>
    <w:rsid w:val="2DD843A4"/>
    <w:rsid w:val="2E090D61"/>
    <w:rsid w:val="2E256288"/>
    <w:rsid w:val="2E42346C"/>
    <w:rsid w:val="2E961B5C"/>
    <w:rsid w:val="2EB71007"/>
    <w:rsid w:val="2EB84C38"/>
    <w:rsid w:val="2EBD7B50"/>
    <w:rsid w:val="2F1C4002"/>
    <w:rsid w:val="2F221BF1"/>
    <w:rsid w:val="2F2308DB"/>
    <w:rsid w:val="2F5729E1"/>
    <w:rsid w:val="2F687F0F"/>
    <w:rsid w:val="2F991245"/>
    <w:rsid w:val="2FCC74A8"/>
    <w:rsid w:val="2FD9033E"/>
    <w:rsid w:val="2FDE288B"/>
    <w:rsid w:val="300342D3"/>
    <w:rsid w:val="301A3562"/>
    <w:rsid w:val="302C2EDD"/>
    <w:rsid w:val="30312A4F"/>
    <w:rsid w:val="30347BEC"/>
    <w:rsid w:val="305B1DC0"/>
    <w:rsid w:val="306B081F"/>
    <w:rsid w:val="30944756"/>
    <w:rsid w:val="30DE7DF6"/>
    <w:rsid w:val="30EE42EC"/>
    <w:rsid w:val="30F71346"/>
    <w:rsid w:val="31452B43"/>
    <w:rsid w:val="317F6371"/>
    <w:rsid w:val="318C1085"/>
    <w:rsid w:val="31A0419B"/>
    <w:rsid w:val="31AE1812"/>
    <w:rsid w:val="31B44C66"/>
    <w:rsid w:val="31B80922"/>
    <w:rsid w:val="31E9351C"/>
    <w:rsid w:val="321A69BC"/>
    <w:rsid w:val="325D7811"/>
    <w:rsid w:val="326017B2"/>
    <w:rsid w:val="326E6A97"/>
    <w:rsid w:val="329011AE"/>
    <w:rsid w:val="32BB77ED"/>
    <w:rsid w:val="32C573C5"/>
    <w:rsid w:val="32F909AD"/>
    <w:rsid w:val="330274EC"/>
    <w:rsid w:val="330B215C"/>
    <w:rsid w:val="331A2F18"/>
    <w:rsid w:val="334C7212"/>
    <w:rsid w:val="33F60A07"/>
    <w:rsid w:val="340B3E8F"/>
    <w:rsid w:val="340D080E"/>
    <w:rsid w:val="341C503B"/>
    <w:rsid w:val="343004DF"/>
    <w:rsid w:val="347879B3"/>
    <w:rsid w:val="349317F1"/>
    <w:rsid w:val="349D646D"/>
    <w:rsid w:val="34B17BDB"/>
    <w:rsid w:val="34BA5A3B"/>
    <w:rsid w:val="34D07995"/>
    <w:rsid w:val="34DD7811"/>
    <w:rsid w:val="34F347E7"/>
    <w:rsid w:val="350E2715"/>
    <w:rsid w:val="354D2B6F"/>
    <w:rsid w:val="3592248F"/>
    <w:rsid w:val="35AA4B90"/>
    <w:rsid w:val="35B923F3"/>
    <w:rsid w:val="35D67F28"/>
    <w:rsid w:val="35E40B67"/>
    <w:rsid w:val="35F3211E"/>
    <w:rsid w:val="35FE6210"/>
    <w:rsid w:val="361821AA"/>
    <w:rsid w:val="361A24AC"/>
    <w:rsid w:val="361E0CA2"/>
    <w:rsid w:val="36265981"/>
    <w:rsid w:val="3640757D"/>
    <w:rsid w:val="36662C00"/>
    <w:rsid w:val="366675B9"/>
    <w:rsid w:val="36717062"/>
    <w:rsid w:val="36C32CC0"/>
    <w:rsid w:val="36C67690"/>
    <w:rsid w:val="36C97C87"/>
    <w:rsid w:val="36F45371"/>
    <w:rsid w:val="37006047"/>
    <w:rsid w:val="371D1D58"/>
    <w:rsid w:val="373D6CCA"/>
    <w:rsid w:val="37992050"/>
    <w:rsid w:val="37A9456B"/>
    <w:rsid w:val="37BE6A71"/>
    <w:rsid w:val="37D514A0"/>
    <w:rsid w:val="37EC0FE0"/>
    <w:rsid w:val="37F17633"/>
    <w:rsid w:val="37FD3FFE"/>
    <w:rsid w:val="38042FDA"/>
    <w:rsid w:val="38096227"/>
    <w:rsid w:val="380A2772"/>
    <w:rsid w:val="381A08AA"/>
    <w:rsid w:val="384E1EB9"/>
    <w:rsid w:val="385A14C3"/>
    <w:rsid w:val="38670779"/>
    <w:rsid w:val="38777D02"/>
    <w:rsid w:val="388859B9"/>
    <w:rsid w:val="388A71A9"/>
    <w:rsid w:val="389D04BE"/>
    <w:rsid w:val="38A55268"/>
    <w:rsid w:val="38AF6072"/>
    <w:rsid w:val="38C0047E"/>
    <w:rsid w:val="38C56C0D"/>
    <w:rsid w:val="38C76E72"/>
    <w:rsid w:val="38D50DD2"/>
    <w:rsid w:val="38D64ADF"/>
    <w:rsid w:val="38EC7BBD"/>
    <w:rsid w:val="38F81010"/>
    <w:rsid w:val="38FD64AC"/>
    <w:rsid w:val="39041D19"/>
    <w:rsid w:val="391A7545"/>
    <w:rsid w:val="39217573"/>
    <w:rsid w:val="394C636C"/>
    <w:rsid w:val="39523906"/>
    <w:rsid w:val="3964758E"/>
    <w:rsid w:val="396A50BF"/>
    <w:rsid w:val="397E510D"/>
    <w:rsid w:val="39813821"/>
    <w:rsid w:val="399B613B"/>
    <w:rsid w:val="3A4E35DA"/>
    <w:rsid w:val="3A594C7F"/>
    <w:rsid w:val="3A611FAB"/>
    <w:rsid w:val="3A823DFE"/>
    <w:rsid w:val="3AC0692A"/>
    <w:rsid w:val="3AC608B0"/>
    <w:rsid w:val="3AC907A1"/>
    <w:rsid w:val="3AE37029"/>
    <w:rsid w:val="3AE46FAA"/>
    <w:rsid w:val="3AEA0DE7"/>
    <w:rsid w:val="3AEE1A37"/>
    <w:rsid w:val="3B003EF2"/>
    <w:rsid w:val="3B25254A"/>
    <w:rsid w:val="3B266136"/>
    <w:rsid w:val="3B5803E6"/>
    <w:rsid w:val="3B694373"/>
    <w:rsid w:val="3B9C4065"/>
    <w:rsid w:val="3BA579B7"/>
    <w:rsid w:val="3BB93FF4"/>
    <w:rsid w:val="3BE404DD"/>
    <w:rsid w:val="3BEC03CC"/>
    <w:rsid w:val="3BED62C9"/>
    <w:rsid w:val="3BF6034C"/>
    <w:rsid w:val="3C1529E4"/>
    <w:rsid w:val="3C202B7C"/>
    <w:rsid w:val="3C3B0DB3"/>
    <w:rsid w:val="3C4325C6"/>
    <w:rsid w:val="3C4B07F6"/>
    <w:rsid w:val="3C547C68"/>
    <w:rsid w:val="3C552056"/>
    <w:rsid w:val="3C6B065B"/>
    <w:rsid w:val="3C797E4A"/>
    <w:rsid w:val="3C8F160F"/>
    <w:rsid w:val="3CA57108"/>
    <w:rsid w:val="3CB77856"/>
    <w:rsid w:val="3CBE678F"/>
    <w:rsid w:val="3CE244C2"/>
    <w:rsid w:val="3CE946F6"/>
    <w:rsid w:val="3D05485A"/>
    <w:rsid w:val="3D263888"/>
    <w:rsid w:val="3D2B13D6"/>
    <w:rsid w:val="3D3B124C"/>
    <w:rsid w:val="3D5F0396"/>
    <w:rsid w:val="3D637B5C"/>
    <w:rsid w:val="3D7B2013"/>
    <w:rsid w:val="3D7D7AB7"/>
    <w:rsid w:val="3D8F556C"/>
    <w:rsid w:val="3DBF3E30"/>
    <w:rsid w:val="3DC43EA6"/>
    <w:rsid w:val="3DC64240"/>
    <w:rsid w:val="3DC65913"/>
    <w:rsid w:val="3E19036C"/>
    <w:rsid w:val="3E535C29"/>
    <w:rsid w:val="3E5E04EB"/>
    <w:rsid w:val="3E6A028A"/>
    <w:rsid w:val="3E7D0871"/>
    <w:rsid w:val="3E9E4325"/>
    <w:rsid w:val="3EC64C71"/>
    <w:rsid w:val="3ECC4A46"/>
    <w:rsid w:val="3EF56ACD"/>
    <w:rsid w:val="3F041DAC"/>
    <w:rsid w:val="3F29014F"/>
    <w:rsid w:val="3F3662BA"/>
    <w:rsid w:val="3F5256B3"/>
    <w:rsid w:val="3F7E266A"/>
    <w:rsid w:val="3FC42A45"/>
    <w:rsid w:val="40176806"/>
    <w:rsid w:val="4024675A"/>
    <w:rsid w:val="402C6D72"/>
    <w:rsid w:val="402F7BE5"/>
    <w:rsid w:val="4059034D"/>
    <w:rsid w:val="405C5004"/>
    <w:rsid w:val="4081341A"/>
    <w:rsid w:val="40C72F7F"/>
    <w:rsid w:val="41037F4F"/>
    <w:rsid w:val="4121230E"/>
    <w:rsid w:val="412412C6"/>
    <w:rsid w:val="41703BC1"/>
    <w:rsid w:val="41986FC6"/>
    <w:rsid w:val="41DB67C8"/>
    <w:rsid w:val="4202140A"/>
    <w:rsid w:val="42025B00"/>
    <w:rsid w:val="42225B85"/>
    <w:rsid w:val="42265BA9"/>
    <w:rsid w:val="42433AC2"/>
    <w:rsid w:val="424C59EC"/>
    <w:rsid w:val="426E404F"/>
    <w:rsid w:val="42C81E93"/>
    <w:rsid w:val="42DB6773"/>
    <w:rsid w:val="430E332A"/>
    <w:rsid w:val="434628C7"/>
    <w:rsid w:val="434726A6"/>
    <w:rsid w:val="435D0401"/>
    <w:rsid w:val="43633FE1"/>
    <w:rsid w:val="44351118"/>
    <w:rsid w:val="44524C80"/>
    <w:rsid w:val="44813B38"/>
    <w:rsid w:val="44B91085"/>
    <w:rsid w:val="44DE5B57"/>
    <w:rsid w:val="44EF6BE2"/>
    <w:rsid w:val="44F1146F"/>
    <w:rsid w:val="44F13D26"/>
    <w:rsid w:val="45061145"/>
    <w:rsid w:val="452F4A80"/>
    <w:rsid w:val="45307694"/>
    <w:rsid w:val="454A6783"/>
    <w:rsid w:val="45513D03"/>
    <w:rsid w:val="455A06DD"/>
    <w:rsid w:val="45AC4140"/>
    <w:rsid w:val="45B003EA"/>
    <w:rsid w:val="45BF6796"/>
    <w:rsid w:val="45D16CF1"/>
    <w:rsid w:val="45FF68DA"/>
    <w:rsid w:val="462804CA"/>
    <w:rsid w:val="462B1A5A"/>
    <w:rsid w:val="46353A57"/>
    <w:rsid w:val="46394924"/>
    <w:rsid w:val="465F49A7"/>
    <w:rsid w:val="466824C5"/>
    <w:rsid w:val="467622D4"/>
    <w:rsid w:val="4696405C"/>
    <w:rsid w:val="46CE4320"/>
    <w:rsid w:val="46E556E9"/>
    <w:rsid w:val="46EA11D9"/>
    <w:rsid w:val="470C1C57"/>
    <w:rsid w:val="472204FE"/>
    <w:rsid w:val="472745EF"/>
    <w:rsid w:val="473208DD"/>
    <w:rsid w:val="473C7649"/>
    <w:rsid w:val="474E7A9B"/>
    <w:rsid w:val="47901083"/>
    <w:rsid w:val="47BD0109"/>
    <w:rsid w:val="47CE4E7D"/>
    <w:rsid w:val="47F83E09"/>
    <w:rsid w:val="47FA3012"/>
    <w:rsid w:val="483D412F"/>
    <w:rsid w:val="485E72D6"/>
    <w:rsid w:val="48627C2A"/>
    <w:rsid w:val="48804281"/>
    <w:rsid w:val="48834CAE"/>
    <w:rsid w:val="489C28EA"/>
    <w:rsid w:val="48A26B1F"/>
    <w:rsid w:val="48AA794B"/>
    <w:rsid w:val="48EC1F3B"/>
    <w:rsid w:val="48F24D3B"/>
    <w:rsid w:val="49442897"/>
    <w:rsid w:val="494F3233"/>
    <w:rsid w:val="49C124A7"/>
    <w:rsid w:val="49C334A8"/>
    <w:rsid w:val="49C63EFC"/>
    <w:rsid w:val="49EF236D"/>
    <w:rsid w:val="49FA6332"/>
    <w:rsid w:val="4A21158F"/>
    <w:rsid w:val="4A2A32AF"/>
    <w:rsid w:val="4A774532"/>
    <w:rsid w:val="4A867A44"/>
    <w:rsid w:val="4B0E406E"/>
    <w:rsid w:val="4B2955E8"/>
    <w:rsid w:val="4B354059"/>
    <w:rsid w:val="4B373B63"/>
    <w:rsid w:val="4B4E693A"/>
    <w:rsid w:val="4B60191F"/>
    <w:rsid w:val="4B81262E"/>
    <w:rsid w:val="4BCF6A70"/>
    <w:rsid w:val="4BE77A47"/>
    <w:rsid w:val="4C576FAA"/>
    <w:rsid w:val="4C9C1CBC"/>
    <w:rsid w:val="4CDB2EC7"/>
    <w:rsid w:val="4D087807"/>
    <w:rsid w:val="4D223C54"/>
    <w:rsid w:val="4D4E2277"/>
    <w:rsid w:val="4D751A55"/>
    <w:rsid w:val="4D8015E1"/>
    <w:rsid w:val="4D9931B2"/>
    <w:rsid w:val="4DE12CCD"/>
    <w:rsid w:val="4DFB054F"/>
    <w:rsid w:val="4E130090"/>
    <w:rsid w:val="4E173433"/>
    <w:rsid w:val="4E2A6805"/>
    <w:rsid w:val="4E913705"/>
    <w:rsid w:val="4EA03103"/>
    <w:rsid w:val="4EA77107"/>
    <w:rsid w:val="4EC25564"/>
    <w:rsid w:val="4ECB4E69"/>
    <w:rsid w:val="4ED222D7"/>
    <w:rsid w:val="4EF24AE0"/>
    <w:rsid w:val="4EF676C9"/>
    <w:rsid w:val="4EFF474A"/>
    <w:rsid w:val="4F5502ED"/>
    <w:rsid w:val="4F8D6B31"/>
    <w:rsid w:val="4F914266"/>
    <w:rsid w:val="4F952F97"/>
    <w:rsid w:val="4FA74EB4"/>
    <w:rsid w:val="4FC57304"/>
    <w:rsid w:val="4FEC2A44"/>
    <w:rsid w:val="50000D2D"/>
    <w:rsid w:val="50092A68"/>
    <w:rsid w:val="500D79E6"/>
    <w:rsid w:val="50345DCB"/>
    <w:rsid w:val="50407FD9"/>
    <w:rsid w:val="509A50EF"/>
    <w:rsid w:val="50A462D2"/>
    <w:rsid w:val="50B72AC8"/>
    <w:rsid w:val="50D462EA"/>
    <w:rsid w:val="50DA09F3"/>
    <w:rsid w:val="50DB70A2"/>
    <w:rsid w:val="50F82CFC"/>
    <w:rsid w:val="510B1B02"/>
    <w:rsid w:val="511857DE"/>
    <w:rsid w:val="51264DB9"/>
    <w:rsid w:val="512F659B"/>
    <w:rsid w:val="513166B4"/>
    <w:rsid w:val="51551117"/>
    <w:rsid w:val="518B2237"/>
    <w:rsid w:val="51A11F84"/>
    <w:rsid w:val="51A761D8"/>
    <w:rsid w:val="51DC13EA"/>
    <w:rsid w:val="51F959FB"/>
    <w:rsid w:val="520321BD"/>
    <w:rsid w:val="52062D4E"/>
    <w:rsid w:val="520F374D"/>
    <w:rsid w:val="521C1BAE"/>
    <w:rsid w:val="52222F59"/>
    <w:rsid w:val="52446C56"/>
    <w:rsid w:val="524B5267"/>
    <w:rsid w:val="524C0A6D"/>
    <w:rsid w:val="524C41E8"/>
    <w:rsid w:val="52555B12"/>
    <w:rsid w:val="52817B68"/>
    <w:rsid w:val="528740BD"/>
    <w:rsid w:val="5296526F"/>
    <w:rsid w:val="529B1DD3"/>
    <w:rsid w:val="52A35A12"/>
    <w:rsid w:val="52AC1D58"/>
    <w:rsid w:val="52B72515"/>
    <w:rsid w:val="52CE4251"/>
    <w:rsid w:val="52F0356A"/>
    <w:rsid w:val="53125943"/>
    <w:rsid w:val="53201889"/>
    <w:rsid w:val="53236259"/>
    <w:rsid w:val="53473668"/>
    <w:rsid w:val="53577FB7"/>
    <w:rsid w:val="537D6F36"/>
    <w:rsid w:val="5398225D"/>
    <w:rsid w:val="53B37937"/>
    <w:rsid w:val="53B70289"/>
    <w:rsid w:val="53C71CF0"/>
    <w:rsid w:val="53CF366D"/>
    <w:rsid w:val="53E43F47"/>
    <w:rsid w:val="53FE4B8F"/>
    <w:rsid w:val="54037ACC"/>
    <w:rsid w:val="540666E2"/>
    <w:rsid w:val="54166013"/>
    <w:rsid w:val="54462026"/>
    <w:rsid w:val="54522F56"/>
    <w:rsid w:val="54527838"/>
    <w:rsid w:val="545E48DA"/>
    <w:rsid w:val="545F1A94"/>
    <w:rsid w:val="546453B2"/>
    <w:rsid w:val="546E18F4"/>
    <w:rsid w:val="547F2E1D"/>
    <w:rsid w:val="54900FAB"/>
    <w:rsid w:val="54951BB9"/>
    <w:rsid w:val="54952E1E"/>
    <w:rsid w:val="549F78FC"/>
    <w:rsid w:val="54B7552F"/>
    <w:rsid w:val="54BC56A1"/>
    <w:rsid w:val="54F9635B"/>
    <w:rsid w:val="54FF50C4"/>
    <w:rsid w:val="550A0B61"/>
    <w:rsid w:val="5510701F"/>
    <w:rsid w:val="552D54C7"/>
    <w:rsid w:val="55B06243"/>
    <w:rsid w:val="55FB1DB2"/>
    <w:rsid w:val="560F4F59"/>
    <w:rsid w:val="561059CB"/>
    <w:rsid w:val="56136624"/>
    <w:rsid w:val="562F24AC"/>
    <w:rsid w:val="56466BEF"/>
    <w:rsid w:val="56481D68"/>
    <w:rsid w:val="564C64E0"/>
    <w:rsid w:val="564F6878"/>
    <w:rsid w:val="56637D24"/>
    <w:rsid w:val="567B1C1B"/>
    <w:rsid w:val="56824948"/>
    <w:rsid w:val="56B14CF5"/>
    <w:rsid w:val="56C93F88"/>
    <w:rsid w:val="56F93F4A"/>
    <w:rsid w:val="570C410D"/>
    <w:rsid w:val="573311FF"/>
    <w:rsid w:val="57421B95"/>
    <w:rsid w:val="574577B7"/>
    <w:rsid w:val="57682981"/>
    <w:rsid w:val="57C440FD"/>
    <w:rsid w:val="57DC1B89"/>
    <w:rsid w:val="58094E1E"/>
    <w:rsid w:val="580D5440"/>
    <w:rsid w:val="582907AC"/>
    <w:rsid w:val="58474378"/>
    <w:rsid w:val="586606CE"/>
    <w:rsid w:val="586B31CB"/>
    <w:rsid w:val="589241F4"/>
    <w:rsid w:val="589B0E5E"/>
    <w:rsid w:val="58E56D8A"/>
    <w:rsid w:val="59297BA9"/>
    <w:rsid w:val="592F3709"/>
    <w:rsid w:val="593A18DA"/>
    <w:rsid w:val="59A72E39"/>
    <w:rsid w:val="59CC545F"/>
    <w:rsid w:val="59DF6E66"/>
    <w:rsid w:val="5A41071E"/>
    <w:rsid w:val="5A4310B6"/>
    <w:rsid w:val="5A5E4C61"/>
    <w:rsid w:val="5A686A97"/>
    <w:rsid w:val="5A6E7AE8"/>
    <w:rsid w:val="5A807E69"/>
    <w:rsid w:val="5A851DB4"/>
    <w:rsid w:val="5A9176D9"/>
    <w:rsid w:val="5AA643F6"/>
    <w:rsid w:val="5AAD4AB6"/>
    <w:rsid w:val="5ADC6726"/>
    <w:rsid w:val="5AE15029"/>
    <w:rsid w:val="5B0166A4"/>
    <w:rsid w:val="5B34568D"/>
    <w:rsid w:val="5B4B3DEB"/>
    <w:rsid w:val="5B667803"/>
    <w:rsid w:val="5B69374B"/>
    <w:rsid w:val="5B77013D"/>
    <w:rsid w:val="5B863B83"/>
    <w:rsid w:val="5C0331E3"/>
    <w:rsid w:val="5C073DE1"/>
    <w:rsid w:val="5C0A620F"/>
    <w:rsid w:val="5C0E3EA2"/>
    <w:rsid w:val="5C104943"/>
    <w:rsid w:val="5C297DF2"/>
    <w:rsid w:val="5C7E40F0"/>
    <w:rsid w:val="5C856464"/>
    <w:rsid w:val="5CBC6F1A"/>
    <w:rsid w:val="5CD618F3"/>
    <w:rsid w:val="5CF014E5"/>
    <w:rsid w:val="5D1022B5"/>
    <w:rsid w:val="5D114F6C"/>
    <w:rsid w:val="5D3937E7"/>
    <w:rsid w:val="5D5E77FD"/>
    <w:rsid w:val="5DA07433"/>
    <w:rsid w:val="5DB40558"/>
    <w:rsid w:val="5DC43D9A"/>
    <w:rsid w:val="5DEA5971"/>
    <w:rsid w:val="5E2479C1"/>
    <w:rsid w:val="5E3018F5"/>
    <w:rsid w:val="5E6B0558"/>
    <w:rsid w:val="5E721B46"/>
    <w:rsid w:val="5E887EBD"/>
    <w:rsid w:val="5E9B4945"/>
    <w:rsid w:val="5EBC2527"/>
    <w:rsid w:val="5EBD1968"/>
    <w:rsid w:val="5ECD4105"/>
    <w:rsid w:val="5EFC0769"/>
    <w:rsid w:val="5EFF5CC2"/>
    <w:rsid w:val="5F2D226A"/>
    <w:rsid w:val="5F642337"/>
    <w:rsid w:val="5F7045F3"/>
    <w:rsid w:val="5F80789C"/>
    <w:rsid w:val="5F8C7E25"/>
    <w:rsid w:val="5F9507AA"/>
    <w:rsid w:val="5F9C6D68"/>
    <w:rsid w:val="5FB368F8"/>
    <w:rsid w:val="5FCB1433"/>
    <w:rsid w:val="601E77B2"/>
    <w:rsid w:val="603347AC"/>
    <w:rsid w:val="603F4A6B"/>
    <w:rsid w:val="604E44C8"/>
    <w:rsid w:val="605E34C8"/>
    <w:rsid w:val="60637787"/>
    <w:rsid w:val="60840DA3"/>
    <w:rsid w:val="60936715"/>
    <w:rsid w:val="60AB0BEE"/>
    <w:rsid w:val="60B36653"/>
    <w:rsid w:val="60C80196"/>
    <w:rsid w:val="60E751EA"/>
    <w:rsid w:val="60EC4EBF"/>
    <w:rsid w:val="60F20021"/>
    <w:rsid w:val="612051B6"/>
    <w:rsid w:val="61700F0F"/>
    <w:rsid w:val="617E55FB"/>
    <w:rsid w:val="61830EE2"/>
    <w:rsid w:val="618B6D53"/>
    <w:rsid w:val="61AA5904"/>
    <w:rsid w:val="61B03707"/>
    <w:rsid w:val="61DC0B50"/>
    <w:rsid w:val="61DC73F4"/>
    <w:rsid w:val="61E3737A"/>
    <w:rsid w:val="61FE6DBA"/>
    <w:rsid w:val="620D201A"/>
    <w:rsid w:val="625E5DAA"/>
    <w:rsid w:val="627D1287"/>
    <w:rsid w:val="6281543A"/>
    <w:rsid w:val="62893C3C"/>
    <w:rsid w:val="62BA4F83"/>
    <w:rsid w:val="62C1488D"/>
    <w:rsid w:val="62D00008"/>
    <w:rsid w:val="62DD081A"/>
    <w:rsid w:val="63450B4D"/>
    <w:rsid w:val="63661666"/>
    <w:rsid w:val="636E5A29"/>
    <w:rsid w:val="638A0757"/>
    <w:rsid w:val="63B55DA9"/>
    <w:rsid w:val="63CD615E"/>
    <w:rsid w:val="63E83994"/>
    <w:rsid w:val="64035F83"/>
    <w:rsid w:val="640E4356"/>
    <w:rsid w:val="64266CDA"/>
    <w:rsid w:val="643E0467"/>
    <w:rsid w:val="64503454"/>
    <w:rsid w:val="64575336"/>
    <w:rsid w:val="647B1A66"/>
    <w:rsid w:val="64874625"/>
    <w:rsid w:val="648E2D18"/>
    <w:rsid w:val="64924602"/>
    <w:rsid w:val="64973F28"/>
    <w:rsid w:val="649D7202"/>
    <w:rsid w:val="64CA0FF6"/>
    <w:rsid w:val="64D771FD"/>
    <w:rsid w:val="65542B56"/>
    <w:rsid w:val="6572158B"/>
    <w:rsid w:val="65884AAF"/>
    <w:rsid w:val="65A83838"/>
    <w:rsid w:val="65B609C9"/>
    <w:rsid w:val="65CC6636"/>
    <w:rsid w:val="65D0073D"/>
    <w:rsid w:val="662401B8"/>
    <w:rsid w:val="669141DF"/>
    <w:rsid w:val="669A2F84"/>
    <w:rsid w:val="66B40F7E"/>
    <w:rsid w:val="66B76897"/>
    <w:rsid w:val="66E43AE1"/>
    <w:rsid w:val="670001AD"/>
    <w:rsid w:val="670B17F8"/>
    <w:rsid w:val="670B6F3A"/>
    <w:rsid w:val="67723E82"/>
    <w:rsid w:val="67761FA0"/>
    <w:rsid w:val="677F79C0"/>
    <w:rsid w:val="67920817"/>
    <w:rsid w:val="67B101D9"/>
    <w:rsid w:val="67B9510C"/>
    <w:rsid w:val="67E97973"/>
    <w:rsid w:val="67EB6B2E"/>
    <w:rsid w:val="67F12192"/>
    <w:rsid w:val="67F71F6A"/>
    <w:rsid w:val="67FC57D2"/>
    <w:rsid w:val="68004896"/>
    <w:rsid w:val="68103BF9"/>
    <w:rsid w:val="681514D2"/>
    <w:rsid w:val="681F26AD"/>
    <w:rsid w:val="68290AE9"/>
    <w:rsid w:val="68C22AE3"/>
    <w:rsid w:val="68D21E65"/>
    <w:rsid w:val="68FF4A6E"/>
    <w:rsid w:val="691D5EF0"/>
    <w:rsid w:val="69244BE6"/>
    <w:rsid w:val="693D2FF5"/>
    <w:rsid w:val="69550405"/>
    <w:rsid w:val="696643EE"/>
    <w:rsid w:val="696953B2"/>
    <w:rsid w:val="69886B33"/>
    <w:rsid w:val="699E1DB1"/>
    <w:rsid w:val="69BD0A30"/>
    <w:rsid w:val="69CE7A77"/>
    <w:rsid w:val="69D17955"/>
    <w:rsid w:val="6A1B0438"/>
    <w:rsid w:val="6A3F6080"/>
    <w:rsid w:val="6A403B94"/>
    <w:rsid w:val="6A6E7994"/>
    <w:rsid w:val="6A725FBF"/>
    <w:rsid w:val="6A8702B2"/>
    <w:rsid w:val="6A927CD3"/>
    <w:rsid w:val="6A941D04"/>
    <w:rsid w:val="6AB30D87"/>
    <w:rsid w:val="6AB61DD1"/>
    <w:rsid w:val="6ACA3F76"/>
    <w:rsid w:val="6AD05E77"/>
    <w:rsid w:val="6AD379A6"/>
    <w:rsid w:val="6B3D5970"/>
    <w:rsid w:val="6B951F5D"/>
    <w:rsid w:val="6BD67470"/>
    <w:rsid w:val="6BD9362C"/>
    <w:rsid w:val="6BE56A90"/>
    <w:rsid w:val="6C1B1146"/>
    <w:rsid w:val="6C1F1282"/>
    <w:rsid w:val="6C27503C"/>
    <w:rsid w:val="6C323685"/>
    <w:rsid w:val="6C335FDB"/>
    <w:rsid w:val="6C452CA7"/>
    <w:rsid w:val="6C465536"/>
    <w:rsid w:val="6C673F7B"/>
    <w:rsid w:val="6C87005D"/>
    <w:rsid w:val="6C882EE2"/>
    <w:rsid w:val="6CA0490C"/>
    <w:rsid w:val="6CCB3765"/>
    <w:rsid w:val="6CE65422"/>
    <w:rsid w:val="6CF91164"/>
    <w:rsid w:val="6D2F2759"/>
    <w:rsid w:val="6D4509B0"/>
    <w:rsid w:val="6DCB66BE"/>
    <w:rsid w:val="6DEB2382"/>
    <w:rsid w:val="6E7336B7"/>
    <w:rsid w:val="6E880F2C"/>
    <w:rsid w:val="6E8F28E3"/>
    <w:rsid w:val="6ECB6DFD"/>
    <w:rsid w:val="6F2B46B1"/>
    <w:rsid w:val="6F5C0A2B"/>
    <w:rsid w:val="6F640C3E"/>
    <w:rsid w:val="6F681FB7"/>
    <w:rsid w:val="6F6C2A43"/>
    <w:rsid w:val="6FA351C5"/>
    <w:rsid w:val="6FA732D5"/>
    <w:rsid w:val="6FC27D6A"/>
    <w:rsid w:val="6FE712CD"/>
    <w:rsid w:val="70184125"/>
    <w:rsid w:val="70764661"/>
    <w:rsid w:val="707D0B1B"/>
    <w:rsid w:val="70CF3D18"/>
    <w:rsid w:val="70D85791"/>
    <w:rsid w:val="71193968"/>
    <w:rsid w:val="7137555B"/>
    <w:rsid w:val="713A4DB3"/>
    <w:rsid w:val="7152336A"/>
    <w:rsid w:val="718662F5"/>
    <w:rsid w:val="718D3403"/>
    <w:rsid w:val="71AF56A0"/>
    <w:rsid w:val="71BE009D"/>
    <w:rsid w:val="71CF2969"/>
    <w:rsid w:val="71FD6C3E"/>
    <w:rsid w:val="72226600"/>
    <w:rsid w:val="722316FA"/>
    <w:rsid w:val="72433389"/>
    <w:rsid w:val="727511E2"/>
    <w:rsid w:val="729E4F02"/>
    <w:rsid w:val="72B21200"/>
    <w:rsid w:val="72D1025F"/>
    <w:rsid w:val="730254B5"/>
    <w:rsid w:val="731757F6"/>
    <w:rsid w:val="731D6B1E"/>
    <w:rsid w:val="732E6DDA"/>
    <w:rsid w:val="73546004"/>
    <w:rsid w:val="736728EF"/>
    <w:rsid w:val="73B36DB6"/>
    <w:rsid w:val="73D93927"/>
    <w:rsid w:val="73D96C18"/>
    <w:rsid w:val="73DA725B"/>
    <w:rsid w:val="73F50437"/>
    <w:rsid w:val="74086341"/>
    <w:rsid w:val="7419513C"/>
    <w:rsid w:val="74266BA2"/>
    <w:rsid w:val="744017BB"/>
    <w:rsid w:val="745578AF"/>
    <w:rsid w:val="746867C4"/>
    <w:rsid w:val="74711B2C"/>
    <w:rsid w:val="74845008"/>
    <w:rsid w:val="74956D4A"/>
    <w:rsid w:val="749C3B47"/>
    <w:rsid w:val="74AF4E26"/>
    <w:rsid w:val="74B1757F"/>
    <w:rsid w:val="74B76068"/>
    <w:rsid w:val="74CF7B60"/>
    <w:rsid w:val="74E13F99"/>
    <w:rsid w:val="74F36DF1"/>
    <w:rsid w:val="74F45219"/>
    <w:rsid w:val="7505105E"/>
    <w:rsid w:val="752207C5"/>
    <w:rsid w:val="75397E54"/>
    <w:rsid w:val="757754A9"/>
    <w:rsid w:val="75783B42"/>
    <w:rsid w:val="757E4020"/>
    <w:rsid w:val="758C4D08"/>
    <w:rsid w:val="759C2095"/>
    <w:rsid w:val="75A80648"/>
    <w:rsid w:val="75CF0229"/>
    <w:rsid w:val="76195241"/>
    <w:rsid w:val="761E503F"/>
    <w:rsid w:val="7625601A"/>
    <w:rsid w:val="76863393"/>
    <w:rsid w:val="768635B6"/>
    <w:rsid w:val="768E2D22"/>
    <w:rsid w:val="76A15973"/>
    <w:rsid w:val="76CF5D76"/>
    <w:rsid w:val="77082BB6"/>
    <w:rsid w:val="773124EC"/>
    <w:rsid w:val="774B2199"/>
    <w:rsid w:val="776639FA"/>
    <w:rsid w:val="777070DB"/>
    <w:rsid w:val="777F7863"/>
    <w:rsid w:val="77922FF2"/>
    <w:rsid w:val="7795465C"/>
    <w:rsid w:val="77DC7A62"/>
    <w:rsid w:val="77E05C9E"/>
    <w:rsid w:val="77F0686B"/>
    <w:rsid w:val="780934B1"/>
    <w:rsid w:val="781B7825"/>
    <w:rsid w:val="7846780A"/>
    <w:rsid w:val="786475E0"/>
    <w:rsid w:val="786B114B"/>
    <w:rsid w:val="78722B1B"/>
    <w:rsid w:val="789E20B4"/>
    <w:rsid w:val="78FB5AB2"/>
    <w:rsid w:val="79112886"/>
    <w:rsid w:val="79485376"/>
    <w:rsid w:val="79544ADD"/>
    <w:rsid w:val="795C7211"/>
    <w:rsid w:val="796919D2"/>
    <w:rsid w:val="79B03BDB"/>
    <w:rsid w:val="79BF1A5C"/>
    <w:rsid w:val="79D17114"/>
    <w:rsid w:val="79D73EA0"/>
    <w:rsid w:val="79E545FA"/>
    <w:rsid w:val="7A066AA5"/>
    <w:rsid w:val="7A0C3051"/>
    <w:rsid w:val="7A6C05D5"/>
    <w:rsid w:val="7A6F0A74"/>
    <w:rsid w:val="7A7D1FAA"/>
    <w:rsid w:val="7A7E0E50"/>
    <w:rsid w:val="7AB16EC8"/>
    <w:rsid w:val="7AC77DBE"/>
    <w:rsid w:val="7AEA0EC2"/>
    <w:rsid w:val="7B0F68F1"/>
    <w:rsid w:val="7B193C0A"/>
    <w:rsid w:val="7B3E63C5"/>
    <w:rsid w:val="7B493273"/>
    <w:rsid w:val="7B4C239B"/>
    <w:rsid w:val="7B5104E3"/>
    <w:rsid w:val="7B5C6E89"/>
    <w:rsid w:val="7B6B0CAF"/>
    <w:rsid w:val="7B810D76"/>
    <w:rsid w:val="7BB15CA9"/>
    <w:rsid w:val="7BC06DFF"/>
    <w:rsid w:val="7BC3230A"/>
    <w:rsid w:val="7BFB5094"/>
    <w:rsid w:val="7C0F6BB3"/>
    <w:rsid w:val="7C2428D0"/>
    <w:rsid w:val="7C3B2FA3"/>
    <w:rsid w:val="7C4B4979"/>
    <w:rsid w:val="7C621BB1"/>
    <w:rsid w:val="7C660598"/>
    <w:rsid w:val="7C8E5608"/>
    <w:rsid w:val="7CB0560C"/>
    <w:rsid w:val="7CC2590C"/>
    <w:rsid w:val="7CCB2711"/>
    <w:rsid w:val="7CE17485"/>
    <w:rsid w:val="7CE76A3F"/>
    <w:rsid w:val="7CFA692C"/>
    <w:rsid w:val="7D084C7E"/>
    <w:rsid w:val="7D105051"/>
    <w:rsid w:val="7D417B2D"/>
    <w:rsid w:val="7D7C6B50"/>
    <w:rsid w:val="7DA92DC3"/>
    <w:rsid w:val="7DAA08CF"/>
    <w:rsid w:val="7DC5225B"/>
    <w:rsid w:val="7DDA1DE0"/>
    <w:rsid w:val="7DDF68E4"/>
    <w:rsid w:val="7E196B6F"/>
    <w:rsid w:val="7E6B29AA"/>
    <w:rsid w:val="7E8B0D36"/>
    <w:rsid w:val="7E97509C"/>
    <w:rsid w:val="7F0A1B7B"/>
    <w:rsid w:val="7F627F9A"/>
    <w:rsid w:val="7F725741"/>
    <w:rsid w:val="7F7E7665"/>
    <w:rsid w:val="7FBD5AD2"/>
    <w:rsid w:val="7FCC0A86"/>
    <w:rsid w:val="7FEF5AAF"/>
    <w:rsid w:val="7FF34ECB"/>
  </w:rsids>
  <m:mathPr>
    <m:mathFont m:val="Cambria Math"/>
    <m:brkBin m:val="before"/>
    <m:brkBinSub m:val="--"/>
    <m:smallFrac m:val="0"/>
    <m:dispDef/>
    <m:lMargin m:val="0"/>
    <m:rMargin m:val="0"/>
    <m:defJc m:val="centerGroup"/>
    <m:wrapIndent m:val="1440"/>
    <m:intLim m:val="subSup"/>
    <m:naryLim m:val="undOvr"/>
  </m:mathPr>
  <w:themeFontLang w:val="en-US" w:eastAsia="zh-CN" w:bidi="ug-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iPriority="39"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qFormat="1" w:unhideWhenUsed="0" w:uiPriority="0" w:semiHidden="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qFormat="1" w:unhideWhenUsed="0" w:uiPriority="0" w:semiHidden="0" w:name="Table Grid 7"/>
    <w:lsdException w:uiPriority="0" w:name="Table Grid 8"/>
    <w:lsdException w:uiPriority="0" w:name="Table List 1"/>
    <w:lsdException w:uiPriority="0" w:name="Table List 2"/>
    <w:lsdException w:qFormat="1" w:unhideWhenUsed="0" w:uiPriority="0" w:semiHidden="0" w:name="Table List 3"/>
    <w:lsdException w:qFormat="1" w:unhideWhenUsed="0" w:uiPriority="0" w:semiHidden="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643" w:firstLineChars="200"/>
      <w:jc w:val="both"/>
    </w:pPr>
    <w:rPr>
      <w:rFonts w:ascii="Times New Roman" w:hAnsi="Times New Roman" w:eastAsia="宋体" w:cstheme="minorBidi"/>
      <w:kern w:val="2"/>
      <w:sz w:val="24"/>
      <w:szCs w:val="24"/>
      <w:lang w:val="en-US" w:eastAsia="zh-CN" w:bidi="ar-SA"/>
    </w:rPr>
  </w:style>
  <w:style w:type="paragraph" w:styleId="3">
    <w:name w:val="heading 1"/>
    <w:basedOn w:val="1"/>
    <w:next w:val="1"/>
    <w:link w:val="63"/>
    <w:qFormat/>
    <w:uiPriority w:val="0"/>
    <w:pPr>
      <w:keepNext/>
      <w:keepLines/>
      <w:numPr>
        <w:ilvl w:val="0"/>
        <w:numId w:val="1"/>
      </w:numPr>
      <w:ind w:firstLineChars="0"/>
      <w:jc w:val="center"/>
      <w:outlineLvl w:val="0"/>
    </w:pPr>
    <w:rPr>
      <w:b/>
      <w:kern w:val="44"/>
      <w:sz w:val="32"/>
    </w:rPr>
  </w:style>
  <w:style w:type="paragraph" w:styleId="4">
    <w:name w:val="heading 2"/>
    <w:basedOn w:val="1"/>
    <w:next w:val="1"/>
    <w:link w:val="54"/>
    <w:unhideWhenUsed/>
    <w:qFormat/>
    <w:uiPriority w:val="0"/>
    <w:pPr>
      <w:keepNext/>
      <w:keepLines/>
      <w:numPr>
        <w:ilvl w:val="1"/>
        <w:numId w:val="1"/>
      </w:numPr>
      <w:tabs>
        <w:tab w:val="left" w:pos="360"/>
        <w:tab w:val="left" w:pos="903"/>
        <w:tab w:val="clear" w:pos="0"/>
      </w:tabs>
      <w:ind w:firstLine="0" w:firstLineChars="0"/>
      <w:outlineLvl w:val="1"/>
    </w:pPr>
    <w:rPr>
      <w:rFonts w:ascii="Times New Roman" w:hAnsi="Times New Roman" w:eastAsia="宋体"/>
      <w:b/>
    </w:rPr>
  </w:style>
  <w:style w:type="paragraph" w:styleId="5">
    <w:name w:val="heading 3"/>
    <w:basedOn w:val="1"/>
    <w:next w:val="1"/>
    <w:link w:val="62"/>
    <w:unhideWhenUsed/>
    <w:qFormat/>
    <w:uiPriority w:val="0"/>
    <w:pPr>
      <w:keepNext/>
      <w:keepLines/>
      <w:numPr>
        <w:ilvl w:val="2"/>
        <w:numId w:val="1"/>
      </w:numPr>
      <w:tabs>
        <w:tab w:val="left" w:pos="0"/>
      </w:tabs>
      <w:ind w:left="0" w:firstLine="0" w:firstLineChars="0"/>
      <w:outlineLvl w:val="2"/>
    </w:pPr>
    <w:rPr>
      <w:rFonts w:ascii="Times New Roman" w:hAnsi="Times New Roman" w:eastAsia="宋体" w:cs="Times New Roman"/>
      <w:b/>
    </w:rPr>
  </w:style>
  <w:style w:type="paragraph" w:styleId="2">
    <w:name w:val="heading 4"/>
    <w:basedOn w:val="1"/>
    <w:next w:val="1"/>
    <w:link w:val="53"/>
    <w:unhideWhenUsed/>
    <w:qFormat/>
    <w:uiPriority w:val="0"/>
    <w:pPr>
      <w:numPr>
        <w:ilvl w:val="3"/>
        <w:numId w:val="1"/>
      </w:numPr>
      <w:tabs>
        <w:tab w:val="left" w:pos="0"/>
      </w:tabs>
      <w:ind w:left="0" w:firstLine="0" w:firstLineChars="0"/>
      <w:outlineLvl w:val="3"/>
    </w:pPr>
    <w:rPr>
      <w:rFonts w:ascii="Times New Roman" w:hAnsi="Times New Roman" w:eastAsia="宋体" w:cs="Times New Roman"/>
      <w:b/>
    </w:rPr>
  </w:style>
  <w:style w:type="paragraph" w:styleId="6">
    <w:name w:val="heading 5"/>
    <w:basedOn w:val="1"/>
    <w:next w:val="1"/>
    <w:link w:val="61"/>
    <w:qFormat/>
    <w:uiPriority w:val="0"/>
    <w:pPr>
      <w:keepNext/>
      <w:keepLines/>
      <w:widowControl/>
      <w:numPr>
        <w:ilvl w:val="4"/>
        <w:numId w:val="1"/>
      </w:numPr>
      <w:spacing w:before="280" w:after="290" w:line="376" w:lineRule="auto"/>
      <w:ind w:firstLineChars="0"/>
      <w:jc w:val="left"/>
      <w:outlineLvl w:val="4"/>
    </w:pPr>
    <w:rPr>
      <w:rFonts w:ascii="宋体" w:hAnsi="宋体" w:cs="宋体"/>
      <w:b/>
      <w:bCs/>
      <w:kern w:val="0"/>
      <w:sz w:val="28"/>
      <w:szCs w:val="28"/>
    </w:rPr>
  </w:style>
  <w:style w:type="paragraph" w:styleId="7">
    <w:name w:val="heading 6"/>
    <w:basedOn w:val="1"/>
    <w:next w:val="1"/>
    <w:link w:val="58"/>
    <w:qFormat/>
    <w:uiPriority w:val="0"/>
    <w:pPr>
      <w:keepNext/>
      <w:keepLines/>
      <w:widowControl/>
      <w:numPr>
        <w:ilvl w:val="5"/>
        <w:numId w:val="1"/>
      </w:numPr>
      <w:tabs>
        <w:tab w:val="left" w:pos="1152"/>
      </w:tabs>
      <w:spacing w:before="240" w:after="64" w:line="320" w:lineRule="auto"/>
      <w:ind w:firstLineChars="0"/>
      <w:jc w:val="left"/>
      <w:outlineLvl w:val="5"/>
    </w:pPr>
    <w:rPr>
      <w:rFonts w:ascii="Cambria" w:hAnsi="Cambria" w:cs="宋体"/>
      <w:b/>
      <w:bCs/>
      <w:kern w:val="0"/>
    </w:rPr>
  </w:style>
  <w:style w:type="paragraph" w:styleId="8">
    <w:name w:val="heading 7"/>
    <w:basedOn w:val="1"/>
    <w:next w:val="1"/>
    <w:link w:val="64"/>
    <w:qFormat/>
    <w:uiPriority w:val="0"/>
    <w:pPr>
      <w:keepNext/>
      <w:keepLines/>
      <w:widowControl/>
      <w:numPr>
        <w:ilvl w:val="6"/>
        <w:numId w:val="1"/>
      </w:numPr>
      <w:tabs>
        <w:tab w:val="left" w:pos="1296"/>
      </w:tabs>
      <w:spacing w:before="240" w:after="64" w:line="320" w:lineRule="auto"/>
      <w:ind w:firstLineChars="0"/>
      <w:jc w:val="left"/>
      <w:outlineLvl w:val="6"/>
    </w:pPr>
    <w:rPr>
      <w:rFonts w:ascii="宋体" w:hAnsi="宋体" w:cs="宋体"/>
      <w:b/>
      <w:bCs/>
      <w:kern w:val="0"/>
    </w:rPr>
  </w:style>
  <w:style w:type="paragraph" w:styleId="9">
    <w:name w:val="heading 8"/>
    <w:basedOn w:val="1"/>
    <w:next w:val="1"/>
    <w:link w:val="59"/>
    <w:qFormat/>
    <w:uiPriority w:val="0"/>
    <w:pPr>
      <w:keepNext/>
      <w:keepLines/>
      <w:widowControl/>
      <w:numPr>
        <w:ilvl w:val="7"/>
        <w:numId w:val="1"/>
      </w:numPr>
      <w:tabs>
        <w:tab w:val="left" w:pos="1440"/>
      </w:tabs>
      <w:spacing w:before="240" w:after="64" w:line="320" w:lineRule="auto"/>
      <w:ind w:firstLineChars="0"/>
      <w:jc w:val="left"/>
      <w:outlineLvl w:val="7"/>
    </w:pPr>
    <w:rPr>
      <w:rFonts w:ascii="Cambria" w:hAnsi="Cambria" w:cs="宋体"/>
      <w:kern w:val="0"/>
    </w:rPr>
  </w:style>
  <w:style w:type="paragraph" w:styleId="10">
    <w:name w:val="heading 9"/>
    <w:basedOn w:val="1"/>
    <w:next w:val="1"/>
    <w:link w:val="60"/>
    <w:qFormat/>
    <w:uiPriority w:val="0"/>
    <w:pPr>
      <w:keepNext/>
      <w:keepLines/>
      <w:widowControl/>
      <w:numPr>
        <w:ilvl w:val="8"/>
        <w:numId w:val="1"/>
      </w:numPr>
      <w:tabs>
        <w:tab w:val="left" w:pos="1584"/>
      </w:tabs>
      <w:spacing w:before="240" w:after="64" w:line="320" w:lineRule="auto"/>
      <w:ind w:firstLineChars="0"/>
      <w:jc w:val="left"/>
      <w:outlineLvl w:val="8"/>
    </w:pPr>
    <w:rPr>
      <w:rFonts w:ascii="Cambria" w:hAnsi="Cambria" w:cs="宋体"/>
      <w:kern w:val="0"/>
      <w:sz w:val="20"/>
      <w:szCs w:val="20"/>
    </w:rPr>
  </w:style>
  <w:style w:type="character" w:default="1" w:styleId="42">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widowControl w:val="0"/>
      <w:spacing w:line="360" w:lineRule="auto"/>
      <w:ind w:left="0" w:leftChars="0"/>
      <w:jc w:val="center"/>
    </w:pPr>
    <w:rPr>
      <w:rFonts w:ascii="Times New Roman" w:hAnsi="Times New Roman" w:eastAsia="黑体"/>
      <w:sz w:val="24"/>
      <w:szCs w:val="24"/>
    </w:rPr>
  </w:style>
  <w:style w:type="paragraph" w:styleId="12">
    <w:name w:val="Normal Indent"/>
    <w:basedOn w:val="1"/>
    <w:qFormat/>
    <w:uiPriority w:val="0"/>
    <w:pPr>
      <w:ind w:firstLine="420"/>
    </w:pPr>
  </w:style>
  <w:style w:type="paragraph" w:styleId="13">
    <w:name w:val="caption"/>
    <w:basedOn w:val="1"/>
    <w:next w:val="1"/>
    <w:unhideWhenUsed/>
    <w:qFormat/>
    <w:uiPriority w:val="0"/>
    <w:pPr>
      <w:spacing w:line="240" w:lineRule="auto"/>
      <w:ind w:firstLine="0" w:firstLineChars="0"/>
      <w:jc w:val="center"/>
    </w:pPr>
    <w:rPr>
      <w:rFonts w:ascii="黑体" w:hAnsi="黑体" w:eastAsia="黑体" w:cstheme="majorBidi"/>
    </w:rPr>
  </w:style>
  <w:style w:type="paragraph" w:styleId="14">
    <w:name w:val="Document Map"/>
    <w:basedOn w:val="1"/>
    <w:link w:val="93"/>
    <w:qFormat/>
    <w:uiPriority w:val="0"/>
    <w:rPr>
      <w:rFonts w:ascii="宋体"/>
      <w:sz w:val="18"/>
      <w:szCs w:val="18"/>
    </w:rPr>
  </w:style>
  <w:style w:type="paragraph" w:styleId="15">
    <w:name w:val="annotation text"/>
    <w:basedOn w:val="1"/>
    <w:link w:val="109"/>
    <w:qFormat/>
    <w:uiPriority w:val="0"/>
    <w:pPr>
      <w:ind w:firstLine="420"/>
      <w:jc w:val="left"/>
    </w:pPr>
    <w:rPr>
      <w:rFonts w:cs="Times New Roman"/>
      <w:kern w:val="0"/>
    </w:rPr>
  </w:style>
  <w:style w:type="paragraph" w:styleId="16">
    <w:name w:val="Body Text"/>
    <w:basedOn w:val="1"/>
    <w:link w:val="95"/>
    <w:qFormat/>
    <w:uiPriority w:val="0"/>
    <w:pPr>
      <w:tabs>
        <w:tab w:val="left" w:pos="-2486"/>
      </w:tabs>
      <w:spacing w:line="300" w:lineRule="exact"/>
      <w:jc w:val="center"/>
    </w:pPr>
    <w:rPr>
      <w:kern w:val="0"/>
    </w:rPr>
  </w:style>
  <w:style w:type="paragraph" w:styleId="17">
    <w:name w:val="Body Text Indent"/>
    <w:basedOn w:val="1"/>
    <w:qFormat/>
    <w:uiPriority w:val="0"/>
    <w:pPr>
      <w:ind w:firstLine="720" w:firstLineChars="257"/>
    </w:pPr>
    <w:rPr>
      <w:rFonts w:ascii="宋体" w:hAnsi="宋体"/>
      <w:color w:val="000000"/>
      <w:sz w:val="28"/>
    </w:rPr>
  </w:style>
  <w:style w:type="paragraph" w:styleId="18">
    <w:name w:val="Plain Text"/>
    <w:basedOn w:val="1"/>
    <w:qFormat/>
    <w:uiPriority w:val="0"/>
    <w:pPr>
      <w:spacing w:line="240" w:lineRule="auto"/>
      <w:ind w:firstLine="0" w:firstLineChars="0"/>
    </w:pPr>
    <w:rPr>
      <w:rFonts w:ascii="宋体" w:hAnsi="宋体" w:eastAsia="宋体"/>
      <w:sz w:val="21"/>
      <w:szCs w:val="20"/>
    </w:rPr>
  </w:style>
  <w:style w:type="paragraph" w:styleId="19">
    <w:name w:val="Body Text Indent 2"/>
    <w:basedOn w:val="1"/>
    <w:qFormat/>
    <w:uiPriority w:val="99"/>
    <w:pPr>
      <w:ind w:firstLine="450"/>
    </w:pPr>
    <w:rPr>
      <w:kern w:val="0"/>
      <w:sz w:val="28"/>
    </w:rPr>
  </w:style>
  <w:style w:type="paragraph" w:styleId="20">
    <w:name w:val="Balloon Text"/>
    <w:basedOn w:val="1"/>
    <w:link w:val="94"/>
    <w:qFormat/>
    <w:uiPriority w:val="0"/>
    <w:pPr>
      <w:spacing w:line="240" w:lineRule="auto"/>
    </w:pPr>
    <w:rPr>
      <w:sz w:val="18"/>
      <w:szCs w:val="18"/>
    </w:rPr>
  </w:style>
  <w:style w:type="paragraph" w:styleId="21">
    <w:name w:val="footer"/>
    <w:basedOn w:val="1"/>
    <w:qFormat/>
    <w:uiPriority w:val="0"/>
    <w:pPr>
      <w:tabs>
        <w:tab w:val="center" w:pos="4153"/>
        <w:tab w:val="right" w:pos="8306"/>
      </w:tabs>
      <w:snapToGrid w:val="0"/>
      <w:jc w:val="left"/>
    </w:pPr>
    <w:rPr>
      <w:sz w:val="18"/>
    </w:rPr>
  </w:style>
  <w:style w:type="paragraph" w:styleId="2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23">
    <w:name w:val="toc 1"/>
    <w:basedOn w:val="1"/>
    <w:next w:val="1"/>
    <w:qFormat/>
    <w:uiPriority w:val="0"/>
  </w:style>
  <w:style w:type="paragraph" w:styleId="24">
    <w:name w:val="List Continue 4"/>
    <w:basedOn w:val="1"/>
    <w:next w:val="1"/>
    <w:qFormat/>
    <w:uiPriority w:val="0"/>
    <w:pPr>
      <w:spacing w:after="120"/>
      <w:ind w:left="1680" w:firstLine="480"/>
    </w:pPr>
    <w:rPr>
      <w:rFonts w:ascii="宋体" w:cs="Times New Roman"/>
    </w:rPr>
  </w:style>
  <w:style w:type="paragraph" w:styleId="25">
    <w:name w:val="List"/>
    <w:basedOn w:val="1"/>
    <w:qFormat/>
    <w:uiPriority w:val="99"/>
    <w:pPr>
      <w:spacing w:line="240" w:lineRule="auto"/>
      <w:ind w:firstLine="0" w:firstLineChars="0"/>
      <w:jc w:val="center"/>
    </w:pPr>
    <w:rPr>
      <w:sz w:val="21"/>
    </w:rPr>
  </w:style>
  <w:style w:type="paragraph" w:styleId="26">
    <w:name w:val="toc 2"/>
    <w:basedOn w:val="1"/>
    <w:next w:val="1"/>
    <w:qFormat/>
    <w:uiPriority w:val="0"/>
    <w:pPr>
      <w:ind w:left="420" w:leftChars="200"/>
    </w:pPr>
  </w:style>
  <w:style w:type="paragraph" w:styleId="27">
    <w:name w:val="Body Text 2"/>
    <w:basedOn w:val="1"/>
    <w:qFormat/>
    <w:uiPriority w:val="0"/>
    <w:pPr>
      <w:spacing w:after="120" w:line="480" w:lineRule="auto"/>
    </w:pPr>
  </w:style>
  <w:style w:type="paragraph" w:styleId="28">
    <w:name w:val="Normal (Web)"/>
    <w:basedOn w:val="1"/>
    <w:qFormat/>
    <w:uiPriority w:val="0"/>
  </w:style>
  <w:style w:type="paragraph" w:styleId="29">
    <w:name w:val="Title"/>
    <w:basedOn w:val="1"/>
    <w:next w:val="1"/>
    <w:qFormat/>
    <w:uiPriority w:val="0"/>
    <w:pPr>
      <w:ind w:firstLine="200"/>
      <w:jc w:val="left"/>
    </w:pPr>
    <w:rPr>
      <w:bCs/>
      <w:szCs w:val="32"/>
    </w:rPr>
  </w:style>
  <w:style w:type="paragraph" w:styleId="30">
    <w:name w:val="annotation subject"/>
    <w:basedOn w:val="15"/>
    <w:next w:val="15"/>
    <w:link w:val="110"/>
    <w:qFormat/>
    <w:uiPriority w:val="0"/>
    <w:rPr>
      <w:b/>
      <w:bCs/>
    </w:rPr>
  </w:style>
  <w:style w:type="paragraph" w:styleId="31">
    <w:name w:val="Body Text First Indent"/>
    <w:basedOn w:val="16"/>
    <w:next w:val="1"/>
    <w:qFormat/>
    <w:uiPriority w:val="0"/>
    <w:pPr>
      <w:ind w:firstLine="420" w:firstLineChars="100"/>
    </w:pPr>
  </w:style>
  <w:style w:type="paragraph" w:styleId="32">
    <w:name w:val="Body Text First Indent 2"/>
    <w:basedOn w:val="17"/>
    <w:qFormat/>
    <w:uiPriority w:val="0"/>
    <w:pPr>
      <w:spacing w:line="540" w:lineRule="exact"/>
      <w:ind w:firstLine="420" w:firstLineChars="200"/>
    </w:pPr>
    <w:rPr>
      <w:rFonts w:ascii="Times New Roman" w:hAnsi="Times New Roman" w:eastAsia="微软雅黑" w:cs="Times New Roman"/>
    </w:rPr>
  </w:style>
  <w:style w:type="table" w:styleId="34">
    <w:name w:val="Table Grid"/>
    <w:basedOn w:val="33"/>
    <w:qFormat/>
    <w:uiPriority w:val="0"/>
    <w:rPr>
      <w:rFonts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op w:val="single" w:color="000000" w:sz="4" w:space="0"/>
        <w:left w:val="single" w:color="000000" w:sz="4" w:space="0"/>
        <w:bottom w:val="single" w:color="000000" w:sz="4" w:space="0"/>
        <w:right w:val="single" w:color="000000" w:sz="4" w:space="0"/>
      </w:tcBorders>
    </w:tcPr>
  </w:style>
  <w:style w:type="table" w:styleId="35">
    <w:name w:val="Table Theme"/>
    <w:basedOn w:val="33"/>
    <w:semiHidden/>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6">
    <w:name w:val="Table Simple 1"/>
    <w:basedOn w:val="33"/>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37">
    <w:name w:val="Table List 3"/>
    <w:basedOn w:val="33"/>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38">
    <w:name w:val="Table List 4"/>
    <w:basedOn w:val="3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39">
    <w:name w:val="Table Grid 1"/>
    <w:basedOn w:val="3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40">
    <w:name w:val="Table Grid 5"/>
    <w:basedOn w:val="3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41">
    <w:name w:val="Table Grid 7"/>
    <w:basedOn w:val="33"/>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43">
    <w:name w:val="Strong"/>
    <w:basedOn w:val="42"/>
    <w:qFormat/>
    <w:uiPriority w:val="0"/>
    <w:rPr>
      <w:b/>
    </w:rPr>
  </w:style>
  <w:style w:type="character" w:styleId="44">
    <w:name w:val="Hyperlink"/>
    <w:basedOn w:val="42"/>
    <w:qFormat/>
    <w:uiPriority w:val="0"/>
    <w:rPr>
      <w:color w:val="0000FF"/>
      <w:u w:val="single"/>
    </w:rPr>
  </w:style>
  <w:style w:type="character" w:styleId="45">
    <w:name w:val="annotation reference"/>
    <w:basedOn w:val="42"/>
    <w:qFormat/>
    <w:uiPriority w:val="0"/>
    <w:rPr>
      <w:sz w:val="21"/>
      <w:szCs w:val="21"/>
    </w:rPr>
  </w:style>
  <w:style w:type="paragraph" w:customStyle="1" w:styleId="46">
    <w:name w:val="Body Text 21"/>
    <w:basedOn w:val="1"/>
    <w:autoRedefine/>
    <w:qFormat/>
    <w:uiPriority w:val="0"/>
    <w:pPr>
      <w:spacing w:after="120" w:line="480" w:lineRule="auto"/>
    </w:pPr>
  </w:style>
  <w:style w:type="paragraph" w:customStyle="1" w:styleId="47">
    <w:name w:val="Default"/>
    <w:basedOn w:val="48"/>
    <w:unhideWhenUsed/>
    <w:qFormat/>
    <w:uiPriority w:val="99"/>
    <w:pPr>
      <w:autoSpaceDE w:val="0"/>
      <w:autoSpaceDN w:val="0"/>
    </w:pPr>
    <w:rPr>
      <w:rFonts w:hAnsi="宋体"/>
      <w:color w:val="000000"/>
      <w:szCs w:val="22"/>
    </w:rPr>
  </w:style>
  <w:style w:type="paragraph" w:customStyle="1" w:styleId="48">
    <w:name w:val="纯文本1"/>
    <w:basedOn w:val="1"/>
    <w:qFormat/>
    <w:uiPriority w:val="0"/>
    <w:pPr>
      <w:adjustRightInd w:val="0"/>
    </w:pPr>
    <w:rPr>
      <w:rFonts w:ascii="宋体" w:hAnsi="Courier New"/>
      <w:szCs w:val="20"/>
    </w:rPr>
  </w:style>
  <w:style w:type="paragraph" w:customStyle="1" w:styleId="49">
    <w:name w:val="表格文字"/>
    <w:basedOn w:val="16"/>
    <w:qFormat/>
    <w:uiPriority w:val="0"/>
    <w:pPr>
      <w:spacing w:line="240" w:lineRule="auto"/>
      <w:ind w:firstLine="0" w:firstLineChars="0"/>
      <w:jc w:val="center"/>
    </w:pPr>
    <w:rPr>
      <w:rFonts w:ascii="Times New Roman" w:hAnsi="Times New Roman" w:eastAsia="宋体"/>
      <w:color w:val="000000" w:themeColor="text1"/>
      <w:sz w:val="21"/>
      <w14:textFill>
        <w14:solidFill>
          <w14:schemeClr w14:val="tx1"/>
        </w14:solidFill>
      </w14:textFill>
    </w:rPr>
  </w:style>
  <w:style w:type="paragraph" w:customStyle="1" w:styleId="5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color w:val="000000"/>
      <w:kern w:val="0"/>
      <w:sz w:val="20"/>
      <w:szCs w:val="20"/>
    </w:rPr>
  </w:style>
  <w:style w:type="paragraph" w:customStyle="1" w:styleId="51">
    <w:name w:val="样式 正文文本 + 首行缩进:  2 字符"/>
    <w:qFormat/>
    <w:uiPriority w:val="99"/>
    <w:pPr>
      <w:spacing w:after="200" w:line="480" w:lineRule="exact"/>
      <w:ind w:firstLine="480" w:firstLineChars="200"/>
      <w:jc w:val="center"/>
    </w:pPr>
    <w:rPr>
      <w:rFonts w:ascii="宋体" w:hAnsi="宋体" w:eastAsia="Calibri" w:cs="Times New Roman"/>
      <w:sz w:val="24"/>
      <w:szCs w:val="22"/>
      <w:lang w:val="en-US" w:eastAsia="zh-CN" w:bidi="ar-SA"/>
    </w:rPr>
  </w:style>
  <w:style w:type="paragraph" w:customStyle="1" w:styleId="52">
    <w:name w:val="A正文"/>
    <w:qFormat/>
    <w:uiPriority w:val="0"/>
    <w:pPr>
      <w:spacing w:line="480" w:lineRule="exact"/>
      <w:ind w:firstLine="480"/>
    </w:pPr>
    <w:rPr>
      <w:rFonts w:ascii="宋体" w:hAnsi="宋体" w:eastAsia="宋体" w:cs="Times New Roman"/>
      <w:sz w:val="24"/>
      <w:szCs w:val="22"/>
      <w:lang w:val="en-US" w:eastAsia="zh-CN" w:bidi="ar-SA"/>
    </w:rPr>
  </w:style>
  <w:style w:type="character" w:customStyle="1" w:styleId="53">
    <w:name w:val="标题 4 字符"/>
    <w:basedOn w:val="42"/>
    <w:link w:val="2"/>
    <w:qFormat/>
    <w:uiPriority w:val="0"/>
    <w:rPr>
      <w:rFonts w:ascii="Times New Roman" w:hAnsi="Times New Roman" w:eastAsia="宋体" w:cs="Times New Roman"/>
      <w:b/>
      <w:kern w:val="2"/>
      <w:sz w:val="24"/>
      <w:szCs w:val="24"/>
    </w:rPr>
  </w:style>
  <w:style w:type="character" w:customStyle="1" w:styleId="54">
    <w:name w:val="标题 2 字符"/>
    <w:link w:val="4"/>
    <w:qFormat/>
    <w:uiPriority w:val="0"/>
    <w:rPr>
      <w:rFonts w:ascii="Times New Roman" w:hAnsi="Times New Roman" w:eastAsia="宋体" w:cstheme="minorBidi"/>
      <w:b/>
      <w:kern w:val="2"/>
      <w:sz w:val="24"/>
      <w:szCs w:val="24"/>
      <w:lang w:val="en-US" w:eastAsia="zh-CN" w:bidi="ar-SA"/>
    </w:rPr>
  </w:style>
  <w:style w:type="paragraph" w:customStyle="1" w:styleId="55">
    <w:name w:val="1 表头"/>
    <w:basedOn w:val="1"/>
    <w:qFormat/>
    <w:uiPriority w:val="0"/>
    <w:pPr>
      <w:adjustRightInd w:val="0"/>
      <w:snapToGrid w:val="0"/>
      <w:jc w:val="center"/>
    </w:pPr>
    <w:rPr>
      <w:b/>
      <w:color w:val="000000"/>
      <w:szCs w:val="21"/>
    </w:rPr>
  </w:style>
  <w:style w:type="paragraph" w:styleId="56">
    <w:name w:val="No Spacing"/>
    <w:qFormat/>
    <w:uiPriority w:val="0"/>
    <w:rPr>
      <w:rFonts w:ascii="Calibri" w:hAnsi="Calibri" w:eastAsia="宋体" w:cs="Times New Roman"/>
      <w:sz w:val="22"/>
      <w:szCs w:val="22"/>
      <w:lang w:val="en-US" w:eastAsia="zh-CN" w:bidi="ar-SA"/>
    </w:rPr>
  </w:style>
  <w:style w:type="table" w:customStyle="1" w:styleId="57">
    <w:name w:val="Table Normal"/>
    <w:unhideWhenUsed/>
    <w:qFormat/>
    <w:uiPriority w:val="2"/>
    <w:tblPr>
      <w:tblCellMar>
        <w:top w:w="0" w:type="dxa"/>
        <w:left w:w="0" w:type="dxa"/>
        <w:bottom w:w="0" w:type="dxa"/>
        <w:right w:w="0" w:type="dxa"/>
      </w:tblCellMar>
    </w:tblPr>
  </w:style>
  <w:style w:type="character" w:customStyle="1" w:styleId="58">
    <w:name w:val="标题 6 字符"/>
    <w:basedOn w:val="42"/>
    <w:link w:val="7"/>
    <w:qFormat/>
    <w:uiPriority w:val="0"/>
    <w:rPr>
      <w:rFonts w:ascii="Cambria" w:hAnsi="Cambria" w:cs="宋体"/>
      <w:b/>
      <w:bCs/>
      <w:sz w:val="24"/>
      <w:szCs w:val="24"/>
    </w:rPr>
  </w:style>
  <w:style w:type="character" w:customStyle="1" w:styleId="59">
    <w:name w:val="标题 8 字符"/>
    <w:basedOn w:val="42"/>
    <w:link w:val="9"/>
    <w:qFormat/>
    <w:uiPriority w:val="0"/>
    <w:rPr>
      <w:rFonts w:ascii="Cambria" w:hAnsi="Cambria" w:cs="宋体"/>
      <w:sz w:val="24"/>
      <w:szCs w:val="24"/>
    </w:rPr>
  </w:style>
  <w:style w:type="character" w:customStyle="1" w:styleId="60">
    <w:name w:val="标题 9 字符"/>
    <w:basedOn w:val="42"/>
    <w:link w:val="10"/>
    <w:qFormat/>
    <w:uiPriority w:val="0"/>
    <w:rPr>
      <w:rFonts w:ascii="Cambria" w:hAnsi="Cambria" w:cs="宋体"/>
    </w:rPr>
  </w:style>
  <w:style w:type="character" w:customStyle="1" w:styleId="61">
    <w:name w:val="标题 5 字符"/>
    <w:basedOn w:val="42"/>
    <w:link w:val="6"/>
    <w:qFormat/>
    <w:uiPriority w:val="0"/>
    <w:rPr>
      <w:rFonts w:ascii="宋体" w:hAnsi="宋体" w:cs="宋体"/>
      <w:b/>
      <w:bCs/>
      <w:sz w:val="28"/>
      <w:szCs w:val="28"/>
    </w:rPr>
  </w:style>
  <w:style w:type="character" w:customStyle="1" w:styleId="62">
    <w:name w:val="标题 3 字符"/>
    <w:basedOn w:val="42"/>
    <w:link w:val="5"/>
    <w:qFormat/>
    <w:uiPriority w:val="0"/>
    <w:rPr>
      <w:rFonts w:ascii="Times New Roman" w:hAnsi="Times New Roman" w:eastAsia="宋体"/>
      <w:b/>
      <w:kern w:val="2"/>
      <w:sz w:val="24"/>
      <w:szCs w:val="24"/>
    </w:rPr>
  </w:style>
  <w:style w:type="character" w:customStyle="1" w:styleId="63">
    <w:name w:val="标题 1 字符"/>
    <w:basedOn w:val="42"/>
    <w:link w:val="3"/>
    <w:qFormat/>
    <w:uiPriority w:val="0"/>
    <w:rPr>
      <w:rFonts w:ascii="Times New Roman" w:hAnsi="Times New Roman" w:eastAsia="宋体" w:cstheme="minorBidi"/>
      <w:b/>
      <w:kern w:val="44"/>
      <w:sz w:val="32"/>
      <w:szCs w:val="24"/>
    </w:rPr>
  </w:style>
  <w:style w:type="character" w:customStyle="1" w:styleId="64">
    <w:name w:val="标题 7 字符"/>
    <w:basedOn w:val="42"/>
    <w:link w:val="8"/>
    <w:qFormat/>
    <w:uiPriority w:val="0"/>
    <w:rPr>
      <w:rFonts w:ascii="宋体" w:hAnsi="宋体" w:cs="宋体"/>
      <w:b/>
      <w:bCs/>
      <w:sz w:val="24"/>
      <w:szCs w:val="24"/>
    </w:rPr>
  </w:style>
  <w:style w:type="table" w:customStyle="1" w:styleId="65">
    <w:name w:val="表格样式1"/>
    <w:basedOn w:val="36"/>
    <w:qFormat/>
    <w:uiPriority w:val="0"/>
    <w:pPr>
      <w:spacing w:line="240" w:lineRule="exact"/>
      <w:jc w:val="center"/>
    </w:pPr>
    <w:rPr>
      <w:sz w:val="21"/>
    </w:rPr>
    <w:tcPr>
      <w:shd w:val="clear" w:color="auto" w:fill="auto"/>
      <w:vAlign w:val="center"/>
    </w:tcPr>
    <w:tblStylePr w:type="firstRow">
      <w:tcPr>
        <w:tcBorders>
          <w:top w:val="nil"/>
          <w:left w:val="nil"/>
          <w:bottom w:val="single" w:color="008000" w:sz="6" w:space="0"/>
          <w:right w:val="nil"/>
          <w:insideH w:val="nil"/>
          <w:insideV w:val="nil"/>
          <w:tl2br w:val="nil"/>
          <w:tr2bl w:val="nil"/>
        </w:tcBorders>
        <w:shd w:val="clear" w:color="auto" w:fill="auto"/>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66">
    <w:name w:val="列表型 41"/>
    <w:basedOn w:val="3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67">
    <w:name w:val="浅色底纹1"/>
    <w:basedOn w:val="33"/>
    <w:qFormat/>
    <w:uiPriority w:val="0"/>
    <w:rPr>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68">
    <w:name w:val="111"/>
    <w:basedOn w:val="33"/>
    <w:qFormat/>
    <w:uiPriority w:val="99"/>
    <w:pPr>
      <w:adjustRightInd w:val="0"/>
      <w:snapToGrid w:val="0"/>
      <w:jc w:val="center"/>
    </w:pPr>
    <w:rPr>
      <w:rFonts w:eastAsia="仿宋_GB2312"/>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style>
  <w:style w:type="paragraph" w:customStyle="1" w:styleId="69">
    <w:name w:val="正文格式"/>
    <w:basedOn w:val="1"/>
    <w:qFormat/>
    <w:uiPriority w:val="0"/>
    <w:pPr>
      <w:jc w:val="left"/>
    </w:pPr>
  </w:style>
  <w:style w:type="paragraph" w:customStyle="1" w:styleId="70">
    <w:name w:val="表头"/>
    <w:basedOn w:val="1"/>
    <w:link w:val="71"/>
    <w:qFormat/>
    <w:uiPriority w:val="0"/>
    <w:pPr>
      <w:spacing w:line="240" w:lineRule="auto"/>
      <w:ind w:firstLine="0" w:firstLineChars="0"/>
      <w:jc w:val="center"/>
    </w:pPr>
    <w:rPr>
      <w:rFonts w:eastAsia="黑体"/>
    </w:rPr>
  </w:style>
  <w:style w:type="character" w:customStyle="1" w:styleId="71">
    <w:name w:val="表头 Char"/>
    <w:link w:val="70"/>
    <w:qFormat/>
    <w:uiPriority w:val="0"/>
    <w:rPr>
      <w:rFonts w:eastAsia="黑体"/>
    </w:rPr>
  </w:style>
  <w:style w:type="paragraph" w:customStyle="1" w:styleId="72">
    <w:name w:val="标题2"/>
    <w:unhideWhenUsed/>
    <w:qFormat/>
    <w:uiPriority w:val="2"/>
    <w:pPr>
      <w:outlineLvl w:val="2"/>
    </w:pPr>
    <w:rPr>
      <w:rFonts w:asciiTheme="minorHAnsi" w:hAnsiTheme="minorHAnsi" w:eastAsiaTheme="minorEastAsia" w:cstheme="minorBidi"/>
      <w:kern w:val="2"/>
      <w:sz w:val="21"/>
      <w:szCs w:val="22"/>
      <w:lang w:val="en-US" w:eastAsia="zh-CN" w:bidi="ar-SA"/>
    </w:rPr>
  </w:style>
  <w:style w:type="paragraph" w:customStyle="1" w:styleId="73">
    <w:name w:val="1文章"/>
    <w:basedOn w:val="1"/>
    <w:qFormat/>
    <w:uiPriority w:val="0"/>
    <w:pPr>
      <w:snapToGrid w:val="0"/>
      <w:ind w:firstLine="573"/>
    </w:pPr>
    <w:rPr>
      <w:rFonts w:eastAsia="仿宋_GB2312"/>
      <w:sz w:val="28"/>
      <w:szCs w:val="20"/>
    </w:rPr>
  </w:style>
  <w:style w:type="paragraph" w:customStyle="1" w:styleId="74">
    <w:name w:val="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75">
    <w:name w:val="新正文"/>
    <w:basedOn w:val="1"/>
    <w:qFormat/>
    <w:uiPriority w:val="0"/>
    <w:pPr>
      <w:ind w:firstLine="480"/>
      <w:jc w:val="left"/>
    </w:pPr>
    <w:rPr>
      <w:color w:val="000000"/>
    </w:rPr>
  </w:style>
  <w:style w:type="paragraph" w:customStyle="1" w:styleId="76">
    <w:name w:val="表格1"/>
    <w:basedOn w:val="1"/>
    <w:qFormat/>
    <w:uiPriority w:val="99"/>
    <w:rPr>
      <w:szCs w:val="20"/>
    </w:rPr>
  </w:style>
  <w:style w:type="character" w:customStyle="1" w:styleId="77">
    <w:name w:val="font31"/>
    <w:basedOn w:val="42"/>
    <w:qFormat/>
    <w:uiPriority w:val="0"/>
    <w:rPr>
      <w:rFonts w:hint="default" w:ascii="Times New Roman" w:hAnsi="Times New Roman" w:cs="Times New Roman"/>
      <w:color w:val="000000"/>
      <w:sz w:val="20"/>
      <w:szCs w:val="20"/>
      <w:u w:val="none"/>
    </w:rPr>
  </w:style>
  <w:style w:type="paragraph" w:customStyle="1" w:styleId="78">
    <w:name w:val="正 文"/>
    <w:qFormat/>
    <w:uiPriority w:val="0"/>
    <w:pPr>
      <w:widowControl w:val="0"/>
      <w:spacing w:line="360" w:lineRule="auto"/>
      <w:ind w:firstLine="480" w:firstLineChars="200"/>
    </w:pPr>
    <w:rPr>
      <w:rFonts w:ascii="Times New Roman" w:hAnsi="Times New Roman" w:eastAsia="宋体" w:cs="宋体"/>
      <w:kern w:val="2"/>
      <w:sz w:val="24"/>
      <w:szCs w:val="24"/>
      <w:lang w:val="en-US" w:eastAsia="zh-CN" w:bidi="ar-SA"/>
    </w:rPr>
  </w:style>
  <w:style w:type="paragraph" w:customStyle="1" w:styleId="79">
    <w:name w:val="表格名称"/>
    <w:basedOn w:val="1"/>
    <w:next w:val="1"/>
    <w:qFormat/>
    <w:uiPriority w:val="0"/>
    <w:pPr>
      <w:widowControl/>
      <w:wordWrap w:val="0"/>
      <w:topLinePunct/>
      <w:ind w:firstLine="0" w:firstLineChars="0"/>
      <w:jc w:val="center"/>
    </w:pPr>
    <w:rPr>
      <w:b/>
      <w:snapToGrid w:val="0"/>
      <w:kern w:val="0"/>
      <w:lang w:val="eu-ES"/>
    </w:rPr>
  </w:style>
  <w:style w:type="paragraph" w:customStyle="1" w:styleId="80">
    <w:name w:val="注解文字"/>
    <w:basedOn w:val="1"/>
    <w:qFormat/>
    <w:uiPriority w:val="0"/>
    <w:pPr>
      <w:spacing w:line="240" w:lineRule="auto"/>
      <w:ind w:firstLine="480"/>
    </w:pPr>
    <w:rPr>
      <w:snapToGrid w:val="0"/>
      <w:kern w:val="0"/>
      <w:sz w:val="21"/>
      <w:szCs w:val="18"/>
      <w:lang w:val="eu-ES"/>
    </w:rPr>
  </w:style>
  <w:style w:type="paragraph" w:customStyle="1" w:styleId="81">
    <w:name w:val="样式 表格"/>
    <w:basedOn w:val="1"/>
    <w:qFormat/>
    <w:uiPriority w:val="0"/>
    <w:pPr>
      <w:spacing w:line="240" w:lineRule="atLeast"/>
      <w:jc w:val="center"/>
    </w:pPr>
    <w:rPr>
      <w:rFonts w:cs="宋体"/>
      <w:szCs w:val="20"/>
    </w:rPr>
  </w:style>
  <w:style w:type="character" w:customStyle="1" w:styleId="82">
    <w:name w:val="font21"/>
    <w:basedOn w:val="42"/>
    <w:qFormat/>
    <w:uiPriority w:val="0"/>
    <w:rPr>
      <w:rFonts w:hint="eastAsia" w:ascii="宋体" w:hAnsi="宋体" w:eastAsia="宋体" w:cs="宋体"/>
      <w:color w:val="FF0000"/>
      <w:sz w:val="21"/>
      <w:szCs w:val="21"/>
      <w:u w:val="none"/>
    </w:rPr>
  </w:style>
  <w:style w:type="character" w:customStyle="1" w:styleId="83">
    <w:name w:val="font11"/>
    <w:basedOn w:val="42"/>
    <w:qFormat/>
    <w:uiPriority w:val="0"/>
    <w:rPr>
      <w:rFonts w:hint="default" w:ascii="Times New Roman" w:hAnsi="Times New Roman" w:cs="Times New Roman"/>
      <w:color w:val="FF0000"/>
      <w:sz w:val="21"/>
      <w:szCs w:val="21"/>
      <w:u w:val="none"/>
    </w:rPr>
  </w:style>
  <w:style w:type="paragraph" w:customStyle="1" w:styleId="84">
    <w:name w:val="Body text|1"/>
    <w:basedOn w:val="1"/>
    <w:qFormat/>
    <w:uiPriority w:val="0"/>
    <w:pPr>
      <w:spacing w:after="420" w:line="425" w:lineRule="auto"/>
    </w:pPr>
    <w:rPr>
      <w:rFonts w:ascii="宋体" w:hAnsi="宋体" w:cs="宋体"/>
      <w:sz w:val="22"/>
      <w:szCs w:val="22"/>
      <w:lang w:val="zh-TW" w:eastAsia="zh-TW" w:bidi="zh-TW"/>
    </w:rPr>
  </w:style>
  <w:style w:type="paragraph" w:customStyle="1" w:styleId="85">
    <w:name w:val="Other|1"/>
    <w:basedOn w:val="1"/>
    <w:qFormat/>
    <w:uiPriority w:val="0"/>
    <w:rPr>
      <w:rFonts w:ascii="宋体" w:hAnsi="宋体" w:cs="宋体"/>
      <w:sz w:val="16"/>
      <w:szCs w:val="16"/>
      <w:lang w:val="zh-TW" w:eastAsia="zh-TW" w:bidi="zh-TW"/>
    </w:rPr>
  </w:style>
  <w:style w:type="paragraph" w:customStyle="1" w:styleId="86">
    <w:name w:val="Table caption|1"/>
    <w:basedOn w:val="1"/>
    <w:qFormat/>
    <w:uiPriority w:val="0"/>
    <w:pPr>
      <w:spacing w:after="90"/>
      <w:ind w:firstLine="240"/>
    </w:pPr>
    <w:rPr>
      <w:rFonts w:ascii="宋体" w:hAnsi="宋体" w:cs="宋体"/>
      <w:sz w:val="22"/>
      <w:szCs w:val="22"/>
      <w:lang w:val="zh-TW" w:eastAsia="zh-TW" w:bidi="zh-TW"/>
    </w:rPr>
  </w:style>
  <w:style w:type="paragraph" w:customStyle="1" w:styleId="87">
    <w:name w:val="Header or footer|1"/>
    <w:basedOn w:val="1"/>
    <w:qFormat/>
    <w:uiPriority w:val="0"/>
    <w:rPr>
      <w:rFonts w:ascii="宋体" w:hAnsi="宋体" w:cs="宋体"/>
      <w:sz w:val="22"/>
      <w:szCs w:val="22"/>
      <w:lang w:val="zh-TW" w:eastAsia="zh-TW" w:bidi="zh-TW"/>
    </w:rPr>
  </w:style>
  <w:style w:type="paragraph" w:customStyle="1" w:styleId="88">
    <w:name w:val="样式 小四 行距: 1.5 倍行距"/>
    <w:basedOn w:val="1"/>
    <w:qFormat/>
    <w:uiPriority w:val="0"/>
    <w:pPr>
      <w:ind w:firstLine="480"/>
    </w:pPr>
    <w:rPr>
      <w:rFonts w:cs="宋体"/>
    </w:rPr>
  </w:style>
  <w:style w:type="paragraph" w:customStyle="1" w:styleId="89">
    <w:name w:val="样式 纯文本纯文本 Char Char普通文字 Char + (符号) 宋体 小四"/>
    <w:basedOn w:val="18"/>
    <w:qFormat/>
    <w:uiPriority w:val="0"/>
    <w:pPr>
      <w:adjustRightInd w:val="0"/>
      <w:snapToGrid w:val="0"/>
      <w:ind w:firstLine="200" w:firstLineChars="200"/>
    </w:pPr>
    <w:rPr>
      <w:rFonts w:ascii="Times New Roman" w:hAnsi="Times New Roman"/>
    </w:rPr>
  </w:style>
  <w:style w:type="character" w:customStyle="1" w:styleId="90">
    <w:name w:val="样式 正文01 + Times New Roman Char"/>
    <w:link w:val="91"/>
    <w:qFormat/>
    <w:uiPriority w:val="0"/>
    <w:rPr>
      <w:sz w:val="24"/>
    </w:rPr>
  </w:style>
  <w:style w:type="paragraph" w:customStyle="1" w:styleId="91">
    <w:name w:val="样式 正文01 + Times New Roman"/>
    <w:basedOn w:val="1"/>
    <w:link w:val="90"/>
    <w:qFormat/>
    <w:uiPriority w:val="0"/>
    <w:pPr>
      <w:adjustRightInd w:val="0"/>
      <w:spacing w:line="520" w:lineRule="exact"/>
      <w:ind w:firstLine="514" w:firstLineChars="214"/>
      <w:textAlignment w:val="baseline"/>
    </w:pPr>
  </w:style>
  <w:style w:type="paragraph" w:customStyle="1" w:styleId="92">
    <w:name w:val="表文"/>
    <w:basedOn w:val="1"/>
    <w:qFormat/>
    <w:uiPriority w:val="99"/>
    <w:pPr>
      <w:framePr w:hSpace="180" w:wrap="around" w:vAnchor="text" w:hAnchor="margin" w:x="396" w:y="30"/>
      <w:jc w:val="center"/>
    </w:pPr>
    <w:rPr>
      <w:rFonts w:ascii="宋体" w:hAnsi="宋体"/>
      <w:szCs w:val="21"/>
    </w:rPr>
  </w:style>
  <w:style w:type="character" w:customStyle="1" w:styleId="93">
    <w:name w:val="文档结构图 字符"/>
    <w:basedOn w:val="42"/>
    <w:link w:val="14"/>
    <w:qFormat/>
    <w:uiPriority w:val="0"/>
    <w:rPr>
      <w:rFonts w:ascii="宋体" w:cstheme="minorBidi"/>
      <w:kern w:val="2"/>
      <w:sz w:val="18"/>
      <w:szCs w:val="18"/>
    </w:rPr>
  </w:style>
  <w:style w:type="character" w:customStyle="1" w:styleId="94">
    <w:name w:val="批注框文本 字符"/>
    <w:basedOn w:val="42"/>
    <w:link w:val="20"/>
    <w:qFormat/>
    <w:uiPriority w:val="0"/>
    <w:rPr>
      <w:rFonts w:cstheme="minorBidi"/>
      <w:kern w:val="2"/>
      <w:sz w:val="18"/>
      <w:szCs w:val="18"/>
    </w:rPr>
  </w:style>
  <w:style w:type="character" w:customStyle="1" w:styleId="95">
    <w:name w:val="正文文本 字符"/>
    <w:basedOn w:val="42"/>
    <w:link w:val="16"/>
    <w:qFormat/>
    <w:uiPriority w:val="0"/>
    <w:rPr>
      <w:kern w:val="2"/>
      <w:sz w:val="21"/>
      <w:szCs w:val="24"/>
    </w:rPr>
  </w:style>
  <w:style w:type="paragraph" w:styleId="96">
    <w:name w:val="List Paragraph"/>
    <w:basedOn w:val="1"/>
    <w:qFormat/>
    <w:uiPriority w:val="1"/>
    <w:pPr>
      <w:ind w:left="1722" w:hanging="602"/>
    </w:pPr>
    <w:rPr>
      <w:rFonts w:ascii="宋体" w:hAnsi="宋体" w:cs="宋体"/>
      <w:lang w:val="zh-CN" w:bidi="zh-CN"/>
    </w:rPr>
  </w:style>
  <w:style w:type="paragraph" w:customStyle="1" w:styleId="97">
    <w:name w:val="标题 41"/>
    <w:basedOn w:val="1"/>
    <w:next w:val="1"/>
    <w:qFormat/>
    <w:uiPriority w:val="0"/>
    <w:pPr>
      <w:keepNext/>
      <w:keepLines/>
      <w:spacing w:before="280" w:after="290" w:line="376" w:lineRule="auto"/>
      <w:outlineLvl w:val="3"/>
    </w:pPr>
    <w:rPr>
      <w:rFonts w:ascii="Arial" w:hAnsi="Arial" w:eastAsia="黑体" w:cs="Times New Roman"/>
      <w:b/>
      <w:bCs/>
      <w:sz w:val="28"/>
      <w:szCs w:val="28"/>
    </w:rPr>
  </w:style>
  <w:style w:type="paragraph" w:customStyle="1" w:styleId="98">
    <w:name w:val="Table Text"/>
    <w:basedOn w:val="1"/>
    <w:semiHidden/>
    <w:qFormat/>
    <w:uiPriority w:val="0"/>
    <w:rPr>
      <w:rFonts w:ascii="宋体" w:hAnsi="宋体" w:cs="宋体"/>
      <w:lang w:eastAsia="en-US"/>
    </w:rPr>
  </w:style>
  <w:style w:type="character" w:customStyle="1" w:styleId="99">
    <w:name w:val="font61"/>
    <w:basedOn w:val="42"/>
    <w:qFormat/>
    <w:uiPriority w:val="0"/>
    <w:rPr>
      <w:rFonts w:hint="default" w:ascii="Times New Roman" w:hAnsi="Times New Roman" w:cs="Times New Roman"/>
      <w:b/>
      <w:bCs/>
      <w:color w:val="000000"/>
      <w:sz w:val="21"/>
      <w:szCs w:val="21"/>
      <w:u w:val="none"/>
    </w:rPr>
  </w:style>
  <w:style w:type="character" w:customStyle="1" w:styleId="100">
    <w:name w:val="font51"/>
    <w:basedOn w:val="42"/>
    <w:qFormat/>
    <w:uiPriority w:val="0"/>
    <w:rPr>
      <w:rFonts w:hint="default" w:ascii="Times New Roman" w:hAnsi="Times New Roman" w:cs="Times New Roman"/>
      <w:color w:val="000000"/>
      <w:sz w:val="21"/>
      <w:szCs w:val="21"/>
      <w:u w:val="none"/>
    </w:rPr>
  </w:style>
  <w:style w:type="character" w:customStyle="1" w:styleId="101">
    <w:name w:val="font41"/>
    <w:basedOn w:val="42"/>
    <w:qFormat/>
    <w:uiPriority w:val="0"/>
    <w:rPr>
      <w:rFonts w:hint="eastAsia" w:ascii="宋体" w:hAnsi="宋体" w:eastAsia="宋体" w:cs="宋体"/>
      <w:color w:val="000000"/>
      <w:sz w:val="21"/>
      <w:szCs w:val="21"/>
      <w:u w:val="none"/>
    </w:rPr>
  </w:style>
  <w:style w:type="character" w:customStyle="1" w:styleId="102">
    <w:name w:val="font71"/>
    <w:basedOn w:val="42"/>
    <w:qFormat/>
    <w:uiPriority w:val="0"/>
    <w:rPr>
      <w:rFonts w:hint="default" w:ascii="Times New Roman" w:hAnsi="Times New Roman" w:cs="Times New Roman"/>
      <w:color w:val="000000"/>
      <w:sz w:val="21"/>
      <w:szCs w:val="21"/>
      <w:u w:val="none"/>
      <w:vertAlign w:val="subscript"/>
    </w:rPr>
  </w:style>
  <w:style w:type="paragraph" w:customStyle="1" w:styleId="103">
    <w:name w:val="表格"/>
    <w:basedOn w:val="12"/>
    <w:next w:val="27"/>
    <w:qFormat/>
    <w:uiPriority w:val="0"/>
    <w:pPr>
      <w:adjustRightInd w:val="0"/>
      <w:snapToGrid w:val="0"/>
      <w:spacing w:beforeLines="10" w:afterLines="10" w:line="259" w:lineRule="auto"/>
      <w:jc w:val="center"/>
    </w:pPr>
    <w:rPr>
      <w:rFonts w:ascii="宋体"/>
      <w:kern w:val="0"/>
      <w:szCs w:val="20"/>
    </w:rPr>
  </w:style>
  <w:style w:type="paragraph" w:customStyle="1" w:styleId="104">
    <w:name w:val="表中文字"/>
    <w:next w:val="1"/>
    <w:qFormat/>
    <w:uiPriority w:val="0"/>
    <w:pPr>
      <w:widowControl w:val="0"/>
      <w:jc w:val="center"/>
    </w:pPr>
    <w:rPr>
      <w:rFonts w:ascii="Times New Roman" w:hAnsi="Times New Roman" w:eastAsia="宋体" w:cstheme="minorBidi"/>
      <w:color w:val="000000"/>
      <w:kern w:val="2"/>
      <w:sz w:val="21"/>
      <w:szCs w:val="24"/>
      <w:lang w:val="en-US" w:eastAsia="zh-CN" w:bidi="ar-SA"/>
    </w:rPr>
  </w:style>
  <w:style w:type="paragraph" w:customStyle="1" w:styleId="105">
    <w:name w:val="图表后空行"/>
    <w:next w:val="1"/>
    <w:qFormat/>
    <w:uiPriority w:val="0"/>
    <w:pPr>
      <w:ind w:firstLine="200"/>
    </w:pPr>
    <w:rPr>
      <w:rFonts w:ascii="Times New Roman" w:hAnsi="Times New Roman" w:eastAsia="宋体" w:cstheme="minorBidi"/>
      <w:kern w:val="2"/>
      <w:sz w:val="18"/>
      <w:szCs w:val="24"/>
      <w:lang w:val="en-US" w:eastAsia="zh-CN" w:bidi="ar-SA"/>
    </w:rPr>
  </w:style>
  <w:style w:type="paragraph" w:customStyle="1" w:styleId="106">
    <w:name w:val="表格文字邓"/>
    <w:basedOn w:val="1"/>
    <w:qFormat/>
    <w:uiPriority w:val="0"/>
    <w:pPr>
      <w:snapToGrid w:val="0"/>
      <w:jc w:val="center"/>
    </w:pPr>
    <w:rPr>
      <w:rFonts w:ascii="宋体" w:hAnsi="宋体" w:cs="Times New Roman"/>
      <w:snapToGrid w:val="0"/>
      <w:color w:val="000000"/>
      <w:sz w:val="18"/>
      <w:szCs w:val="21"/>
    </w:rPr>
  </w:style>
  <w:style w:type="paragraph" w:customStyle="1" w:styleId="107">
    <w:name w:val="WPSOffice手动目录 1"/>
    <w:qFormat/>
    <w:uiPriority w:val="0"/>
    <w:rPr>
      <w:rFonts w:ascii="Times New Roman" w:hAnsi="Times New Roman" w:eastAsia="宋体" w:cs="Times New Roman"/>
      <w:lang w:val="en-US" w:eastAsia="zh-CN" w:bidi="ug-CN"/>
    </w:rPr>
  </w:style>
  <w:style w:type="paragraph" w:customStyle="1" w:styleId="108">
    <w:name w:val="WPSOffice手动目录 2"/>
    <w:qFormat/>
    <w:uiPriority w:val="0"/>
    <w:pPr>
      <w:ind w:left="200" w:leftChars="200"/>
    </w:pPr>
    <w:rPr>
      <w:rFonts w:ascii="Times New Roman" w:hAnsi="Times New Roman" w:eastAsia="宋体" w:cs="Times New Roman"/>
      <w:lang w:val="en-US" w:eastAsia="zh-CN" w:bidi="ug-CN"/>
    </w:rPr>
  </w:style>
  <w:style w:type="character" w:customStyle="1" w:styleId="109">
    <w:name w:val="批注文字 字符"/>
    <w:basedOn w:val="42"/>
    <w:link w:val="15"/>
    <w:qFormat/>
    <w:uiPriority w:val="0"/>
    <w:rPr>
      <w:sz w:val="24"/>
      <w:szCs w:val="24"/>
      <w:lang w:bidi="ar-SA"/>
    </w:rPr>
  </w:style>
  <w:style w:type="character" w:customStyle="1" w:styleId="110">
    <w:name w:val="批注主题 字符"/>
    <w:basedOn w:val="109"/>
    <w:link w:val="30"/>
    <w:qFormat/>
    <w:uiPriority w:val="0"/>
    <w:rPr>
      <w:b/>
      <w:bCs/>
      <w:sz w:val="24"/>
      <w:szCs w:val="24"/>
      <w:lang w:bidi="ar-SA"/>
    </w:rPr>
  </w:style>
  <w:style w:type="paragraph" w:customStyle="1" w:styleId="111">
    <w:name w:val="B图表标题"/>
    <w:basedOn w:val="112"/>
    <w:next w:val="19"/>
    <w:qFormat/>
    <w:uiPriority w:val="0"/>
    <w:pPr>
      <w:spacing w:before="120" w:line="240" w:lineRule="auto"/>
    </w:pPr>
    <w:rPr>
      <w:rFonts w:eastAsia="宋体"/>
      <w:b/>
      <w:sz w:val="24"/>
    </w:rPr>
  </w:style>
  <w:style w:type="paragraph" w:customStyle="1" w:styleId="112">
    <w:name w:val="图表名"/>
    <w:basedOn w:val="1"/>
    <w:qFormat/>
    <w:uiPriority w:val="0"/>
    <w:pPr>
      <w:adjustRightInd w:val="0"/>
      <w:snapToGrid w:val="0"/>
      <w:spacing w:line="360" w:lineRule="auto"/>
      <w:jc w:val="center"/>
    </w:pPr>
    <w:rPr>
      <w:rFonts w:eastAsia="黑体"/>
      <w:snapToGrid w:val="0"/>
      <w:color w:val="000000"/>
      <w:kern w:val="0"/>
      <w:sz w:val="28"/>
      <w:szCs w:val="28"/>
    </w:rPr>
  </w:style>
  <w:style w:type="character" w:customStyle="1" w:styleId="113">
    <w:name w:val="font81"/>
    <w:basedOn w:val="42"/>
    <w:qFormat/>
    <w:uiPriority w:val="0"/>
    <w:rPr>
      <w:rFonts w:hint="default" w:ascii="Arial" w:hAnsi="Arial" w:cs="Arial"/>
      <w:color w:val="000000"/>
      <w:sz w:val="13"/>
      <w:szCs w:val="13"/>
      <w:u w:val="none"/>
    </w:rPr>
  </w:style>
  <w:style w:type="paragraph" w:customStyle="1" w:styleId="114">
    <w:name w:val="表3.2-"/>
    <w:basedOn w:val="1"/>
    <w:qFormat/>
    <w:uiPriority w:val="0"/>
    <w:pPr>
      <w:numPr>
        <w:ilvl w:val="0"/>
        <w:numId w:val="2"/>
      </w:numPr>
      <w:spacing w:line="240" w:lineRule="auto"/>
      <w:ind w:firstLine="0" w:firstLineChars="0"/>
      <w:jc w:val="center"/>
    </w:pPr>
    <w:rPr>
      <w:rFonts w:ascii="Times New Roman" w:hAnsi="Times New Roman"/>
      <w:b/>
      <w:color w:val="000000"/>
    </w:rPr>
  </w:style>
  <w:style w:type="paragraph" w:customStyle="1" w:styleId="115">
    <w:name w:val="表格内格式"/>
    <w:basedOn w:val="1"/>
    <w:qFormat/>
    <w:uiPriority w:val="0"/>
    <w:pPr>
      <w:spacing w:line="240" w:lineRule="auto"/>
      <w:ind w:firstLine="0" w:firstLineChars="0"/>
      <w:jc w:val="center"/>
    </w:pPr>
    <w:rPr>
      <w:rFonts w:ascii="Times New Roman" w:hAnsi="Times New Roman"/>
      <w:color w:val="000000"/>
      <w:sz w:val="21"/>
      <w:szCs w:val="21"/>
    </w:rPr>
  </w:style>
  <w:style w:type="paragraph" w:customStyle="1" w:styleId="116">
    <w:name w:val="表格内"/>
    <w:basedOn w:val="1"/>
    <w:qFormat/>
    <w:uiPriority w:val="0"/>
    <w:pPr>
      <w:adjustRightInd w:val="0"/>
      <w:snapToGrid w:val="0"/>
      <w:spacing w:line="360" w:lineRule="exact"/>
      <w:jc w:val="center"/>
    </w:pPr>
    <w:rPr>
      <w:rFonts w:eastAsia="Times New Roman"/>
      <w:snapToGrid w:val="0"/>
      <w:kern w:val="0"/>
      <w:sz w:val="21"/>
      <w:szCs w:val="21"/>
      <w:lang w:val="zh-CN"/>
    </w:rPr>
  </w:style>
  <w:style w:type="paragraph" w:customStyle="1" w:styleId="117">
    <w:name w:val="后正文"/>
    <w:basedOn w:val="1"/>
    <w:qFormat/>
    <w:uiPriority w:val="0"/>
    <w:pPr>
      <w:adjustRightInd w:val="0"/>
      <w:ind w:firstLine="420"/>
      <w:jc w:val="left"/>
    </w:pPr>
    <w:rPr>
      <w:rFonts w:ascii="宋体" w:hAnsi="宋体" w:cs="宋体"/>
    </w:rPr>
  </w:style>
  <w:style w:type="paragraph" w:customStyle="1" w:styleId="118">
    <w:name w:val="标题 31"/>
    <w:basedOn w:val="1"/>
    <w:next w:val="1"/>
    <w:qFormat/>
    <w:uiPriority w:val="0"/>
    <w:pPr>
      <w:keepNext/>
      <w:keepLines/>
      <w:spacing w:before="260" w:beforeLines="0" w:after="260" w:afterLines="0" w:line="416" w:lineRule="auto"/>
      <w:outlineLvl w:val="2"/>
    </w:pPr>
    <w:rPr>
      <w:rFonts w:ascii="Times New Roman" w:hAnsi="Times New Roman" w:eastAsia="宋体" w:cs="Times New Roman"/>
      <w:b/>
      <w:bCs/>
      <w:sz w:val="32"/>
      <w:szCs w:val="32"/>
    </w:rPr>
  </w:style>
  <w:style w:type="paragraph" w:customStyle="1" w:styleId="119">
    <w:name w:val="表格2"/>
    <w:qFormat/>
    <w:uiPriority w:val="0"/>
    <w:pPr>
      <w:spacing w:line="400" w:lineRule="exact"/>
      <w:jc w:val="center"/>
    </w:pPr>
    <w:rPr>
      <w:rFonts w:ascii="Times New Roman" w:hAnsi="Times New Roman" w:eastAsia="宋体" w:cs="Times New Roman"/>
      <w:sz w:val="21"/>
      <w:szCs w:val="22"/>
      <w:lang w:val="en-US" w:eastAsia="zh-CN" w:bidi="ar-SA"/>
    </w:rPr>
  </w:style>
  <w:style w:type="paragraph" w:customStyle="1" w:styleId="120">
    <w:name w:val="图"/>
    <w:basedOn w:val="121"/>
    <w:qFormat/>
    <w:uiPriority w:val="0"/>
  </w:style>
  <w:style w:type="paragraph" w:customStyle="1" w:styleId="121">
    <w:name w:val="表格内部-LYJ"/>
    <w:basedOn w:val="1"/>
    <w:qFormat/>
    <w:uiPriority w:val="0"/>
    <w:pPr>
      <w:snapToGrid/>
      <w:spacing w:line="240" w:lineRule="auto"/>
      <w:ind w:firstLine="0" w:firstLineChars="0"/>
      <w:jc w:val="center"/>
    </w:pPr>
    <w:rPr>
      <w:rFonts w:cs="Times New Roman"/>
      <w:kern w:val="24"/>
      <w:sz w:val="21"/>
      <w:szCs w:val="18"/>
    </w:rPr>
  </w:style>
  <w:style w:type="paragraph" w:customStyle="1" w:styleId="122">
    <w:name w:val="无间隔1"/>
    <w:basedOn w:val="25"/>
    <w:next w:val="1"/>
    <w:qFormat/>
    <w:uiPriority w:val="1"/>
    <w:rPr>
      <w:rFonts w:eastAsiaTheme="majorEastAsia"/>
    </w:rPr>
  </w:style>
  <w:style w:type="paragraph" w:customStyle="1" w:styleId="123">
    <w:name w:val="图注"/>
    <w:basedOn w:val="1"/>
    <w:autoRedefine/>
    <w:qFormat/>
    <w:uiPriority w:val="0"/>
    <w:pPr>
      <w:spacing w:after="50" w:afterLines="50" w:line="240" w:lineRule="auto"/>
      <w:ind w:firstLine="0" w:firstLineChars="0"/>
      <w:jc w:val="center"/>
    </w:pPr>
    <w:rPr>
      <w:rFonts w:hint="eastAsia"/>
      <w:b/>
      <w:bCs/>
      <w:sz w:val="21"/>
      <w:szCs w:val="21"/>
    </w:rPr>
  </w:style>
  <w:style w:type="paragraph" w:customStyle="1" w:styleId="124">
    <w:name w:val="表后空格"/>
    <w:basedOn w:val="125"/>
    <w:qFormat/>
    <w:uiPriority w:val="0"/>
    <w:pPr>
      <w:spacing w:line="240" w:lineRule="exact"/>
      <w:ind w:firstLine="480"/>
    </w:pPr>
  </w:style>
  <w:style w:type="paragraph" w:customStyle="1" w:styleId="125">
    <w:name w:val="正文 楷体"/>
    <w:basedOn w:val="1"/>
    <w:qFormat/>
    <w:uiPriority w:val="0"/>
    <w:pPr>
      <w:widowControl/>
      <w:spacing w:line="500" w:lineRule="exact"/>
      <w:ind w:firstLine="200"/>
      <w:jc w:val="left"/>
    </w:pPr>
    <w:rPr>
      <w:rFonts w:ascii="楷体_GB2312" w:hAnsi="楷体_GB2312" w:eastAsia="楷体_GB2312" w:cs="宋体"/>
      <w:kern w:val="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8" Type="http://schemas.openxmlformats.org/officeDocument/2006/relationships/fontTable" Target="fontTable.xml"/><Relationship Id="rId67" Type="http://schemas.openxmlformats.org/officeDocument/2006/relationships/customXml" Target="../customXml/item2.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38.jpeg"/><Relationship Id="rId63" Type="http://schemas.openxmlformats.org/officeDocument/2006/relationships/image" Target="media/image37.jpeg"/><Relationship Id="rId62" Type="http://schemas.openxmlformats.org/officeDocument/2006/relationships/image" Target="media/image36.jpeg"/><Relationship Id="rId61" Type="http://schemas.openxmlformats.org/officeDocument/2006/relationships/image" Target="media/image35.jpeg"/><Relationship Id="rId60" Type="http://schemas.openxmlformats.org/officeDocument/2006/relationships/image" Target="media/image34.jpeg"/><Relationship Id="rId6" Type="http://schemas.openxmlformats.org/officeDocument/2006/relationships/header" Target="header2.xml"/><Relationship Id="rId59" Type="http://schemas.openxmlformats.org/officeDocument/2006/relationships/image" Target="media/image33.jpeg"/><Relationship Id="rId58" Type="http://schemas.openxmlformats.org/officeDocument/2006/relationships/image" Target="media/image32.jpeg"/><Relationship Id="rId57" Type="http://schemas.openxmlformats.org/officeDocument/2006/relationships/image" Target="media/image31.jpeg"/><Relationship Id="rId56" Type="http://schemas.openxmlformats.org/officeDocument/2006/relationships/image" Target="media/image30.jpeg"/><Relationship Id="rId55" Type="http://schemas.openxmlformats.org/officeDocument/2006/relationships/image" Target="media/image29.png"/><Relationship Id="rId54" Type="http://schemas.openxmlformats.org/officeDocument/2006/relationships/image" Target="media/image28.png"/><Relationship Id="rId53" Type="http://schemas.openxmlformats.org/officeDocument/2006/relationships/image" Target="media/image27.png"/><Relationship Id="rId52" Type="http://schemas.openxmlformats.org/officeDocument/2006/relationships/image" Target="media/image26.png"/><Relationship Id="rId51" Type="http://schemas.openxmlformats.org/officeDocument/2006/relationships/image" Target="media/image25.jpeg"/><Relationship Id="rId50" Type="http://schemas.openxmlformats.org/officeDocument/2006/relationships/image" Target="media/image24.jpeg"/><Relationship Id="rId5" Type="http://schemas.openxmlformats.org/officeDocument/2006/relationships/header" Target="header1.xml"/><Relationship Id="rId49" Type="http://schemas.openxmlformats.org/officeDocument/2006/relationships/image" Target="media/image23.jpeg"/><Relationship Id="rId48" Type="http://schemas.openxmlformats.org/officeDocument/2006/relationships/image" Target="media/image22.jpeg"/><Relationship Id="rId47" Type="http://schemas.openxmlformats.org/officeDocument/2006/relationships/image" Target="media/image21.png"/><Relationship Id="rId46" Type="http://schemas.openxmlformats.org/officeDocument/2006/relationships/image" Target="media/image20.jpe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png"/><Relationship Id="rId42" Type="http://schemas.openxmlformats.org/officeDocument/2006/relationships/image" Target="media/image16.png"/><Relationship Id="rId41" Type="http://schemas.openxmlformats.org/officeDocument/2006/relationships/image" Target="media/image15.png"/><Relationship Id="rId40" Type="http://schemas.openxmlformats.org/officeDocument/2006/relationships/image" Target="media/image14.png"/><Relationship Id="rId4" Type="http://schemas.openxmlformats.org/officeDocument/2006/relationships/endnotes" Target="endnotes.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wmf"/><Relationship Id="rId34" Type="http://schemas.openxmlformats.org/officeDocument/2006/relationships/image" Target="media/image8.png"/><Relationship Id="rId33" Type="http://schemas.openxmlformats.org/officeDocument/2006/relationships/oleObject" Target="embeddings/oleObject2.bin"/><Relationship Id="rId32" Type="http://schemas.openxmlformats.org/officeDocument/2006/relationships/image" Target="media/image7.wmf"/><Relationship Id="rId31" Type="http://schemas.openxmlformats.org/officeDocument/2006/relationships/oleObject" Target="embeddings/oleObject1.bin"/><Relationship Id="rId30" Type="http://schemas.openxmlformats.org/officeDocument/2006/relationships/image" Target="media/image6.png"/><Relationship Id="rId3" Type="http://schemas.openxmlformats.org/officeDocument/2006/relationships/footnotes" Target="footnotes.xml"/><Relationship Id="rId29" Type="http://schemas.openxmlformats.org/officeDocument/2006/relationships/image" Target="media/image5.jpe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6.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5.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267"/>
    <customShpInfo spid="_x0000_s126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0F6B8A-A86B-4866-872B-297179ADF4F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205</Pages>
  <Words>128895</Words>
  <Characters>148934</Characters>
  <Lines>876</Lines>
  <Paragraphs>246</Paragraphs>
  <TotalTime>30</TotalTime>
  <ScaleCrop>false</ScaleCrop>
  <LinksUpToDate>false</LinksUpToDate>
  <CharactersWithSpaces>149095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2018-12-26T08:33:00Z</dcterms:created>
  <dc:creator>Administrator</dc:creator>
  <cp:lastModifiedBy>赵--</cp:lastModifiedBy>
  <cp:lastPrinted>2017-06-16T07:27:00Z</cp:lastPrinted>
  <dcterms:modified xsi:type="dcterms:W3CDTF">2024-07-05T03:28:53Z</dcterms:modified>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29BF940DEA9D4E6AA4AFED23E5762C66_13</vt:lpwstr>
  </property>
</Properties>
</file>