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61" w:lineRule="auto"/>
        <w:rPr>
          <w:rFonts w:hint="default" w:ascii="Times New Roman" w:hAnsi="Times New Roman" w:cs="Times New Roman"/>
          <w:sz w:val="21"/>
        </w:rPr>
      </w:pPr>
    </w:p>
    <w:p>
      <w:pPr>
        <w:spacing w:line="261" w:lineRule="auto"/>
        <w:rPr>
          <w:rFonts w:hint="default" w:ascii="Times New Roman" w:hAnsi="Times New Roman" w:cs="Times New Roman"/>
          <w:sz w:val="21"/>
        </w:rPr>
      </w:pPr>
    </w:p>
    <w:p>
      <w:pPr>
        <w:spacing w:line="261" w:lineRule="auto"/>
        <w:rPr>
          <w:rFonts w:hint="default" w:ascii="Times New Roman" w:hAnsi="Times New Roman" w:cs="Times New Roman"/>
          <w:sz w:val="21"/>
        </w:rPr>
      </w:pPr>
    </w:p>
    <w:p>
      <w:pPr>
        <w:spacing w:line="261" w:lineRule="auto"/>
        <w:rPr>
          <w:rFonts w:hint="default" w:ascii="Times New Roman" w:hAnsi="Times New Roman" w:cs="Times New Roman"/>
          <w:sz w:val="21"/>
        </w:rPr>
      </w:pPr>
    </w:p>
    <w:p>
      <w:pPr>
        <w:spacing w:line="261" w:lineRule="auto"/>
        <w:rPr>
          <w:rFonts w:hint="default" w:ascii="Times New Roman" w:hAnsi="Times New Roman" w:cs="Times New Roman"/>
          <w:sz w:val="21"/>
        </w:rPr>
      </w:pPr>
    </w:p>
    <w:p>
      <w:pPr>
        <w:spacing w:line="262" w:lineRule="auto"/>
        <w:rPr>
          <w:rFonts w:hint="default" w:ascii="Times New Roman" w:hAnsi="Times New Roman" w:cs="Times New Roman"/>
          <w:sz w:val="21"/>
        </w:rPr>
      </w:pPr>
    </w:p>
    <w:p>
      <w:pPr>
        <w:spacing w:line="262" w:lineRule="auto"/>
        <w:rPr>
          <w:rFonts w:hint="default" w:ascii="Times New Roman" w:hAnsi="Times New Roman" w:cs="Times New Roman"/>
          <w:sz w:val="21"/>
        </w:rPr>
      </w:pPr>
    </w:p>
    <w:p>
      <w:pPr>
        <w:spacing w:line="262" w:lineRule="auto"/>
        <w:rPr>
          <w:rFonts w:hint="default" w:ascii="Times New Roman" w:hAnsi="Times New Roman" w:cs="Times New Roman"/>
          <w:sz w:val="21"/>
        </w:rPr>
      </w:pPr>
    </w:p>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outlineLvl w:val="2"/>
        <w:rPr>
          <w:rFonts w:hint="default" w:ascii="Times New Roman" w:hAnsi="Times New Roman" w:eastAsia="宋体" w:cs="Times New Roman"/>
          <w:b/>
          <w:bCs/>
          <w:sz w:val="72"/>
          <w:szCs w:val="72"/>
        </w:rPr>
      </w:pPr>
      <w:r>
        <w:rPr>
          <w:rFonts w:hint="default" w:ascii="微软雅黑" w:hAnsi="微软雅黑" w:eastAsia="微软雅黑" w:cs="微软雅黑"/>
          <w:spacing w:val="8"/>
          <w:sz w:val="71"/>
          <w:szCs w:val="71"/>
        </w:rPr>
        <w:t>建设项目环境影响报告表</w:t>
      </w:r>
    </w:p>
    <w:p>
      <w:pPr>
        <w:spacing w:before="325" w:line="227" w:lineRule="auto"/>
        <w:ind w:left="2541"/>
        <w:rPr>
          <w:rFonts w:hint="default" w:ascii="Times New Roman" w:hAnsi="Times New Roman" w:eastAsia="楷体" w:cs="Times New Roman"/>
          <w:sz w:val="47"/>
          <w:szCs w:val="47"/>
        </w:rPr>
      </w:pPr>
      <w:r>
        <w:rPr>
          <w:rFonts w:hint="default" w:ascii="Times New Roman" w:hAnsi="Times New Roman" w:eastAsia="楷体" w:cs="Times New Roman"/>
          <w:spacing w:val="35"/>
          <w:sz w:val="47"/>
          <w:szCs w:val="47"/>
        </w:rPr>
        <w:t>(</w:t>
      </w:r>
      <w:r>
        <w:rPr>
          <w:rFonts w:hint="default" w:ascii="Times New Roman" w:hAnsi="Times New Roman" w:eastAsia="楷体" w:cs="Times New Roman"/>
          <w:spacing w:val="34"/>
          <w:sz w:val="47"/>
          <w:szCs w:val="47"/>
        </w:rPr>
        <w:t>生态影响类)</w:t>
      </w:r>
    </w:p>
    <w:p>
      <w:pPr>
        <w:spacing w:line="252" w:lineRule="auto"/>
        <w:rPr>
          <w:rFonts w:hint="default" w:ascii="Times New Roman" w:hAnsi="Times New Roman" w:cs="Times New Roman"/>
          <w:sz w:val="21"/>
        </w:rPr>
      </w:pPr>
    </w:p>
    <w:p>
      <w:pPr>
        <w:spacing w:line="252" w:lineRule="auto"/>
        <w:rPr>
          <w:rFonts w:hint="default" w:ascii="Times New Roman" w:hAnsi="Times New Roman" w:cs="Times New Roman"/>
          <w:sz w:val="21"/>
        </w:rPr>
      </w:pPr>
    </w:p>
    <w:p>
      <w:pPr>
        <w:spacing w:line="252" w:lineRule="auto"/>
        <w:rPr>
          <w:rFonts w:hint="default" w:ascii="Times New Roman" w:hAnsi="Times New Roman" w:cs="Times New Roman"/>
          <w:sz w:val="21"/>
        </w:rPr>
      </w:pPr>
    </w:p>
    <w:p>
      <w:pPr>
        <w:spacing w:line="252" w:lineRule="auto"/>
        <w:rPr>
          <w:rFonts w:hint="default" w:ascii="Times New Roman" w:hAnsi="Times New Roman" w:cs="Times New Roman"/>
          <w:sz w:val="21"/>
        </w:rPr>
      </w:pPr>
    </w:p>
    <w:p>
      <w:pPr>
        <w:spacing w:line="252" w:lineRule="auto"/>
        <w:rPr>
          <w:rFonts w:hint="default" w:ascii="Times New Roman" w:hAnsi="Times New Roman" w:cs="Times New Roman"/>
          <w:sz w:val="21"/>
        </w:rPr>
      </w:pPr>
    </w:p>
    <w:p>
      <w:pPr>
        <w:spacing w:line="252" w:lineRule="auto"/>
        <w:rPr>
          <w:rFonts w:hint="default" w:ascii="Times New Roman" w:hAnsi="Times New Roman" w:cs="Times New Roman"/>
          <w:sz w:val="21"/>
        </w:rPr>
      </w:pPr>
    </w:p>
    <w:p>
      <w:pPr>
        <w:spacing w:line="252" w:lineRule="auto"/>
        <w:rPr>
          <w:rFonts w:hint="default" w:ascii="Times New Roman" w:hAnsi="Times New Roman" w:cs="Times New Roman"/>
          <w:sz w:val="21"/>
        </w:rPr>
      </w:pPr>
    </w:p>
    <w:p>
      <w:pPr>
        <w:spacing w:line="253" w:lineRule="auto"/>
        <w:rPr>
          <w:rFonts w:hint="default" w:ascii="Times New Roman" w:hAnsi="Times New Roman" w:cs="Times New Roman"/>
          <w:sz w:val="21"/>
        </w:rPr>
      </w:pPr>
    </w:p>
    <w:p>
      <w:pPr>
        <w:spacing w:line="253" w:lineRule="auto"/>
        <w:rPr>
          <w:rFonts w:hint="default" w:ascii="Times New Roman" w:hAnsi="Times New Roman" w:cs="Times New Roman"/>
          <w:sz w:val="21"/>
        </w:rPr>
      </w:pPr>
    </w:p>
    <w:p>
      <w:pPr>
        <w:spacing w:line="253" w:lineRule="auto"/>
        <w:rPr>
          <w:rFonts w:hint="default" w:ascii="Times New Roman" w:hAnsi="Times New Roman" w:cs="Times New Roman"/>
          <w:sz w:val="21"/>
        </w:rPr>
      </w:pPr>
    </w:p>
    <w:p>
      <w:pPr>
        <w:spacing w:line="253" w:lineRule="auto"/>
        <w:rPr>
          <w:rFonts w:hint="default" w:ascii="Times New Roman" w:hAnsi="Times New Roman" w:cs="Times New Roman"/>
          <w:sz w:val="21"/>
        </w:rPr>
      </w:pPr>
    </w:p>
    <w:p>
      <w:pPr>
        <w:spacing w:line="253" w:lineRule="auto"/>
        <w:rPr>
          <w:rFonts w:hint="default" w:ascii="Times New Roman" w:hAnsi="Times New Roman" w:cs="Times New Roman"/>
          <w:sz w:val="21"/>
        </w:rPr>
      </w:pPr>
    </w:p>
    <w:p>
      <w:pPr>
        <w:spacing w:line="253" w:lineRule="auto"/>
        <w:rPr>
          <w:rFonts w:hint="default" w:ascii="Times New Roman" w:hAnsi="Times New Roman" w:cs="Times New Roman"/>
          <w:sz w:val="21"/>
        </w:rPr>
      </w:pPr>
    </w:p>
    <w:p>
      <w:pPr>
        <w:spacing w:before="114" w:line="296" w:lineRule="auto"/>
        <w:ind w:left="1538" w:leftChars="266" w:right="1145" w:hanging="900" w:hangingChars="300"/>
        <w:rPr>
          <w:rFonts w:hint="default" w:ascii="Times New Roman" w:hAnsi="Times New Roman" w:eastAsia="仿宋" w:cs="Times New Roman"/>
          <w:sz w:val="32"/>
          <w:szCs w:val="32"/>
        </w:rPr>
      </w:pPr>
      <w:r>
        <w:rPr>
          <w:rFonts w:hint="default" w:ascii="Times New Roman" w:hAnsi="Times New Roman" w:eastAsia="仿宋" w:cs="Times New Roman"/>
          <w:spacing w:val="-10"/>
          <w:sz w:val="32"/>
          <w:szCs w:val="32"/>
        </w:rPr>
        <w:t>项目名称</w:t>
      </w:r>
      <w:r>
        <w:rPr>
          <w:rFonts w:hint="default" w:ascii="Times New Roman" w:hAnsi="Times New Roman" w:eastAsia="仿宋" w:cs="Times New Roman"/>
          <w:spacing w:val="-6"/>
          <w:sz w:val="32"/>
          <w:szCs w:val="32"/>
        </w:rPr>
        <w:t>：</w:t>
      </w:r>
      <w:r>
        <w:rPr>
          <w:rFonts w:hint="eastAsia" w:eastAsia="仿宋" w:cs="Times New Roman"/>
          <w:spacing w:val="-5"/>
          <w:sz w:val="32"/>
          <w:szCs w:val="32"/>
          <w:u w:val="single" w:color="auto"/>
          <w:lang w:val="en-US" w:eastAsia="zh-CN"/>
        </w:rPr>
        <w:t xml:space="preserve">       </w:t>
      </w:r>
      <w:r>
        <w:rPr>
          <w:rFonts w:hint="eastAsia" w:ascii="Times New Roman" w:hAnsi="Times New Roman" w:eastAsia="仿宋" w:cs="Times New Roman"/>
          <w:spacing w:val="-5"/>
          <w:sz w:val="32"/>
          <w:szCs w:val="32"/>
          <w:u w:val="single" w:color="auto"/>
          <w:lang w:eastAsia="zh-CN"/>
        </w:rPr>
        <w:t>萨5平台钻试工程</w:t>
      </w:r>
      <w:r>
        <w:rPr>
          <w:rFonts w:hint="eastAsia" w:eastAsia="仿宋" w:cs="Times New Roman"/>
          <w:spacing w:val="-5"/>
          <w:sz w:val="32"/>
          <w:szCs w:val="32"/>
          <w:u w:val="single" w:color="auto"/>
          <w:lang w:val="en-US" w:eastAsia="zh-CN"/>
        </w:rPr>
        <w:t xml:space="preserve">      </w:t>
      </w:r>
    </w:p>
    <w:p>
      <w:pPr>
        <w:spacing w:before="114" w:line="296" w:lineRule="auto"/>
        <w:ind w:left="2934" w:leftChars="266" w:right="1145" w:hanging="2296" w:hangingChars="700"/>
        <w:rPr>
          <w:rFonts w:hint="default" w:ascii="Times New Roman" w:hAnsi="Times New Roman" w:eastAsia="仿宋" w:cs="Times New Roman"/>
          <w:sz w:val="32"/>
          <w:szCs w:val="32"/>
          <w:lang w:val="en-US"/>
        </w:rPr>
      </w:pPr>
      <w:r>
        <w:rPr>
          <w:rFonts w:hint="default" w:ascii="Times New Roman" w:hAnsi="Times New Roman" w:eastAsia="仿宋" w:cs="Times New Roman"/>
          <w:spacing w:val="4"/>
          <w:sz w:val="32"/>
          <w:szCs w:val="32"/>
        </w:rPr>
        <w:t>建设单</w:t>
      </w:r>
      <w:r>
        <w:rPr>
          <w:rFonts w:hint="default" w:ascii="Times New Roman" w:hAnsi="Times New Roman" w:eastAsia="仿宋" w:cs="Times New Roman"/>
          <w:spacing w:val="3"/>
          <w:sz w:val="32"/>
          <w:szCs w:val="32"/>
        </w:rPr>
        <w:t>位</w:t>
      </w:r>
      <w:r>
        <w:rPr>
          <w:rFonts w:hint="default" w:ascii="Times New Roman" w:hAnsi="Times New Roman" w:eastAsia="仿宋" w:cs="Times New Roman"/>
          <w:spacing w:val="2"/>
          <w:sz w:val="32"/>
          <w:szCs w:val="32"/>
        </w:rPr>
        <w:t>(盖章)：</w:t>
      </w:r>
      <w:r>
        <w:rPr>
          <w:rFonts w:hint="eastAsia" w:ascii="Times New Roman" w:hAnsi="Times New Roman" w:eastAsia="仿宋" w:cs="Times New Roman"/>
          <w:sz w:val="32"/>
          <w:szCs w:val="32"/>
          <w:u w:val="single" w:color="auto"/>
          <w:lang w:eastAsia="zh-CN"/>
        </w:rPr>
        <w:t>中国石油天然气股份有限公司吐哈油田</w:t>
      </w:r>
      <w:r>
        <w:rPr>
          <w:rFonts w:hint="eastAsia" w:eastAsia="仿宋" w:cs="Times New Roman"/>
          <w:sz w:val="32"/>
          <w:szCs w:val="32"/>
          <w:u w:val="single" w:color="auto"/>
          <w:lang w:val="en-US" w:eastAsia="zh-CN"/>
        </w:rPr>
        <w:t>分</w:t>
      </w:r>
      <w:r>
        <w:rPr>
          <w:rFonts w:hint="eastAsia" w:ascii="Times New Roman" w:hAnsi="Times New Roman" w:eastAsia="仿宋" w:cs="Times New Roman"/>
          <w:sz w:val="32"/>
          <w:szCs w:val="32"/>
          <w:u w:val="single" w:color="auto"/>
          <w:lang w:eastAsia="zh-CN"/>
        </w:rPr>
        <w:t>公司准东采油管理区</w:t>
      </w:r>
    </w:p>
    <w:p>
      <w:pPr>
        <w:spacing w:before="1" w:line="226" w:lineRule="auto"/>
        <w:ind w:firstLine="656" w:firstLineChars="200"/>
        <w:rPr>
          <w:rFonts w:hint="default" w:ascii="Times New Roman" w:hAnsi="Times New Roman" w:eastAsia="仿宋" w:cs="Times New Roman"/>
          <w:sz w:val="32"/>
          <w:szCs w:val="32"/>
        </w:rPr>
      </w:pPr>
      <w:r>
        <w:rPr>
          <w:rFonts w:hint="default" w:ascii="Times New Roman" w:hAnsi="Times New Roman" w:eastAsia="仿宋" w:cs="Times New Roman"/>
          <w:spacing w:val="4"/>
          <w:sz w:val="32"/>
          <w:szCs w:val="32"/>
        </w:rPr>
        <w:t>编</w:t>
      </w:r>
      <w:r>
        <w:rPr>
          <w:rFonts w:hint="default" w:ascii="Times New Roman" w:hAnsi="Times New Roman" w:eastAsia="仿宋" w:cs="Times New Roman"/>
          <w:spacing w:val="3"/>
          <w:sz w:val="32"/>
          <w:szCs w:val="32"/>
        </w:rPr>
        <w:t>制</w:t>
      </w:r>
      <w:r>
        <w:rPr>
          <w:rFonts w:hint="default" w:ascii="Times New Roman" w:hAnsi="Times New Roman" w:eastAsia="仿宋" w:cs="Times New Roman"/>
          <w:spacing w:val="2"/>
          <w:sz w:val="32"/>
          <w:szCs w:val="32"/>
        </w:rPr>
        <w:t>日期：</w:t>
      </w:r>
      <w:r>
        <w:rPr>
          <w:rFonts w:hint="default" w:ascii="Times New Roman" w:hAnsi="Times New Roman" w:eastAsia="仿宋" w:cs="Times New Roman"/>
          <w:sz w:val="32"/>
          <w:szCs w:val="32"/>
          <w:u w:val="single" w:color="auto"/>
        </w:rPr>
        <w:t xml:space="preserve">   </w:t>
      </w:r>
      <w:r>
        <w:rPr>
          <w:rFonts w:hint="eastAsia" w:eastAsia="仿宋" w:cs="Times New Roman"/>
          <w:sz w:val="32"/>
          <w:szCs w:val="32"/>
          <w:u w:val="single" w:color="auto"/>
          <w:lang w:val="en-US" w:eastAsia="zh-CN"/>
        </w:rPr>
        <w:t xml:space="preserve">      </w:t>
      </w:r>
      <w:r>
        <w:rPr>
          <w:rFonts w:hint="default" w:ascii="Times New Roman" w:hAnsi="Times New Roman" w:eastAsia="仿宋" w:cs="Times New Roman"/>
          <w:sz w:val="32"/>
          <w:szCs w:val="32"/>
          <w:u w:val="single" w:color="auto"/>
        </w:rPr>
        <w:t xml:space="preserve"> </w:t>
      </w:r>
      <w:r>
        <w:rPr>
          <w:rFonts w:hint="eastAsia" w:eastAsia="仿宋" w:cs="Times New Roman"/>
          <w:sz w:val="32"/>
          <w:szCs w:val="32"/>
          <w:u w:val="single" w:color="auto"/>
          <w:lang w:val="en-US" w:eastAsia="zh-CN"/>
        </w:rPr>
        <w:t>2024年1月</w:t>
      </w:r>
      <w:r>
        <w:rPr>
          <w:rFonts w:hint="default" w:ascii="Times New Roman" w:hAnsi="Times New Roman" w:eastAsia="仿宋" w:cs="Times New Roman"/>
          <w:sz w:val="32"/>
          <w:szCs w:val="32"/>
          <w:u w:val="single" w:color="auto"/>
        </w:rPr>
        <w:t xml:space="preserve">  </w:t>
      </w:r>
      <w:r>
        <w:rPr>
          <w:rFonts w:hint="eastAsia" w:eastAsia="仿宋" w:cs="Times New Roman"/>
          <w:sz w:val="32"/>
          <w:szCs w:val="32"/>
          <w:u w:val="single" w:color="auto"/>
          <w:lang w:val="en-US" w:eastAsia="zh-CN"/>
        </w:rPr>
        <w:t xml:space="preserve">  </w:t>
      </w:r>
      <w:r>
        <w:rPr>
          <w:rFonts w:hint="default" w:ascii="Times New Roman" w:hAnsi="Times New Roman" w:eastAsia="仿宋" w:cs="Times New Roman"/>
          <w:sz w:val="32"/>
          <w:szCs w:val="32"/>
          <w:u w:val="single" w:color="auto"/>
        </w:rPr>
        <w:t xml:space="preserve">        </w:t>
      </w:r>
    </w:p>
    <w:p>
      <w:pPr>
        <w:spacing w:line="254" w:lineRule="auto"/>
        <w:rPr>
          <w:rFonts w:hint="default" w:ascii="Times New Roman" w:hAnsi="Times New Roman" w:cs="Times New Roman"/>
          <w:sz w:val="32"/>
          <w:szCs w:val="32"/>
        </w:rPr>
      </w:pPr>
    </w:p>
    <w:p>
      <w:pPr>
        <w:spacing w:line="254" w:lineRule="auto"/>
        <w:rPr>
          <w:rFonts w:hint="default" w:ascii="Times New Roman" w:hAnsi="Times New Roman" w:cs="Times New Roman"/>
          <w:sz w:val="21"/>
        </w:rPr>
      </w:pPr>
    </w:p>
    <w:p>
      <w:pPr>
        <w:spacing w:line="254" w:lineRule="auto"/>
        <w:rPr>
          <w:rFonts w:hint="default" w:ascii="Times New Roman" w:hAnsi="Times New Roman" w:cs="Times New Roman"/>
          <w:sz w:val="21"/>
        </w:rPr>
      </w:pPr>
    </w:p>
    <w:p>
      <w:pPr>
        <w:spacing w:line="254" w:lineRule="auto"/>
        <w:rPr>
          <w:rFonts w:hint="default" w:ascii="Times New Roman" w:hAnsi="Times New Roman" w:cs="Times New Roman"/>
          <w:sz w:val="21"/>
        </w:rPr>
      </w:pPr>
    </w:p>
    <w:p>
      <w:pPr>
        <w:spacing w:line="254" w:lineRule="auto"/>
        <w:rPr>
          <w:rFonts w:hint="default" w:ascii="Times New Roman" w:hAnsi="Times New Roman" w:cs="Times New Roman"/>
          <w:sz w:val="21"/>
        </w:rPr>
      </w:pPr>
    </w:p>
    <w:p>
      <w:pPr>
        <w:spacing w:line="254" w:lineRule="auto"/>
        <w:rPr>
          <w:rFonts w:hint="default" w:ascii="Times New Roman" w:hAnsi="Times New Roman" w:cs="Times New Roman"/>
          <w:sz w:val="21"/>
        </w:rPr>
      </w:pPr>
    </w:p>
    <w:p>
      <w:pPr>
        <w:spacing w:line="254" w:lineRule="auto"/>
        <w:rPr>
          <w:rFonts w:hint="default" w:ascii="Times New Roman" w:hAnsi="Times New Roman" w:cs="Times New Roman"/>
          <w:sz w:val="21"/>
        </w:rPr>
      </w:pPr>
    </w:p>
    <w:p>
      <w:pPr>
        <w:spacing w:line="255" w:lineRule="auto"/>
        <w:rPr>
          <w:rFonts w:hint="default" w:ascii="Times New Roman" w:hAnsi="Times New Roman" w:cs="Times New Roman"/>
          <w:sz w:val="21"/>
        </w:rPr>
      </w:pPr>
    </w:p>
    <w:p>
      <w:pPr>
        <w:spacing w:line="255" w:lineRule="auto"/>
        <w:rPr>
          <w:rFonts w:hint="default" w:ascii="Times New Roman" w:hAnsi="Times New Roman" w:cs="Times New Roman"/>
          <w:sz w:val="21"/>
        </w:rPr>
      </w:pPr>
    </w:p>
    <w:p>
      <w:pPr>
        <w:spacing w:line="255" w:lineRule="auto"/>
        <w:ind w:firstLine="420" w:firstLineChars="0"/>
        <w:rPr>
          <w:rFonts w:hint="default" w:ascii="Times New Roman" w:hAnsi="Times New Roman" w:cs="Times New Roman"/>
          <w:sz w:val="21"/>
        </w:rPr>
      </w:pPr>
    </w:p>
    <w:p>
      <w:pPr>
        <w:spacing w:line="255" w:lineRule="auto"/>
        <w:rPr>
          <w:rFonts w:hint="default" w:ascii="Times New Roman" w:hAnsi="Times New Roman" w:cs="Times New Roman"/>
          <w:sz w:val="21"/>
        </w:rPr>
      </w:pPr>
    </w:p>
    <w:p>
      <w:pPr>
        <w:spacing w:before="114" w:line="230" w:lineRule="auto"/>
        <w:ind w:left="1882"/>
        <w:rPr>
          <w:rFonts w:hint="default" w:ascii="Times New Roman" w:hAnsi="Times New Roman" w:eastAsia="楷体" w:cs="Times New Roman"/>
          <w:sz w:val="35"/>
          <w:szCs w:val="35"/>
        </w:rPr>
      </w:pPr>
      <w:r>
        <w:rPr>
          <w:rFonts w:hint="default" w:ascii="Times New Roman" w:hAnsi="Times New Roman" w:eastAsia="楷体" w:cs="Times New Roman"/>
          <w:spacing w:val="10"/>
          <w:sz w:val="35"/>
          <w:szCs w:val="35"/>
        </w:rPr>
        <w:t>中</w:t>
      </w:r>
      <w:r>
        <w:rPr>
          <w:rFonts w:hint="default" w:ascii="Times New Roman" w:hAnsi="Times New Roman" w:eastAsia="楷体" w:cs="Times New Roman"/>
          <w:spacing w:val="8"/>
          <w:sz w:val="35"/>
          <w:szCs w:val="35"/>
        </w:rPr>
        <w:t>华</w:t>
      </w:r>
      <w:r>
        <w:rPr>
          <w:rFonts w:hint="default" w:ascii="Times New Roman" w:hAnsi="Times New Roman" w:eastAsia="楷体" w:cs="Times New Roman"/>
          <w:spacing w:val="5"/>
          <w:sz w:val="35"/>
          <w:szCs w:val="35"/>
        </w:rPr>
        <w:t>人民共和国生态环境部制</w:t>
      </w:r>
    </w:p>
    <w:p>
      <w:pPr>
        <w:rPr>
          <w:rFonts w:hint="default" w:ascii="Times New Roman" w:hAnsi="Times New Roman" w:cs="Times New Roman"/>
        </w:rPr>
        <w:sectPr>
          <w:footerReference r:id="rId5" w:type="default"/>
          <w:pgSz w:w="11906" w:h="16839"/>
          <w:pgMar w:top="1431" w:right="1530" w:bottom="1186" w:left="1785" w:header="0" w:footer="916" w:gutter="0"/>
          <w:cols w:space="720" w:num="1"/>
        </w:sectPr>
      </w:pPr>
    </w:p>
    <w:p>
      <w:pPr>
        <w:pStyle w:val="3"/>
        <w:bidi w:val="0"/>
        <w:jc w:val="left"/>
        <w:rPr>
          <w:rFonts w:hint="default"/>
        </w:rPr>
      </w:pPr>
      <w:r>
        <w:rPr>
          <w:rFonts w:hint="default"/>
        </w:rPr>
        <w:t>一、建设项目基本情况</w:t>
      </w:r>
    </w:p>
    <w:tbl>
      <w:tblPr>
        <w:tblStyle w:val="1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4"/>
        <w:gridCol w:w="2517"/>
        <w:gridCol w:w="2216"/>
        <w:gridCol w:w="25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754"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建设项目名</w:t>
            </w:r>
            <w:r>
              <w:rPr>
                <w:rFonts w:hint="default" w:ascii="Times New Roman" w:hAnsi="Times New Roman" w:eastAsia="宋体" w:cs="Times New Roman"/>
                <w:color w:val="auto"/>
                <w:spacing w:val="7"/>
                <w:sz w:val="21"/>
                <w:szCs w:val="21"/>
              </w:rPr>
              <w:t>称</w:t>
            </w:r>
          </w:p>
        </w:tc>
        <w:tc>
          <w:tcPr>
            <w:tcW w:w="7289" w:type="dxa"/>
            <w:gridSpan w:val="3"/>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pacing w:val="8"/>
                <w:sz w:val="21"/>
                <w:szCs w:val="21"/>
                <w:lang w:eastAsia="zh-CN"/>
              </w:rPr>
              <w:t>萨5平台钻试工程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1754"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项</w:t>
            </w:r>
            <w:r>
              <w:rPr>
                <w:rFonts w:hint="default" w:ascii="Times New Roman" w:hAnsi="Times New Roman" w:eastAsia="宋体" w:cs="Times New Roman"/>
                <w:color w:val="auto"/>
                <w:spacing w:val="6"/>
                <w:sz w:val="21"/>
                <w:szCs w:val="21"/>
              </w:rPr>
              <w:t>目代码</w:t>
            </w:r>
          </w:p>
        </w:tc>
        <w:tc>
          <w:tcPr>
            <w:tcW w:w="7289" w:type="dxa"/>
            <w:gridSpan w:val="3"/>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1754"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sz w:val="21"/>
                <w:szCs w:val="21"/>
              </w:rPr>
              <w:t>建</w:t>
            </w:r>
            <w:r>
              <w:rPr>
                <w:rFonts w:hint="default" w:ascii="Times New Roman" w:hAnsi="Times New Roman" w:eastAsia="宋体" w:cs="Times New Roman"/>
                <w:color w:val="auto"/>
                <w:spacing w:val="8"/>
                <w:sz w:val="21"/>
                <w:szCs w:val="21"/>
              </w:rPr>
              <w:t>设单位联系人</w:t>
            </w:r>
          </w:p>
        </w:tc>
        <w:tc>
          <w:tcPr>
            <w:tcW w:w="2517"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2216"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联系方式</w:t>
            </w:r>
          </w:p>
        </w:tc>
        <w:tc>
          <w:tcPr>
            <w:tcW w:w="2556" w:type="dxa"/>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1159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1754"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建</w:t>
            </w:r>
            <w:r>
              <w:rPr>
                <w:rFonts w:hint="default" w:ascii="Times New Roman" w:hAnsi="Times New Roman" w:eastAsia="宋体" w:cs="Times New Roman"/>
                <w:color w:val="auto"/>
                <w:spacing w:val="6"/>
                <w:sz w:val="21"/>
                <w:szCs w:val="21"/>
              </w:rPr>
              <w:t>设地点</w:t>
            </w:r>
          </w:p>
        </w:tc>
        <w:tc>
          <w:tcPr>
            <w:tcW w:w="7289" w:type="dxa"/>
            <w:gridSpan w:val="3"/>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754"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地</w:t>
            </w:r>
            <w:r>
              <w:rPr>
                <w:rFonts w:hint="default" w:ascii="Times New Roman" w:hAnsi="Times New Roman" w:eastAsia="宋体" w:cs="Times New Roman"/>
                <w:color w:val="auto"/>
                <w:spacing w:val="7"/>
                <w:sz w:val="21"/>
                <w:szCs w:val="21"/>
              </w:rPr>
              <w:t>理坐标</w:t>
            </w:r>
          </w:p>
        </w:tc>
        <w:tc>
          <w:tcPr>
            <w:tcW w:w="7289" w:type="dxa"/>
            <w:gridSpan w:val="3"/>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lang w:val="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1754"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position w:val="4"/>
                <w:sz w:val="21"/>
                <w:szCs w:val="21"/>
              </w:rPr>
              <w:t>建</w:t>
            </w:r>
            <w:r>
              <w:rPr>
                <w:rFonts w:hint="default" w:ascii="Times New Roman" w:hAnsi="Times New Roman" w:eastAsia="宋体" w:cs="Times New Roman"/>
                <w:color w:val="auto"/>
                <w:spacing w:val="6"/>
                <w:position w:val="4"/>
                <w:sz w:val="21"/>
                <w:szCs w:val="21"/>
              </w:rPr>
              <w:t>设项目</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行</w:t>
            </w:r>
            <w:r>
              <w:rPr>
                <w:rFonts w:hint="default" w:ascii="Times New Roman" w:hAnsi="Times New Roman" w:eastAsia="宋体" w:cs="Times New Roman"/>
                <w:color w:val="auto"/>
                <w:spacing w:val="6"/>
                <w:sz w:val="21"/>
                <w:szCs w:val="21"/>
              </w:rPr>
              <w:t>业类别</w:t>
            </w:r>
          </w:p>
        </w:tc>
        <w:tc>
          <w:tcPr>
            <w:tcW w:w="2517"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position w:val="4"/>
                <w:sz w:val="21"/>
                <w:szCs w:val="21"/>
              </w:rPr>
              <w:t>四十六、专业技术服务业99陆地矿产资源地质勘查（含油气资源勘探</w:t>
            </w:r>
          </w:p>
        </w:tc>
        <w:tc>
          <w:tcPr>
            <w:tcW w:w="2216"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用</w:t>
            </w:r>
            <w:r>
              <w:rPr>
                <w:rFonts w:hint="default" w:ascii="Times New Roman" w:hAnsi="Times New Roman" w:eastAsia="宋体" w:cs="Times New Roman"/>
                <w:color w:val="auto"/>
                <w:sz w:val="21"/>
                <w:szCs w:val="21"/>
              </w:rPr>
              <w:t>地面积(m</w:t>
            </w:r>
            <w:r>
              <w:rPr>
                <w:rFonts w:hint="eastAsia" w:cs="Times New Roman"/>
                <w:color w:val="auto"/>
                <w:sz w:val="21"/>
                <w:szCs w:val="21"/>
                <w:vertAlign w:val="superscript"/>
                <w:lang w:val="en-US" w:eastAsia="zh-CN"/>
              </w:rPr>
              <w:t>2</w:t>
            </w:r>
            <w:r>
              <w:rPr>
                <w:rFonts w:hint="default" w:ascii="Times New Roman" w:hAnsi="Times New Roman" w:eastAsia="宋体" w:cs="Times New Roman"/>
                <w:color w:val="auto"/>
                <w:sz w:val="21"/>
                <w:szCs w:val="21"/>
              </w:rPr>
              <w:t>)</w:t>
            </w:r>
          </w:p>
        </w:tc>
        <w:tc>
          <w:tcPr>
            <w:tcW w:w="2556" w:type="dxa"/>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46702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9" w:hRule="atLeast"/>
        </w:trPr>
        <w:tc>
          <w:tcPr>
            <w:tcW w:w="1754"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建</w:t>
            </w:r>
            <w:r>
              <w:rPr>
                <w:rFonts w:hint="default" w:ascii="Times New Roman" w:hAnsi="Times New Roman" w:eastAsia="宋体" w:cs="Times New Roman"/>
                <w:color w:val="auto"/>
                <w:spacing w:val="6"/>
                <w:sz w:val="21"/>
                <w:szCs w:val="21"/>
              </w:rPr>
              <w:t>设性质</w:t>
            </w:r>
          </w:p>
        </w:tc>
        <w:tc>
          <w:tcPr>
            <w:tcW w:w="2517"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eastAsia" w:cs="Times New Roman"/>
                <w:color w:val="auto"/>
                <w:spacing w:val="4"/>
                <w:sz w:val="21"/>
                <w:szCs w:val="21"/>
                <w:lang w:eastAsia="zh-CN"/>
              </w:rPr>
              <w:t>☑</w:t>
            </w:r>
            <w:r>
              <w:rPr>
                <w:rFonts w:hint="default" w:ascii="Times New Roman" w:hAnsi="Times New Roman" w:eastAsia="宋体" w:cs="Times New Roman"/>
                <w:color w:val="auto"/>
                <w:spacing w:val="4"/>
                <w:sz w:val="21"/>
                <w:szCs w:val="21"/>
              </w:rPr>
              <w:t>新建(迁建</w:t>
            </w:r>
            <w:r>
              <w:rPr>
                <w:rFonts w:hint="default" w:ascii="Times New Roman" w:hAnsi="Times New Roman" w:eastAsia="宋体" w:cs="Times New Roman"/>
                <w:color w:val="auto"/>
                <w:spacing w:val="2"/>
                <w:sz w:val="21"/>
                <w:szCs w:val="21"/>
              </w:rPr>
              <w:t>)</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w:t>
            </w:r>
            <w:r>
              <w:rPr>
                <w:rFonts w:hint="default" w:ascii="Times New Roman" w:hAnsi="Times New Roman" w:eastAsia="宋体" w:cs="Times New Roman"/>
                <w:color w:val="auto"/>
                <w:sz w:val="21"/>
                <w:szCs w:val="21"/>
              </w:rPr>
              <w:t>改建</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w:t>
            </w:r>
            <w:r>
              <w:rPr>
                <w:rFonts w:hint="default" w:ascii="Times New Roman" w:hAnsi="Times New Roman" w:eastAsia="宋体" w:cs="Times New Roman"/>
                <w:color w:val="auto"/>
                <w:sz w:val="21"/>
                <w:szCs w:val="21"/>
              </w:rPr>
              <w:t>扩建</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□技术改</w:t>
            </w:r>
            <w:r>
              <w:rPr>
                <w:rFonts w:hint="default" w:ascii="Times New Roman" w:hAnsi="Times New Roman" w:eastAsia="宋体" w:cs="Times New Roman"/>
                <w:color w:val="auto"/>
                <w:spacing w:val="3"/>
                <w:sz w:val="21"/>
                <w:szCs w:val="21"/>
              </w:rPr>
              <w:t>造</w:t>
            </w:r>
          </w:p>
        </w:tc>
        <w:tc>
          <w:tcPr>
            <w:tcW w:w="2216"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position w:val="4"/>
                <w:sz w:val="21"/>
                <w:szCs w:val="21"/>
              </w:rPr>
              <w:t>建</w:t>
            </w:r>
            <w:r>
              <w:rPr>
                <w:rFonts w:hint="default" w:ascii="Times New Roman" w:hAnsi="Times New Roman" w:eastAsia="宋体" w:cs="Times New Roman"/>
                <w:color w:val="auto"/>
                <w:spacing w:val="6"/>
                <w:position w:val="4"/>
                <w:sz w:val="21"/>
                <w:szCs w:val="21"/>
              </w:rPr>
              <w:t>设项目</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申报</w:t>
            </w:r>
            <w:r>
              <w:rPr>
                <w:rFonts w:hint="default" w:ascii="Times New Roman" w:hAnsi="Times New Roman" w:eastAsia="宋体" w:cs="Times New Roman"/>
                <w:color w:val="auto"/>
                <w:sz w:val="21"/>
                <w:szCs w:val="21"/>
              </w:rPr>
              <w:t>情形</w:t>
            </w:r>
          </w:p>
        </w:tc>
        <w:tc>
          <w:tcPr>
            <w:tcW w:w="2556" w:type="dxa"/>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eastAsia" w:cs="Times New Roman"/>
                <w:color w:val="auto"/>
                <w:spacing w:val="7"/>
                <w:sz w:val="21"/>
                <w:szCs w:val="21"/>
                <w:lang w:eastAsia="zh-CN"/>
              </w:rPr>
              <w:t>☑</w:t>
            </w:r>
            <w:r>
              <w:rPr>
                <w:rFonts w:hint="default" w:ascii="Times New Roman" w:hAnsi="Times New Roman" w:eastAsia="宋体" w:cs="Times New Roman"/>
                <w:color w:val="auto"/>
                <w:spacing w:val="5"/>
                <w:sz w:val="21"/>
                <w:szCs w:val="21"/>
              </w:rPr>
              <w:t>首次申报项目</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1"/>
                <w:sz w:val="21"/>
                <w:szCs w:val="21"/>
              </w:rPr>
              <w:t>□</w:t>
            </w:r>
            <w:r>
              <w:rPr>
                <w:rFonts w:hint="default" w:ascii="Times New Roman" w:hAnsi="Times New Roman" w:eastAsia="宋体" w:cs="Times New Roman"/>
                <w:color w:val="auto"/>
                <w:spacing w:val="7"/>
                <w:sz w:val="21"/>
                <w:szCs w:val="21"/>
              </w:rPr>
              <w:t>不予批准后再次申报项目</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□超五年重新审核项</w:t>
            </w:r>
            <w:r>
              <w:rPr>
                <w:rFonts w:hint="default" w:ascii="Times New Roman" w:hAnsi="Times New Roman" w:eastAsia="宋体" w:cs="Times New Roman"/>
                <w:color w:val="auto"/>
                <w:spacing w:val="5"/>
                <w:sz w:val="21"/>
                <w:szCs w:val="21"/>
              </w:rPr>
              <w:t>目</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□重大变动重新报批项目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1754"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项</w:t>
            </w:r>
            <w:r>
              <w:rPr>
                <w:rFonts w:hint="default" w:ascii="Times New Roman" w:hAnsi="Times New Roman" w:eastAsia="宋体" w:cs="Times New Roman"/>
                <w:color w:val="auto"/>
                <w:spacing w:val="7"/>
                <w:sz w:val="21"/>
                <w:szCs w:val="21"/>
              </w:rPr>
              <w:t>目审批(核准/</w:t>
            </w:r>
            <w:r>
              <w:rPr>
                <w:rFonts w:hint="default" w:ascii="Times New Roman" w:hAnsi="Times New Roman" w:eastAsia="宋体" w:cs="Times New Roman"/>
                <w:color w:val="auto"/>
                <w:spacing w:val="9"/>
                <w:sz w:val="21"/>
                <w:szCs w:val="21"/>
              </w:rPr>
              <w:t>备</w:t>
            </w:r>
            <w:r>
              <w:rPr>
                <w:rFonts w:hint="default" w:ascii="Times New Roman" w:hAnsi="Times New Roman" w:eastAsia="宋体" w:cs="Times New Roman"/>
                <w:color w:val="auto"/>
                <w:spacing w:val="5"/>
                <w:sz w:val="21"/>
                <w:szCs w:val="21"/>
              </w:rPr>
              <w:t>案)部门(选填)</w:t>
            </w:r>
          </w:p>
        </w:tc>
        <w:tc>
          <w:tcPr>
            <w:tcW w:w="2517"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无</w:t>
            </w:r>
          </w:p>
        </w:tc>
        <w:tc>
          <w:tcPr>
            <w:tcW w:w="2216"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项</w:t>
            </w:r>
            <w:r>
              <w:rPr>
                <w:rFonts w:hint="default" w:ascii="Times New Roman" w:hAnsi="Times New Roman" w:eastAsia="宋体" w:cs="Times New Roman"/>
                <w:color w:val="auto"/>
                <w:spacing w:val="7"/>
                <w:sz w:val="21"/>
                <w:szCs w:val="21"/>
              </w:rPr>
              <w:t>目审批(核准/</w:t>
            </w:r>
            <w:r>
              <w:rPr>
                <w:rFonts w:hint="default" w:ascii="Times New Roman" w:hAnsi="Times New Roman" w:eastAsia="宋体" w:cs="Times New Roman"/>
                <w:color w:val="auto"/>
                <w:spacing w:val="9"/>
                <w:sz w:val="21"/>
                <w:szCs w:val="21"/>
              </w:rPr>
              <w:t>备</w:t>
            </w:r>
            <w:r>
              <w:rPr>
                <w:rFonts w:hint="default" w:ascii="Times New Roman" w:hAnsi="Times New Roman" w:eastAsia="宋体" w:cs="Times New Roman"/>
                <w:color w:val="auto"/>
                <w:spacing w:val="5"/>
                <w:sz w:val="21"/>
                <w:szCs w:val="21"/>
              </w:rPr>
              <w:t>案)文号(选填)</w:t>
            </w:r>
          </w:p>
        </w:tc>
        <w:tc>
          <w:tcPr>
            <w:tcW w:w="2556" w:type="dxa"/>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1754"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总投资(万元</w:t>
            </w:r>
            <w:r>
              <w:rPr>
                <w:rFonts w:hint="default" w:ascii="Times New Roman" w:hAnsi="Times New Roman" w:eastAsia="宋体" w:cs="Times New Roman"/>
                <w:color w:val="auto"/>
                <w:spacing w:val="5"/>
                <w:sz w:val="21"/>
                <w:szCs w:val="21"/>
              </w:rPr>
              <w:t>)</w:t>
            </w:r>
          </w:p>
        </w:tc>
        <w:tc>
          <w:tcPr>
            <w:tcW w:w="2517"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9096</w:t>
            </w:r>
          </w:p>
        </w:tc>
        <w:tc>
          <w:tcPr>
            <w:tcW w:w="2216"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2"/>
                <w:sz w:val="21"/>
                <w:szCs w:val="21"/>
              </w:rPr>
              <w:t>环</w:t>
            </w:r>
            <w:r>
              <w:rPr>
                <w:rFonts w:hint="default" w:ascii="Times New Roman" w:hAnsi="Times New Roman" w:eastAsia="宋体" w:cs="Times New Roman"/>
                <w:color w:val="auto"/>
                <w:spacing w:val="6"/>
                <w:sz w:val="21"/>
                <w:szCs w:val="21"/>
              </w:rPr>
              <w:t>保投资(万元)</w:t>
            </w:r>
          </w:p>
        </w:tc>
        <w:tc>
          <w:tcPr>
            <w:tcW w:w="2556" w:type="dxa"/>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754"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1"/>
                <w:sz w:val="21"/>
                <w:szCs w:val="21"/>
              </w:rPr>
              <w:t>环</w:t>
            </w:r>
            <w:r>
              <w:rPr>
                <w:rFonts w:hint="default" w:ascii="Times New Roman" w:hAnsi="Times New Roman" w:eastAsia="宋体" w:cs="Times New Roman"/>
                <w:color w:val="auto"/>
                <w:spacing w:val="6"/>
                <w:sz w:val="21"/>
                <w:szCs w:val="21"/>
              </w:rPr>
              <w:t>保投资占比(%)</w:t>
            </w:r>
          </w:p>
        </w:tc>
        <w:tc>
          <w:tcPr>
            <w:tcW w:w="2517"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2.6</w:t>
            </w:r>
          </w:p>
        </w:tc>
        <w:tc>
          <w:tcPr>
            <w:tcW w:w="2216"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施</w:t>
            </w:r>
            <w:r>
              <w:rPr>
                <w:rFonts w:hint="default" w:ascii="Times New Roman" w:hAnsi="Times New Roman" w:eastAsia="宋体" w:cs="Times New Roman"/>
                <w:color w:val="auto"/>
                <w:spacing w:val="7"/>
                <w:sz w:val="21"/>
                <w:szCs w:val="21"/>
              </w:rPr>
              <w:t>工工期</w:t>
            </w:r>
          </w:p>
        </w:tc>
        <w:tc>
          <w:tcPr>
            <w:tcW w:w="2556" w:type="dxa"/>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单井钻井期：</w:t>
            </w:r>
            <w:r>
              <w:rPr>
                <w:rFonts w:hint="eastAsia" w:cs="Times New Roman"/>
                <w:color w:val="auto"/>
                <w:sz w:val="24"/>
                <w:szCs w:val="24"/>
                <w:lang w:val="en-US" w:eastAsia="zh-CN"/>
              </w:rPr>
              <w:t>70</w:t>
            </w:r>
            <w:r>
              <w:rPr>
                <w:rFonts w:hint="default" w:ascii="Times New Roman" w:hAnsi="Times New Roman" w:eastAsia="宋体" w:cs="Times New Roman"/>
                <w:color w:val="auto"/>
                <w:sz w:val="24"/>
                <w:szCs w:val="24"/>
              </w:rPr>
              <w:t>d</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4"/>
                <w:szCs w:val="24"/>
              </w:rPr>
              <w:t>单井试油期：180d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2" w:hRule="atLeast"/>
        </w:trPr>
        <w:tc>
          <w:tcPr>
            <w:tcW w:w="1754"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1"/>
                <w:sz w:val="21"/>
                <w:szCs w:val="21"/>
              </w:rPr>
              <w:t>是</w:t>
            </w:r>
            <w:r>
              <w:rPr>
                <w:rFonts w:hint="default" w:ascii="Times New Roman" w:hAnsi="Times New Roman" w:eastAsia="宋体" w:cs="Times New Roman"/>
                <w:color w:val="auto"/>
                <w:spacing w:val="7"/>
                <w:sz w:val="21"/>
                <w:szCs w:val="21"/>
              </w:rPr>
              <w:t>否开工建设</w:t>
            </w:r>
          </w:p>
        </w:tc>
        <w:tc>
          <w:tcPr>
            <w:tcW w:w="7289" w:type="dxa"/>
            <w:gridSpan w:val="3"/>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left"/>
              <w:textAlignment w:val="baseline"/>
              <w:rPr>
                <w:rFonts w:hint="eastAsia" w:ascii="Times New Roman" w:hAnsi="Times New Roman" w:eastAsia="宋体" w:cs="Times New Roman"/>
                <w:color w:val="auto"/>
                <w:sz w:val="21"/>
                <w:szCs w:val="21"/>
                <w:lang w:eastAsia="zh-CN"/>
              </w:rPr>
            </w:pPr>
            <w:r>
              <w:rPr>
                <w:rFonts w:hint="eastAsia" w:cs="Times New Roman"/>
                <w:color w:val="auto"/>
                <w:spacing w:val="-6"/>
                <w:sz w:val="21"/>
                <w:szCs w:val="21"/>
                <w:lang w:eastAsia="zh-CN"/>
              </w:rPr>
              <w:t>☑</w:t>
            </w:r>
            <w:r>
              <w:rPr>
                <w:rFonts w:hint="default" w:ascii="Times New Roman" w:hAnsi="Times New Roman" w:eastAsia="宋体" w:cs="Times New Roman"/>
                <w:color w:val="auto"/>
                <w:spacing w:val="-4"/>
                <w:sz w:val="21"/>
                <w:szCs w:val="21"/>
              </w:rPr>
              <w:t>否</w:t>
            </w:r>
            <w:r>
              <w:rPr>
                <w:rFonts w:hint="eastAsia" w:ascii="Times New Roman" w:hAnsi="Times New Roman" w:eastAsia="宋体" w:cs="Times New Roman"/>
                <w:color w:val="auto"/>
                <w:spacing w:val="-4"/>
                <w:sz w:val="21"/>
                <w:szCs w:val="21"/>
                <w:lang w:eastAsia="zh-CN"/>
              </w:rPr>
              <w:t>：</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4"/>
                <w:sz w:val="21"/>
                <w:szCs w:val="21"/>
              </w:rPr>
              <w:t>□是：</w:t>
            </w:r>
            <w:r>
              <w:rPr>
                <w:rFonts w:hint="eastAsia" w:cs="Times New Roman"/>
                <w:color w:val="auto"/>
                <w:spacing w:val="-4"/>
                <w:sz w:val="21"/>
                <w:szCs w:val="21"/>
                <w:u w:val="single"/>
                <w:lang w:val="en-US" w:eastAsia="zh-CN"/>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1754"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2"/>
                <w:sz w:val="21"/>
                <w:szCs w:val="21"/>
              </w:rPr>
              <w:t>专</w:t>
            </w:r>
            <w:r>
              <w:rPr>
                <w:rFonts w:hint="default" w:ascii="Times New Roman" w:hAnsi="Times New Roman" w:eastAsia="宋体" w:cs="Times New Roman"/>
                <w:color w:val="auto"/>
                <w:spacing w:val="8"/>
                <w:sz w:val="21"/>
                <w:szCs w:val="21"/>
              </w:rPr>
              <w:t>项评价设置情况</w:t>
            </w:r>
          </w:p>
        </w:tc>
        <w:tc>
          <w:tcPr>
            <w:tcW w:w="7289" w:type="dxa"/>
            <w:gridSpan w:val="3"/>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1754"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规划情况</w:t>
            </w:r>
          </w:p>
        </w:tc>
        <w:tc>
          <w:tcPr>
            <w:tcW w:w="7289" w:type="dxa"/>
            <w:gridSpan w:val="3"/>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《新疆维吾尔自治区矿产资源总体规划（2021～2025年）》已于2022年8月28日在新疆维吾尔自治区人民政府</w:t>
            </w:r>
            <w:r>
              <w:rPr>
                <w:rFonts w:hint="eastAsia" w:ascii="Times New Roman" w:hAnsi="Times New Roman" w:eastAsia="宋体" w:cs="Times New Roman"/>
                <w:color w:val="auto"/>
                <w:sz w:val="21"/>
                <w:szCs w:val="21"/>
                <w:lang w:val="en-US" w:eastAsia="zh-CN"/>
              </w:rPr>
              <w:t>网</w:t>
            </w:r>
            <w:r>
              <w:rPr>
                <w:rFonts w:hint="default" w:ascii="Times New Roman" w:hAnsi="Times New Roman" w:eastAsia="宋体" w:cs="Times New Roman"/>
                <w:color w:val="auto"/>
                <w:sz w:val="21"/>
                <w:szCs w:val="21"/>
              </w:rPr>
              <w:t>发布，并通过了中华人民共和国自然资源部的审查，审批文号为自然资函〔2022〕1092号。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2" w:hRule="atLeast"/>
        </w:trPr>
        <w:tc>
          <w:tcPr>
            <w:tcW w:w="1754"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position w:val="4"/>
                <w:sz w:val="21"/>
                <w:szCs w:val="21"/>
              </w:rPr>
              <w:t>规划环境影响</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评</w:t>
            </w:r>
            <w:r>
              <w:rPr>
                <w:rFonts w:hint="default" w:ascii="Times New Roman" w:hAnsi="Times New Roman" w:eastAsia="宋体" w:cs="Times New Roman"/>
                <w:color w:val="auto"/>
                <w:spacing w:val="7"/>
                <w:sz w:val="21"/>
                <w:szCs w:val="21"/>
              </w:rPr>
              <w:t>价情况</w:t>
            </w:r>
          </w:p>
        </w:tc>
        <w:tc>
          <w:tcPr>
            <w:tcW w:w="7289" w:type="dxa"/>
            <w:gridSpan w:val="3"/>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《新疆维吾尔自治区矿产资源总体规划（2021～2025年）环境影响报告书》于2022年8月11日由中华人民共和国生态环境部通过审查，备案文号为环审〔2022〕124号。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7" w:hRule="atLeast"/>
        </w:trPr>
        <w:tc>
          <w:tcPr>
            <w:tcW w:w="1754"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sz w:val="21"/>
                <w:szCs w:val="21"/>
              </w:rPr>
              <w:t>规</w:t>
            </w:r>
            <w:r>
              <w:rPr>
                <w:rFonts w:hint="default" w:ascii="Times New Roman" w:hAnsi="Times New Roman" w:eastAsia="宋体" w:cs="Times New Roman"/>
                <w:color w:val="auto"/>
                <w:spacing w:val="9"/>
                <w:sz w:val="21"/>
                <w:szCs w:val="21"/>
              </w:rPr>
              <w:t>划及规划环境影响评</w:t>
            </w:r>
            <w:r>
              <w:rPr>
                <w:rFonts w:hint="default" w:ascii="Times New Roman" w:hAnsi="Times New Roman" w:eastAsia="宋体" w:cs="Times New Roman"/>
                <w:color w:val="auto"/>
                <w:spacing w:val="11"/>
                <w:sz w:val="21"/>
                <w:szCs w:val="21"/>
              </w:rPr>
              <w:t>价</w:t>
            </w:r>
            <w:r>
              <w:rPr>
                <w:rFonts w:hint="default" w:ascii="Times New Roman" w:hAnsi="Times New Roman" w:eastAsia="宋体" w:cs="Times New Roman"/>
                <w:color w:val="auto"/>
                <w:spacing w:val="8"/>
                <w:sz w:val="21"/>
                <w:szCs w:val="21"/>
              </w:rPr>
              <w:t>符合性分析</w:t>
            </w:r>
          </w:p>
        </w:tc>
        <w:tc>
          <w:tcPr>
            <w:tcW w:w="7289" w:type="dxa"/>
            <w:gridSpan w:val="3"/>
            <w:tcBorders>
              <w:right w:val="single" w:color="000000" w:sz="6" w:space="0"/>
            </w:tcBorders>
            <w:vAlign w:val="center"/>
          </w:tcPr>
          <w:p>
            <w:pPr>
              <w:pStyle w:val="4"/>
              <w:bidi w:val="0"/>
              <w:rPr>
                <w:rFonts w:hint="default"/>
                <w:color w:val="auto"/>
              </w:rPr>
            </w:pPr>
            <w:r>
              <w:rPr>
                <w:rFonts w:hint="default"/>
                <w:color w:val="auto"/>
              </w:rPr>
              <w:t>1、与《新疆维吾尔自治区矿产资源总体规划（2021-2025年）》相符性分析</w:t>
            </w:r>
          </w:p>
          <w:p>
            <w:pPr>
              <w:pStyle w:val="16"/>
              <w:bidi w:val="0"/>
              <w:rPr>
                <w:rFonts w:hint="default"/>
                <w:color w:val="auto"/>
              </w:rPr>
            </w:pPr>
            <w:r>
              <w:rPr>
                <w:rFonts w:hint="default"/>
                <w:color w:val="auto"/>
              </w:rPr>
              <w:t>中华人民共和国自然资源部以自然资函[2022]1092号文出具了《新疆维吾尔自治区矿产资源总体规划（2021-2025年）》的批复，2022年9月28日，新疆维吾尔自治区人民政府发布了《新疆维吾尔自治区矿产资源总体规划（2021-2025年）》。矿产资源勘查开发利用现状：截至2020年底，新疆共有探矿权2276个，采矿权2966个。勘查开发矿种以石油、天然气、煤、铁、锰、铜镍、铅锌、金、花岗岩（饰面用）、水泥用灰岩、建筑用砂等为主。2020年开采矿石总量6.8亿吨，采矿业及下游产业工业总产值5971亿元，约占全疆生产总值的43%。全区形成了准噶尔—塔里木—吐哈石油天然气、准东—吐哈—伊犁—库拜煤炭、新源—和静铁矿、阿克陶锰矿、哈密—富蕴—哈巴河铜镍矿、乌恰铅锌矿、伊宁—塔城—哈密金矿、罗布泊钾盐等一批矿业核心区，培育了一批具有较强经济实力和市场竞争力的矿业集团。</w:t>
            </w:r>
          </w:p>
          <w:p>
            <w:pPr>
              <w:pStyle w:val="16"/>
              <w:bidi w:val="0"/>
              <w:rPr>
                <w:rFonts w:hint="default"/>
                <w:color w:val="auto"/>
              </w:rPr>
            </w:pPr>
            <w:r>
              <w:rPr>
                <w:rFonts w:hint="eastAsia"/>
                <w:color w:val="auto"/>
                <w:lang w:val="en-US" w:eastAsia="zh-CN"/>
              </w:rPr>
              <w:t>项目属于自治区鼓励勘探开发的矿种和区块。</w:t>
            </w:r>
            <w:r>
              <w:rPr>
                <w:rFonts w:hint="default"/>
                <w:color w:val="auto"/>
              </w:rPr>
              <w:t>因此，本项目的建设符合《新疆维吾尔自治区矿产资源总体规划（2021-2025年）》的要求。</w:t>
            </w:r>
          </w:p>
          <w:p>
            <w:pPr>
              <w:pStyle w:val="4"/>
              <w:bidi w:val="0"/>
              <w:rPr>
                <w:rFonts w:hint="default"/>
                <w:color w:val="auto"/>
              </w:rPr>
            </w:pPr>
            <w:r>
              <w:rPr>
                <w:rFonts w:hint="default"/>
                <w:color w:val="auto"/>
              </w:rPr>
              <w:t>2、与《新疆维吾尔自治区矿产资源总体规划（2021-2025年）环境影响报告书》相符性分析</w:t>
            </w:r>
          </w:p>
          <w:p>
            <w:pPr>
              <w:pStyle w:val="16"/>
              <w:bidi w:val="0"/>
              <w:rPr>
                <w:rFonts w:hint="default"/>
                <w:color w:val="auto"/>
              </w:rPr>
            </w:pPr>
            <w:r>
              <w:rPr>
                <w:rFonts w:hint="default"/>
                <w:color w:val="auto"/>
              </w:rPr>
              <w:t>环准噶尔能源资源勘查开发区。行政区主要包括阿勒泰地区南部、昌吉州、塔城地区东部山前及沙漠腹地。区内重点加强准噶尔南缘、准东冲断带等地区石油、天然气勘查，提供3－5个油气远景区，圈定8－10个油气区块；加快玛湖、吉木萨尔、准噶尔盆地南缘等大型油气田建设，促进增储上产，支撑克拉玛依、吉木萨尔油气能源资源基地建设。开展准噶尔南缘页岩气、油砂、油页岩等非常规能源勘查，加强非常规能源开发利用，提供勘查开发基地3－4处。有序开发准东、准南等地区煤炭、煤层气资源，形成煤层气勘查开发基地3－5处。</w:t>
            </w:r>
          </w:p>
          <w:p>
            <w:pPr>
              <w:pStyle w:val="16"/>
              <w:bidi w:val="0"/>
              <w:rPr>
                <w:rFonts w:hint="default"/>
                <w:color w:val="auto"/>
              </w:rPr>
            </w:pPr>
            <w:r>
              <w:rPr>
                <w:rFonts w:hint="default"/>
                <w:color w:val="auto"/>
              </w:rPr>
              <w:t>重点勘查开采矿种：石油、天然气、页岩气、煤层气、煤、地热等能源矿产，铁、锰、铜、镍、钴、铅锌、锂、铍、金等金属矿产，以及钾盐、萤石、硅质原料等非金属矿产。</w:t>
            </w:r>
          </w:p>
          <w:p>
            <w:pPr>
              <w:pStyle w:val="16"/>
              <w:bidi w:val="0"/>
              <w:rPr>
                <w:rFonts w:hint="default"/>
                <w:color w:val="auto"/>
              </w:rPr>
            </w:pPr>
            <w:r>
              <w:rPr>
                <w:rFonts w:hint="eastAsia"/>
                <w:color w:val="auto"/>
                <w:lang w:val="en-US" w:eastAsia="zh-CN"/>
              </w:rPr>
              <w:t>项目</w:t>
            </w:r>
            <w:r>
              <w:rPr>
                <w:rFonts w:hint="default"/>
                <w:color w:val="auto"/>
              </w:rPr>
              <w:t>属于《规划》“两环八带”勘查开发布局中的“环准噶尔能源矿产勘查开发区”，同时属于陆地矿产资源地质勘查（含油气资源勘探），符合规划要求；并按照《新疆维吾尔自治区矿产资源总体规划（2021-2025年）环境影响报告书》要求对采出物开采过程中的废气、废水、噪声、固体废物采取相应的治理措施，对实施过程中产生的生态影响采取有效的减缓措施，符合《报告书》的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9" w:hRule="atLeast"/>
        </w:trPr>
        <w:tc>
          <w:tcPr>
            <w:tcW w:w="1754"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1"/>
                <w:sz w:val="21"/>
                <w:szCs w:val="21"/>
              </w:rPr>
              <w:t>其</w:t>
            </w:r>
            <w:r>
              <w:rPr>
                <w:rFonts w:hint="default" w:ascii="Times New Roman" w:hAnsi="Times New Roman" w:eastAsia="宋体" w:cs="Times New Roman"/>
                <w:color w:val="auto"/>
                <w:spacing w:val="8"/>
                <w:sz w:val="21"/>
                <w:szCs w:val="21"/>
              </w:rPr>
              <w:t>他符合性分析</w:t>
            </w:r>
          </w:p>
        </w:tc>
        <w:tc>
          <w:tcPr>
            <w:tcW w:w="7289" w:type="dxa"/>
            <w:gridSpan w:val="3"/>
            <w:tcBorders>
              <w:right w:val="single" w:color="000000" w:sz="6" w:space="0"/>
            </w:tcBorders>
            <w:vAlign w:val="center"/>
          </w:tcPr>
          <w:p>
            <w:pPr>
              <w:pStyle w:val="4"/>
              <w:bidi w:val="0"/>
              <w:rPr>
                <w:rFonts w:hint="default"/>
                <w:color w:val="auto"/>
                <w:lang w:val="en-US" w:eastAsia="zh-CN"/>
              </w:rPr>
            </w:pPr>
            <w:r>
              <w:rPr>
                <w:rFonts w:hint="eastAsia"/>
                <w:color w:val="auto"/>
                <w:lang w:val="en-US" w:eastAsia="zh-CN"/>
              </w:rPr>
              <w:t>1、产业政策符合性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石油天然气勘探是当前国民经济的重要基础产业和支柱产业，本项目为油气资源勘探项目，根据国家发展改革委颁布的《产业结构调整指导目录（</w:t>
            </w:r>
            <w:r>
              <w:rPr>
                <w:rFonts w:hint="eastAsia" w:cs="Times New Roman"/>
                <w:color w:val="auto"/>
                <w:kern w:val="0"/>
                <w:sz w:val="24"/>
                <w:szCs w:val="24"/>
                <w:lang w:val="en-US" w:eastAsia="zh-CN" w:bidi="ar"/>
              </w:rPr>
              <w:t>2024</w:t>
            </w:r>
            <w:r>
              <w:rPr>
                <w:rFonts w:hint="default" w:ascii="Times New Roman" w:hAnsi="Times New Roman" w:eastAsia="宋体" w:cs="Times New Roman"/>
                <w:color w:val="auto"/>
                <w:kern w:val="0"/>
                <w:sz w:val="24"/>
                <w:szCs w:val="24"/>
                <w:lang w:val="en-US" w:eastAsia="zh-CN" w:bidi="ar"/>
              </w:rPr>
              <w:t>年本）》的有关规定，本项目属于第一类“鼓励类”第七项“石油、天然气”第1条“常规石油、天然气勘探与开采”，符合国家产业政策。</w:t>
            </w:r>
          </w:p>
          <w:p>
            <w:pPr>
              <w:pStyle w:val="4"/>
              <w:numPr>
                <w:ilvl w:val="0"/>
                <w:numId w:val="0"/>
              </w:numPr>
              <w:bidi w:val="0"/>
              <w:rPr>
                <w:rFonts w:hint="default"/>
                <w:color w:val="auto"/>
              </w:rPr>
            </w:pPr>
            <w:r>
              <w:rPr>
                <w:rFonts w:hint="eastAsia"/>
                <w:color w:val="auto"/>
                <w:lang w:val="en-US" w:eastAsia="zh-CN"/>
              </w:rPr>
              <w:t>2</w:t>
            </w:r>
            <w:r>
              <w:rPr>
                <w:rFonts w:hint="default"/>
                <w:color w:val="auto"/>
              </w:rPr>
              <w:t>、</w:t>
            </w:r>
            <w:r>
              <w:rPr>
                <w:rFonts w:hint="eastAsia"/>
                <w:color w:val="auto"/>
                <w:lang w:val="en-US" w:eastAsia="zh-CN"/>
              </w:rPr>
              <w:t>与</w:t>
            </w:r>
            <w:r>
              <w:rPr>
                <w:rFonts w:hint="default"/>
                <w:color w:val="auto"/>
                <w:lang w:val="en-US" w:eastAsia="zh-CN"/>
              </w:rPr>
              <w:t>《新疆维吾尔自治区“三线一单”生态环境分区管控方案》</w:t>
            </w:r>
            <w:r>
              <w:rPr>
                <w:rFonts w:hint="eastAsia"/>
                <w:color w:val="auto"/>
                <w:lang w:val="en-US" w:eastAsia="zh-CN"/>
              </w:rPr>
              <w:t>符合性分析</w:t>
            </w:r>
          </w:p>
          <w:p>
            <w:pPr>
              <w:bidi w:val="0"/>
              <w:jc w:val="center"/>
              <w:rPr>
                <w:rFonts w:hint="default" w:ascii="Times New Roman" w:hAnsi="Times New Roman" w:cs="Times New Roman"/>
                <w:b/>
                <w:bCs/>
                <w:color w:val="auto"/>
                <w:sz w:val="21"/>
                <w:szCs w:val="21"/>
                <w:lang w:val="en-US" w:eastAsia="zh-CN"/>
              </w:rPr>
            </w:pPr>
            <w:r>
              <w:rPr>
                <w:b/>
                <w:bCs/>
                <w:color w:val="auto"/>
                <w:sz w:val="21"/>
                <w:szCs w:val="21"/>
              </w:rPr>
              <w:t>表</w:t>
            </w:r>
            <w:r>
              <w:rPr>
                <w:rFonts w:hint="eastAsia"/>
                <w:b/>
                <w:bCs/>
                <w:color w:val="auto"/>
                <w:sz w:val="21"/>
                <w:szCs w:val="21"/>
                <w:lang w:val="en-US" w:eastAsia="zh-CN"/>
              </w:rPr>
              <w:t>1-1</w:t>
            </w:r>
            <w:r>
              <w:rPr>
                <w:b/>
                <w:bCs/>
                <w:color w:val="auto"/>
                <w:sz w:val="21"/>
                <w:szCs w:val="21"/>
              </w:rPr>
              <w:t xml:space="preserve">  </w:t>
            </w:r>
            <w:r>
              <w:rPr>
                <w:rFonts w:hint="eastAsia"/>
                <w:b/>
                <w:bCs/>
                <w:color w:val="auto"/>
                <w:sz w:val="21"/>
                <w:szCs w:val="21"/>
                <w:lang w:val="en-US" w:eastAsia="zh-CN"/>
              </w:rPr>
              <w:t>与</w:t>
            </w:r>
            <w:r>
              <w:rPr>
                <w:rFonts w:hint="default" w:ascii="Times New Roman" w:hAnsi="Times New Roman" w:cs="Times New Roman"/>
                <w:b/>
                <w:bCs/>
                <w:color w:val="auto"/>
                <w:sz w:val="21"/>
                <w:szCs w:val="21"/>
                <w:lang w:val="en-US" w:eastAsia="zh-CN"/>
              </w:rPr>
              <w:t>《新疆维吾尔自治区“三线一单”生态环境分区管控方案》</w:t>
            </w:r>
          </w:p>
          <w:p>
            <w:pPr>
              <w:bidi w:val="0"/>
              <w:jc w:val="center"/>
              <w:rPr>
                <w:rFonts w:hint="eastAsia"/>
                <w:b/>
                <w:bCs/>
                <w:color w:val="auto"/>
                <w:sz w:val="21"/>
                <w:szCs w:val="21"/>
                <w:lang w:val="en-US" w:eastAsia="zh-CN"/>
              </w:rPr>
            </w:pPr>
            <w:r>
              <w:rPr>
                <w:rFonts w:hint="eastAsia"/>
                <w:b/>
                <w:bCs/>
                <w:color w:val="auto"/>
                <w:sz w:val="21"/>
                <w:szCs w:val="21"/>
              </w:rPr>
              <w:t>符合性分</w:t>
            </w:r>
            <w:r>
              <w:rPr>
                <w:b/>
                <w:bCs/>
                <w:color w:val="auto"/>
                <w:sz w:val="21"/>
                <w:szCs w:val="21"/>
              </w:rPr>
              <w:t>析一览表</w:t>
            </w:r>
          </w:p>
          <w:tbl>
            <w:tblPr>
              <w:tblStyle w:val="12"/>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95"/>
              <w:gridCol w:w="3127"/>
              <w:gridCol w:w="4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38" w:type="pct"/>
                  <w:tcBorders>
                    <w:tl2br w:val="nil"/>
                    <w:tr2bl w:val="nil"/>
                  </w:tcBorders>
                  <w:vAlign w:val="center"/>
                </w:tcPr>
                <w:p>
                  <w:pPr>
                    <w:pStyle w:val="17"/>
                    <w:widowControl w:val="0"/>
                    <w:bidi w:val="0"/>
                    <w:rPr>
                      <w:rFonts w:hint="eastAsia"/>
                      <w:b/>
                      <w:bCs/>
                      <w:color w:val="auto"/>
                      <w:lang w:val="en-US" w:eastAsia="zh-CN"/>
                    </w:rPr>
                  </w:pPr>
                  <w:r>
                    <w:rPr>
                      <w:rFonts w:hint="eastAsia"/>
                      <w:b/>
                      <w:bCs/>
                      <w:color w:val="auto"/>
                    </w:rPr>
                    <w:t>“三线一单”要求</w:t>
                  </w:r>
                </w:p>
              </w:tc>
              <w:tc>
                <w:tcPr>
                  <w:tcW w:w="2148" w:type="pct"/>
                  <w:tcBorders>
                    <w:tl2br w:val="nil"/>
                    <w:tr2bl w:val="nil"/>
                  </w:tcBorders>
                  <w:vAlign w:val="center"/>
                </w:tcPr>
                <w:p>
                  <w:pPr>
                    <w:pStyle w:val="17"/>
                    <w:widowControl w:val="0"/>
                    <w:bidi w:val="0"/>
                    <w:rPr>
                      <w:rFonts w:hint="eastAsia"/>
                      <w:b/>
                      <w:bCs/>
                      <w:color w:val="auto"/>
                      <w:lang w:val="en-US" w:eastAsia="zh-CN"/>
                    </w:rPr>
                  </w:pPr>
                  <w:r>
                    <w:rPr>
                      <w:rFonts w:hint="eastAsia"/>
                      <w:b/>
                      <w:bCs/>
                      <w:color w:val="auto"/>
                    </w:rPr>
                    <w:t>项目情况</w:t>
                  </w:r>
                </w:p>
              </w:tc>
              <w:tc>
                <w:tcPr>
                  <w:tcW w:w="312" w:type="pct"/>
                  <w:tcBorders>
                    <w:tl2br w:val="nil"/>
                    <w:tr2bl w:val="nil"/>
                  </w:tcBorders>
                  <w:vAlign w:val="center"/>
                </w:tcPr>
                <w:p>
                  <w:pPr>
                    <w:pStyle w:val="17"/>
                    <w:widowControl w:val="0"/>
                    <w:bidi w:val="0"/>
                    <w:rPr>
                      <w:rFonts w:hint="eastAsia"/>
                      <w:b/>
                      <w:bCs/>
                      <w:color w:val="auto"/>
                      <w:lang w:val="en-US" w:eastAsia="zh-CN"/>
                    </w:rPr>
                  </w:pPr>
                  <w:r>
                    <w:rPr>
                      <w:rFonts w:hint="eastAsia"/>
                      <w:b/>
                      <w:bCs/>
                      <w:color w:val="auto"/>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38" w:type="pct"/>
                  <w:tcBorders>
                    <w:tl2br w:val="nil"/>
                    <w:tr2bl w:val="nil"/>
                  </w:tcBorders>
                  <w:vAlign w:val="center"/>
                </w:tcPr>
                <w:p>
                  <w:pPr>
                    <w:pStyle w:val="17"/>
                    <w:widowControl w:val="0"/>
                    <w:bidi w:val="0"/>
                    <w:rPr>
                      <w:rFonts w:hint="eastAsia"/>
                      <w:color w:val="auto"/>
                      <w:lang w:val="en-US" w:eastAsia="zh-CN"/>
                    </w:rPr>
                  </w:pPr>
                  <w:r>
                    <w:rPr>
                      <w:rFonts w:hint="eastAsia"/>
                      <w:color w:val="auto"/>
                    </w:rPr>
                    <w:t>生态保护红线是生态空间范围内具有特殊重要生态功能必须实行强制性严格保护的区域。相关规划环评应将生态空间管控作为重要内容，规划区域涉及生态保护红线的，在规划环评结论审查意见中应落实生态保护红线的管理要求，提出相应对策措施。除受自然条件限制、确实无法避让的铁、公路、航道、防洪、管道、干渠、通讯、输变电等重要基础设施项目外，在生态保护红线范围内，严控各类开发建设活动，依法不予审批新建工业项目和矿产开发项目的环评文件。</w:t>
                  </w:r>
                </w:p>
              </w:tc>
              <w:tc>
                <w:tcPr>
                  <w:tcW w:w="2148" w:type="pct"/>
                  <w:tcBorders>
                    <w:tl2br w:val="nil"/>
                    <w:tr2bl w:val="nil"/>
                  </w:tcBorders>
                  <w:vAlign w:val="center"/>
                </w:tcPr>
                <w:p>
                  <w:pPr>
                    <w:pStyle w:val="17"/>
                    <w:widowControl w:val="0"/>
                    <w:bidi w:val="0"/>
                    <w:rPr>
                      <w:rFonts w:hint="default"/>
                      <w:color w:val="auto"/>
                      <w:lang w:val="en-US" w:eastAsia="zh-CN"/>
                    </w:rPr>
                  </w:pPr>
                  <w:r>
                    <w:rPr>
                      <w:rFonts w:hint="default"/>
                      <w:color w:val="auto"/>
                      <w:lang w:val="en-US" w:eastAsia="zh-CN"/>
                    </w:rPr>
                    <w:t>根据《新疆维吾尔自治区“三线一单”生态环境分区管控方案》（新政发〔2021〕18号）和《昌吉回族自治州“三线一单”生态环境分区管控方案及生态环境准入清单》（昌州政办发〔2021〕41号），本项目属于</w:t>
                  </w:r>
                  <w:r>
                    <w:rPr>
                      <w:rFonts w:hint="eastAsia"/>
                      <w:color w:val="auto"/>
                      <w:lang w:val="en-US" w:eastAsia="zh-CN"/>
                    </w:rPr>
                    <w:t>重点管控</w:t>
                  </w:r>
                  <w:r>
                    <w:rPr>
                      <w:rFonts w:hint="default"/>
                      <w:color w:val="auto"/>
                      <w:lang w:val="en-US" w:eastAsia="zh-CN"/>
                    </w:rPr>
                    <w:t>管控单元，不</w:t>
                  </w:r>
                  <w:r>
                    <w:rPr>
                      <w:rFonts w:hint="default"/>
                      <w:color w:val="auto"/>
                      <w:highlight w:val="none"/>
                      <w:lang w:val="en-US" w:eastAsia="zh-CN"/>
                    </w:rPr>
                    <w:t>在划定的生态保护红线范围内，环境管控单元编码为</w:t>
                  </w:r>
                  <w:r>
                    <w:rPr>
                      <w:rFonts w:hint="eastAsia"/>
                      <w:color w:val="auto"/>
                      <w:highlight w:val="none"/>
                      <w:lang w:val="en-US" w:eastAsia="zh-CN"/>
                    </w:rPr>
                    <w:t>*********，详见附图1。</w:t>
                  </w:r>
                </w:p>
              </w:tc>
              <w:tc>
                <w:tcPr>
                  <w:tcW w:w="312" w:type="pct"/>
                  <w:tcBorders>
                    <w:tl2br w:val="nil"/>
                    <w:tr2bl w:val="nil"/>
                  </w:tcBorders>
                  <w:vAlign w:val="center"/>
                </w:tcPr>
                <w:p>
                  <w:pPr>
                    <w:pStyle w:val="17"/>
                    <w:widowControl w:val="0"/>
                    <w:bidi w:val="0"/>
                    <w:rPr>
                      <w:rFonts w:hint="default"/>
                      <w:color w:val="auto"/>
                      <w:lang w:val="en-US" w:eastAsia="zh-CN"/>
                    </w:rPr>
                  </w:pPr>
                  <w:r>
                    <w:rPr>
                      <w:rFonts w:hint="eastAsia"/>
                      <w:color w:val="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38" w:type="pct"/>
                  <w:tcBorders>
                    <w:tl2br w:val="nil"/>
                    <w:tr2bl w:val="nil"/>
                  </w:tcBorders>
                  <w:vAlign w:val="center"/>
                </w:tcPr>
                <w:p>
                  <w:pPr>
                    <w:pStyle w:val="17"/>
                    <w:widowControl w:val="0"/>
                    <w:bidi w:val="0"/>
                    <w:rPr>
                      <w:rFonts w:hint="eastAsia"/>
                      <w:color w:val="auto"/>
                      <w:lang w:val="en-US" w:eastAsia="zh-CN"/>
                    </w:rPr>
                  </w:pPr>
                  <w:r>
                    <w:rPr>
                      <w:rFonts w:hint="eastAsia"/>
                      <w:color w:val="auto"/>
                    </w:rPr>
                    <w:t>环境质量底线是国家和地方设置的大气、水和土壤环境质量目标，也是改善环境质量的基准。项目环评应对照区域环境质量目标，深入分析预测项目建设对环境质量的影响，强化污染防治措施和污物排放控制要求。</w:t>
                  </w:r>
                </w:p>
              </w:tc>
              <w:tc>
                <w:tcPr>
                  <w:tcW w:w="2148" w:type="pct"/>
                  <w:tcBorders>
                    <w:tl2br w:val="nil"/>
                    <w:tr2bl w:val="nil"/>
                  </w:tcBorders>
                  <w:vAlign w:val="center"/>
                </w:tcPr>
                <w:p>
                  <w:pPr>
                    <w:pStyle w:val="17"/>
                    <w:widowControl w:val="0"/>
                    <w:bidi w:val="0"/>
                    <w:rPr>
                      <w:rFonts w:hint="default"/>
                      <w:color w:val="auto"/>
                      <w:lang w:val="en-US" w:eastAsia="zh-CN"/>
                    </w:rPr>
                  </w:pPr>
                  <w:r>
                    <w:rPr>
                      <w:rFonts w:hint="default"/>
                      <w:color w:val="auto"/>
                      <w:lang w:val="en-US" w:eastAsia="zh-CN"/>
                    </w:rPr>
                    <w:t>项目为陆地石油勘探项目，无运营期；钻试期时间较短，污染影响随施工结束而停止，对区域环境质量影响小，不会突破区域环境质量底线。</w:t>
                  </w:r>
                </w:p>
              </w:tc>
              <w:tc>
                <w:tcPr>
                  <w:tcW w:w="312" w:type="pct"/>
                  <w:tcBorders>
                    <w:tl2br w:val="nil"/>
                    <w:tr2bl w:val="nil"/>
                  </w:tcBorders>
                  <w:vAlign w:val="center"/>
                </w:tcPr>
                <w:p>
                  <w:pPr>
                    <w:pStyle w:val="17"/>
                    <w:widowControl w:val="0"/>
                    <w:bidi w:val="0"/>
                    <w:rPr>
                      <w:rFonts w:hint="default"/>
                      <w:color w:val="auto"/>
                      <w:lang w:val="en-US" w:eastAsia="zh-CN"/>
                    </w:rPr>
                  </w:pPr>
                  <w:r>
                    <w:rPr>
                      <w:rFonts w:hint="eastAsia"/>
                      <w:color w:val="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38" w:type="pct"/>
                  <w:tcBorders>
                    <w:tl2br w:val="nil"/>
                    <w:tr2bl w:val="nil"/>
                  </w:tcBorders>
                  <w:vAlign w:val="center"/>
                </w:tcPr>
                <w:p>
                  <w:pPr>
                    <w:pStyle w:val="17"/>
                    <w:widowControl w:val="0"/>
                    <w:bidi w:val="0"/>
                    <w:rPr>
                      <w:rFonts w:hint="eastAsia"/>
                      <w:color w:val="auto"/>
                      <w:lang w:val="en-US" w:eastAsia="zh-CN"/>
                    </w:rPr>
                  </w:pPr>
                  <w:r>
                    <w:rPr>
                      <w:color w:val="auto"/>
                    </w:rPr>
                    <w:t>资源是环境的载体，资源利用上线是各区能源、水、土地等资源消耗不得突破的“</w:t>
                  </w:r>
                  <w:r>
                    <w:rPr>
                      <w:rFonts w:hint="eastAsia"/>
                      <w:color w:val="auto"/>
                    </w:rPr>
                    <w:t>天花板</w:t>
                  </w:r>
                  <w:r>
                    <w:rPr>
                      <w:color w:val="auto"/>
                    </w:rPr>
                    <w:t>”</w:t>
                  </w:r>
                  <w:r>
                    <w:rPr>
                      <w:rFonts w:hint="eastAsia"/>
                      <w:color w:val="auto"/>
                    </w:rPr>
                    <w:t>。</w:t>
                  </w:r>
                  <w:r>
                    <w:rPr>
                      <w:color w:val="auto"/>
                    </w:rPr>
                    <w:t>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2148" w:type="pct"/>
                  <w:tcBorders>
                    <w:tl2br w:val="nil"/>
                    <w:tr2bl w:val="nil"/>
                  </w:tcBorders>
                  <w:vAlign w:val="center"/>
                </w:tcPr>
                <w:p>
                  <w:pPr>
                    <w:pStyle w:val="17"/>
                    <w:widowControl w:val="0"/>
                    <w:bidi w:val="0"/>
                    <w:rPr>
                      <w:rFonts w:hint="eastAsia"/>
                      <w:color w:val="auto"/>
                      <w:lang w:val="en-US" w:eastAsia="zh-CN"/>
                    </w:rPr>
                  </w:pPr>
                  <w:r>
                    <w:rPr>
                      <w:rFonts w:hint="eastAsia"/>
                      <w:color w:val="auto"/>
                      <w:lang w:val="en-US" w:eastAsia="zh-CN"/>
                    </w:rPr>
                    <w:t>钻试期仅消耗少量新鲜水和柴油，新鲜水就近拉运，不开采地下水；外购柴油由罐车拉运至井场，用量在区域可承受范围内，不会突破区域资源利用上线。</w:t>
                  </w:r>
                </w:p>
              </w:tc>
              <w:tc>
                <w:tcPr>
                  <w:tcW w:w="312" w:type="pct"/>
                  <w:tcBorders>
                    <w:tl2br w:val="nil"/>
                    <w:tr2bl w:val="nil"/>
                  </w:tcBorders>
                  <w:vAlign w:val="center"/>
                </w:tcPr>
                <w:p>
                  <w:pPr>
                    <w:pStyle w:val="17"/>
                    <w:widowControl w:val="0"/>
                    <w:bidi w:val="0"/>
                    <w:rPr>
                      <w:rFonts w:hint="default"/>
                      <w:color w:val="auto"/>
                      <w:lang w:val="en-US" w:eastAsia="zh-CN"/>
                    </w:rPr>
                  </w:pPr>
                  <w:r>
                    <w:rPr>
                      <w:rFonts w:hint="eastAsia"/>
                      <w:color w:val="auto"/>
                      <w:lang w:val="en-US" w:eastAsia="zh-CN"/>
                    </w:rPr>
                    <w:t>符合</w:t>
                  </w:r>
                </w:p>
              </w:tc>
            </w:tr>
          </w:tbl>
          <w:p>
            <w:pPr>
              <w:pStyle w:val="16"/>
              <w:bidi w:val="0"/>
              <w:rPr>
                <w:color w:val="auto"/>
              </w:rPr>
            </w:pPr>
            <w:r>
              <w:rPr>
                <w:color w:val="auto"/>
              </w:rPr>
              <w:t>（</w:t>
            </w:r>
            <w:r>
              <w:rPr>
                <w:rFonts w:hint="eastAsia"/>
                <w:color w:val="auto"/>
                <w:lang w:val="en-US" w:eastAsia="zh-CN"/>
              </w:rPr>
              <w:t>1</w:t>
            </w:r>
            <w:r>
              <w:rPr>
                <w:color w:val="auto"/>
              </w:rPr>
              <w:t>）生态环境准入清单</w:t>
            </w:r>
          </w:p>
          <w:p>
            <w:pPr>
              <w:pStyle w:val="16"/>
              <w:bidi w:val="0"/>
              <w:rPr>
                <w:color w:val="auto"/>
              </w:rPr>
            </w:pPr>
            <w:r>
              <w:rPr>
                <w:color w:val="auto"/>
              </w:rPr>
              <w:t>石油天然气开发是当前国民经济的重要基础产业和支柱产业，根据《产业结构调整指导目录（</w:t>
            </w:r>
            <w:r>
              <w:rPr>
                <w:rFonts w:hint="eastAsia" w:cs="Times New Roman"/>
                <w:color w:val="auto"/>
                <w:kern w:val="0"/>
                <w:sz w:val="24"/>
                <w:szCs w:val="24"/>
                <w:lang w:val="en-US" w:eastAsia="zh-CN" w:bidi="ar"/>
              </w:rPr>
              <w:t>2024</w:t>
            </w:r>
            <w:r>
              <w:rPr>
                <w:rFonts w:hint="default" w:ascii="Times New Roman" w:hAnsi="Times New Roman" w:eastAsia="宋体" w:cs="Times New Roman"/>
                <w:color w:val="auto"/>
                <w:kern w:val="0"/>
                <w:sz w:val="24"/>
                <w:szCs w:val="24"/>
                <w:lang w:val="en-US" w:eastAsia="zh-CN" w:bidi="ar"/>
              </w:rPr>
              <w:t>年本</w:t>
            </w:r>
            <w:r>
              <w:rPr>
                <w:color w:val="auto"/>
              </w:rPr>
              <w:t>）》，将“石油、天然气勘探及开采”列入“鼓励类”项目，本工程的建设符合国家的相关政策。</w:t>
            </w:r>
          </w:p>
          <w:p>
            <w:pPr>
              <w:pStyle w:val="16"/>
              <w:bidi w:val="0"/>
              <w:rPr>
                <w:color w:val="auto"/>
              </w:rPr>
            </w:pPr>
            <w:r>
              <w:rPr>
                <w:color w:val="auto"/>
              </w:rPr>
              <w:t>（</w:t>
            </w:r>
            <w:r>
              <w:rPr>
                <w:rFonts w:hint="eastAsia"/>
                <w:color w:val="auto"/>
                <w:lang w:val="en-US" w:eastAsia="zh-CN"/>
              </w:rPr>
              <w:t>2</w:t>
            </w:r>
            <w:r>
              <w:rPr>
                <w:color w:val="auto"/>
              </w:rPr>
              <w:t>）《市场准入负面清单》(2022年版)：该清单中分禁止准入类和许可准入类两类。本工程为油气资源勘探，位于中石油矿权范围内，属于《市场准入负面清单》中“许可准入类-采矿业”，不属于禁止准入类；因此，本工程符合清单要求。</w:t>
            </w:r>
          </w:p>
          <w:p>
            <w:pPr>
              <w:pStyle w:val="16"/>
              <w:bidi w:val="0"/>
              <w:rPr>
                <w:color w:val="auto"/>
              </w:rPr>
            </w:pPr>
            <w:r>
              <w:rPr>
                <w:color w:val="auto"/>
              </w:rPr>
              <w:t>综上，本工程建设符合</w:t>
            </w:r>
            <w:r>
              <w:rPr>
                <w:rFonts w:hint="default"/>
                <w:color w:val="auto"/>
                <w:lang w:val="en-US" w:eastAsia="zh-CN"/>
              </w:rPr>
              <w:t>新疆维吾尔自治区</w:t>
            </w:r>
            <w:r>
              <w:rPr>
                <w:color w:val="auto"/>
              </w:rPr>
              <w:t>“三线一单”要求。</w:t>
            </w:r>
          </w:p>
          <w:p>
            <w:pPr>
              <w:pStyle w:val="4"/>
              <w:numPr>
                <w:ilvl w:val="0"/>
                <w:numId w:val="1"/>
              </w:numPr>
              <w:bidi w:val="0"/>
              <w:rPr>
                <w:rFonts w:hint="eastAsia"/>
                <w:color w:val="auto"/>
                <w:lang w:val="en-US" w:eastAsia="zh-CN"/>
              </w:rPr>
            </w:pPr>
            <w:r>
              <w:rPr>
                <w:rFonts w:hint="eastAsia"/>
                <w:color w:val="auto"/>
                <w:lang w:val="en-US" w:eastAsia="zh-CN"/>
              </w:rPr>
              <w:t>与</w:t>
            </w:r>
            <w:r>
              <w:rPr>
                <w:rFonts w:hint="default"/>
                <w:color w:val="auto"/>
                <w:lang w:val="en-US" w:eastAsia="zh-CN"/>
              </w:rPr>
              <w:t>《昌吉回族自治州“三线一单”生态环境分区管控方案及生态环境准入清单》（昌州政办发〔2021〕41号）</w:t>
            </w:r>
            <w:r>
              <w:rPr>
                <w:rFonts w:hint="eastAsia"/>
                <w:color w:val="auto"/>
                <w:lang w:val="en-US" w:eastAsia="zh-CN"/>
              </w:rPr>
              <w:t>符合性分析</w:t>
            </w:r>
          </w:p>
          <w:p>
            <w:pPr>
              <w:pStyle w:val="16"/>
              <w:bidi w:val="0"/>
              <w:rPr>
                <w:rFonts w:hint="default"/>
                <w:color w:val="auto"/>
                <w:highlight w:val="none"/>
                <w:lang w:val="en-US" w:eastAsia="zh-CN"/>
              </w:rPr>
            </w:pPr>
            <w:r>
              <w:rPr>
                <w:rFonts w:hint="default"/>
                <w:color w:val="auto"/>
                <w:lang w:val="en-US" w:eastAsia="zh-CN"/>
              </w:rPr>
              <w:t>本项目属于</w:t>
            </w:r>
            <w:r>
              <w:rPr>
                <w:rFonts w:hint="eastAsia"/>
                <w:color w:val="auto"/>
                <w:lang w:val="en-US" w:eastAsia="zh-CN"/>
              </w:rPr>
              <w:t>重点管控</w:t>
            </w:r>
            <w:r>
              <w:rPr>
                <w:rFonts w:hint="default"/>
                <w:color w:val="auto"/>
                <w:lang w:val="en-US" w:eastAsia="zh-CN"/>
              </w:rPr>
              <w:t>管控单元，不</w:t>
            </w:r>
            <w:r>
              <w:rPr>
                <w:rFonts w:hint="default"/>
                <w:color w:val="auto"/>
                <w:highlight w:val="none"/>
                <w:lang w:val="en-US" w:eastAsia="zh-CN"/>
              </w:rPr>
              <w:t>在划定的生态保护红线范围内，</w:t>
            </w:r>
            <w:r>
              <w:rPr>
                <w:rFonts w:hint="eastAsia"/>
                <w:color w:val="auto"/>
                <w:highlight w:val="none"/>
                <w:lang w:val="en-US" w:eastAsia="zh-CN"/>
              </w:rPr>
              <w:t>属于吉木萨尔县限采区，</w:t>
            </w:r>
            <w:r>
              <w:rPr>
                <w:rFonts w:hint="default"/>
                <w:color w:val="auto"/>
                <w:highlight w:val="none"/>
                <w:lang w:val="en-US" w:eastAsia="zh-CN"/>
              </w:rPr>
              <w:t>环境管控单元编码为</w:t>
            </w:r>
            <w:r>
              <w:rPr>
                <w:rFonts w:hint="eastAsia"/>
                <w:color w:val="auto"/>
                <w:highlight w:val="none"/>
                <w:lang w:val="en-US" w:eastAsia="zh-CN"/>
              </w:rPr>
              <w:t>*********，该管控单元属于地下水限采区。本项目与</w:t>
            </w:r>
            <w:r>
              <w:rPr>
                <w:rFonts w:hint="default"/>
                <w:color w:val="auto"/>
                <w:highlight w:val="none"/>
                <w:lang w:val="en-US" w:eastAsia="zh-CN"/>
              </w:rPr>
              <w:t>《昌吉回族自治州“三线一单”生态环境分区管控方案及生态环境准入清单》</w:t>
            </w:r>
            <w:r>
              <w:rPr>
                <w:rFonts w:hint="eastAsia"/>
                <w:color w:val="auto"/>
                <w:highlight w:val="none"/>
                <w:lang w:val="en-US" w:eastAsia="zh-CN"/>
              </w:rPr>
              <w:t>符合性分析见下表。</w:t>
            </w:r>
          </w:p>
          <w:p>
            <w:pPr>
              <w:bidi w:val="0"/>
              <w:jc w:val="center"/>
              <w:rPr>
                <w:rFonts w:hint="default"/>
                <w:color w:val="auto"/>
                <w:lang w:val="en-US" w:eastAsia="zh-CN"/>
              </w:rPr>
            </w:pPr>
            <w:r>
              <w:rPr>
                <w:rFonts w:ascii="Times New Roman" w:hAnsi="Times New Roman" w:eastAsia="宋体" w:cs="Arial"/>
                <w:b/>
                <w:bCs/>
                <w:snapToGrid w:val="0"/>
                <w:color w:val="auto"/>
                <w:kern w:val="0"/>
                <w:sz w:val="21"/>
                <w:szCs w:val="21"/>
              </w:rPr>
              <w:t>表</w:t>
            </w:r>
            <w:r>
              <w:rPr>
                <w:rFonts w:hint="eastAsia" w:cs="Arial"/>
                <w:b/>
                <w:bCs/>
                <w:snapToGrid w:val="0"/>
                <w:color w:val="auto"/>
                <w:kern w:val="0"/>
                <w:sz w:val="21"/>
                <w:szCs w:val="21"/>
                <w:lang w:val="en-US" w:eastAsia="zh-CN"/>
              </w:rPr>
              <w:t>1-</w:t>
            </w:r>
            <w:r>
              <w:rPr>
                <w:rFonts w:hint="eastAsia" w:ascii="Times New Roman" w:hAnsi="Times New Roman" w:eastAsia="宋体" w:cs="Arial"/>
                <w:b/>
                <w:bCs/>
                <w:snapToGrid w:val="0"/>
                <w:color w:val="auto"/>
                <w:kern w:val="0"/>
                <w:sz w:val="21"/>
                <w:szCs w:val="21"/>
                <w:lang w:val="en-US" w:eastAsia="zh-CN"/>
              </w:rPr>
              <w:t>2</w:t>
            </w:r>
            <w:r>
              <w:rPr>
                <w:rFonts w:ascii="Times New Roman" w:hAnsi="Times New Roman" w:eastAsia="宋体" w:cs="Arial"/>
                <w:b/>
                <w:bCs/>
                <w:snapToGrid w:val="0"/>
                <w:color w:val="auto"/>
                <w:kern w:val="0"/>
                <w:sz w:val="21"/>
                <w:szCs w:val="21"/>
              </w:rPr>
              <w:t xml:space="preserve">  </w:t>
            </w:r>
            <w:r>
              <w:rPr>
                <w:rFonts w:hint="eastAsia" w:ascii="Times New Roman" w:hAnsi="Times New Roman" w:eastAsia="宋体" w:cs="Arial"/>
                <w:b/>
                <w:bCs/>
                <w:snapToGrid w:val="0"/>
                <w:color w:val="auto"/>
                <w:kern w:val="0"/>
                <w:sz w:val="21"/>
                <w:szCs w:val="21"/>
                <w:lang w:val="en-US" w:eastAsia="zh-CN"/>
              </w:rPr>
              <w:t>与</w:t>
            </w:r>
            <w:r>
              <w:rPr>
                <w:rFonts w:hint="default" w:ascii="Times New Roman" w:hAnsi="Times New Roman" w:eastAsia="宋体" w:cs="Arial"/>
                <w:b/>
                <w:bCs/>
                <w:snapToGrid w:val="0"/>
                <w:color w:val="auto"/>
                <w:kern w:val="0"/>
                <w:sz w:val="21"/>
                <w:szCs w:val="21"/>
                <w:lang w:val="en-US" w:eastAsia="zh-CN"/>
              </w:rPr>
              <w:t>《昌吉回族自治州“三线一单”生态环境分区管控方案及生态环境准入清单》</w:t>
            </w:r>
            <w:r>
              <w:rPr>
                <w:rFonts w:hint="eastAsia" w:ascii="Times New Roman" w:hAnsi="Times New Roman" w:eastAsia="宋体" w:cs="Arial"/>
                <w:b/>
                <w:bCs/>
                <w:snapToGrid w:val="0"/>
                <w:color w:val="auto"/>
                <w:kern w:val="0"/>
                <w:sz w:val="21"/>
                <w:szCs w:val="21"/>
              </w:rPr>
              <w:t>符合性分</w:t>
            </w:r>
            <w:r>
              <w:rPr>
                <w:rFonts w:ascii="Times New Roman" w:hAnsi="Times New Roman" w:eastAsia="宋体" w:cs="Arial"/>
                <w:b/>
                <w:bCs/>
                <w:snapToGrid w:val="0"/>
                <w:color w:val="auto"/>
                <w:kern w:val="0"/>
                <w:sz w:val="21"/>
                <w:szCs w:val="21"/>
              </w:rPr>
              <w:t>析一览</w:t>
            </w:r>
            <w:r>
              <w:rPr>
                <w:b/>
                <w:bCs/>
                <w:color w:val="auto"/>
                <w:sz w:val="21"/>
                <w:szCs w:val="21"/>
              </w:rPr>
              <w:t>表</w:t>
            </w:r>
          </w:p>
          <w:tbl>
            <w:tblPr>
              <w:tblStyle w:val="12"/>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0"/>
              <w:gridCol w:w="585"/>
              <w:gridCol w:w="2262"/>
              <w:gridCol w:w="3265"/>
              <w:gridCol w:w="4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88" w:type="pct"/>
                  <w:tcBorders>
                    <w:tl2br w:val="nil"/>
                    <w:tr2bl w:val="nil"/>
                  </w:tcBorders>
                  <w:shd w:val="clear" w:color="auto" w:fill="auto"/>
                  <w:vAlign w:val="center"/>
                </w:tcPr>
                <w:p>
                  <w:pPr>
                    <w:pStyle w:val="17"/>
                    <w:widowControl w:val="0"/>
                    <w:bidi w:val="0"/>
                    <w:rPr>
                      <w:rFonts w:hint="eastAsia" w:eastAsia="宋体"/>
                      <w:b/>
                      <w:bCs/>
                      <w:color w:val="auto"/>
                      <w:highlight w:val="none"/>
                      <w:lang w:eastAsia="zh-CN"/>
                    </w:rPr>
                  </w:pPr>
                  <w:r>
                    <w:rPr>
                      <w:rFonts w:hint="default"/>
                      <w:b/>
                      <w:bCs/>
                      <w:color w:val="auto"/>
                      <w:highlight w:val="none"/>
                    </w:rPr>
                    <w:t>管控单元</w:t>
                  </w:r>
                  <w:r>
                    <w:rPr>
                      <w:rFonts w:hint="eastAsia"/>
                      <w:b/>
                      <w:bCs/>
                      <w:color w:val="auto"/>
                      <w:highlight w:val="none"/>
                      <w:lang w:val="en-US" w:eastAsia="zh-CN"/>
                    </w:rPr>
                    <w:t>分类</w:t>
                  </w:r>
                </w:p>
              </w:tc>
              <w:tc>
                <w:tcPr>
                  <w:tcW w:w="1956" w:type="pct"/>
                  <w:gridSpan w:val="2"/>
                  <w:tcBorders>
                    <w:tl2br w:val="nil"/>
                    <w:tr2bl w:val="nil"/>
                  </w:tcBorders>
                  <w:shd w:val="clear" w:color="auto" w:fill="auto"/>
                  <w:vAlign w:val="center"/>
                </w:tcPr>
                <w:p>
                  <w:pPr>
                    <w:pStyle w:val="17"/>
                    <w:widowControl w:val="0"/>
                    <w:bidi w:val="0"/>
                    <w:rPr>
                      <w:b/>
                      <w:bCs/>
                      <w:color w:val="auto"/>
                      <w:highlight w:val="none"/>
                    </w:rPr>
                  </w:pPr>
                  <w:r>
                    <w:rPr>
                      <w:rFonts w:hint="default"/>
                      <w:b/>
                      <w:bCs/>
                      <w:color w:val="auto"/>
                      <w:highlight w:val="none"/>
                    </w:rPr>
                    <w:t>管控要求</w:t>
                  </w:r>
                </w:p>
              </w:tc>
              <w:tc>
                <w:tcPr>
                  <w:tcW w:w="2243" w:type="pct"/>
                  <w:tcBorders>
                    <w:tl2br w:val="nil"/>
                    <w:tr2bl w:val="nil"/>
                  </w:tcBorders>
                  <w:shd w:val="clear" w:color="auto" w:fill="auto"/>
                  <w:vAlign w:val="center"/>
                </w:tcPr>
                <w:p>
                  <w:pPr>
                    <w:pStyle w:val="17"/>
                    <w:widowControl w:val="0"/>
                    <w:bidi w:val="0"/>
                    <w:rPr>
                      <w:rFonts w:hint="eastAsia"/>
                      <w:b/>
                      <w:bCs/>
                      <w:color w:val="auto"/>
                      <w:highlight w:val="none"/>
                      <w:lang w:val="en-US" w:eastAsia="zh-CN"/>
                    </w:rPr>
                  </w:pPr>
                  <w:r>
                    <w:rPr>
                      <w:rFonts w:hint="default"/>
                      <w:b/>
                      <w:bCs/>
                      <w:color w:val="auto"/>
                      <w:highlight w:val="none"/>
                    </w:rPr>
                    <w:t>项目情况</w:t>
                  </w:r>
                </w:p>
              </w:tc>
              <w:tc>
                <w:tcPr>
                  <w:tcW w:w="312" w:type="pct"/>
                  <w:tcBorders>
                    <w:tl2br w:val="nil"/>
                    <w:tr2bl w:val="nil"/>
                  </w:tcBorders>
                  <w:vAlign w:val="center"/>
                </w:tcPr>
                <w:p>
                  <w:pPr>
                    <w:pStyle w:val="17"/>
                    <w:widowControl w:val="0"/>
                    <w:bidi w:val="0"/>
                    <w:rPr>
                      <w:rFonts w:hint="eastAsia"/>
                      <w:b/>
                      <w:bCs/>
                      <w:color w:val="auto"/>
                      <w:lang w:val="en-US" w:eastAsia="zh-CN"/>
                    </w:rPr>
                  </w:pPr>
                  <w:r>
                    <w:rPr>
                      <w:rFonts w:hint="default"/>
                      <w:b/>
                      <w:bCs/>
                      <w:color w:val="auto"/>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88" w:type="pct"/>
                  <w:vMerge w:val="restart"/>
                  <w:tcBorders>
                    <w:tl2br w:val="nil"/>
                    <w:tr2bl w:val="nil"/>
                  </w:tcBorders>
                  <w:shd w:val="clear" w:color="auto" w:fill="auto"/>
                  <w:vAlign w:val="center"/>
                </w:tcPr>
                <w:p>
                  <w:pPr>
                    <w:pStyle w:val="17"/>
                    <w:widowControl w:val="0"/>
                    <w:bidi w:val="0"/>
                    <w:rPr>
                      <w:color w:val="auto"/>
                      <w:highlight w:val="none"/>
                    </w:rPr>
                  </w:pPr>
                  <w:r>
                    <w:rPr>
                      <w:rFonts w:hint="default"/>
                      <w:color w:val="auto"/>
                      <w:highlight w:val="none"/>
                      <w:lang w:val="en-US" w:eastAsia="zh-CN"/>
                    </w:rPr>
                    <w:t>重点管控单元</w:t>
                  </w:r>
                </w:p>
              </w:tc>
              <w:tc>
                <w:tcPr>
                  <w:tcW w:w="402" w:type="pct"/>
                  <w:tcBorders>
                    <w:tl2br w:val="nil"/>
                    <w:tr2bl w:val="nil"/>
                  </w:tcBorders>
                  <w:shd w:val="clear" w:color="auto" w:fill="auto"/>
                  <w:vAlign w:val="center"/>
                </w:tcPr>
                <w:p>
                  <w:pPr>
                    <w:pStyle w:val="17"/>
                    <w:widowControl w:val="0"/>
                    <w:bidi w:val="0"/>
                    <w:rPr>
                      <w:color w:val="auto"/>
                      <w:highlight w:val="none"/>
                    </w:rPr>
                  </w:pPr>
                  <w:r>
                    <w:rPr>
                      <w:rFonts w:hint="default"/>
                      <w:color w:val="auto"/>
                      <w:highlight w:val="none"/>
                    </w:rPr>
                    <w:t>空间布局约束</w:t>
                  </w:r>
                </w:p>
              </w:tc>
              <w:tc>
                <w:tcPr>
                  <w:tcW w:w="1554" w:type="pct"/>
                  <w:tcBorders>
                    <w:tl2br w:val="nil"/>
                    <w:tr2bl w:val="nil"/>
                  </w:tcBorders>
                  <w:shd w:val="clear" w:color="auto" w:fill="auto"/>
                  <w:vAlign w:val="center"/>
                </w:tcPr>
                <w:p>
                  <w:pPr>
                    <w:pStyle w:val="17"/>
                    <w:widowControl w:val="0"/>
                    <w:bidi w:val="0"/>
                    <w:rPr>
                      <w:color w:val="auto"/>
                      <w:highlight w:val="none"/>
                    </w:rPr>
                  </w:pPr>
                  <w:r>
                    <w:rPr>
                      <w:rFonts w:hint="eastAsia"/>
                      <w:color w:val="auto"/>
                      <w:highlight w:val="none"/>
                    </w:rPr>
                    <w:t>执行自治区、乌昌石片区总体准入要求中关于重点管控单元空间布局约束的准入要求（表2-3 A6.1）。</w:t>
                  </w:r>
                </w:p>
              </w:tc>
              <w:tc>
                <w:tcPr>
                  <w:tcW w:w="2243" w:type="pct"/>
                  <w:tcBorders>
                    <w:tl2br w:val="nil"/>
                    <w:tr2bl w:val="nil"/>
                  </w:tcBorders>
                  <w:shd w:val="clear" w:color="auto" w:fill="auto"/>
                  <w:vAlign w:val="center"/>
                </w:tcPr>
                <w:p>
                  <w:pPr>
                    <w:pStyle w:val="17"/>
                    <w:widowControl w:val="0"/>
                    <w:bidi w:val="0"/>
                    <w:rPr>
                      <w:rFonts w:hint="eastAsia"/>
                      <w:color w:val="auto"/>
                      <w:highlight w:val="none"/>
                      <w:lang w:val="en-US" w:eastAsia="zh-CN"/>
                    </w:rPr>
                  </w:pPr>
                  <w:r>
                    <w:rPr>
                      <w:rFonts w:hint="eastAsia"/>
                      <w:color w:val="auto"/>
                      <w:highlight w:val="none"/>
                    </w:rPr>
                    <w:t xml:space="preserve">不属于“高污染、高环境风险产品”的工业项目；不涉及表2-3 </w:t>
                  </w:r>
                  <w:r>
                    <w:rPr>
                      <w:rFonts w:hint="eastAsia"/>
                      <w:color w:val="auto"/>
                      <w:highlight w:val="none"/>
                      <w:lang w:val="en-US" w:eastAsia="zh-CN"/>
                    </w:rPr>
                    <w:t xml:space="preserve"> </w:t>
                  </w:r>
                  <w:r>
                    <w:rPr>
                      <w:rFonts w:hint="eastAsia"/>
                      <w:color w:val="auto"/>
                      <w:highlight w:val="none"/>
                    </w:rPr>
                    <w:t>A6.1中的相关要求。</w:t>
                  </w:r>
                </w:p>
              </w:tc>
              <w:tc>
                <w:tcPr>
                  <w:tcW w:w="312" w:type="pct"/>
                  <w:tcBorders>
                    <w:tl2br w:val="nil"/>
                    <w:tr2bl w:val="nil"/>
                  </w:tcBorders>
                  <w:vAlign w:val="center"/>
                </w:tcPr>
                <w:p>
                  <w:pPr>
                    <w:pStyle w:val="17"/>
                    <w:widowControl w:val="0"/>
                    <w:bidi w:val="0"/>
                    <w:rPr>
                      <w:rFonts w:hint="eastAsia"/>
                      <w:color w:val="auto"/>
                      <w:lang w:val="en-US" w:eastAsia="zh-CN"/>
                    </w:rPr>
                  </w:pPr>
                  <w:r>
                    <w:rPr>
                      <w:rFonts w:hint="eastAsia"/>
                      <w:color w:val="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88" w:type="pct"/>
                  <w:vMerge w:val="continue"/>
                  <w:tcBorders>
                    <w:tl2br w:val="nil"/>
                    <w:tr2bl w:val="nil"/>
                  </w:tcBorders>
                  <w:shd w:val="clear" w:color="auto" w:fill="auto"/>
                  <w:vAlign w:val="center"/>
                </w:tcPr>
                <w:p>
                  <w:pPr>
                    <w:pStyle w:val="17"/>
                    <w:widowControl w:val="0"/>
                    <w:bidi w:val="0"/>
                    <w:rPr>
                      <w:color w:val="auto"/>
                      <w:highlight w:val="none"/>
                    </w:rPr>
                  </w:pPr>
                </w:p>
              </w:tc>
              <w:tc>
                <w:tcPr>
                  <w:tcW w:w="402" w:type="pct"/>
                  <w:tcBorders>
                    <w:tl2br w:val="nil"/>
                    <w:tr2bl w:val="nil"/>
                  </w:tcBorders>
                  <w:shd w:val="clear" w:color="auto" w:fill="auto"/>
                  <w:vAlign w:val="center"/>
                </w:tcPr>
                <w:p>
                  <w:pPr>
                    <w:pStyle w:val="17"/>
                    <w:widowControl w:val="0"/>
                    <w:bidi w:val="0"/>
                    <w:rPr>
                      <w:color w:val="auto"/>
                      <w:highlight w:val="none"/>
                    </w:rPr>
                  </w:pPr>
                  <w:r>
                    <w:rPr>
                      <w:rFonts w:hint="default"/>
                      <w:color w:val="auto"/>
                      <w:highlight w:val="none"/>
                    </w:rPr>
                    <w:t>污染物排放管控</w:t>
                  </w:r>
                </w:p>
              </w:tc>
              <w:tc>
                <w:tcPr>
                  <w:tcW w:w="1554" w:type="pct"/>
                  <w:tcBorders>
                    <w:tl2br w:val="nil"/>
                    <w:tr2bl w:val="nil"/>
                  </w:tcBorders>
                  <w:shd w:val="clear" w:color="auto" w:fill="auto"/>
                  <w:vAlign w:val="center"/>
                </w:tcPr>
                <w:p>
                  <w:pPr>
                    <w:pStyle w:val="17"/>
                    <w:widowControl w:val="0"/>
                    <w:bidi w:val="0"/>
                    <w:rPr>
                      <w:color w:val="auto"/>
                      <w:highlight w:val="none"/>
                    </w:rPr>
                  </w:pPr>
                  <w:r>
                    <w:rPr>
                      <w:rFonts w:hint="eastAsia"/>
                      <w:color w:val="auto"/>
                      <w:highlight w:val="none"/>
                    </w:rPr>
                    <w:t>执行自治区、乌昌石片区总体准入要求中关于重点管控单元污染物排放管控的准入要求（表2-3</w:t>
                  </w:r>
                  <w:r>
                    <w:rPr>
                      <w:color w:val="auto"/>
                      <w:highlight w:val="none"/>
                    </w:rPr>
                    <w:t xml:space="preserve"> </w:t>
                  </w:r>
                  <w:r>
                    <w:rPr>
                      <w:rFonts w:hint="eastAsia"/>
                      <w:color w:val="auto"/>
                      <w:highlight w:val="none"/>
                    </w:rPr>
                    <w:t>A6.2）。</w:t>
                  </w:r>
                </w:p>
              </w:tc>
              <w:tc>
                <w:tcPr>
                  <w:tcW w:w="2243" w:type="pct"/>
                  <w:tcBorders>
                    <w:tl2br w:val="nil"/>
                    <w:tr2bl w:val="nil"/>
                  </w:tcBorders>
                  <w:shd w:val="clear" w:color="auto" w:fill="auto"/>
                  <w:vAlign w:val="center"/>
                </w:tcPr>
                <w:p>
                  <w:pPr>
                    <w:pStyle w:val="17"/>
                    <w:widowControl w:val="0"/>
                    <w:bidi w:val="0"/>
                    <w:rPr>
                      <w:rFonts w:hint="eastAsia"/>
                      <w:color w:val="auto"/>
                      <w:highlight w:val="none"/>
                      <w:lang w:val="en-US" w:eastAsia="zh-CN"/>
                    </w:rPr>
                  </w:pPr>
                  <w:r>
                    <w:rPr>
                      <w:rFonts w:hint="eastAsia"/>
                      <w:color w:val="auto"/>
                      <w:highlight w:val="none"/>
                    </w:rPr>
                    <w:t>钻试周期短且无运营期，不提出总量控制指标；钻井过程中使用水泥固井，用套管将含水层与井筒分隔开，井场重点区域均采取了符合规范的防渗措施，不会对土壤和地下水环境产生不利影响；不涉及表2-3 A6.2中的相关要求。</w:t>
                  </w:r>
                </w:p>
              </w:tc>
              <w:tc>
                <w:tcPr>
                  <w:tcW w:w="312" w:type="pct"/>
                  <w:tcBorders>
                    <w:tl2br w:val="nil"/>
                    <w:tr2bl w:val="nil"/>
                  </w:tcBorders>
                  <w:vAlign w:val="center"/>
                </w:tcPr>
                <w:p>
                  <w:pPr>
                    <w:pStyle w:val="17"/>
                    <w:widowControl w:val="0"/>
                    <w:bidi w:val="0"/>
                    <w:rPr>
                      <w:rFonts w:hint="eastAsia"/>
                      <w:color w:val="auto"/>
                      <w:lang w:val="en-US" w:eastAsia="zh-CN"/>
                    </w:rPr>
                  </w:pPr>
                  <w:r>
                    <w:rPr>
                      <w:rFonts w:hint="eastAsia"/>
                      <w:color w:val="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88" w:type="pct"/>
                  <w:vMerge w:val="continue"/>
                  <w:tcBorders>
                    <w:tl2br w:val="nil"/>
                    <w:tr2bl w:val="nil"/>
                  </w:tcBorders>
                  <w:shd w:val="clear" w:color="auto" w:fill="auto"/>
                  <w:vAlign w:val="center"/>
                </w:tcPr>
                <w:p>
                  <w:pPr>
                    <w:pStyle w:val="17"/>
                    <w:widowControl w:val="0"/>
                    <w:bidi w:val="0"/>
                    <w:rPr>
                      <w:color w:val="auto"/>
                      <w:highlight w:val="none"/>
                    </w:rPr>
                  </w:pPr>
                </w:p>
              </w:tc>
              <w:tc>
                <w:tcPr>
                  <w:tcW w:w="402" w:type="pct"/>
                  <w:tcBorders>
                    <w:tl2br w:val="nil"/>
                    <w:tr2bl w:val="nil"/>
                  </w:tcBorders>
                  <w:shd w:val="clear" w:color="auto" w:fill="auto"/>
                  <w:vAlign w:val="center"/>
                </w:tcPr>
                <w:p>
                  <w:pPr>
                    <w:pStyle w:val="17"/>
                    <w:widowControl w:val="0"/>
                    <w:bidi w:val="0"/>
                    <w:rPr>
                      <w:color w:val="auto"/>
                      <w:highlight w:val="none"/>
                    </w:rPr>
                  </w:pPr>
                  <w:r>
                    <w:rPr>
                      <w:rFonts w:hint="default"/>
                      <w:color w:val="auto"/>
                      <w:highlight w:val="none"/>
                    </w:rPr>
                    <w:t>环境风险防控</w:t>
                  </w:r>
                </w:p>
              </w:tc>
              <w:tc>
                <w:tcPr>
                  <w:tcW w:w="1554" w:type="pct"/>
                  <w:tcBorders>
                    <w:tl2br w:val="nil"/>
                    <w:tr2bl w:val="nil"/>
                  </w:tcBorders>
                  <w:shd w:val="clear" w:color="auto" w:fill="auto"/>
                  <w:vAlign w:val="center"/>
                </w:tcPr>
                <w:p>
                  <w:pPr>
                    <w:pStyle w:val="17"/>
                    <w:widowControl w:val="0"/>
                    <w:bidi w:val="0"/>
                    <w:rPr>
                      <w:color w:val="auto"/>
                      <w:highlight w:val="none"/>
                    </w:rPr>
                  </w:pPr>
                  <w:r>
                    <w:rPr>
                      <w:rFonts w:hint="eastAsia"/>
                      <w:color w:val="auto"/>
                      <w:highlight w:val="none"/>
                    </w:rPr>
                    <w:t>执行自治区、乌昌石片区总体准入要求中关于重点管控单元环境风险防控的准入要求（表2-3 A6.3）。</w:t>
                  </w:r>
                </w:p>
              </w:tc>
              <w:tc>
                <w:tcPr>
                  <w:tcW w:w="2243" w:type="pct"/>
                  <w:tcBorders>
                    <w:tl2br w:val="nil"/>
                    <w:tr2bl w:val="nil"/>
                  </w:tcBorders>
                  <w:shd w:val="clear" w:color="auto" w:fill="auto"/>
                  <w:vAlign w:val="center"/>
                </w:tcPr>
                <w:p>
                  <w:pPr>
                    <w:pStyle w:val="17"/>
                    <w:widowControl w:val="0"/>
                    <w:bidi w:val="0"/>
                    <w:rPr>
                      <w:rFonts w:hint="eastAsia"/>
                      <w:color w:val="auto"/>
                      <w:highlight w:val="none"/>
                      <w:lang w:val="en-US" w:eastAsia="zh-CN"/>
                    </w:rPr>
                  </w:pPr>
                  <w:r>
                    <w:rPr>
                      <w:rFonts w:hint="eastAsia"/>
                      <w:color w:val="auto"/>
                      <w:highlight w:val="none"/>
                    </w:rPr>
                    <w:t>项目在实施过程中的环境管理执行</w:t>
                  </w:r>
                  <w:r>
                    <w:rPr>
                      <w:rFonts w:hint="default"/>
                      <w:color w:val="auto"/>
                      <w:highlight w:val="none"/>
                      <w:lang w:eastAsia="zh-CN"/>
                    </w:rPr>
                    <w:t>中国石油天然气股份有限公司吐哈油田分公司准东采油管理区</w:t>
                  </w:r>
                  <w:r>
                    <w:rPr>
                      <w:rFonts w:hint="eastAsia"/>
                      <w:color w:val="auto"/>
                      <w:highlight w:val="none"/>
                    </w:rPr>
                    <w:t>已建立的健康、安全与环境管理体系(HSE管理体系），钻试期均纳入《</w:t>
                  </w:r>
                  <w:r>
                    <w:rPr>
                      <w:rFonts w:hint="default"/>
                      <w:color w:val="auto"/>
                      <w:highlight w:val="none"/>
                      <w:lang w:eastAsia="zh-CN"/>
                    </w:rPr>
                    <w:t>中国石油天然气股份有限公司吐哈油田分公司准东采油管理区</w:t>
                  </w:r>
                  <w:r>
                    <w:rPr>
                      <w:rFonts w:hint="eastAsia"/>
                      <w:color w:val="auto"/>
                      <w:highlight w:val="none"/>
                    </w:rPr>
                    <w:t>突发环境事件应急预案》，符合表2-3 A6.3中的相关要求。</w:t>
                  </w:r>
                </w:p>
              </w:tc>
              <w:tc>
                <w:tcPr>
                  <w:tcW w:w="312" w:type="pct"/>
                  <w:tcBorders>
                    <w:tl2br w:val="nil"/>
                    <w:tr2bl w:val="nil"/>
                  </w:tcBorders>
                  <w:vAlign w:val="center"/>
                </w:tcPr>
                <w:p>
                  <w:pPr>
                    <w:pStyle w:val="17"/>
                    <w:widowControl w:val="0"/>
                    <w:bidi w:val="0"/>
                    <w:rPr>
                      <w:rFonts w:hint="eastAsia"/>
                      <w:color w:val="auto"/>
                      <w:lang w:val="en-US" w:eastAsia="zh-CN"/>
                    </w:rPr>
                  </w:pPr>
                  <w:r>
                    <w:rPr>
                      <w:rFonts w:hint="eastAsia"/>
                      <w:color w:val="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88" w:type="pct"/>
                  <w:vMerge w:val="continue"/>
                  <w:tcBorders>
                    <w:tl2br w:val="nil"/>
                    <w:tr2bl w:val="nil"/>
                  </w:tcBorders>
                  <w:shd w:val="clear" w:color="auto" w:fill="auto"/>
                  <w:vAlign w:val="center"/>
                </w:tcPr>
                <w:p>
                  <w:pPr>
                    <w:pStyle w:val="17"/>
                    <w:widowControl w:val="0"/>
                    <w:bidi w:val="0"/>
                    <w:rPr>
                      <w:color w:val="auto"/>
                      <w:highlight w:val="none"/>
                    </w:rPr>
                  </w:pPr>
                </w:p>
              </w:tc>
              <w:tc>
                <w:tcPr>
                  <w:tcW w:w="402" w:type="pct"/>
                  <w:tcBorders>
                    <w:tl2br w:val="nil"/>
                    <w:tr2bl w:val="nil"/>
                  </w:tcBorders>
                  <w:shd w:val="clear" w:color="auto" w:fill="auto"/>
                  <w:vAlign w:val="center"/>
                </w:tcPr>
                <w:p>
                  <w:pPr>
                    <w:pStyle w:val="17"/>
                    <w:widowControl w:val="0"/>
                    <w:bidi w:val="0"/>
                    <w:rPr>
                      <w:color w:val="auto"/>
                      <w:highlight w:val="none"/>
                    </w:rPr>
                  </w:pPr>
                  <w:r>
                    <w:rPr>
                      <w:rFonts w:hint="default"/>
                      <w:color w:val="auto"/>
                      <w:highlight w:val="none"/>
                    </w:rPr>
                    <w:t>资源利用效率</w:t>
                  </w:r>
                </w:p>
              </w:tc>
              <w:tc>
                <w:tcPr>
                  <w:tcW w:w="1554" w:type="pct"/>
                  <w:tcBorders>
                    <w:tl2br w:val="nil"/>
                    <w:tr2bl w:val="nil"/>
                  </w:tcBorders>
                  <w:shd w:val="clear" w:color="auto" w:fill="auto"/>
                  <w:vAlign w:val="center"/>
                </w:tcPr>
                <w:p>
                  <w:pPr>
                    <w:pStyle w:val="17"/>
                    <w:widowControl w:val="0"/>
                    <w:bidi w:val="0"/>
                    <w:rPr>
                      <w:color w:val="auto"/>
                      <w:highlight w:val="none"/>
                    </w:rPr>
                  </w:pPr>
                  <w:r>
                    <w:rPr>
                      <w:rFonts w:hint="eastAsia"/>
                      <w:color w:val="auto"/>
                      <w:highlight w:val="none"/>
                    </w:rPr>
                    <w:t>1、执行自治区、乌昌石片区总体准入要求中关于重点管控单元资源利用效率的准入要求（表2-3A6.4）。</w:t>
                  </w:r>
                </w:p>
                <w:p>
                  <w:pPr>
                    <w:pStyle w:val="17"/>
                    <w:widowControl w:val="0"/>
                    <w:bidi w:val="0"/>
                    <w:rPr>
                      <w:color w:val="auto"/>
                      <w:highlight w:val="none"/>
                    </w:rPr>
                  </w:pPr>
                  <w:r>
                    <w:rPr>
                      <w:rFonts w:hint="eastAsia"/>
                      <w:color w:val="auto"/>
                      <w:highlight w:val="none"/>
                    </w:rPr>
                    <w:t>2、合理配置地表水、地下水，从严控制地下水取水总量。</w:t>
                  </w:r>
                </w:p>
              </w:tc>
              <w:tc>
                <w:tcPr>
                  <w:tcW w:w="2243" w:type="pct"/>
                  <w:tcBorders>
                    <w:tl2br w:val="nil"/>
                    <w:tr2bl w:val="nil"/>
                  </w:tcBorders>
                  <w:shd w:val="clear" w:color="auto" w:fill="auto"/>
                  <w:vAlign w:val="center"/>
                </w:tcPr>
                <w:p>
                  <w:pPr>
                    <w:pStyle w:val="17"/>
                    <w:widowControl w:val="0"/>
                    <w:bidi w:val="0"/>
                    <w:rPr>
                      <w:rFonts w:hint="eastAsia"/>
                      <w:color w:val="auto"/>
                      <w:highlight w:val="none"/>
                      <w:lang w:val="en-US" w:eastAsia="zh-CN"/>
                    </w:rPr>
                  </w:pPr>
                  <w:r>
                    <w:rPr>
                      <w:rFonts w:hint="eastAsia"/>
                      <w:color w:val="auto"/>
                      <w:highlight w:val="none"/>
                    </w:rPr>
                    <w:t>新鲜水用量少且就近拉运，不开采地下水；不涉及表2-3A6.4中的相关要求。</w:t>
                  </w:r>
                </w:p>
              </w:tc>
              <w:tc>
                <w:tcPr>
                  <w:tcW w:w="312" w:type="pct"/>
                  <w:tcBorders>
                    <w:tl2br w:val="nil"/>
                    <w:tr2bl w:val="nil"/>
                  </w:tcBorders>
                  <w:vAlign w:val="center"/>
                </w:tcPr>
                <w:p>
                  <w:pPr>
                    <w:pStyle w:val="17"/>
                    <w:widowControl w:val="0"/>
                    <w:bidi w:val="0"/>
                    <w:rPr>
                      <w:rFonts w:hint="eastAsia"/>
                      <w:color w:val="auto"/>
                      <w:lang w:val="en-US" w:eastAsia="zh-CN"/>
                    </w:rPr>
                  </w:pPr>
                  <w:r>
                    <w:rPr>
                      <w:rFonts w:hint="eastAsia"/>
                      <w:color w:val="auto"/>
                      <w:lang w:val="en-US" w:eastAsia="zh-CN"/>
                    </w:rPr>
                    <w:t>符合</w:t>
                  </w:r>
                </w:p>
              </w:tc>
            </w:tr>
          </w:tbl>
          <w:p>
            <w:pPr>
              <w:pStyle w:val="4"/>
              <w:bidi w:val="0"/>
              <w:rPr>
                <w:rFonts w:hint="default"/>
                <w:color w:val="auto"/>
              </w:rPr>
            </w:pPr>
            <w:r>
              <w:rPr>
                <w:rFonts w:hint="eastAsia"/>
                <w:color w:val="auto"/>
                <w:lang w:val="en-US" w:eastAsia="zh-CN"/>
              </w:rPr>
              <w:t>4</w:t>
            </w:r>
            <w:r>
              <w:rPr>
                <w:rFonts w:hint="default"/>
                <w:color w:val="auto"/>
              </w:rPr>
              <w:t>、与《石油天然气开采业污染防治技术政策》符合性分析</w:t>
            </w:r>
          </w:p>
          <w:p>
            <w:pPr>
              <w:spacing w:before="0" w:beforeLines="0" w:line="36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w:t>
            </w:r>
            <w:r>
              <w:rPr>
                <w:rFonts w:hint="eastAsia" w:cs="Times New Roman"/>
                <w:b/>
                <w:bCs w:val="0"/>
                <w:color w:val="auto"/>
                <w:sz w:val="21"/>
                <w:szCs w:val="21"/>
                <w:lang w:val="en-US" w:eastAsia="zh-CN"/>
              </w:rPr>
              <w:t>1-3</w:t>
            </w:r>
            <w:r>
              <w:rPr>
                <w:rFonts w:hint="default" w:ascii="Times New Roman" w:hAnsi="Times New Roman" w:eastAsia="宋体" w:cs="Times New Roman"/>
                <w:b/>
                <w:bCs w:val="0"/>
                <w:color w:val="auto"/>
                <w:sz w:val="21"/>
                <w:szCs w:val="21"/>
              </w:rPr>
              <w:t xml:space="preserve">   与《石油天然气开采业污染防治技术政策》的相符性分析</w:t>
            </w:r>
          </w:p>
          <w:tbl>
            <w:tblPr>
              <w:tblStyle w:val="1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76"/>
              <w:gridCol w:w="3221"/>
              <w:gridCol w:w="3067"/>
              <w:gridCol w:w="5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trPr>
              <w:tc>
                <w:tcPr>
                  <w:tcW w:w="327" w:type="pct"/>
                  <w:tcMar>
                    <w:left w:w="0" w:type="dxa"/>
                    <w:right w:w="0" w:type="dxa"/>
                  </w:tcMar>
                  <w:vAlign w:val="center"/>
                </w:tcPr>
                <w:p>
                  <w:pPr>
                    <w:pStyle w:val="17"/>
                    <w:bidi w:val="0"/>
                    <w:rPr>
                      <w:rFonts w:hint="default"/>
                      <w:b/>
                      <w:bCs/>
                      <w:color w:val="auto"/>
                    </w:rPr>
                  </w:pPr>
                  <w:r>
                    <w:rPr>
                      <w:rFonts w:hint="default"/>
                      <w:b/>
                      <w:bCs/>
                      <w:color w:val="auto"/>
                    </w:rPr>
                    <w:t>序号</w:t>
                  </w:r>
                </w:p>
              </w:tc>
              <w:tc>
                <w:tcPr>
                  <w:tcW w:w="2212" w:type="pct"/>
                  <w:tcMar>
                    <w:left w:w="0" w:type="dxa"/>
                    <w:right w:w="0" w:type="dxa"/>
                  </w:tcMar>
                  <w:vAlign w:val="center"/>
                </w:tcPr>
                <w:p>
                  <w:pPr>
                    <w:pStyle w:val="17"/>
                    <w:bidi w:val="0"/>
                    <w:rPr>
                      <w:rFonts w:hint="default"/>
                      <w:b/>
                      <w:bCs/>
                      <w:color w:val="auto"/>
                    </w:rPr>
                  </w:pPr>
                  <w:r>
                    <w:rPr>
                      <w:rFonts w:hint="default"/>
                      <w:b/>
                      <w:bCs/>
                      <w:color w:val="auto"/>
                    </w:rPr>
                    <w:t>《技术政策》中相关规定</w:t>
                  </w:r>
                </w:p>
              </w:tc>
              <w:tc>
                <w:tcPr>
                  <w:tcW w:w="2106" w:type="pct"/>
                  <w:tcMar>
                    <w:left w:w="0" w:type="dxa"/>
                    <w:right w:w="0" w:type="dxa"/>
                  </w:tcMar>
                  <w:vAlign w:val="center"/>
                </w:tcPr>
                <w:p>
                  <w:pPr>
                    <w:pStyle w:val="17"/>
                    <w:bidi w:val="0"/>
                    <w:rPr>
                      <w:rFonts w:hint="default"/>
                      <w:b/>
                      <w:bCs/>
                      <w:color w:val="auto"/>
                    </w:rPr>
                  </w:pPr>
                  <w:r>
                    <w:rPr>
                      <w:rFonts w:hint="default"/>
                      <w:b/>
                      <w:bCs/>
                      <w:color w:val="auto"/>
                    </w:rPr>
                    <w:t>本项目采取的相关措施</w:t>
                  </w:r>
                </w:p>
              </w:tc>
              <w:tc>
                <w:tcPr>
                  <w:tcW w:w="353" w:type="pct"/>
                  <w:tcMar>
                    <w:left w:w="0" w:type="dxa"/>
                    <w:right w:w="0" w:type="dxa"/>
                  </w:tcMar>
                  <w:vAlign w:val="center"/>
                </w:tcPr>
                <w:p>
                  <w:pPr>
                    <w:pStyle w:val="17"/>
                    <w:bidi w:val="0"/>
                    <w:rPr>
                      <w:rFonts w:hint="default"/>
                      <w:b/>
                      <w:bCs/>
                      <w:color w:val="auto"/>
                    </w:rPr>
                  </w:pPr>
                  <w:r>
                    <w:rPr>
                      <w:rFonts w:hint="default"/>
                      <w:b/>
                      <w:bCs/>
                      <w:color w:val="auto"/>
                    </w:rPr>
                    <w:t>分析结论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327" w:type="pct"/>
                  <w:tcMar>
                    <w:left w:w="0" w:type="dxa"/>
                    <w:right w:w="0" w:type="dxa"/>
                  </w:tcMar>
                  <w:vAlign w:val="center"/>
                </w:tcPr>
                <w:p>
                  <w:pPr>
                    <w:pStyle w:val="17"/>
                    <w:bidi w:val="0"/>
                    <w:rPr>
                      <w:rFonts w:hint="default"/>
                      <w:color w:val="auto"/>
                    </w:rPr>
                  </w:pPr>
                  <w:r>
                    <w:rPr>
                      <w:rFonts w:hint="default"/>
                      <w:color w:val="auto"/>
                    </w:rPr>
                    <w:t>1</w:t>
                  </w:r>
                </w:p>
              </w:tc>
              <w:tc>
                <w:tcPr>
                  <w:tcW w:w="2212" w:type="pct"/>
                  <w:tcMar>
                    <w:left w:w="0" w:type="dxa"/>
                    <w:right w:w="0" w:type="dxa"/>
                  </w:tcMar>
                  <w:vAlign w:val="center"/>
                </w:tcPr>
                <w:p>
                  <w:pPr>
                    <w:pStyle w:val="17"/>
                    <w:bidi w:val="0"/>
                    <w:rPr>
                      <w:rFonts w:hint="default"/>
                      <w:color w:val="auto"/>
                    </w:rPr>
                  </w:pPr>
                  <w:r>
                    <w:rPr>
                      <w:rFonts w:hint="default"/>
                      <w:color w:val="auto"/>
                    </w:rPr>
                    <w:t>在钻井过程中，鼓励采用环境友好的钻井液体系；配备完善的固控设备，钻井液循环率达到95%以上；钻井过程产生的废水应回用</w:t>
                  </w:r>
                </w:p>
              </w:tc>
              <w:tc>
                <w:tcPr>
                  <w:tcW w:w="2106" w:type="pct"/>
                  <w:tcMar>
                    <w:left w:w="0" w:type="dxa"/>
                    <w:right w:w="0" w:type="dxa"/>
                  </w:tcMar>
                  <w:vAlign w:val="center"/>
                </w:tcPr>
                <w:p>
                  <w:pPr>
                    <w:pStyle w:val="17"/>
                    <w:bidi w:val="0"/>
                    <w:rPr>
                      <w:rFonts w:hint="default"/>
                      <w:color w:val="auto"/>
                    </w:rPr>
                  </w:pPr>
                  <w:r>
                    <w:rPr>
                      <w:rFonts w:hint="default"/>
                      <w:color w:val="auto"/>
                    </w:rPr>
                    <w:t>井场设钻井液不落地设备，钻井</w:t>
                  </w:r>
                  <w:r>
                    <w:rPr>
                      <w:rFonts w:hint="eastAsia"/>
                      <w:color w:val="auto"/>
                      <w:lang w:val="en-US" w:eastAsia="zh-CN"/>
                    </w:rPr>
                    <w:t>一开</w:t>
                  </w:r>
                  <w:r>
                    <w:rPr>
                      <w:rFonts w:hint="default"/>
                      <w:color w:val="auto"/>
                    </w:rPr>
                    <w:t>采用水基钻井液，</w:t>
                  </w:r>
                  <w:r>
                    <w:rPr>
                      <w:rFonts w:hint="eastAsia"/>
                      <w:color w:val="auto"/>
                      <w:lang w:val="en-US" w:eastAsia="zh-CN"/>
                    </w:rPr>
                    <w:t>二开采用油基钻井液；</w:t>
                  </w:r>
                  <w:r>
                    <w:rPr>
                      <w:rFonts w:hint="default"/>
                      <w:color w:val="auto"/>
                    </w:rPr>
                    <w:t>分离出的液相回用于钻井，处理满足相应要求后用于铺垫井场、进场道路等综合利用，油基钻井岩屑和废弃油基钻井泥浆委托有资质的单位进行处置；钻井过程无废水产生；试油废水由专用罐车拉运至吉祥联合站采出水处理系统进行处理</w:t>
                  </w:r>
                </w:p>
              </w:tc>
              <w:tc>
                <w:tcPr>
                  <w:tcW w:w="353" w:type="pct"/>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327" w:type="pct"/>
                  <w:tcMar>
                    <w:left w:w="0" w:type="dxa"/>
                    <w:right w:w="0" w:type="dxa"/>
                  </w:tcMar>
                  <w:vAlign w:val="center"/>
                </w:tcPr>
                <w:p>
                  <w:pPr>
                    <w:pStyle w:val="17"/>
                    <w:bidi w:val="0"/>
                    <w:rPr>
                      <w:rFonts w:hint="default"/>
                      <w:color w:val="auto"/>
                    </w:rPr>
                  </w:pPr>
                  <w:r>
                    <w:rPr>
                      <w:rFonts w:hint="default"/>
                      <w:color w:val="auto"/>
                    </w:rPr>
                    <w:t>2</w:t>
                  </w:r>
                </w:p>
              </w:tc>
              <w:tc>
                <w:tcPr>
                  <w:tcW w:w="2212" w:type="pct"/>
                  <w:tcMar>
                    <w:left w:w="0" w:type="dxa"/>
                    <w:right w:w="0" w:type="dxa"/>
                  </w:tcMar>
                  <w:vAlign w:val="center"/>
                </w:tcPr>
                <w:p>
                  <w:pPr>
                    <w:pStyle w:val="17"/>
                    <w:bidi w:val="0"/>
                    <w:rPr>
                      <w:rFonts w:hint="default"/>
                      <w:color w:val="auto"/>
                    </w:rPr>
                  </w:pPr>
                  <w:r>
                    <w:rPr>
                      <w:rFonts w:hint="default"/>
                      <w:color w:val="auto"/>
                    </w:rPr>
                    <w:t>在钻井和井下作业过程中，鼓励污油、污水进入生产流程循环利用，未进入生产流程的污油、污水应采用固液分离、废水处理一体化装置等处理后达标外排</w:t>
                  </w:r>
                </w:p>
              </w:tc>
              <w:tc>
                <w:tcPr>
                  <w:tcW w:w="2106" w:type="pct"/>
                  <w:tcMar>
                    <w:left w:w="0" w:type="dxa"/>
                    <w:right w:w="0" w:type="dxa"/>
                  </w:tcMar>
                  <w:vAlign w:val="center"/>
                </w:tcPr>
                <w:p>
                  <w:pPr>
                    <w:pStyle w:val="17"/>
                    <w:bidi w:val="0"/>
                    <w:rPr>
                      <w:rFonts w:hint="default"/>
                      <w:color w:val="auto"/>
                    </w:rPr>
                  </w:pPr>
                  <w:r>
                    <w:rPr>
                      <w:rFonts w:hint="default"/>
                      <w:color w:val="auto"/>
                    </w:rPr>
                    <w:t>井场设钻井液不落地设备，分离出的液相回用于钻井；钻井过程无废水产生，试油过程产生的试油废水由专用罐收集，拉运至</w:t>
                  </w:r>
                  <w:r>
                    <w:rPr>
                      <w:rFonts w:hint="default"/>
                      <w:color w:val="auto"/>
                      <w:lang w:eastAsia="zh-CN"/>
                    </w:rPr>
                    <w:t>吉祥联合站</w:t>
                  </w:r>
                  <w:r>
                    <w:rPr>
                      <w:rFonts w:hint="default"/>
                      <w:color w:val="auto"/>
                    </w:rPr>
                    <w:t>采出水处理系统进行处理，不外排</w:t>
                  </w:r>
                </w:p>
              </w:tc>
              <w:tc>
                <w:tcPr>
                  <w:tcW w:w="353" w:type="pct"/>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74" w:hRule="atLeast"/>
              </w:trPr>
              <w:tc>
                <w:tcPr>
                  <w:tcW w:w="327" w:type="pct"/>
                  <w:tcMar>
                    <w:left w:w="0" w:type="dxa"/>
                    <w:right w:w="0" w:type="dxa"/>
                  </w:tcMar>
                  <w:vAlign w:val="center"/>
                </w:tcPr>
                <w:p>
                  <w:pPr>
                    <w:pStyle w:val="17"/>
                    <w:bidi w:val="0"/>
                    <w:rPr>
                      <w:rFonts w:hint="default"/>
                      <w:color w:val="auto"/>
                    </w:rPr>
                  </w:pPr>
                  <w:r>
                    <w:rPr>
                      <w:rFonts w:hint="default"/>
                      <w:color w:val="auto"/>
                    </w:rPr>
                    <w:t>3</w:t>
                  </w:r>
                </w:p>
              </w:tc>
              <w:tc>
                <w:tcPr>
                  <w:tcW w:w="2212" w:type="pct"/>
                  <w:tcMar>
                    <w:left w:w="0" w:type="dxa"/>
                    <w:right w:w="0" w:type="dxa"/>
                  </w:tcMar>
                  <w:vAlign w:val="center"/>
                </w:tcPr>
                <w:p>
                  <w:pPr>
                    <w:pStyle w:val="17"/>
                    <w:bidi w:val="0"/>
                    <w:rPr>
                      <w:rFonts w:hint="default"/>
                      <w:color w:val="auto"/>
                    </w:rPr>
                  </w:pPr>
                  <w:r>
                    <w:rPr>
                      <w:rFonts w:hint="default"/>
                      <w:color w:val="auto"/>
                    </w:rPr>
                    <w:t>在井下作业过程中，酸化液和压裂液宜集中配制，酸化残液、压裂残液和返排液应回收利用或进行无害化处置，压裂放喷返排入罐率应达到100%。酸化、压裂作业和试油（气）过程应采取地面管线防刺、防漏、防溢等措施</w:t>
                  </w:r>
                </w:p>
              </w:tc>
              <w:tc>
                <w:tcPr>
                  <w:tcW w:w="2106" w:type="pct"/>
                  <w:tcMar>
                    <w:left w:w="0" w:type="dxa"/>
                    <w:right w:w="0" w:type="dxa"/>
                  </w:tcMar>
                  <w:vAlign w:val="center"/>
                </w:tcPr>
                <w:p>
                  <w:pPr>
                    <w:pStyle w:val="17"/>
                    <w:bidi w:val="0"/>
                    <w:rPr>
                      <w:rFonts w:hint="default"/>
                      <w:color w:val="auto"/>
                    </w:rPr>
                  </w:pPr>
                  <w:r>
                    <w:rPr>
                      <w:rFonts w:hint="default"/>
                      <w:color w:val="auto"/>
                    </w:rPr>
                    <w:t>本项目在压裂过程中不使用酸化压裂液，压裂结束后压裂返排液与其他采出物一同进入地面方罐，由专用罐车拉运至</w:t>
                  </w:r>
                  <w:r>
                    <w:rPr>
                      <w:rFonts w:hint="default"/>
                      <w:color w:val="auto"/>
                      <w:lang w:eastAsia="zh-CN"/>
                    </w:rPr>
                    <w:t>吉祥联合站</w:t>
                  </w:r>
                  <w:r>
                    <w:rPr>
                      <w:rFonts w:hint="default"/>
                      <w:color w:val="auto"/>
                    </w:rPr>
                    <w:t>处理</w:t>
                  </w:r>
                </w:p>
              </w:tc>
              <w:tc>
                <w:tcPr>
                  <w:tcW w:w="353" w:type="pct"/>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0" w:hRule="atLeast"/>
              </w:trPr>
              <w:tc>
                <w:tcPr>
                  <w:tcW w:w="327" w:type="pct"/>
                  <w:tcMar>
                    <w:left w:w="0" w:type="dxa"/>
                    <w:right w:w="0" w:type="dxa"/>
                  </w:tcMar>
                  <w:vAlign w:val="center"/>
                </w:tcPr>
                <w:p>
                  <w:pPr>
                    <w:pStyle w:val="17"/>
                    <w:bidi w:val="0"/>
                    <w:rPr>
                      <w:rFonts w:hint="default"/>
                      <w:color w:val="auto"/>
                    </w:rPr>
                  </w:pPr>
                  <w:r>
                    <w:rPr>
                      <w:rFonts w:hint="default"/>
                      <w:color w:val="auto"/>
                    </w:rPr>
                    <w:t>4</w:t>
                  </w:r>
                </w:p>
              </w:tc>
              <w:tc>
                <w:tcPr>
                  <w:tcW w:w="2212" w:type="pct"/>
                  <w:tcMar>
                    <w:left w:w="0" w:type="dxa"/>
                    <w:right w:w="0" w:type="dxa"/>
                  </w:tcMar>
                  <w:vAlign w:val="center"/>
                </w:tcPr>
                <w:p>
                  <w:pPr>
                    <w:pStyle w:val="17"/>
                    <w:bidi w:val="0"/>
                    <w:rPr>
                      <w:rFonts w:hint="default"/>
                      <w:color w:val="auto"/>
                    </w:rPr>
                  </w:pPr>
                  <w:r>
                    <w:rPr>
                      <w:rFonts w:hint="default"/>
                      <w:color w:val="auto"/>
                    </w:rPr>
                    <w:t>固体废物收集、贮存、处理处置设施应按照标准要求采取防渗措施</w:t>
                  </w:r>
                </w:p>
              </w:tc>
              <w:tc>
                <w:tcPr>
                  <w:tcW w:w="2106" w:type="pct"/>
                  <w:tcMar>
                    <w:left w:w="0" w:type="dxa"/>
                    <w:right w:w="0" w:type="dxa"/>
                  </w:tcMar>
                  <w:vAlign w:val="center"/>
                </w:tcPr>
                <w:p>
                  <w:pPr>
                    <w:pStyle w:val="17"/>
                    <w:bidi w:val="0"/>
                    <w:rPr>
                      <w:rFonts w:hint="default"/>
                      <w:color w:val="auto"/>
                    </w:rPr>
                  </w:pPr>
                  <w:r>
                    <w:rPr>
                      <w:rFonts w:hint="default"/>
                      <w:color w:val="auto"/>
                    </w:rPr>
                    <w:t>本项目一开使用非磺化水基钻井液，返排泥浆在井口采用“振动筛+除砂器+除泥器+离心分离”工艺分离出岩屑和泥浆，其中泥浆进入泥浆罐循环使用，膨润土泥浆钻井岩屑排入岩屑池，采用不落地技术处理后，用于油区场地平整或铺垫道路。二开下部产生的油基泥浆和岩屑在井口采用“振动筛+除砂器+处理器+离心分离机”工艺分离出，分离后的液体回用于钻井液配备，分离后的固体在井场使用无害化处理装置进行就地无害化处理，经检测满足《油气田钻井固体废物综合利用污染控制要求》(DB65/T3997-2017)中综合利用污染物限值要求后，用于铺垫油区内的井场、道路等综合利用；处理后的固相经检测不达标，暂存于岩屑收集罐内，委托</w:t>
                  </w:r>
                  <w:r>
                    <w:rPr>
                      <w:rFonts w:hint="eastAsia"/>
                      <w:color w:val="auto"/>
                      <w:lang w:val="en-US" w:eastAsia="zh-CN"/>
                    </w:rPr>
                    <w:t>有资质的单位</w:t>
                  </w:r>
                  <w:r>
                    <w:rPr>
                      <w:rFonts w:hint="default"/>
                      <w:color w:val="auto"/>
                    </w:rPr>
                    <w:t>拉运并进行无害化处置处理；废防渗材料委托具有相应危险废物处置资质的单位处置。</w:t>
                  </w:r>
                </w:p>
              </w:tc>
              <w:tc>
                <w:tcPr>
                  <w:tcW w:w="353" w:type="pct"/>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327" w:type="pct"/>
                  <w:tcMar>
                    <w:left w:w="0" w:type="dxa"/>
                    <w:right w:w="0" w:type="dxa"/>
                  </w:tcMar>
                  <w:vAlign w:val="center"/>
                </w:tcPr>
                <w:p>
                  <w:pPr>
                    <w:pStyle w:val="17"/>
                    <w:bidi w:val="0"/>
                    <w:rPr>
                      <w:rFonts w:hint="default"/>
                      <w:color w:val="auto"/>
                    </w:rPr>
                  </w:pPr>
                  <w:r>
                    <w:rPr>
                      <w:rFonts w:hint="default"/>
                      <w:color w:val="auto"/>
                    </w:rPr>
                    <w:t>5</w:t>
                  </w:r>
                </w:p>
              </w:tc>
              <w:tc>
                <w:tcPr>
                  <w:tcW w:w="2212" w:type="pct"/>
                  <w:tcMar>
                    <w:left w:w="0" w:type="dxa"/>
                    <w:right w:w="0" w:type="dxa"/>
                  </w:tcMar>
                  <w:vAlign w:val="center"/>
                </w:tcPr>
                <w:p>
                  <w:pPr>
                    <w:pStyle w:val="17"/>
                    <w:bidi w:val="0"/>
                    <w:rPr>
                      <w:rFonts w:hint="default"/>
                      <w:color w:val="auto"/>
                    </w:rPr>
                  </w:pPr>
                  <w:r>
                    <w:rPr>
                      <w:rFonts w:hint="default"/>
                      <w:color w:val="auto"/>
                    </w:rPr>
                    <w:t>油气田企业应对勘探开发过程进行环境风险因素识别，制定突发环境事件应急预案并定期进行演练。应开展特征污染物监测工作，采取环境风险防范和应急措施，防止发生由突发性油气泄漏产生的环境事故</w:t>
                  </w:r>
                </w:p>
              </w:tc>
              <w:tc>
                <w:tcPr>
                  <w:tcW w:w="2106" w:type="pct"/>
                  <w:tcMar>
                    <w:left w:w="0" w:type="dxa"/>
                    <w:right w:w="0" w:type="dxa"/>
                  </w:tcMar>
                  <w:vAlign w:val="center"/>
                </w:tcPr>
                <w:p>
                  <w:pPr>
                    <w:pStyle w:val="17"/>
                    <w:bidi w:val="0"/>
                    <w:rPr>
                      <w:rFonts w:hint="default"/>
                      <w:color w:val="auto"/>
                    </w:rPr>
                  </w:pPr>
                  <w:r>
                    <w:rPr>
                      <w:rFonts w:hint="default"/>
                      <w:color w:val="auto"/>
                    </w:rPr>
                    <w:t>本项目归属</w:t>
                  </w:r>
                  <w:r>
                    <w:rPr>
                      <w:rFonts w:hint="default"/>
                      <w:color w:val="auto"/>
                      <w:lang w:eastAsia="zh-CN"/>
                    </w:rPr>
                    <w:t>中国石油天然气股份有限公司吐哈油田分公司准东采油管理区</w:t>
                  </w:r>
                  <w:r>
                    <w:rPr>
                      <w:rFonts w:hint="default"/>
                      <w:color w:val="auto"/>
                    </w:rPr>
                    <w:t>管辖，项目实施后需纳入《中国石油天然气股份有限公司吐哈油田分公司准东采油管理区突发环境事件应急预案》</w:t>
                  </w:r>
                </w:p>
              </w:tc>
              <w:tc>
                <w:tcPr>
                  <w:tcW w:w="353" w:type="pct"/>
                  <w:tcMar>
                    <w:left w:w="0" w:type="dxa"/>
                    <w:right w:w="0" w:type="dxa"/>
                  </w:tcMar>
                  <w:vAlign w:val="center"/>
                </w:tcPr>
                <w:p>
                  <w:pPr>
                    <w:pStyle w:val="17"/>
                    <w:bidi w:val="0"/>
                    <w:rPr>
                      <w:rFonts w:hint="default"/>
                      <w:color w:val="auto"/>
                    </w:rPr>
                  </w:pPr>
                  <w:r>
                    <w:rPr>
                      <w:rFonts w:hint="default"/>
                      <w:color w:val="auto"/>
                    </w:rPr>
                    <w:t>符合</w:t>
                  </w:r>
                </w:p>
              </w:tc>
            </w:tr>
          </w:tbl>
          <w:p>
            <w:pPr>
              <w:pStyle w:val="4"/>
              <w:bidi w:val="0"/>
              <w:rPr>
                <w:rFonts w:hint="default"/>
                <w:color w:val="auto"/>
              </w:rPr>
            </w:pPr>
            <w:r>
              <w:rPr>
                <w:rFonts w:hint="eastAsia"/>
                <w:color w:val="auto"/>
                <w:lang w:val="en-US" w:eastAsia="zh-CN"/>
              </w:rPr>
              <w:t>5</w:t>
            </w:r>
            <w:r>
              <w:rPr>
                <w:rFonts w:hint="default"/>
                <w:color w:val="auto"/>
              </w:rPr>
              <w:t>、与《新疆生态环境保护“十四五”规划》符合性分析</w:t>
            </w:r>
          </w:p>
          <w:p>
            <w:pPr>
              <w:spacing w:before="0" w:beforeLines="0" w:line="36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w:t>
            </w:r>
            <w:r>
              <w:rPr>
                <w:rFonts w:hint="eastAsia" w:cs="Times New Roman"/>
                <w:b/>
                <w:bCs w:val="0"/>
                <w:color w:val="auto"/>
                <w:sz w:val="21"/>
                <w:szCs w:val="21"/>
                <w:lang w:val="en-US" w:eastAsia="zh-CN"/>
              </w:rPr>
              <w:t xml:space="preserve">1-4 </w:t>
            </w:r>
            <w:r>
              <w:rPr>
                <w:rFonts w:hint="default" w:ascii="Times New Roman" w:hAnsi="Times New Roman" w:eastAsia="宋体" w:cs="Times New Roman"/>
                <w:b/>
                <w:bCs w:val="0"/>
                <w:color w:val="auto"/>
                <w:sz w:val="21"/>
                <w:szCs w:val="21"/>
              </w:rPr>
              <w:t xml:space="preserve">  与《新疆生态环境保护“十四五”规划》的相符性分析</w:t>
            </w:r>
          </w:p>
          <w:tbl>
            <w:tblPr>
              <w:tblStyle w:val="11"/>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78"/>
              <w:gridCol w:w="3481"/>
              <w:gridCol w:w="2571"/>
              <w:gridCol w:w="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 w:hRule="atLeast"/>
                <w:tblHeader/>
              </w:trPr>
              <w:tc>
                <w:tcPr>
                  <w:tcW w:w="329" w:type="pct"/>
                  <w:tcMar>
                    <w:left w:w="28" w:type="dxa"/>
                    <w:right w:w="28" w:type="dxa"/>
                  </w:tcMar>
                  <w:vAlign w:val="center"/>
                </w:tcPr>
                <w:p>
                  <w:pPr>
                    <w:pStyle w:val="17"/>
                    <w:bidi w:val="0"/>
                    <w:rPr>
                      <w:rFonts w:hint="default"/>
                      <w:b/>
                      <w:bCs/>
                      <w:color w:val="auto"/>
                    </w:rPr>
                  </w:pPr>
                  <w:r>
                    <w:rPr>
                      <w:rFonts w:hint="default"/>
                      <w:b/>
                      <w:bCs/>
                      <w:color w:val="auto"/>
                    </w:rPr>
                    <w:t>序号</w:t>
                  </w:r>
                </w:p>
              </w:tc>
              <w:tc>
                <w:tcPr>
                  <w:tcW w:w="2395" w:type="pct"/>
                  <w:tcMar>
                    <w:left w:w="28" w:type="dxa"/>
                    <w:right w:w="28" w:type="dxa"/>
                  </w:tcMar>
                  <w:vAlign w:val="center"/>
                </w:tcPr>
                <w:p>
                  <w:pPr>
                    <w:pStyle w:val="17"/>
                    <w:bidi w:val="0"/>
                    <w:rPr>
                      <w:rFonts w:hint="default"/>
                      <w:b/>
                      <w:bCs/>
                      <w:color w:val="auto"/>
                    </w:rPr>
                  </w:pPr>
                  <w:r>
                    <w:rPr>
                      <w:rFonts w:hint="default"/>
                      <w:b/>
                      <w:bCs/>
                      <w:color w:val="auto"/>
                    </w:rPr>
                    <w:t>《规划》中相关规定</w:t>
                  </w:r>
                </w:p>
              </w:tc>
              <w:tc>
                <w:tcPr>
                  <w:tcW w:w="1769" w:type="pct"/>
                  <w:tcMar>
                    <w:left w:w="28" w:type="dxa"/>
                    <w:right w:w="28" w:type="dxa"/>
                  </w:tcMar>
                  <w:vAlign w:val="center"/>
                </w:tcPr>
                <w:p>
                  <w:pPr>
                    <w:pStyle w:val="17"/>
                    <w:bidi w:val="0"/>
                    <w:rPr>
                      <w:rFonts w:hint="default"/>
                      <w:b/>
                      <w:bCs/>
                      <w:color w:val="auto"/>
                    </w:rPr>
                  </w:pPr>
                  <w:r>
                    <w:rPr>
                      <w:rFonts w:hint="default"/>
                      <w:b/>
                      <w:bCs/>
                      <w:color w:val="auto"/>
                    </w:rPr>
                    <w:t>本项目采取的相关措施</w:t>
                  </w:r>
                </w:p>
              </w:tc>
              <w:tc>
                <w:tcPr>
                  <w:tcW w:w="507" w:type="pct"/>
                  <w:tcMar>
                    <w:left w:w="28" w:type="dxa"/>
                    <w:right w:w="28" w:type="dxa"/>
                  </w:tcMar>
                  <w:vAlign w:val="center"/>
                </w:tcPr>
                <w:p>
                  <w:pPr>
                    <w:pStyle w:val="17"/>
                    <w:bidi w:val="0"/>
                    <w:rPr>
                      <w:rFonts w:hint="default"/>
                      <w:b/>
                      <w:bCs/>
                      <w:color w:val="auto"/>
                    </w:rPr>
                  </w:pPr>
                  <w:r>
                    <w:rPr>
                      <w:rFonts w:hint="default"/>
                      <w:b/>
                      <w:bCs/>
                      <w:color w:val="auto"/>
                    </w:rPr>
                    <w:t>分析结论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3" w:hRule="atLeast"/>
              </w:trPr>
              <w:tc>
                <w:tcPr>
                  <w:tcW w:w="329" w:type="pct"/>
                  <w:tcMar>
                    <w:left w:w="28" w:type="dxa"/>
                    <w:right w:w="28" w:type="dxa"/>
                  </w:tcMar>
                  <w:vAlign w:val="center"/>
                </w:tcPr>
                <w:p>
                  <w:pPr>
                    <w:pStyle w:val="17"/>
                    <w:bidi w:val="0"/>
                    <w:rPr>
                      <w:rFonts w:hint="default"/>
                      <w:color w:val="auto"/>
                    </w:rPr>
                  </w:pPr>
                  <w:r>
                    <w:rPr>
                      <w:rFonts w:hint="default"/>
                      <w:color w:val="auto"/>
                    </w:rPr>
                    <w:t>1</w:t>
                  </w:r>
                </w:p>
              </w:tc>
              <w:tc>
                <w:tcPr>
                  <w:tcW w:w="2395" w:type="pct"/>
                  <w:tcMar>
                    <w:left w:w="28" w:type="dxa"/>
                    <w:right w:w="28" w:type="dxa"/>
                  </w:tcMar>
                  <w:vAlign w:val="center"/>
                </w:tcPr>
                <w:p>
                  <w:pPr>
                    <w:pStyle w:val="17"/>
                    <w:bidi w:val="0"/>
                    <w:rPr>
                      <w:rFonts w:hint="default"/>
                      <w:color w:val="auto"/>
                    </w:rPr>
                  </w:pPr>
                  <w:r>
                    <w:rPr>
                      <w:rFonts w:hint="default"/>
                      <w:color w:val="auto"/>
                    </w:rPr>
                    <w:t>实施最严格的生态保护制度。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w:t>
                  </w:r>
                </w:p>
              </w:tc>
              <w:tc>
                <w:tcPr>
                  <w:tcW w:w="1769" w:type="pct"/>
                  <w:tcMar>
                    <w:left w:w="28" w:type="dxa"/>
                    <w:right w:w="28" w:type="dxa"/>
                  </w:tcMar>
                  <w:vAlign w:val="center"/>
                </w:tcPr>
                <w:p>
                  <w:pPr>
                    <w:pStyle w:val="17"/>
                    <w:bidi w:val="0"/>
                    <w:rPr>
                      <w:rFonts w:hint="default"/>
                      <w:color w:val="auto"/>
                    </w:rPr>
                  </w:pPr>
                  <w:r>
                    <w:rPr>
                      <w:rFonts w:hint="default"/>
                      <w:color w:val="auto"/>
                    </w:rPr>
                    <w:t>陆地石油勘探项目不属于“高污染、高环境风险产品”的工业项目；不涉及生态敏感区，不涉及生态保护红线，“三废”及噪声对区域环境质量影响小，不会突破区域环境质量底线；新鲜水和柴油消耗不会突破区域资源利用上线，符合昌吉回族自治州生态环境准入清单的要求。</w:t>
                  </w:r>
                </w:p>
              </w:tc>
              <w:tc>
                <w:tcPr>
                  <w:tcW w:w="507" w:type="pct"/>
                  <w:tcMar>
                    <w:left w:w="28" w:type="dxa"/>
                    <w:right w:w="28"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53" w:hRule="atLeast"/>
              </w:trPr>
              <w:tc>
                <w:tcPr>
                  <w:tcW w:w="329" w:type="pct"/>
                  <w:tcMar>
                    <w:left w:w="28" w:type="dxa"/>
                    <w:right w:w="28" w:type="dxa"/>
                  </w:tcMar>
                  <w:vAlign w:val="center"/>
                </w:tcPr>
                <w:p>
                  <w:pPr>
                    <w:pStyle w:val="17"/>
                    <w:bidi w:val="0"/>
                    <w:rPr>
                      <w:rFonts w:hint="default"/>
                      <w:color w:val="auto"/>
                    </w:rPr>
                  </w:pPr>
                  <w:r>
                    <w:rPr>
                      <w:rFonts w:hint="default"/>
                      <w:color w:val="auto"/>
                    </w:rPr>
                    <w:t>2</w:t>
                  </w:r>
                </w:p>
              </w:tc>
              <w:tc>
                <w:tcPr>
                  <w:tcW w:w="2395" w:type="pct"/>
                  <w:tcMar>
                    <w:left w:w="28" w:type="dxa"/>
                    <w:right w:w="28" w:type="dxa"/>
                  </w:tcMar>
                  <w:vAlign w:val="center"/>
                </w:tcPr>
                <w:p>
                  <w:pPr>
                    <w:pStyle w:val="17"/>
                    <w:bidi w:val="0"/>
                    <w:rPr>
                      <w:rFonts w:hint="default"/>
                      <w:color w:val="auto"/>
                    </w:rPr>
                  </w:pPr>
                  <w:r>
                    <w:rPr>
                      <w:rFonts w:hint="default"/>
                      <w:color w:val="auto"/>
                    </w:rPr>
                    <w:t>强化车油路联合管控。加强车辆环保管理，推进油品配套升级。加大油品销售的监管力度，加强油品质量监督检查，严厉打击非法生产、销售不合格油品行为，对于限期不达标的成品油加油站，依法整治或关停</w:t>
                  </w:r>
                </w:p>
              </w:tc>
              <w:tc>
                <w:tcPr>
                  <w:tcW w:w="1769" w:type="pct"/>
                  <w:tcMar>
                    <w:left w:w="28" w:type="dxa"/>
                    <w:right w:w="28" w:type="dxa"/>
                  </w:tcMar>
                  <w:vAlign w:val="center"/>
                </w:tcPr>
                <w:p>
                  <w:pPr>
                    <w:pStyle w:val="17"/>
                    <w:bidi w:val="0"/>
                    <w:rPr>
                      <w:rFonts w:hint="default"/>
                      <w:color w:val="auto"/>
                      <w:lang w:eastAsia="zh-CN"/>
                    </w:rPr>
                  </w:pPr>
                  <w:r>
                    <w:rPr>
                      <w:rFonts w:hint="default"/>
                      <w:color w:val="auto"/>
                    </w:rPr>
                    <w:t>施工过程中堆放的土方压实并采用苫布遮盖，加强车辆环保管理，使用合规油品，按照限速行驶，不在大风天施工，减少扬尘的产生</w:t>
                  </w:r>
                  <w:r>
                    <w:rPr>
                      <w:rFonts w:hint="default"/>
                      <w:color w:val="auto"/>
                      <w:lang w:eastAsia="zh-CN"/>
                    </w:rPr>
                    <w:t>。</w:t>
                  </w:r>
                </w:p>
              </w:tc>
              <w:tc>
                <w:tcPr>
                  <w:tcW w:w="507" w:type="pct"/>
                  <w:tcMar>
                    <w:left w:w="28" w:type="dxa"/>
                    <w:right w:w="28"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6" w:hRule="atLeast"/>
              </w:trPr>
              <w:tc>
                <w:tcPr>
                  <w:tcW w:w="329" w:type="pct"/>
                  <w:tcMar>
                    <w:left w:w="28" w:type="dxa"/>
                    <w:right w:w="28" w:type="dxa"/>
                  </w:tcMar>
                  <w:vAlign w:val="center"/>
                </w:tcPr>
                <w:p>
                  <w:pPr>
                    <w:pStyle w:val="17"/>
                    <w:bidi w:val="0"/>
                    <w:rPr>
                      <w:rFonts w:hint="default"/>
                      <w:color w:val="auto"/>
                    </w:rPr>
                  </w:pPr>
                  <w:r>
                    <w:rPr>
                      <w:rFonts w:hint="default"/>
                      <w:color w:val="auto"/>
                    </w:rPr>
                    <w:t>3</w:t>
                  </w:r>
                </w:p>
              </w:tc>
              <w:tc>
                <w:tcPr>
                  <w:tcW w:w="2395" w:type="pct"/>
                  <w:tcMar>
                    <w:left w:w="28" w:type="dxa"/>
                    <w:right w:w="28" w:type="dxa"/>
                  </w:tcMar>
                  <w:vAlign w:val="center"/>
                </w:tcPr>
                <w:p>
                  <w:pPr>
                    <w:pStyle w:val="17"/>
                    <w:bidi w:val="0"/>
                    <w:rPr>
                      <w:rFonts w:hint="default"/>
                      <w:color w:val="auto"/>
                    </w:rPr>
                  </w:pPr>
                  <w:r>
                    <w:rPr>
                      <w:rFonts w:hint="default"/>
                      <w:color w:val="auto"/>
                    </w:rPr>
                    <w:t>固体废物收集、贮存、处理处置设施应按照标准要求采取防渗措施</w:t>
                  </w:r>
                </w:p>
              </w:tc>
              <w:tc>
                <w:tcPr>
                  <w:tcW w:w="1769" w:type="pct"/>
                  <w:tcMar>
                    <w:left w:w="28" w:type="dxa"/>
                    <w:right w:w="28" w:type="dxa"/>
                  </w:tcMar>
                  <w:vAlign w:val="center"/>
                </w:tcPr>
                <w:p>
                  <w:pPr>
                    <w:pStyle w:val="17"/>
                    <w:bidi w:val="0"/>
                    <w:rPr>
                      <w:rFonts w:hint="default"/>
                      <w:color w:val="auto"/>
                      <w:lang w:eastAsia="zh-CN"/>
                    </w:rPr>
                  </w:pPr>
                  <w:r>
                    <w:rPr>
                      <w:rFonts w:hint="default" w:ascii="Times New Roman" w:hAnsi="Times New Roman" w:cs="Times New Roman"/>
                      <w:color w:val="auto"/>
                    </w:rPr>
                    <w:t>钻井液不落地设备分理出的水基钻井液进岩屑专用方罐，油基钻井岩屑交由具有相应危险废物处置资质的单位负责接收、转运及无害化处置。</w:t>
                  </w:r>
                  <w:r>
                    <w:rPr>
                      <w:rFonts w:hint="eastAsia"/>
                      <w:color w:val="auto"/>
                      <w:lang w:val="en-US" w:eastAsia="zh-CN"/>
                    </w:rPr>
                    <w:t>水基、油基</w:t>
                  </w:r>
                  <w:r>
                    <w:rPr>
                      <w:rFonts w:hint="default" w:ascii="Times New Roman" w:hAnsi="Times New Roman" w:cs="Times New Roman"/>
                      <w:color w:val="auto"/>
                    </w:rPr>
                    <w:t>方罐底部采用HDPE防渗膜进行防渗，其防渗系数不低于1×10</w:t>
                  </w:r>
                  <w:r>
                    <w:rPr>
                      <w:rFonts w:hint="default" w:ascii="Times New Roman" w:hAnsi="Times New Roman" w:cs="Times New Roman"/>
                      <w:color w:val="auto"/>
                      <w:vertAlign w:val="superscript"/>
                    </w:rPr>
                    <w:t>-7</w:t>
                  </w:r>
                  <w:r>
                    <w:rPr>
                      <w:rFonts w:hint="default" w:ascii="Times New Roman" w:hAnsi="Times New Roman" w:cs="Times New Roman"/>
                      <w:color w:val="auto"/>
                    </w:rPr>
                    <w:t>cm/s</w:t>
                  </w:r>
                  <w:r>
                    <w:rPr>
                      <w:rFonts w:hint="default" w:ascii="Times New Roman" w:hAnsi="Times New Roman" w:cs="Times New Roman"/>
                      <w:color w:val="auto"/>
                      <w:lang w:eastAsia="zh-CN"/>
                    </w:rPr>
                    <w:t>。</w:t>
                  </w:r>
                </w:p>
              </w:tc>
              <w:tc>
                <w:tcPr>
                  <w:tcW w:w="507" w:type="pct"/>
                  <w:tcMar>
                    <w:left w:w="28" w:type="dxa"/>
                    <w:right w:w="28"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67" w:hRule="atLeast"/>
              </w:trPr>
              <w:tc>
                <w:tcPr>
                  <w:tcW w:w="329" w:type="pct"/>
                  <w:tcMar>
                    <w:left w:w="28" w:type="dxa"/>
                    <w:right w:w="28" w:type="dxa"/>
                  </w:tcMar>
                  <w:vAlign w:val="center"/>
                </w:tcPr>
                <w:p>
                  <w:pPr>
                    <w:pStyle w:val="17"/>
                    <w:bidi w:val="0"/>
                    <w:rPr>
                      <w:rFonts w:hint="default"/>
                      <w:color w:val="auto"/>
                    </w:rPr>
                  </w:pPr>
                  <w:r>
                    <w:rPr>
                      <w:rFonts w:hint="default"/>
                      <w:color w:val="auto"/>
                    </w:rPr>
                    <w:t>4</w:t>
                  </w:r>
                </w:p>
              </w:tc>
              <w:tc>
                <w:tcPr>
                  <w:tcW w:w="2395" w:type="pct"/>
                  <w:tcMar>
                    <w:left w:w="28" w:type="dxa"/>
                    <w:right w:w="28" w:type="dxa"/>
                  </w:tcMar>
                  <w:vAlign w:val="center"/>
                </w:tcPr>
                <w:p>
                  <w:pPr>
                    <w:pStyle w:val="17"/>
                    <w:bidi w:val="0"/>
                    <w:rPr>
                      <w:rFonts w:hint="default"/>
                      <w:color w:val="auto"/>
                    </w:rPr>
                  </w:pPr>
                  <w:r>
                    <w:rPr>
                      <w:rFonts w:hint="default"/>
                      <w:color w:val="auto"/>
                    </w:rPr>
                    <w:t>强化危险废物全过程环境监管。建立健全各类危险废物重点监管单位清单，全面实行危险废物清单化管理。督促各类危险废物产生单位和经营单位依法申报危险废物产生处置情况，报备管理计划，做好信息公开工作，规范运行危险废物转移联单</w:t>
                  </w:r>
                </w:p>
              </w:tc>
              <w:tc>
                <w:tcPr>
                  <w:tcW w:w="1769" w:type="pct"/>
                  <w:tcMar>
                    <w:left w:w="28" w:type="dxa"/>
                    <w:right w:w="28" w:type="dxa"/>
                  </w:tcMar>
                  <w:vAlign w:val="center"/>
                </w:tcPr>
                <w:p>
                  <w:pPr>
                    <w:pStyle w:val="17"/>
                    <w:bidi w:val="0"/>
                    <w:rPr>
                      <w:rFonts w:hint="default"/>
                      <w:color w:val="auto"/>
                      <w:lang w:eastAsia="zh-CN"/>
                    </w:rPr>
                  </w:pPr>
                  <w:r>
                    <w:rPr>
                      <w:rFonts w:hint="default"/>
                      <w:color w:val="auto"/>
                    </w:rPr>
                    <w:t>施工期间应按照《危险废物环境管理指南  陆上石油天然气开采》中的相关要求进行环境管理，落实污染环境防治责任制度、危险废物识别标志制度、危险废物管理计划制度、危险废物管理台账及申报制度以及危险废物转移联单制度</w:t>
                  </w:r>
                  <w:r>
                    <w:rPr>
                      <w:rFonts w:hint="default"/>
                      <w:color w:val="auto"/>
                      <w:lang w:eastAsia="zh-CN"/>
                    </w:rPr>
                    <w:t>。</w:t>
                  </w:r>
                </w:p>
              </w:tc>
              <w:tc>
                <w:tcPr>
                  <w:tcW w:w="507" w:type="pct"/>
                  <w:tcMar>
                    <w:left w:w="28" w:type="dxa"/>
                    <w:right w:w="28"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9" w:hRule="atLeast"/>
              </w:trPr>
              <w:tc>
                <w:tcPr>
                  <w:tcW w:w="329" w:type="pct"/>
                  <w:tcMar>
                    <w:left w:w="28" w:type="dxa"/>
                    <w:right w:w="28" w:type="dxa"/>
                  </w:tcMar>
                  <w:vAlign w:val="center"/>
                </w:tcPr>
                <w:p>
                  <w:pPr>
                    <w:pStyle w:val="17"/>
                    <w:bidi w:val="0"/>
                    <w:rPr>
                      <w:rFonts w:hint="default"/>
                      <w:color w:val="auto"/>
                    </w:rPr>
                  </w:pPr>
                  <w:r>
                    <w:rPr>
                      <w:rFonts w:hint="default"/>
                      <w:color w:val="auto"/>
                    </w:rPr>
                    <w:t>5</w:t>
                  </w:r>
                </w:p>
              </w:tc>
              <w:tc>
                <w:tcPr>
                  <w:tcW w:w="2395" w:type="pct"/>
                  <w:tcMar>
                    <w:left w:w="28" w:type="dxa"/>
                    <w:right w:w="28" w:type="dxa"/>
                  </w:tcMar>
                  <w:vAlign w:val="center"/>
                </w:tcPr>
                <w:p>
                  <w:pPr>
                    <w:pStyle w:val="17"/>
                    <w:bidi w:val="0"/>
                    <w:rPr>
                      <w:rFonts w:hint="default"/>
                      <w:color w:val="auto"/>
                    </w:rPr>
                  </w:pPr>
                  <w:r>
                    <w:rPr>
                      <w:rFonts w:hint="default"/>
                      <w:color w:val="auto"/>
                    </w:rPr>
                    <w:t>加强应急监测装备配置，定期开展应急演练，增强实战能力。</w:t>
                  </w:r>
                </w:p>
              </w:tc>
              <w:tc>
                <w:tcPr>
                  <w:tcW w:w="1769" w:type="pct"/>
                  <w:tcMar>
                    <w:left w:w="28" w:type="dxa"/>
                    <w:right w:w="28" w:type="dxa"/>
                  </w:tcMar>
                  <w:vAlign w:val="center"/>
                </w:tcPr>
                <w:p>
                  <w:pPr>
                    <w:pStyle w:val="17"/>
                    <w:bidi w:val="0"/>
                    <w:rPr>
                      <w:rFonts w:hint="default"/>
                      <w:color w:val="auto"/>
                    </w:rPr>
                  </w:pPr>
                  <w:r>
                    <w:rPr>
                      <w:rFonts w:hint="default"/>
                      <w:color w:val="auto"/>
                    </w:rPr>
                    <w:t>环境风险防范执行《</w:t>
                  </w:r>
                  <w:r>
                    <w:rPr>
                      <w:rFonts w:hint="default"/>
                      <w:color w:val="auto"/>
                      <w:lang w:eastAsia="zh-CN"/>
                    </w:rPr>
                    <w:t>中国石油天然气股份有限公司吐哈油田分公司准东采油管理区</w:t>
                  </w:r>
                  <w:r>
                    <w:rPr>
                      <w:rFonts w:hint="default"/>
                      <w:color w:val="auto"/>
                    </w:rPr>
                    <w:t>突发环境事件应急预案》，并定期进行应急演练工作。</w:t>
                  </w:r>
                </w:p>
              </w:tc>
              <w:tc>
                <w:tcPr>
                  <w:tcW w:w="507" w:type="pct"/>
                  <w:tcMar>
                    <w:left w:w="28" w:type="dxa"/>
                    <w:right w:w="28" w:type="dxa"/>
                  </w:tcMar>
                  <w:vAlign w:val="center"/>
                </w:tcPr>
                <w:p>
                  <w:pPr>
                    <w:pStyle w:val="17"/>
                    <w:bidi w:val="0"/>
                    <w:rPr>
                      <w:rFonts w:hint="default"/>
                      <w:color w:val="auto"/>
                    </w:rPr>
                  </w:pPr>
                  <w:r>
                    <w:rPr>
                      <w:rFonts w:hint="default"/>
                      <w:color w:val="auto"/>
                    </w:rPr>
                    <w:t>符合</w:t>
                  </w:r>
                </w:p>
              </w:tc>
            </w:tr>
          </w:tbl>
          <w:p>
            <w:pPr>
              <w:pStyle w:val="4"/>
              <w:bidi w:val="0"/>
              <w:rPr>
                <w:rFonts w:hint="default"/>
                <w:color w:val="auto"/>
              </w:rPr>
            </w:pPr>
            <w:r>
              <w:rPr>
                <w:rFonts w:hint="eastAsia"/>
                <w:color w:val="auto"/>
                <w:lang w:val="en-US" w:eastAsia="zh-CN"/>
              </w:rPr>
              <w:t>6</w:t>
            </w:r>
            <w:r>
              <w:rPr>
                <w:rFonts w:hint="default"/>
                <w:color w:val="auto"/>
              </w:rPr>
              <w:t>、与《新疆维吾尔自治区煤炭石油天然气开发环境保护条例》的相符性分析</w:t>
            </w:r>
          </w:p>
          <w:p>
            <w:pPr>
              <w:spacing w:before="0" w:beforeLines="0" w:line="36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w:t>
            </w:r>
            <w:r>
              <w:rPr>
                <w:rFonts w:hint="eastAsia" w:cs="Times New Roman"/>
                <w:b/>
                <w:bCs w:val="0"/>
                <w:color w:val="auto"/>
                <w:sz w:val="21"/>
                <w:szCs w:val="21"/>
                <w:lang w:val="en-US" w:eastAsia="zh-CN"/>
              </w:rPr>
              <w:t>1-5</w:t>
            </w:r>
            <w:r>
              <w:rPr>
                <w:rFonts w:hint="default" w:ascii="Times New Roman" w:hAnsi="Times New Roman" w:eastAsia="宋体" w:cs="Times New Roman"/>
                <w:b/>
                <w:bCs w:val="0"/>
                <w:color w:val="auto"/>
                <w:sz w:val="21"/>
                <w:szCs w:val="21"/>
              </w:rPr>
              <w:t xml:space="preserve"> 与《新疆维吾尔自治区煤炭石油天然气开发环境保护条例》的相符性分析</w:t>
            </w:r>
          </w:p>
          <w:tbl>
            <w:tblPr>
              <w:tblStyle w:val="11"/>
              <w:tblW w:w="5000" w:type="pct"/>
              <w:tblInd w:w="-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66"/>
              <w:gridCol w:w="3425"/>
              <w:gridCol w:w="2759"/>
              <w:gridCol w:w="51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trPr>
              <w:tc>
                <w:tcPr>
                  <w:tcW w:w="389" w:type="pct"/>
                  <w:tcBorders>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序号</w:t>
                  </w:r>
                </w:p>
              </w:tc>
              <w:tc>
                <w:tcPr>
                  <w:tcW w:w="2356" w:type="pct"/>
                  <w:tcBorders>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《新疆维吾尔自治区煤炭石油天然气开发环境保护条例》中相关规定</w:t>
                  </w:r>
                </w:p>
              </w:tc>
              <w:tc>
                <w:tcPr>
                  <w:tcW w:w="1898" w:type="pct"/>
                  <w:tcBorders>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本项目采取的相关措施</w:t>
                  </w:r>
                </w:p>
              </w:tc>
              <w:tc>
                <w:tcPr>
                  <w:tcW w:w="356" w:type="pct"/>
                  <w:tcBorders>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分析结论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1</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禁止在水源涵养区、地下水源、饮用水源、自然保护区、风景名胜区、森林公园、重要湿地及人群密集区等生态敏感区域内进行煤炭、石油、天然气开发</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项目区无上述环境敏感区</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2</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煤炭、石油、天然气开发项目实行环境监理，其大气、水体、固体废物等污染防治设施与主体工程同时设计、同时施工、同时投产使用</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本项目为陆地矿产资源地质勘查项目，钻井及试油工程结束后环境影响即消失，无运营期，施工期的环境管理主要依托油田公司的HSE管理体系</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3</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开发单位应当对污染物排放及对周围环境的影响进行环境监测，接受环境保护主管部门的指导，并向社会公布监测情况</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本项目主要为施工期，施工期产生的污染物随施工期的结束而消失，不会对周围环境产生明显影响，无运营期，无需进行环境监测</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883"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4</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石油、天然气开发单位钻井和井下作业应当使用无毒、低毒钻井液，对已使用的有毒钻井液应当回收利用并做无害化处置，防止污染环境。对钻井作业产生的污水应当进行回收，经处理达标方可回注，未经处理达标的污水不得回注或者外排。对钻井作业产生的污油、废矿物油应当回收处理</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本项目一开采用水基钻井液，二开采用油基钻井液，钻井液经不落地系统分离后回用；钻井过程无废水产生，试油过程产生的试油废水由专用罐车拉运至吉祥联合站采出水处理系统进行处理，处理后水质达到《碎屑岩油藏注水水质指标技术要求及分析方法》（SY/T5329-2022）中相关标准后，全部用于回注油藏</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1261"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5</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石油、天然气开发单位应当采取保护性措施，防止油井套管破损、气井泄漏，污染地下水</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本项目钻井过程中使用水泥固井，一开下表层套管，</w:t>
                  </w:r>
                  <w:r>
                    <w:rPr>
                      <w:rFonts w:hint="eastAsia"/>
                      <w:color w:val="auto"/>
                      <w:lang w:val="en-US" w:eastAsia="zh-CN"/>
                    </w:rPr>
                    <w:t>二</w:t>
                  </w:r>
                  <w:r>
                    <w:rPr>
                      <w:rFonts w:hint="default"/>
                      <w:color w:val="auto"/>
                    </w:rPr>
                    <w:t>开下油层套管，有效的将含水层与井筒分隔开</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1123"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6</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煤炭、石油、天然气开发过程中产生的伴生气、有毒有害气体或者可燃性气体应当进行回收利用；不具备回收利用条件的，应当经过充分燃烧或者采取其他防治措施，达到国家或者自治区规定的排放标准后排放</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本项目试油期产生的伴生气的量很少，不具备回收利用条件，经排气管线排至点火装置点燃，充分燃烧后排放</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788"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7</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煤炭、石油、天然气开发单位应当加强危险废物的管理。危险废物的收集、贮存、运输、处置，必须符合国家和自治区有关规定：不具备处置、利用条件的，应当送交有资质的单位处置</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油基钻井岩屑和施工结束后产生的废防渗膜</w:t>
                  </w:r>
                  <w:r>
                    <w:rPr>
                      <w:rFonts w:hint="eastAsia"/>
                      <w:color w:val="auto"/>
                      <w:lang w:val="en-US" w:eastAsia="zh-CN"/>
                    </w:rPr>
                    <w:t>等危险废物</w:t>
                  </w:r>
                  <w:r>
                    <w:rPr>
                      <w:rFonts w:hint="default"/>
                      <w:color w:val="auto"/>
                    </w:rPr>
                    <w:t>均交由具有相应危险废物处置资质的单位进行接收、转运和处置</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91" w:hRule="atLeast"/>
              </w:trPr>
              <w:tc>
                <w:tcPr>
                  <w:tcW w:w="389" w:type="pct"/>
                  <w:tcBorders>
                    <w:top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8</w:t>
                  </w:r>
                </w:p>
              </w:tc>
              <w:tc>
                <w:tcPr>
                  <w:tcW w:w="2356" w:type="pct"/>
                  <w:tcBorders>
                    <w:top w:val="single" w:color="auto" w:sz="6" w:space="0"/>
                    <w:left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煤炭、石油、天然气开发单位应当制定突发环境事件应急预案，报环境保护主管部门和有关部门备案。发生突发环境事件的，应当立即启动应急预案，采取应急措施，防止环境污染事故发生</w:t>
                  </w:r>
                </w:p>
              </w:tc>
              <w:tc>
                <w:tcPr>
                  <w:tcW w:w="1898" w:type="pct"/>
                  <w:tcBorders>
                    <w:top w:val="single" w:color="auto" w:sz="6" w:space="0"/>
                    <w:left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本项目归属</w:t>
                  </w:r>
                  <w:r>
                    <w:rPr>
                      <w:rFonts w:hint="default"/>
                      <w:color w:val="auto"/>
                      <w:lang w:eastAsia="zh-CN"/>
                    </w:rPr>
                    <w:t>中国石油天然气股份有限公司吐哈油田分公司准东采油管理区</w:t>
                  </w:r>
                  <w:r>
                    <w:rPr>
                      <w:rFonts w:hint="default"/>
                      <w:color w:val="auto"/>
                    </w:rPr>
                    <w:t>管辖，项目实施后需纳入《</w:t>
                  </w:r>
                  <w:r>
                    <w:rPr>
                      <w:rFonts w:hint="default"/>
                      <w:color w:val="auto"/>
                      <w:lang w:eastAsia="zh-CN"/>
                    </w:rPr>
                    <w:t>中国石油天然气股份有限公司吐哈油田分公司准东采油管理区</w:t>
                  </w:r>
                  <w:r>
                    <w:rPr>
                      <w:rFonts w:hint="default"/>
                      <w:color w:val="auto"/>
                    </w:rPr>
                    <w:t>突发环境事件应急预案》</w:t>
                  </w:r>
                </w:p>
              </w:tc>
              <w:tc>
                <w:tcPr>
                  <w:tcW w:w="356" w:type="pct"/>
                  <w:tcBorders>
                    <w:top w:val="single" w:color="auto" w:sz="6" w:space="0"/>
                    <w:left w:val="single" w:color="auto" w:sz="6" w:space="0"/>
                  </w:tcBorders>
                  <w:tcMar>
                    <w:left w:w="0" w:type="dxa"/>
                    <w:right w:w="0" w:type="dxa"/>
                  </w:tcMar>
                  <w:vAlign w:val="center"/>
                </w:tcPr>
                <w:p>
                  <w:pPr>
                    <w:pStyle w:val="17"/>
                    <w:bidi w:val="0"/>
                    <w:rPr>
                      <w:rFonts w:hint="default"/>
                      <w:color w:val="auto"/>
                    </w:rPr>
                  </w:pPr>
                  <w:r>
                    <w:rPr>
                      <w:rFonts w:hint="default"/>
                      <w:color w:val="auto"/>
                    </w:rPr>
                    <w:t>符合</w:t>
                  </w:r>
                </w:p>
              </w:tc>
            </w:tr>
          </w:tbl>
          <w:p>
            <w:pPr>
              <w:pStyle w:val="4"/>
              <w:bidi w:val="0"/>
              <w:rPr>
                <w:rFonts w:hint="default"/>
                <w:color w:val="auto"/>
              </w:rPr>
            </w:pPr>
            <w:r>
              <w:rPr>
                <w:rFonts w:hint="eastAsia"/>
                <w:color w:val="auto"/>
                <w:lang w:val="en-US" w:eastAsia="zh-CN"/>
              </w:rPr>
              <w:t>7</w:t>
            </w:r>
            <w:r>
              <w:rPr>
                <w:rFonts w:hint="default"/>
                <w:color w:val="auto"/>
              </w:rPr>
              <w:t>、与《进一步加强石油天然气行业环境影响评价管理的通知》相符性分析</w:t>
            </w:r>
          </w:p>
          <w:p>
            <w:pPr>
              <w:spacing w:before="0" w:beforeLines="0" w:line="36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w:t>
            </w:r>
            <w:r>
              <w:rPr>
                <w:rFonts w:hint="eastAsia" w:cs="Times New Roman"/>
                <w:b/>
                <w:bCs w:val="0"/>
                <w:color w:val="auto"/>
                <w:sz w:val="21"/>
                <w:szCs w:val="21"/>
                <w:lang w:val="en-US" w:eastAsia="zh-CN"/>
              </w:rPr>
              <w:t xml:space="preserve">1-6 </w:t>
            </w:r>
            <w:r>
              <w:rPr>
                <w:rFonts w:hint="default" w:ascii="Times New Roman" w:hAnsi="Times New Roman" w:eastAsia="宋体" w:cs="Times New Roman"/>
                <w:b/>
                <w:bCs w:val="0"/>
                <w:color w:val="auto"/>
                <w:sz w:val="21"/>
                <w:szCs w:val="21"/>
              </w:rPr>
              <w:t xml:space="preserve"> </w:t>
            </w:r>
            <w:r>
              <w:rPr>
                <w:rFonts w:hint="eastAsia" w:cs="Times New Roman"/>
                <w:b/>
                <w:bCs w:val="0"/>
                <w:color w:val="auto"/>
                <w:sz w:val="21"/>
                <w:szCs w:val="21"/>
                <w:lang w:val="en-US" w:eastAsia="zh-CN"/>
              </w:rPr>
              <w:t xml:space="preserve"> </w:t>
            </w:r>
            <w:r>
              <w:rPr>
                <w:rFonts w:hint="default" w:ascii="Times New Roman" w:hAnsi="Times New Roman" w:eastAsia="宋体" w:cs="Times New Roman"/>
                <w:b/>
                <w:bCs w:val="0"/>
                <w:color w:val="auto"/>
                <w:sz w:val="21"/>
                <w:szCs w:val="21"/>
              </w:rPr>
              <w:t>本项目与《关于进一步加强石油天然气行业环境影响评价管理的通知》的相符性分析</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40"/>
              <w:gridCol w:w="3233"/>
              <w:gridCol w:w="3019"/>
              <w:gridCol w:w="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302" w:type="pct"/>
                  <w:tcMar>
                    <w:left w:w="0" w:type="dxa"/>
                    <w:right w:w="0" w:type="dxa"/>
                  </w:tcMar>
                  <w:vAlign w:val="center"/>
                </w:tcPr>
                <w:p>
                  <w:pPr>
                    <w:pStyle w:val="17"/>
                    <w:bidi w:val="0"/>
                    <w:rPr>
                      <w:rFonts w:hint="default"/>
                      <w:color w:val="auto"/>
                    </w:rPr>
                  </w:pPr>
                  <w:bookmarkStart w:id="0" w:name="_Hlk70758253"/>
                  <w:r>
                    <w:rPr>
                      <w:rFonts w:hint="default"/>
                      <w:color w:val="auto"/>
                    </w:rPr>
                    <w:t>序号</w:t>
                  </w:r>
                </w:p>
              </w:tc>
              <w:tc>
                <w:tcPr>
                  <w:tcW w:w="2224" w:type="pct"/>
                  <w:tcMar>
                    <w:left w:w="0" w:type="dxa"/>
                    <w:right w:w="0" w:type="dxa"/>
                  </w:tcMar>
                  <w:vAlign w:val="center"/>
                </w:tcPr>
                <w:p>
                  <w:pPr>
                    <w:pStyle w:val="17"/>
                    <w:bidi w:val="0"/>
                    <w:rPr>
                      <w:rFonts w:hint="default"/>
                      <w:color w:val="auto"/>
                    </w:rPr>
                  </w:pPr>
                  <w:r>
                    <w:rPr>
                      <w:rFonts w:hint="default"/>
                      <w:color w:val="auto"/>
                    </w:rPr>
                    <w:t>《通知》中相关规定</w:t>
                  </w:r>
                </w:p>
              </w:tc>
              <w:tc>
                <w:tcPr>
                  <w:tcW w:w="2076" w:type="pct"/>
                  <w:tcMar>
                    <w:left w:w="0" w:type="dxa"/>
                    <w:right w:w="0" w:type="dxa"/>
                  </w:tcMar>
                  <w:vAlign w:val="center"/>
                </w:tcPr>
                <w:p>
                  <w:pPr>
                    <w:pStyle w:val="17"/>
                    <w:bidi w:val="0"/>
                    <w:rPr>
                      <w:rFonts w:hint="default"/>
                      <w:color w:val="auto"/>
                    </w:rPr>
                  </w:pPr>
                  <w:r>
                    <w:rPr>
                      <w:rFonts w:hint="default"/>
                      <w:color w:val="auto"/>
                    </w:rPr>
                    <w:t>本项目采取的相关措施</w:t>
                  </w:r>
                </w:p>
              </w:tc>
              <w:tc>
                <w:tcPr>
                  <w:tcW w:w="396" w:type="pct"/>
                  <w:tcMar>
                    <w:left w:w="0" w:type="dxa"/>
                    <w:right w:w="0" w:type="dxa"/>
                  </w:tcMar>
                  <w:vAlign w:val="center"/>
                </w:tcPr>
                <w:p>
                  <w:pPr>
                    <w:pStyle w:val="17"/>
                    <w:bidi w:val="0"/>
                    <w:rPr>
                      <w:rFonts w:hint="default"/>
                      <w:color w:val="auto"/>
                    </w:rPr>
                  </w:pPr>
                  <w:r>
                    <w:rPr>
                      <w:rFonts w:hint="default"/>
                      <w:color w:val="auto"/>
                    </w:rPr>
                    <w:t>分析结论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02" w:type="pct"/>
                  <w:tcMar>
                    <w:left w:w="0" w:type="dxa"/>
                    <w:right w:w="0" w:type="dxa"/>
                  </w:tcMar>
                  <w:vAlign w:val="center"/>
                </w:tcPr>
                <w:p>
                  <w:pPr>
                    <w:pStyle w:val="17"/>
                    <w:bidi w:val="0"/>
                    <w:rPr>
                      <w:rFonts w:hint="default"/>
                      <w:color w:val="auto"/>
                    </w:rPr>
                  </w:pPr>
                  <w:r>
                    <w:rPr>
                      <w:rFonts w:hint="default"/>
                      <w:color w:val="auto"/>
                    </w:rPr>
                    <w:t>1</w:t>
                  </w:r>
                </w:p>
              </w:tc>
              <w:tc>
                <w:tcPr>
                  <w:tcW w:w="2224" w:type="pct"/>
                  <w:tcMar>
                    <w:left w:w="0" w:type="dxa"/>
                    <w:right w:w="0" w:type="dxa"/>
                  </w:tcMar>
                  <w:vAlign w:val="center"/>
                </w:tcPr>
                <w:p>
                  <w:pPr>
                    <w:pStyle w:val="17"/>
                    <w:bidi w:val="0"/>
                    <w:rPr>
                      <w:rFonts w:hint="default"/>
                      <w:color w:val="auto"/>
                    </w:rPr>
                  </w:pPr>
                  <w:r>
                    <w:rPr>
                      <w:rFonts w:hint="default"/>
                      <w:color w:val="auto"/>
                    </w:rPr>
                    <w:t>未确定产能建设规模的陆地油气开采新区块，建设勘探井应当依法编制环境影响报告表</w:t>
                  </w:r>
                </w:p>
              </w:tc>
              <w:tc>
                <w:tcPr>
                  <w:tcW w:w="2076" w:type="pct"/>
                  <w:tcMar>
                    <w:left w:w="0" w:type="dxa"/>
                    <w:right w:w="0" w:type="dxa"/>
                  </w:tcMar>
                  <w:vAlign w:val="center"/>
                </w:tcPr>
                <w:p>
                  <w:pPr>
                    <w:pStyle w:val="17"/>
                    <w:bidi w:val="0"/>
                    <w:rPr>
                      <w:rFonts w:hint="default"/>
                      <w:color w:val="auto"/>
                    </w:rPr>
                  </w:pPr>
                  <w:r>
                    <w:rPr>
                      <w:rFonts w:hint="default"/>
                      <w:color w:val="auto"/>
                    </w:rPr>
                    <w:t>项目属于未确定产能的新区块</w:t>
                  </w:r>
                  <w:r>
                    <w:rPr>
                      <w:rFonts w:hint="eastAsia"/>
                      <w:color w:val="auto"/>
                    </w:rPr>
                    <w:t>陆地石油资源勘探项目</w:t>
                  </w:r>
                  <w:r>
                    <w:rPr>
                      <w:rFonts w:hint="default"/>
                      <w:color w:val="auto"/>
                    </w:rPr>
                    <w:t>，应当编制环境影响报告表</w:t>
                  </w:r>
                </w:p>
              </w:tc>
              <w:tc>
                <w:tcPr>
                  <w:tcW w:w="396" w:type="pct"/>
                  <w:tcMar>
                    <w:left w:w="0" w:type="dxa"/>
                    <w:right w:w="0" w:type="dxa"/>
                  </w:tcMar>
                  <w:vAlign w:val="center"/>
                </w:tcPr>
                <w:p>
                  <w:pPr>
                    <w:pStyle w:val="17"/>
                    <w:bidi w:val="0"/>
                    <w:rPr>
                      <w:rFonts w:hint="default"/>
                      <w:color w:val="auto"/>
                    </w:rPr>
                  </w:pPr>
                  <w:r>
                    <w:rPr>
                      <w:rFonts w:hint="default"/>
                      <w:color w:val="auto"/>
                    </w:rPr>
                    <w:t>符合</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2" w:type="pct"/>
                  <w:tcMar>
                    <w:left w:w="0" w:type="dxa"/>
                    <w:right w:w="0" w:type="dxa"/>
                  </w:tcMar>
                  <w:vAlign w:val="center"/>
                </w:tcPr>
                <w:p>
                  <w:pPr>
                    <w:pStyle w:val="17"/>
                    <w:bidi w:val="0"/>
                    <w:rPr>
                      <w:rFonts w:hint="default"/>
                      <w:color w:val="auto"/>
                    </w:rPr>
                  </w:pPr>
                  <w:r>
                    <w:rPr>
                      <w:rFonts w:hint="default"/>
                      <w:color w:val="auto"/>
                    </w:rPr>
                    <w:t>2</w:t>
                  </w:r>
                </w:p>
              </w:tc>
              <w:tc>
                <w:tcPr>
                  <w:tcW w:w="2224" w:type="pct"/>
                  <w:tcMar>
                    <w:left w:w="0" w:type="dxa"/>
                    <w:right w:w="0" w:type="dxa"/>
                  </w:tcMar>
                  <w:vAlign w:val="center"/>
                </w:tcPr>
                <w:p>
                  <w:pPr>
                    <w:pStyle w:val="17"/>
                    <w:bidi w:val="0"/>
                    <w:rPr>
                      <w:rFonts w:hint="default"/>
                      <w:color w:val="auto"/>
                    </w:rPr>
                  </w:pPr>
                  <w:r>
                    <w:rPr>
                      <w:rFonts w:hint="default"/>
                      <w:color w:val="auto"/>
                    </w:rPr>
                    <w:t>项目环评应当深入评价项目建设、运营带来的环境影响和环境风险，提出有效的生态环境保护和环境风险防范措施。滚动开发区块产能建设项目环评文件中还应对现有工程环境影响进行回顾性评价，对存在的生态环境问题和环境风险隐患提出有效防治措施。依托其他防治设施的或者委托第三方处置的，应当论证其可行性和有效性</w:t>
                  </w:r>
                </w:p>
              </w:tc>
              <w:tc>
                <w:tcPr>
                  <w:tcW w:w="2076" w:type="pct"/>
                  <w:tcMar>
                    <w:left w:w="0" w:type="dxa"/>
                    <w:right w:w="0" w:type="dxa"/>
                  </w:tcMar>
                  <w:vAlign w:val="center"/>
                </w:tcPr>
                <w:p>
                  <w:pPr>
                    <w:pStyle w:val="17"/>
                    <w:bidi w:val="0"/>
                    <w:rPr>
                      <w:rFonts w:hint="default"/>
                      <w:color w:val="auto"/>
                    </w:rPr>
                  </w:pPr>
                  <w:r>
                    <w:rPr>
                      <w:rFonts w:hint="default"/>
                      <w:color w:val="auto"/>
                    </w:rPr>
                    <w:t>本项目为油气资源勘查项目，在报告中对项目建设带来的环境影响提出了对应的防治措施，对生态环境保护和环境风险提出了有效的防范措施。对依托工程的依托可行性进行了分析</w:t>
                  </w:r>
                </w:p>
              </w:tc>
              <w:tc>
                <w:tcPr>
                  <w:tcW w:w="396" w:type="pct"/>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302" w:type="pct"/>
                  <w:tcMar>
                    <w:left w:w="0" w:type="dxa"/>
                    <w:right w:w="0" w:type="dxa"/>
                  </w:tcMar>
                  <w:vAlign w:val="center"/>
                </w:tcPr>
                <w:p>
                  <w:pPr>
                    <w:pStyle w:val="17"/>
                    <w:bidi w:val="0"/>
                    <w:rPr>
                      <w:rFonts w:hint="default"/>
                      <w:color w:val="auto"/>
                    </w:rPr>
                  </w:pPr>
                  <w:r>
                    <w:rPr>
                      <w:rFonts w:hint="default"/>
                      <w:color w:val="auto"/>
                    </w:rPr>
                    <w:t>3</w:t>
                  </w:r>
                </w:p>
              </w:tc>
              <w:tc>
                <w:tcPr>
                  <w:tcW w:w="2224" w:type="pct"/>
                  <w:tcMar>
                    <w:left w:w="0" w:type="dxa"/>
                    <w:right w:w="0" w:type="dxa"/>
                  </w:tcMar>
                  <w:vAlign w:val="center"/>
                </w:tcPr>
                <w:p>
                  <w:pPr>
                    <w:pStyle w:val="17"/>
                    <w:bidi w:val="0"/>
                    <w:rPr>
                      <w:rFonts w:hint="default"/>
                      <w:color w:val="auto"/>
                    </w:rPr>
                  </w:pPr>
                  <w:r>
                    <w:rPr>
                      <w:rFonts w:hint="default"/>
                      <w:color w:val="auto"/>
                    </w:rPr>
                    <w:t>油气企业应当切实落实生态环境保护主体责任，进一步健全生态环境保护管理体系和制度，充分发挥企业内部生态环境保护部门作用，健全健康、安全与环境（HSE）管理体系，加强督促检查，推动所属油气田落实规划、建设、运营、退役等环节生态环境保护措施</w:t>
                  </w:r>
                </w:p>
              </w:tc>
              <w:tc>
                <w:tcPr>
                  <w:tcW w:w="2076" w:type="pct"/>
                  <w:tcMar>
                    <w:left w:w="0" w:type="dxa"/>
                    <w:right w:w="0" w:type="dxa"/>
                  </w:tcMar>
                  <w:vAlign w:val="center"/>
                </w:tcPr>
                <w:p>
                  <w:pPr>
                    <w:pStyle w:val="17"/>
                    <w:bidi w:val="0"/>
                    <w:rPr>
                      <w:rFonts w:hint="default"/>
                      <w:color w:val="auto"/>
                    </w:rPr>
                  </w:pPr>
                  <w:r>
                    <w:rPr>
                      <w:rFonts w:hint="default"/>
                      <w:color w:val="auto"/>
                    </w:rPr>
                    <w:t>本项目实施过程中，将根据</w:t>
                  </w:r>
                  <w:r>
                    <w:rPr>
                      <w:rFonts w:hint="default"/>
                      <w:color w:val="auto"/>
                      <w:lang w:eastAsia="zh-CN"/>
                    </w:rPr>
                    <w:t>中国石油天然气股份有限公司吐哈油田分公司准东采油管理区</w:t>
                  </w:r>
                  <w:r>
                    <w:rPr>
                      <w:rFonts w:hint="default"/>
                      <w:color w:val="auto"/>
                    </w:rPr>
                    <w:t>在环境管理上建立的健康、安全与环境管理体系（HSE管理体系），落实各项环保和安全措施，减少项目开发对周围环境的影响</w:t>
                  </w:r>
                </w:p>
              </w:tc>
              <w:tc>
                <w:tcPr>
                  <w:tcW w:w="396" w:type="pct"/>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 w:type="pct"/>
                  <w:tcMar>
                    <w:left w:w="0" w:type="dxa"/>
                    <w:right w:w="0" w:type="dxa"/>
                  </w:tcMar>
                  <w:vAlign w:val="center"/>
                </w:tcPr>
                <w:p>
                  <w:pPr>
                    <w:pStyle w:val="17"/>
                    <w:bidi w:val="0"/>
                    <w:rPr>
                      <w:rFonts w:hint="default"/>
                      <w:color w:val="auto"/>
                    </w:rPr>
                  </w:pPr>
                  <w:r>
                    <w:rPr>
                      <w:rFonts w:hint="default"/>
                      <w:color w:val="auto"/>
                    </w:rPr>
                    <w:t>4</w:t>
                  </w:r>
                </w:p>
              </w:tc>
              <w:tc>
                <w:tcPr>
                  <w:tcW w:w="2224" w:type="pct"/>
                  <w:tcMar>
                    <w:left w:w="0" w:type="dxa"/>
                    <w:right w:w="0" w:type="dxa"/>
                  </w:tcMar>
                  <w:vAlign w:val="center"/>
                </w:tcPr>
                <w:p>
                  <w:pPr>
                    <w:pStyle w:val="17"/>
                    <w:bidi w:val="0"/>
                    <w:rPr>
                      <w:rFonts w:hint="default"/>
                      <w:color w:val="auto"/>
                    </w:rPr>
                  </w:pPr>
                  <w:r>
                    <w:rPr>
                      <w:rFonts w:hint="default"/>
                      <w:color w:val="auto"/>
                    </w:rPr>
                    <w:t>未确定产能建设规模的陆地油气开采新区块，建设勘探井应当依法编制环境影响报告表。确定产能建设规模后，原则上不得以勘探名义继续开展单井环评。勘探井转为生产井的，可以纳入区块环评</w:t>
                  </w:r>
                </w:p>
              </w:tc>
              <w:tc>
                <w:tcPr>
                  <w:tcW w:w="2076" w:type="pct"/>
                  <w:tcMar>
                    <w:left w:w="0" w:type="dxa"/>
                    <w:right w:w="0" w:type="dxa"/>
                  </w:tcMar>
                  <w:vAlign w:val="center"/>
                </w:tcPr>
                <w:p>
                  <w:pPr>
                    <w:pStyle w:val="17"/>
                    <w:bidi w:val="0"/>
                    <w:rPr>
                      <w:rFonts w:hint="default"/>
                      <w:color w:val="auto"/>
                    </w:rPr>
                  </w:pPr>
                  <w:r>
                    <w:rPr>
                      <w:rFonts w:hint="default"/>
                      <w:color w:val="auto"/>
                    </w:rPr>
                    <w:t>本项目为</w:t>
                  </w:r>
                  <w:r>
                    <w:rPr>
                      <w:rFonts w:hint="eastAsia"/>
                      <w:color w:val="auto"/>
                      <w:lang w:val="en-US" w:eastAsia="zh-CN"/>
                    </w:rPr>
                    <w:t>陆地石油勘探</w:t>
                  </w:r>
                  <w:r>
                    <w:rPr>
                      <w:rFonts w:hint="default"/>
                      <w:color w:val="auto"/>
                    </w:rPr>
                    <w:t>项目，位于未确定产能建设规模的陆地油气开采新区块，应当编制环境影响报告表</w:t>
                  </w:r>
                </w:p>
              </w:tc>
              <w:tc>
                <w:tcPr>
                  <w:tcW w:w="396" w:type="pct"/>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2" w:hRule="atLeast"/>
                <w:jc w:val="center"/>
              </w:trPr>
              <w:tc>
                <w:tcPr>
                  <w:tcW w:w="302" w:type="pct"/>
                  <w:tcMar>
                    <w:left w:w="0" w:type="dxa"/>
                    <w:right w:w="0" w:type="dxa"/>
                  </w:tcMar>
                  <w:vAlign w:val="center"/>
                </w:tcPr>
                <w:p>
                  <w:pPr>
                    <w:pStyle w:val="17"/>
                    <w:bidi w:val="0"/>
                    <w:rPr>
                      <w:rFonts w:hint="default"/>
                      <w:color w:val="auto"/>
                    </w:rPr>
                  </w:pPr>
                  <w:r>
                    <w:rPr>
                      <w:rFonts w:hint="default"/>
                      <w:color w:val="auto"/>
                    </w:rPr>
                    <w:t>5</w:t>
                  </w:r>
                </w:p>
              </w:tc>
              <w:tc>
                <w:tcPr>
                  <w:tcW w:w="2224" w:type="pct"/>
                  <w:tcMar>
                    <w:left w:w="0" w:type="dxa"/>
                    <w:right w:w="0" w:type="dxa"/>
                  </w:tcMar>
                  <w:vAlign w:val="center"/>
                </w:tcPr>
                <w:p>
                  <w:pPr>
                    <w:pStyle w:val="17"/>
                    <w:bidi w:val="0"/>
                    <w:rPr>
                      <w:rFonts w:hint="default"/>
                      <w:color w:val="auto"/>
                    </w:rPr>
                  </w:pPr>
                  <w:r>
                    <w:rPr>
                      <w:rFonts w:hint="default"/>
                      <w:color w:val="auto"/>
                    </w:rPr>
                    <w:t>油气开采产生的含油钻</w:t>
                  </w:r>
                  <w:r>
                    <w:rPr>
                      <w:rFonts w:hint="eastAsia"/>
                      <w:color w:val="auto"/>
                      <w:lang w:val="en-US" w:eastAsia="zh-CN"/>
                    </w:rPr>
                    <w:t>井岩</w:t>
                  </w:r>
                  <w:r>
                    <w:rPr>
                      <w:rFonts w:hint="default"/>
                      <w:color w:val="auto"/>
                    </w:rPr>
                    <w:t>屑及其他固体废物，应当遵循减量化、资源化、无害化原则，按照国家和地方有关固体废物的管理规定进行处置。鼓励企业自建含油污泥集中式处理和综合利用设施，提高含油钻</w:t>
                  </w:r>
                  <w:r>
                    <w:rPr>
                      <w:rFonts w:hint="eastAsia"/>
                      <w:color w:val="auto"/>
                      <w:lang w:val="en-US" w:eastAsia="zh-CN"/>
                    </w:rPr>
                    <w:t>井岩</w:t>
                  </w:r>
                  <w:r>
                    <w:rPr>
                      <w:rFonts w:hint="default"/>
                      <w:color w:val="auto"/>
                    </w:rPr>
                    <w:t>屑及其处理产物的综合利用率</w:t>
                  </w:r>
                </w:p>
              </w:tc>
              <w:tc>
                <w:tcPr>
                  <w:tcW w:w="2076" w:type="pct"/>
                  <w:tcMar>
                    <w:left w:w="0" w:type="dxa"/>
                    <w:right w:w="0" w:type="dxa"/>
                  </w:tcMar>
                  <w:vAlign w:val="center"/>
                </w:tcPr>
                <w:p>
                  <w:pPr>
                    <w:pStyle w:val="17"/>
                    <w:bidi w:val="0"/>
                    <w:rPr>
                      <w:rFonts w:hint="default"/>
                      <w:color w:val="auto"/>
                    </w:rPr>
                  </w:pPr>
                  <w:r>
                    <w:rPr>
                      <w:rFonts w:hint="eastAsia"/>
                      <w:lang w:eastAsia="zh-CN"/>
                    </w:rPr>
                    <w:t>钻井平台</w:t>
                  </w:r>
                  <w:r>
                    <w:rPr>
                      <w:rFonts w:hint="default"/>
                    </w:rPr>
                    <w:t>设置不落地设备，用于分离钻井液和钻井岩屑；钻井岩屑采用不落地系统进行处理，处理后进岩屑专用方罐，水基钻井岩屑由岩屑处置单位拉运进行处理</w:t>
                  </w:r>
                  <w:r>
                    <w:rPr>
                      <w:rFonts w:hint="default"/>
                      <w:lang w:val="en-US" w:eastAsia="zh-CN"/>
                    </w:rPr>
                    <w:t>，检测满足《油气田钻井固体废物综合利用污染控制要求》（DB65/T3997-2017）相关标准限值后用于</w:t>
                  </w:r>
                  <w:r>
                    <w:rPr>
                      <w:rFonts w:hint="eastAsia"/>
                      <w:lang w:val="en-US" w:eastAsia="zh-CN"/>
                    </w:rPr>
                    <w:t>本工程</w:t>
                  </w:r>
                  <w:r>
                    <w:rPr>
                      <w:rFonts w:hint="default"/>
                      <w:lang w:val="en-US" w:eastAsia="zh-CN"/>
                    </w:rPr>
                    <w:t>进场临时铺路、铺垫</w:t>
                  </w:r>
                  <w:r>
                    <w:rPr>
                      <w:rFonts w:hint="eastAsia"/>
                      <w:lang w:val="en-US" w:eastAsia="zh-CN"/>
                    </w:rPr>
                    <w:t>钻井平台</w:t>
                  </w:r>
                  <w:r>
                    <w:rPr>
                      <w:rFonts w:hint="default"/>
                      <w:lang w:val="en-US" w:eastAsia="zh-CN"/>
                    </w:rPr>
                    <w:t>，不满足综合利用要求的委托有资质的岩屑处理单位进行处置</w:t>
                  </w:r>
                  <w:r>
                    <w:rPr>
                      <w:rFonts w:hint="default"/>
                    </w:rPr>
                    <w:t>；油基钻井岩屑交由具有相应危险废物处置资质的单位负责接收、转运及无害化处置。岩屑未能及时拉运时，连同方罐一同在岩屑临时堆放场贮存，岩屑堆放场地四周设围堰，围堰及岩屑堆放场地底部均铺设HDPE防渗膜。</w:t>
                  </w:r>
                </w:p>
              </w:tc>
              <w:tc>
                <w:tcPr>
                  <w:tcW w:w="396" w:type="pct"/>
                  <w:tcMar>
                    <w:left w:w="0" w:type="dxa"/>
                    <w:right w:w="0" w:type="dxa"/>
                  </w:tcMar>
                  <w:vAlign w:val="center"/>
                </w:tcPr>
                <w:p>
                  <w:pPr>
                    <w:pStyle w:val="17"/>
                    <w:bidi w:val="0"/>
                    <w:rPr>
                      <w:rFonts w:hint="default"/>
                      <w:color w:val="auto"/>
                    </w:rPr>
                  </w:pPr>
                  <w:r>
                    <w:rPr>
                      <w:rFonts w:hint="default"/>
                      <w:color w:val="auto"/>
                    </w:rPr>
                    <w:t>符合</w:t>
                  </w:r>
                </w:p>
              </w:tc>
            </w:tr>
          </w:tbl>
          <w:p>
            <w:pPr>
              <w:pStyle w:val="4"/>
              <w:bidi w:val="0"/>
              <w:rPr>
                <w:rFonts w:hint="default"/>
                <w:color w:val="auto"/>
              </w:rPr>
            </w:pPr>
            <w:r>
              <w:rPr>
                <w:rFonts w:hint="eastAsia"/>
                <w:color w:val="auto"/>
                <w:lang w:val="en-US" w:eastAsia="zh-CN"/>
              </w:rPr>
              <w:t>8</w:t>
            </w:r>
            <w:r>
              <w:rPr>
                <w:rFonts w:hint="default"/>
                <w:color w:val="auto"/>
              </w:rPr>
              <w:t>、与《新疆维吾尔自治区石油勘探开发环境管理办法》相符性分析</w:t>
            </w:r>
          </w:p>
          <w:p>
            <w:pPr>
              <w:pStyle w:val="14"/>
              <w:bidi w:val="0"/>
              <w:rPr>
                <w:rFonts w:hint="default"/>
                <w:color w:val="auto"/>
              </w:rPr>
            </w:pPr>
            <w:r>
              <w:rPr>
                <w:rFonts w:hint="default"/>
                <w:color w:val="auto"/>
              </w:rPr>
              <w:t>表</w:t>
            </w:r>
            <w:r>
              <w:rPr>
                <w:rFonts w:hint="eastAsia"/>
                <w:color w:val="auto"/>
                <w:lang w:val="en-US" w:eastAsia="zh-CN"/>
              </w:rPr>
              <w:t>1-7</w:t>
            </w:r>
            <w:r>
              <w:rPr>
                <w:rFonts w:hint="default"/>
                <w:color w:val="auto"/>
              </w:rPr>
              <w:t xml:space="preserve">   与《新疆维吾尔自治区石油勘探开发环境管理办法》的相符性分析</w:t>
            </w:r>
          </w:p>
          <w:tbl>
            <w:tblPr>
              <w:tblStyle w:val="11"/>
              <w:tblW w:w="5000" w:type="pct"/>
              <w:tblInd w:w="-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66"/>
              <w:gridCol w:w="3425"/>
              <w:gridCol w:w="2759"/>
              <w:gridCol w:w="51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trPr>
              <w:tc>
                <w:tcPr>
                  <w:tcW w:w="389" w:type="pct"/>
                  <w:tcBorders>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序号</w:t>
                  </w:r>
                </w:p>
              </w:tc>
              <w:tc>
                <w:tcPr>
                  <w:tcW w:w="2356" w:type="pct"/>
                  <w:tcBorders>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《《新疆维吾尔自治区石油勘探开发环境管理办法》》相关规定</w:t>
                  </w:r>
                </w:p>
              </w:tc>
              <w:tc>
                <w:tcPr>
                  <w:tcW w:w="1898" w:type="pct"/>
                  <w:tcBorders>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本项目采取的相关措施</w:t>
                  </w:r>
                </w:p>
              </w:tc>
              <w:tc>
                <w:tcPr>
                  <w:tcW w:w="356" w:type="pct"/>
                  <w:tcBorders>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分析结论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1</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eastAsia"/>
                      <w:color w:val="auto"/>
                      <w:lang w:eastAsia="zh-CN"/>
                    </w:rPr>
                  </w:pPr>
                  <w:r>
                    <w:rPr>
                      <w:rFonts w:hint="default"/>
                      <w:color w:val="auto"/>
                    </w:rPr>
                    <w:t>石油勘探开发的新建、扩建、改建项目应当采用资源利用率高、污染物排放量少的生产设备和工艺，实行清洁生产</w:t>
                  </w:r>
                  <w:r>
                    <w:rPr>
                      <w:rFonts w:hint="eastAsia"/>
                      <w:color w:val="auto"/>
                      <w:lang w:eastAsia="zh-CN"/>
                    </w:rPr>
                    <w:t>。</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lang w:val="en-US" w:eastAsia="zh-CN"/>
                    </w:rPr>
                  </w:pPr>
                  <w:r>
                    <w:rPr>
                      <w:rFonts w:hint="eastAsia"/>
                      <w:color w:val="auto"/>
                      <w:lang w:val="en-US" w:eastAsia="zh-CN"/>
                    </w:rPr>
                    <w:t>本项目钻井过程采用ZJ-50钻机</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2</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eastAsia"/>
                      <w:color w:val="auto"/>
                      <w:lang w:eastAsia="zh-CN"/>
                    </w:rPr>
                  </w:pPr>
                  <w:r>
                    <w:rPr>
                      <w:rFonts w:hint="default"/>
                      <w:color w:val="auto"/>
                    </w:rPr>
                    <w:t>石油勘探开发单位的新建、扩建、改建、区域开发和引进项目等，必须执行环境影响报告的审批制度，执行防治污染的设施与主体工程同时设计，同时施工，同时投产使用的制度</w:t>
                  </w:r>
                  <w:r>
                    <w:rPr>
                      <w:rFonts w:hint="eastAsia"/>
                      <w:color w:val="auto"/>
                      <w:lang w:eastAsia="zh-CN"/>
                    </w:rPr>
                    <w:t>。</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lang w:val="en-US" w:eastAsia="zh-CN"/>
                    </w:rPr>
                  </w:pPr>
                  <w:r>
                    <w:rPr>
                      <w:rFonts w:hint="eastAsia"/>
                      <w:color w:val="auto"/>
                      <w:lang w:val="en-US" w:eastAsia="zh-CN"/>
                    </w:rPr>
                    <w:t>本项目属于陆地石油勘探项目，按照要求编制环境影响报告表</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3</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石油勘探开发单位应当实行用水管理制度，提高水的重复利用率，对含油污水经处理达到注水标准的，可以实行回注，减少废水的排放量，保护地面水和地下水不受污染</w:t>
                  </w:r>
                  <w:r>
                    <w:rPr>
                      <w:rFonts w:hint="eastAsia"/>
                      <w:color w:val="auto"/>
                      <w:lang w:eastAsia="zh-CN"/>
                    </w:rPr>
                    <w:t>；</w:t>
                  </w:r>
                  <w:r>
                    <w:rPr>
                      <w:rFonts w:hint="default"/>
                      <w:color w:val="auto"/>
                    </w:rPr>
                    <w:t>排放废水必须符合国家和自治区规定的标准。</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lang w:val="en-US" w:eastAsia="zh-CN"/>
                    </w:rPr>
                  </w:pPr>
                  <w:r>
                    <w:rPr>
                      <w:rFonts w:hint="eastAsia"/>
                      <w:color w:val="auto"/>
                      <w:lang w:val="en-US" w:eastAsia="zh-CN"/>
                    </w:rPr>
                    <w:t>本项目钻井废水经不落地装置分离后，液相全部回用配置钻井液，不外排。井下作业废水和废压裂液拉运至吉祥联合站污水处理装置处理后满足《碎屑岩油藏注水水质指标技术要求及分析方法》（SY/T5329-2022）中相关标准后，全部用于回注油藏</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493"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4</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石油勘探开发单位排放的废气、烟尘、粉尘，应当符合国家和自治区有关规定</w:t>
                  </w:r>
                  <w:r>
                    <w:rPr>
                      <w:rFonts w:hint="eastAsia"/>
                      <w:color w:val="auto"/>
                      <w:lang w:eastAsia="zh-CN"/>
                    </w:rPr>
                    <w:t>；</w:t>
                  </w:r>
                  <w:r>
                    <w:rPr>
                      <w:rFonts w:hint="default"/>
                      <w:color w:val="auto"/>
                    </w:rPr>
                    <w:t>天然气、油田伴生气及炼化系统中排放的可燃性气体应当回收利用</w:t>
                  </w:r>
                  <w:r>
                    <w:rPr>
                      <w:rFonts w:hint="eastAsia"/>
                      <w:color w:val="auto"/>
                      <w:lang w:eastAsia="zh-CN"/>
                    </w:rPr>
                    <w:t>；</w:t>
                  </w:r>
                  <w:r>
                    <w:rPr>
                      <w:rFonts w:hint="default"/>
                      <w:color w:val="auto"/>
                    </w:rPr>
                    <w:t>不具备回收条件而向大气排放的可燃气体，必须经过充分燃烧或者采取其他防治污染的措施。</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lang w:val="en-US" w:eastAsia="zh-CN"/>
                    </w:rPr>
                  </w:pPr>
                  <w:r>
                    <w:rPr>
                      <w:rFonts w:hint="eastAsia"/>
                      <w:color w:val="auto"/>
                      <w:lang w:val="en-US" w:eastAsia="zh-CN"/>
                    </w:rPr>
                    <w:t>钻井过程中柴油发电机使用符合环保要求的柴油；根据区域油田勘探情况可知，项目试油过程中产生少量的伴生气，不具备回收条件，因此，经排气管线排至点火装置点燃，充分燃烧后排放</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1261"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5</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石油勘探开发单位在钻井和井下作业过程中，应当定点存放泥浆、岩屑或者其他废弃物，并及时做好回收利用和处理</w:t>
                  </w:r>
                  <w:r>
                    <w:rPr>
                      <w:rFonts w:hint="eastAsia"/>
                      <w:color w:val="auto"/>
                      <w:lang w:eastAsia="zh-CN"/>
                    </w:rPr>
                    <w:t>；</w:t>
                  </w:r>
                  <w:r>
                    <w:rPr>
                      <w:rFonts w:hint="default"/>
                      <w:color w:val="auto"/>
                    </w:rPr>
                    <w:t>对含有汞、镉、铅、铬、砷、氰化物、黄磷等有毒有害物质的泥浆、岩屑或者其他废弃物，应当采取防水、防渗和防溢等有效措施存放。</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eastAsia"/>
                      <w:lang w:eastAsia="zh-CN"/>
                    </w:rPr>
                    <w:t>钻井平台</w:t>
                  </w:r>
                  <w:r>
                    <w:rPr>
                      <w:rFonts w:hint="default"/>
                    </w:rPr>
                    <w:t>设置不落地设备，用于分离钻井液和钻井岩屑；钻井岩屑采用不落地系统进行处理，处理后进岩屑专用方罐，水基钻井岩屑</w:t>
                  </w:r>
                  <w:r>
                    <w:rPr>
                      <w:rFonts w:hint="default"/>
                      <w:lang w:val="en-US" w:eastAsia="zh-CN"/>
                    </w:rPr>
                    <w:t>不落地装置分离后的液相回用，分离后的固相（岩屑）临时贮存在</w:t>
                  </w:r>
                  <w:r>
                    <w:rPr>
                      <w:rFonts w:hint="eastAsia"/>
                      <w:lang w:val="en-US" w:eastAsia="zh-CN"/>
                    </w:rPr>
                    <w:t>钻井平台</w:t>
                  </w:r>
                  <w:r>
                    <w:rPr>
                      <w:rFonts w:hint="default"/>
                      <w:lang w:val="en-US" w:eastAsia="zh-CN"/>
                    </w:rPr>
                    <w:t>内的岩屑储罐中，检测满足《油气田钻井固体废物综合利用污染控制要求》（DB65/T3997-2017）相关标准限值后用于</w:t>
                  </w:r>
                  <w:r>
                    <w:rPr>
                      <w:rFonts w:hint="eastAsia"/>
                      <w:lang w:val="en-US" w:eastAsia="zh-CN"/>
                    </w:rPr>
                    <w:t>本工程</w:t>
                  </w:r>
                  <w:r>
                    <w:rPr>
                      <w:rFonts w:hint="default"/>
                      <w:lang w:val="en-US" w:eastAsia="zh-CN"/>
                    </w:rPr>
                    <w:t>进场临时铺路、铺垫</w:t>
                  </w:r>
                  <w:r>
                    <w:rPr>
                      <w:rFonts w:hint="eastAsia"/>
                      <w:lang w:val="en-US" w:eastAsia="zh-CN"/>
                    </w:rPr>
                    <w:t>钻井平台</w:t>
                  </w:r>
                  <w:r>
                    <w:rPr>
                      <w:rFonts w:hint="default"/>
                      <w:lang w:val="en-US" w:eastAsia="zh-CN"/>
                    </w:rPr>
                    <w:t>，不满足综合利用要求的委托有资质的岩屑处理单位进行处置</w:t>
                  </w:r>
                  <w:r>
                    <w:rPr>
                      <w:rFonts w:hint="default"/>
                    </w:rPr>
                    <w:t>；油基钻井岩屑交由具有相应危险废物处置资质的单位负责接收、转运及无害化处置。岩屑未能及时拉运时，连同方罐一同在岩屑临时堆放场贮存，岩屑堆放场地四周设围堰，围堰及岩屑堆放场地底部均铺设HDPE防渗膜。</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1123"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6</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石油勘探开发单位在自然保护区、水源地、风景游览区、农田和绿洲等特殊区域作业，应当遵守国家和自治区有关法律、法规和规章的规定，对作业中产生的泥浆、岩屑、废油或者其他废弃物，必须配备固定的贮存设施，并采取防水、防渗、防溢等有效措施，防止造成污染与破坏。</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lang w:val="en-US" w:eastAsia="zh-CN"/>
                    </w:rPr>
                  </w:pPr>
                  <w:r>
                    <w:rPr>
                      <w:rFonts w:hint="eastAsia"/>
                      <w:color w:val="auto"/>
                      <w:lang w:val="en-US" w:eastAsia="zh-CN"/>
                    </w:rPr>
                    <w:t>本项目不涉及以上环境敏感区，钻井过程产生的废弃油基钻井</w:t>
                  </w:r>
                  <w:r>
                    <w:rPr>
                      <w:rFonts w:hint="default"/>
                      <w:color w:val="auto"/>
                    </w:rPr>
                    <w:t>泥浆、</w:t>
                  </w:r>
                  <w:r>
                    <w:rPr>
                      <w:rFonts w:hint="eastAsia"/>
                      <w:color w:val="auto"/>
                      <w:lang w:val="en-US" w:eastAsia="zh-CN"/>
                    </w:rPr>
                    <w:t>油基</w:t>
                  </w:r>
                  <w:r>
                    <w:rPr>
                      <w:rFonts w:hint="default"/>
                      <w:color w:val="auto"/>
                    </w:rPr>
                    <w:t>岩屑、废油或者其他废弃物</w:t>
                  </w:r>
                  <w:r>
                    <w:rPr>
                      <w:rFonts w:hint="eastAsia"/>
                      <w:color w:val="auto"/>
                      <w:lang w:val="en-US" w:eastAsia="zh-CN"/>
                    </w:rPr>
                    <w:t>采用方罐直接收集，</w:t>
                  </w:r>
                  <w:r>
                    <w:rPr>
                      <w:rFonts w:hint="default"/>
                      <w:color w:val="auto"/>
                    </w:rPr>
                    <w:t>岩屑未能及时拉运时，连同方罐一同在岩屑临时堆放场贮存，岩屑堆放场地四周设围堰，围堰及岩屑堆放场地底部均铺设HDPE防渗膜。</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788"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7</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eastAsia"/>
                      <w:color w:val="auto"/>
                      <w:lang w:eastAsia="zh-CN"/>
                    </w:rPr>
                  </w:pPr>
                  <w:r>
                    <w:rPr>
                      <w:rFonts w:hint="default"/>
                      <w:color w:val="auto"/>
                    </w:rPr>
                    <w:t>石油勘探开发单位必须按照国家和自治区有关规定，严格管理有毒化学品和含有放射性物质的物品</w:t>
                  </w:r>
                  <w:r>
                    <w:rPr>
                      <w:rFonts w:hint="eastAsia"/>
                      <w:color w:val="auto"/>
                      <w:lang w:eastAsia="zh-CN"/>
                    </w:rPr>
                    <w:t>。</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lang w:val="en-US" w:eastAsia="zh-CN"/>
                    </w:rPr>
                  </w:pPr>
                  <w:r>
                    <w:rPr>
                      <w:rFonts w:hint="eastAsia"/>
                      <w:color w:val="auto"/>
                      <w:lang w:val="en-US" w:eastAsia="zh-CN"/>
                    </w:rPr>
                    <w:t>本项目不涉及有毒化学品和含有放射性物质的物品</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991"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8</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运输原油、酸、碱、泥浆和其他有毒、有害物资的车辆，应当采取防渗漏、防溢流和防散落的措施</w:t>
                  </w:r>
                  <w:r>
                    <w:rPr>
                      <w:rFonts w:hint="eastAsia"/>
                      <w:color w:val="auto"/>
                      <w:lang w:eastAsia="zh-CN"/>
                    </w:rPr>
                    <w:t>；</w:t>
                  </w:r>
                  <w:r>
                    <w:rPr>
                      <w:rFonts w:hint="default"/>
                      <w:color w:val="auto"/>
                    </w:rPr>
                    <w:t>物料底脚和洗车水应当定点存放，集中处理。</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lang w:val="en-US" w:eastAsia="zh-CN"/>
                    </w:rPr>
                  </w:pPr>
                  <w:r>
                    <w:rPr>
                      <w:rFonts w:hint="eastAsia"/>
                      <w:color w:val="auto"/>
                      <w:lang w:val="en-US" w:eastAsia="zh-CN"/>
                    </w:rPr>
                    <w:t>本项目钻井期间废弃油基钻井泥浆、油基钻井岩屑委托有资质的单位进行处置，运输过程采取试油期间防渗漏、防溢流和防散落的措施；试油期间原油采用密闭罐车拉运至指定的联合站进行进一步处理。</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991"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eastAsia"/>
                      <w:color w:val="auto"/>
                      <w:lang w:val="en-US" w:eastAsia="zh-CN"/>
                    </w:rPr>
                  </w:pPr>
                  <w:r>
                    <w:rPr>
                      <w:rFonts w:hint="eastAsia"/>
                      <w:color w:val="auto"/>
                      <w:lang w:val="en-US" w:eastAsia="zh-CN"/>
                    </w:rPr>
                    <w:t>9</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石油勘探开发单位在勘探开发作业完毕后，应当及时清理场地</w:t>
                  </w:r>
                  <w:r>
                    <w:rPr>
                      <w:rFonts w:hint="eastAsia"/>
                      <w:color w:val="auto"/>
                      <w:lang w:eastAsia="zh-CN"/>
                    </w:rPr>
                    <w:t>；</w:t>
                  </w:r>
                  <w:r>
                    <w:rPr>
                      <w:rFonts w:hint="default"/>
                      <w:color w:val="auto"/>
                    </w:rPr>
                    <w:t>在农田、绿洲等地带作业，必须采取治理措施，减少占用耕地和破坏植被，对临时性占用的耕地造成破坏的，应当复垦还耕、恢复植被，并赔偿损失。</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lang w:val="en-US" w:eastAsia="zh-CN"/>
                    </w:rPr>
                  </w:pPr>
                  <w:r>
                    <w:rPr>
                      <w:rFonts w:hint="eastAsia"/>
                      <w:color w:val="auto"/>
                      <w:highlight w:val="none"/>
                      <w:lang w:val="en-US" w:eastAsia="zh-CN"/>
                    </w:rPr>
                    <w:t>本项目对临时占用的耕地，应进行相应的补偿，钻井结束后及时对场地进行</w:t>
                  </w:r>
                  <w:r>
                    <w:rPr>
                      <w:rFonts w:hint="eastAsia"/>
                      <w:color w:val="auto"/>
                      <w:lang w:val="en-US" w:eastAsia="zh-CN"/>
                    </w:rPr>
                    <w:t>清理，临时占地应按照相应</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991"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lang w:val="en-US" w:eastAsia="zh-CN"/>
                    </w:rPr>
                  </w:pPr>
                  <w:r>
                    <w:rPr>
                      <w:rFonts w:hint="eastAsia"/>
                      <w:color w:val="auto"/>
                      <w:lang w:val="en-US" w:eastAsia="zh-CN"/>
                    </w:rPr>
                    <w:t>10</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石油勘探开发单位应当严格执行井控技术规定，防止井喷污染，并实行无污染作业，严格控制落地油。</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lang w:val="en-US" w:eastAsia="zh-CN"/>
                    </w:rPr>
                  </w:pPr>
                  <w:r>
                    <w:rPr>
                      <w:rFonts w:hint="eastAsia"/>
                      <w:color w:val="auto"/>
                      <w:lang w:val="en-US" w:eastAsia="zh-CN"/>
                    </w:rPr>
                    <w:t>本项目严格按照吐哈油田分公司钻井井控实施细则》要求落实井控措施，落地油100%收集。</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991" w:hRule="atLeast"/>
              </w:trPr>
              <w:tc>
                <w:tcPr>
                  <w:tcW w:w="389" w:type="pct"/>
                  <w:tcBorders>
                    <w:top w:val="single" w:color="auto" w:sz="6" w:space="0"/>
                    <w:right w:val="single" w:color="auto" w:sz="6" w:space="0"/>
                  </w:tcBorders>
                  <w:tcMar>
                    <w:left w:w="0" w:type="dxa"/>
                    <w:right w:w="0" w:type="dxa"/>
                  </w:tcMar>
                  <w:vAlign w:val="center"/>
                </w:tcPr>
                <w:p>
                  <w:pPr>
                    <w:pStyle w:val="17"/>
                    <w:bidi w:val="0"/>
                    <w:rPr>
                      <w:rFonts w:hint="default"/>
                      <w:color w:val="auto"/>
                      <w:lang w:val="en-US" w:eastAsia="zh-CN"/>
                    </w:rPr>
                  </w:pPr>
                  <w:r>
                    <w:rPr>
                      <w:rFonts w:hint="eastAsia"/>
                      <w:color w:val="auto"/>
                      <w:lang w:val="en-US" w:eastAsia="zh-CN"/>
                    </w:rPr>
                    <w:t>11</w:t>
                  </w:r>
                </w:p>
              </w:tc>
              <w:tc>
                <w:tcPr>
                  <w:tcW w:w="2356" w:type="pct"/>
                  <w:tcBorders>
                    <w:top w:val="single" w:color="auto" w:sz="6" w:space="0"/>
                    <w:left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石油勘探开发中发生事故或者其他突发性事件，造成或者可能造成环境污染和生态破坏的，必须立即采取措施，通报可能受到污染危害的单位和个人，并按国家有关规定，做好污染事故的调查处理工作。</w:t>
                  </w:r>
                </w:p>
              </w:tc>
              <w:tc>
                <w:tcPr>
                  <w:tcW w:w="1898" w:type="pct"/>
                  <w:tcBorders>
                    <w:top w:val="single" w:color="auto" w:sz="6" w:space="0"/>
                    <w:left w:val="single" w:color="auto" w:sz="6" w:space="0"/>
                    <w:right w:val="single" w:color="auto" w:sz="6" w:space="0"/>
                  </w:tcBorders>
                  <w:tcMar>
                    <w:left w:w="0" w:type="dxa"/>
                    <w:right w:w="0" w:type="dxa"/>
                  </w:tcMar>
                  <w:vAlign w:val="center"/>
                </w:tcPr>
                <w:p>
                  <w:pPr>
                    <w:pStyle w:val="17"/>
                    <w:bidi w:val="0"/>
                    <w:rPr>
                      <w:rFonts w:hint="default"/>
                      <w:color w:val="auto"/>
                      <w:lang w:val="en-US" w:eastAsia="zh-CN"/>
                    </w:rPr>
                  </w:pPr>
                  <w:r>
                    <w:rPr>
                      <w:rFonts w:hint="default"/>
                      <w:color w:val="auto"/>
                    </w:rPr>
                    <w:t>本项目归属</w:t>
                  </w:r>
                  <w:r>
                    <w:rPr>
                      <w:rFonts w:hint="eastAsia"/>
                      <w:color w:val="auto"/>
                      <w:lang w:eastAsia="zh-CN"/>
                    </w:rPr>
                    <w:t>中国石油天然气股份有限公司吐哈油田分公司准东采油管理区</w:t>
                  </w:r>
                  <w:r>
                    <w:rPr>
                      <w:rFonts w:hint="default"/>
                      <w:color w:val="auto"/>
                    </w:rPr>
                    <w:t>管辖，项目实施后需纳入《</w:t>
                  </w:r>
                  <w:r>
                    <w:rPr>
                      <w:rFonts w:hint="eastAsia"/>
                      <w:color w:val="auto"/>
                      <w:lang w:eastAsia="zh-CN"/>
                    </w:rPr>
                    <w:t>中国石油天然气股份有限公司吐哈油田分公司准东采油管理区</w:t>
                  </w:r>
                  <w:r>
                    <w:rPr>
                      <w:rFonts w:hint="default"/>
                      <w:color w:val="auto"/>
                    </w:rPr>
                    <w:t>突发环境事件应急预案》</w:t>
                  </w:r>
                  <w:r>
                    <w:rPr>
                      <w:rFonts w:hint="eastAsia"/>
                      <w:color w:val="auto"/>
                      <w:lang w:eastAsia="zh-CN"/>
                    </w:rPr>
                    <w:t>；</w:t>
                  </w:r>
                  <w:r>
                    <w:rPr>
                      <w:rFonts w:hint="eastAsia"/>
                      <w:color w:val="auto"/>
                      <w:lang w:val="en-US" w:eastAsia="zh-CN"/>
                    </w:rPr>
                    <w:t>定期开展突发环境事件应急演练并做好记录。</w:t>
                  </w:r>
                </w:p>
              </w:tc>
              <w:tc>
                <w:tcPr>
                  <w:tcW w:w="356" w:type="pct"/>
                  <w:tcBorders>
                    <w:top w:val="single" w:color="auto" w:sz="6" w:space="0"/>
                    <w:left w:val="single" w:color="auto" w:sz="6" w:space="0"/>
                  </w:tcBorders>
                  <w:tcMar>
                    <w:left w:w="0" w:type="dxa"/>
                    <w:right w:w="0" w:type="dxa"/>
                  </w:tcMar>
                  <w:vAlign w:val="center"/>
                </w:tcPr>
                <w:p>
                  <w:pPr>
                    <w:pStyle w:val="17"/>
                    <w:bidi w:val="0"/>
                    <w:rPr>
                      <w:rFonts w:hint="default"/>
                      <w:color w:val="auto"/>
                    </w:rPr>
                  </w:pPr>
                </w:p>
              </w:tc>
            </w:tr>
          </w:tbl>
          <w:p>
            <w:pPr>
              <w:pStyle w:val="4"/>
              <w:bidi w:val="0"/>
              <w:rPr>
                <w:rFonts w:hint="default"/>
                <w:color w:val="auto"/>
                <w:lang w:val="en-US" w:eastAsia="zh-CN"/>
              </w:rPr>
            </w:pPr>
            <w:r>
              <w:rPr>
                <w:rFonts w:hint="eastAsia"/>
                <w:color w:val="auto"/>
                <w:lang w:val="en-US" w:eastAsia="zh-CN"/>
              </w:rPr>
              <w:t>9</w:t>
            </w:r>
            <w:r>
              <w:rPr>
                <w:rFonts w:hint="default"/>
                <w:color w:val="auto"/>
                <w:lang w:val="en-US" w:eastAsia="zh-CN"/>
              </w:rPr>
              <w:t>、与《陆上石油天然气开采业绿色矿山建设规范》（DZ/T 0317-2018）相符性分析</w:t>
            </w:r>
          </w:p>
          <w:p>
            <w:pPr>
              <w:pStyle w:val="16"/>
              <w:bidi w:val="0"/>
              <w:rPr>
                <w:rFonts w:hint="default"/>
                <w:color w:val="auto"/>
                <w:lang w:val="en-US" w:eastAsia="zh-CN"/>
              </w:rPr>
            </w:pPr>
            <w:r>
              <w:rPr>
                <w:rFonts w:hint="default"/>
                <w:color w:val="auto"/>
                <w:lang w:val="en-US" w:eastAsia="zh-CN"/>
              </w:rPr>
              <w:t>该文件要求：“因矿制宜选择开采工艺和装备，符合清洁生产要求。应贯彻‘边开采，边治理，边恢复’的原则，及时治理恢复矿区地质环境，复垦矿区压占和损毁土地；应遵循矿区油气资源赋存状况、生态环境特征等条件，科学合理地确定开发方案，选择与油气藏类型相适应的先进开采技术和工艺，推广使用成熟、先进的技术装备，严禁使用国家明文规定的限制和淘汰的技术工艺及装备；集约节约利用土地资源，土地利用符合用地指标政策。合理确定站址、场址、管网、路网建设占地规模。应实施绿色钻井技术体系，科学选择钻井方式、环境友好型钻井液及井控措施，配备完善的固控系统，及时妥善处置钻井泥浆”。</w:t>
            </w:r>
          </w:p>
          <w:p>
            <w:pPr>
              <w:pStyle w:val="16"/>
              <w:bidi w:val="0"/>
              <w:rPr>
                <w:rFonts w:hint="default"/>
                <w:color w:val="auto"/>
                <w:lang w:val="en-US" w:eastAsia="zh-CN"/>
              </w:rPr>
            </w:pPr>
            <w:r>
              <w:rPr>
                <w:rFonts w:hint="default"/>
                <w:color w:val="auto"/>
                <w:lang w:val="en-US" w:eastAsia="zh-CN"/>
              </w:rPr>
              <w:t>本项目钻试方案的设计技术先进、实用成熟，符合清洁生产要求；项目钻试完成后，按照要求恢复井场及生活营地、道路临时占地，符合“边开采，边治理，边恢复”的原则；项目钻试方案设计考虑了该区域油气资源赋存状况、生态环境特征等条件，所选用的技术和工艺均属于成熟、先进的技术装备；本项目临时占地规模从土地资源节约方面考虑，尽可能缩小占地面积。项目钻试过程中，配备先进完善的固控设备，井一开采用水基钻井液，二开采用油基钻井液；设置井控装置。钻井岩屑进入不落地系统进行处置，分离出的液相重复使用；水基岩屑处理满足相应要求后用于铺垫井场、进场道路等综合利用，油基钻井岩屑和废弃油基钻井泥浆委托有资质的单位进行处置，本项目符合该规范要求。</w:t>
            </w:r>
          </w:p>
          <w:p>
            <w:pPr>
              <w:pStyle w:val="4"/>
              <w:bidi w:val="0"/>
              <w:rPr>
                <w:rFonts w:hint="default"/>
                <w:color w:val="auto"/>
                <w:lang w:val="en-US" w:eastAsia="zh-CN"/>
              </w:rPr>
            </w:pPr>
            <w:r>
              <w:rPr>
                <w:rFonts w:hint="default"/>
                <w:color w:val="auto"/>
                <w:lang w:val="en-US" w:eastAsia="zh-CN"/>
              </w:rPr>
              <w:t>1</w:t>
            </w:r>
            <w:r>
              <w:rPr>
                <w:rFonts w:hint="eastAsia"/>
                <w:color w:val="auto"/>
                <w:lang w:val="en-US" w:eastAsia="zh-CN"/>
              </w:rPr>
              <w:t>0</w:t>
            </w:r>
            <w:r>
              <w:rPr>
                <w:rFonts w:hint="default"/>
                <w:color w:val="auto"/>
                <w:lang w:val="en-US" w:eastAsia="zh-CN"/>
              </w:rPr>
              <w:t>、与《钻前工程及井场布置技术要求》（SY/T5466-2013）相符性分析</w:t>
            </w:r>
          </w:p>
          <w:p>
            <w:pPr>
              <w:pStyle w:val="16"/>
              <w:bidi w:val="0"/>
              <w:rPr>
                <w:rFonts w:hint="default"/>
                <w:color w:val="auto"/>
                <w:lang w:val="en-US" w:eastAsia="zh-CN"/>
              </w:rPr>
            </w:pPr>
            <w:r>
              <w:rPr>
                <w:rFonts w:hint="default"/>
                <w:color w:val="auto"/>
                <w:lang w:val="en-US" w:eastAsia="zh-CN"/>
              </w:rPr>
              <w:t>《钻前工程及井场布置技术要求》（SY/T5466-2013）中“油气井井口距高压线及其他永久性设施应不小于75m；距民宅应不小于100m；距铁路、高速公路应不小于200m；距学校、医院和大型油库等人口密集性、高危性场所应不小于500m”的要求。</w:t>
            </w:r>
          </w:p>
          <w:p>
            <w:pPr>
              <w:pStyle w:val="16"/>
              <w:bidi w:val="0"/>
              <w:rPr>
                <w:rFonts w:hint="default"/>
                <w:color w:val="auto"/>
                <w:lang w:val="en-US" w:eastAsia="zh-CN"/>
              </w:rPr>
            </w:pPr>
            <w:r>
              <w:rPr>
                <w:rFonts w:hint="default"/>
                <w:color w:val="auto"/>
                <w:lang w:val="en-US" w:eastAsia="zh-CN"/>
              </w:rPr>
              <w:t>经现场踏勘，</w:t>
            </w:r>
            <w:r>
              <w:rPr>
                <w:rFonts w:hint="eastAsia"/>
                <w:color w:val="auto"/>
                <w:lang w:val="en-US" w:eastAsia="zh-CN"/>
              </w:rPr>
              <w:t>本项目1</w:t>
            </w:r>
            <w:r>
              <w:rPr>
                <w:rFonts w:hint="default"/>
                <w:color w:val="auto"/>
                <w:lang w:val="en-US" w:eastAsia="zh-CN"/>
              </w:rPr>
              <w:t>00m范围内无民宅；200m范围内无铁路、高速公路；500m范围内无学校、医院和大型油库等人口密集性、高危性场所，满足《钻前工程及井场布置技术要求》(SY/T5466-2013)的相关要求。</w:t>
            </w:r>
          </w:p>
          <w:p>
            <w:pPr>
              <w:pStyle w:val="4"/>
              <w:bidi w:val="0"/>
              <w:rPr>
                <w:rFonts w:hint="default"/>
                <w:color w:val="auto"/>
                <w:lang w:val="en-US" w:eastAsia="zh-CN"/>
              </w:rPr>
            </w:pPr>
            <w:r>
              <w:rPr>
                <w:rFonts w:hint="default"/>
                <w:color w:val="auto"/>
                <w:lang w:val="en-US" w:eastAsia="zh-CN"/>
              </w:rPr>
              <w:t>1</w:t>
            </w:r>
            <w:r>
              <w:rPr>
                <w:rFonts w:hint="eastAsia"/>
                <w:color w:val="auto"/>
                <w:lang w:val="en-US" w:eastAsia="zh-CN"/>
              </w:rPr>
              <w:t>1</w:t>
            </w:r>
            <w:r>
              <w:rPr>
                <w:rFonts w:hint="default"/>
                <w:color w:val="auto"/>
                <w:lang w:val="en-US" w:eastAsia="zh-CN"/>
              </w:rPr>
              <w:t>、《加强沙区建设项目环境影响评价工作的通知》(新环环评发[2020]138号)符合性分析</w:t>
            </w:r>
          </w:p>
          <w:p>
            <w:pPr>
              <w:pStyle w:val="16"/>
              <w:bidi w:val="0"/>
              <w:rPr>
                <w:rFonts w:hint="default"/>
                <w:color w:val="auto"/>
                <w:lang w:val="en-US" w:eastAsia="zh-CN"/>
              </w:rPr>
            </w:pPr>
            <w:r>
              <w:rPr>
                <w:rFonts w:hint="default"/>
                <w:color w:val="auto"/>
                <w:lang w:val="en-US" w:eastAsia="zh-CN"/>
              </w:rPr>
              <w:t>根据《中华人民共相国防沙治沙法》和《加强沙区建设项目环境影响评价工作的通知》（新环环评发[2020]138号）的要求，加强涉及沙区的建设项目环评文件受理审查，对于没有防沙治沙内容的建设项目环评文件不予受理。</w:t>
            </w:r>
          </w:p>
          <w:p>
            <w:pPr>
              <w:pStyle w:val="16"/>
              <w:bidi w:val="0"/>
              <w:rPr>
                <w:rFonts w:hint="default"/>
                <w:color w:val="auto"/>
                <w:lang w:val="en-US" w:eastAsia="zh-CN"/>
              </w:rPr>
            </w:pPr>
            <w:r>
              <w:rPr>
                <w:rFonts w:hint="default"/>
                <w:color w:val="auto"/>
                <w:lang w:val="en-US" w:eastAsia="zh-CN"/>
              </w:rPr>
              <w:t>本项目不属于沙化封禁区保护范围内或超过生态环境承载能力或对沙区生态造成重大环境影响的建设项目。本项目拟采取防沙治沙措施：严格划定临时占地面积，减小扰动范围；临时施工占地在施工结束后及时清理施工垃圾，对施工场地进行平整、压实；土地临时使用过程中发现土地沙化或者沙化程度加重的，应当及时报告当地人民政府；施工后及时清理现场，尽可能恢复原状地貌，做到“工完、料尽、场清、整洁”，恢复原有生态；施工期间应划定施工活动范围，严格控制和管理运输车辆及重型机械的运行线路和范围，不得离开运输道路及随意行驶，以防破坏土壤和植被，加剧土地荒漠化。因此，本项目建设与《加强沙区建设项目环境影响评价工作的通知》(新环环评发[2020]138号)相符。</w:t>
            </w:r>
          </w:p>
          <w:p>
            <w:pPr>
              <w:pStyle w:val="4"/>
              <w:bidi w:val="0"/>
              <w:rPr>
                <w:rFonts w:hint="default"/>
                <w:color w:val="auto"/>
                <w:lang w:val="en-US" w:eastAsia="zh-CN"/>
              </w:rPr>
            </w:pPr>
            <w:r>
              <w:rPr>
                <w:rFonts w:hint="default"/>
                <w:color w:val="auto"/>
                <w:lang w:val="en-US" w:eastAsia="zh-CN"/>
              </w:rPr>
              <w:t>1</w:t>
            </w:r>
            <w:r>
              <w:rPr>
                <w:rFonts w:hint="eastAsia"/>
                <w:color w:val="auto"/>
                <w:lang w:val="en-US" w:eastAsia="zh-CN"/>
              </w:rPr>
              <w:t>2</w:t>
            </w:r>
            <w:r>
              <w:rPr>
                <w:rFonts w:hint="default"/>
                <w:color w:val="auto"/>
                <w:lang w:val="en-US" w:eastAsia="zh-CN"/>
              </w:rPr>
              <w:t>、《关于规范临时用地管理的通知》符合性分析</w:t>
            </w:r>
          </w:p>
          <w:p>
            <w:pPr>
              <w:pStyle w:val="16"/>
              <w:bidi w:val="0"/>
              <w:rPr>
                <w:rFonts w:hint="default"/>
                <w:color w:val="auto"/>
                <w:lang w:val="en-US" w:eastAsia="zh-CN"/>
              </w:rPr>
            </w:pPr>
            <w:r>
              <w:rPr>
                <w:rFonts w:hint="default"/>
                <w:color w:val="auto"/>
                <w:lang w:val="en-US" w:eastAsia="zh-CN"/>
              </w:rPr>
              <w:t>建设项目施工、地质勘查使用临时用地时应坚持“用多少、批多少、占多少、恢复多少”，尽量不占或者少占耕地。使用后土地复垦难度较大的临时用地，要严格控制占用耕地。铁路、公路等单独选址建设项目，应科学组织施工，节约集约使用临时用地。制梁场、拌合站等难以恢复原种植条件的不得以临时用地方式占用耕地和永久基本农田，可以建设用地方式或者临时占用未利用地方式使用土地。临时用地确需占用永久基本农田的，必须能够恢复原种植条件，并符合《自然资源部农业农村部关于加强和改进永久基本农田保护工作的通知》（自然资规〔2019〕1号）中申请条件、土壤剥离、复垦验收等有关规定。</w:t>
            </w:r>
          </w:p>
          <w:p>
            <w:pPr>
              <w:pStyle w:val="16"/>
              <w:bidi w:val="0"/>
              <w:rPr>
                <w:rFonts w:hint="default"/>
                <w:color w:val="auto"/>
                <w:lang w:val="en-US" w:eastAsia="zh-CN"/>
              </w:rPr>
            </w:pPr>
            <w:r>
              <w:rPr>
                <w:rFonts w:hint="default"/>
                <w:color w:val="auto"/>
                <w:lang w:val="en-US" w:eastAsia="zh-CN"/>
              </w:rPr>
              <w:t>临时用地使用期限一般不超过两年。建设周期较长的能源、交通、水利等基础设施建设项目施工使用的临时用地，期限不超过四年。城镇开发边界内临时建设用地规划许可、临时建设工程规划许可的期限应当与临时用地期限相衔接。临时用地使用期限，从批准之日起算。</w:t>
            </w:r>
          </w:p>
          <w:p>
            <w:pPr>
              <w:pStyle w:val="16"/>
              <w:bidi w:val="0"/>
              <w:rPr>
                <w:rFonts w:hint="default"/>
                <w:color w:val="auto"/>
                <w:lang w:val="en-US" w:eastAsia="zh-CN"/>
              </w:rPr>
            </w:pPr>
            <w:r>
              <w:rPr>
                <w:rFonts w:hint="default"/>
                <w:color w:val="auto"/>
                <w:lang w:val="en-US" w:eastAsia="zh-CN"/>
              </w:rPr>
              <w:t>本项目不占用永久基本农田，</w:t>
            </w:r>
            <w:r>
              <w:rPr>
                <w:rFonts w:hint="eastAsia"/>
                <w:color w:val="auto"/>
                <w:lang w:val="en-US" w:eastAsia="zh-CN"/>
              </w:rPr>
              <w:t>临时占用耕地</w:t>
            </w:r>
            <w:r>
              <w:rPr>
                <w:rFonts w:hint="default"/>
                <w:color w:val="auto"/>
                <w:lang w:val="en-US" w:eastAsia="zh-CN"/>
              </w:rPr>
              <w:t>和草地期限为2年，且项目不在临时</w:t>
            </w:r>
            <w:r>
              <w:rPr>
                <w:rFonts w:hint="eastAsia"/>
                <w:color w:val="auto"/>
                <w:lang w:val="en-US" w:eastAsia="zh-CN"/>
              </w:rPr>
              <w:t>用</w:t>
            </w:r>
            <w:r>
              <w:rPr>
                <w:rFonts w:hint="default"/>
                <w:color w:val="auto"/>
                <w:lang w:val="en-US" w:eastAsia="zh-CN"/>
              </w:rPr>
              <w:t>地上修建永久性建筑物，占用期满后，本项目必须恢复生产条件。本项目临时占地规模从土地资源节约方面考虑，尽可能缩小占地面积。故本项目符合该规范要求。</w:t>
            </w:r>
          </w:p>
          <w:p>
            <w:pPr>
              <w:pStyle w:val="16"/>
              <w:bidi w:val="0"/>
              <w:ind w:left="0" w:leftChars="0" w:firstLine="0" w:firstLineChars="0"/>
              <w:rPr>
                <w:rFonts w:hint="default"/>
                <w:color w:val="auto"/>
              </w:rPr>
            </w:pP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p>
          <w:p>
            <w:pPr>
              <w:pStyle w:val="2"/>
              <w:rPr>
                <w:rFonts w:hint="default" w:ascii="Times New Roman" w:hAnsi="Times New Roman" w:eastAsia="宋体" w:cs="Times New Roman"/>
                <w:color w:val="auto"/>
                <w:sz w:val="21"/>
                <w:szCs w:val="21"/>
              </w:rPr>
            </w:pPr>
          </w:p>
          <w:p>
            <w:pPr>
              <w:pStyle w:val="2"/>
              <w:rPr>
                <w:rFonts w:hint="default" w:ascii="Times New Roman" w:hAnsi="Times New Roman" w:eastAsia="宋体" w:cs="Times New Roman"/>
                <w:color w:val="auto"/>
                <w:sz w:val="21"/>
                <w:szCs w:val="21"/>
              </w:rPr>
            </w:pPr>
          </w:p>
          <w:p>
            <w:pPr>
              <w:pStyle w:val="2"/>
              <w:rPr>
                <w:rFonts w:hint="default" w:ascii="Times New Roman" w:hAnsi="Times New Roman" w:eastAsia="宋体" w:cs="Times New Roman"/>
                <w:color w:val="auto"/>
                <w:sz w:val="21"/>
                <w:szCs w:val="21"/>
              </w:rPr>
            </w:pPr>
          </w:p>
        </w:tc>
      </w:tr>
    </w:tbl>
    <w:p>
      <w:pPr>
        <w:rPr>
          <w:rFonts w:hint="default" w:ascii="Times New Roman" w:hAnsi="Times New Roman" w:cs="Times New Roman"/>
          <w:sz w:val="21"/>
        </w:rPr>
      </w:pPr>
    </w:p>
    <w:p>
      <w:pPr>
        <w:rPr>
          <w:rFonts w:hint="default" w:ascii="Times New Roman" w:hAnsi="Times New Roman" w:cs="Times New Roman"/>
        </w:rPr>
        <w:sectPr>
          <w:footerReference r:id="rId6" w:type="default"/>
          <w:pgSz w:w="11906" w:h="16839"/>
          <w:pgMar w:top="1431" w:right="1326" w:bottom="1185" w:left="1521" w:header="0" w:footer="916" w:gutter="0"/>
          <w:pgNumType w:fmt="decimal" w:start="1"/>
          <w:cols w:space="720" w:num="1"/>
        </w:sectPr>
      </w:pPr>
    </w:p>
    <w:p>
      <w:pPr>
        <w:pStyle w:val="3"/>
        <w:bidi w:val="0"/>
        <w:rPr>
          <w:rFonts w:hint="default"/>
        </w:rPr>
      </w:pPr>
      <w:r>
        <w:rPr>
          <w:rFonts w:hint="default"/>
        </w:rPr>
        <w:t>二、建设内容</w:t>
      </w:r>
    </w:p>
    <w:tbl>
      <w:tblPr>
        <w:tblStyle w:val="15"/>
        <w:tblW w:w="90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8"/>
        <w:gridCol w:w="83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16" w:hRule="atLeast"/>
        </w:trPr>
        <w:tc>
          <w:tcPr>
            <w:tcW w:w="718"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eastAsia" w:ascii="Times New Roman" w:hAnsi="Times New Roman" w:eastAsia="宋体" w:cs="Times New Roman"/>
                <w:sz w:val="24"/>
                <w:szCs w:val="24"/>
                <w:lang w:eastAsia="zh-CN"/>
              </w:rPr>
            </w:pPr>
            <w:r>
              <w:rPr>
                <w:rFonts w:hint="eastAsia" w:cs="Times New Roman"/>
                <w:spacing w:val="5"/>
                <w:position w:val="4"/>
                <w:sz w:val="24"/>
                <w:szCs w:val="24"/>
                <w:lang w:val="en-US" w:eastAsia="zh-CN"/>
              </w:rPr>
              <w:t>地理位置</w:t>
            </w:r>
          </w:p>
        </w:tc>
        <w:tc>
          <w:tcPr>
            <w:tcW w:w="8376" w:type="dxa"/>
            <w:tcBorders>
              <w:right w:val="single" w:color="000000" w:sz="6" w:space="0"/>
            </w:tcBorders>
            <w:vAlign w:val="center"/>
          </w:tcPr>
          <w:p>
            <w:pPr>
              <w:pStyle w:val="16"/>
              <w:bidi w:val="0"/>
              <w:rPr>
                <w:rFonts w:hint="default" w:ascii="Times New Roman" w:hAnsi="Times New Roman" w:cs="Times New Roman"/>
                <w:sz w:val="21"/>
              </w:rPr>
            </w:pPr>
            <w:r>
              <w:rPr>
                <w:rFonts w:hint="default"/>
                <w:shd w:val="clear"/>
                <w:lang w:eastAsia="zh-CN"/>
              </w:rPr>
              <w:t>项目地理位置图见附图2；项目周边情况图见附图3</w:t>
            </w:r>
            <w:r>
              <w:rPr>
                <w:rFonts w:hint="eastAsia"/>
                <w:shd w:val="clear"/>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2" w:hRule="atLeast"/>
        </w:trPr>
        <w:tc>
          <w:tcPr>
            <w:tcW w:w="718"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cs="Times New Roman"/>
                <w:spacing w:val="5"/>
                <w:position w:val="4"/>
                <w:sz w:val="24"/>
                <w:szCs w:val="24"/>
                <w:lang w:val="en-US" w:eastAsia="zh-CN"/>
              </w:rPr>
            </w:pPr>
            <w:r>
              <w:rPr>
                <w:rFonts w:hint="default" w:cs="Times New Roman"/>
                <w:spacing w:val="5"/>
                <w:position w:val="4"/>
                <w:sz w:val="24"/>
                <w:szCs w:val="24"/>
                <w:lang w:val="en-US" w:eastAsia="zh-CN"/>
              </w:rPr>
              <w:t>项目组成及规模</w:t>
            </w:r>
          </w:p>
        </w:tc>
        <w:tc>
          <w:tcPr>
            <w:tcW w:w="8376" w:type="dxa"/>
            <w:tcBorders>
              <w:right w:val="single" w:color="000000" w:sz="6" w:space="0"/>
            </w:tcBorders>
            <w:vAlign w:val="center"/>
          </w:tcPr>
          <w:p>
            <w:pPr>
              <w:pStyle w:val="4"/>
              <w:bidi w:val="0"/>
              <w:rPr>
                <w:rFonts w:hint="default"/>
                <w:lang w:val="en-US" w:eastAsia="zh-CN"/>
              </w:rPr>
            </w:pPr>
            <w:r>
              <w:rPr>
                <w:rFonts w:hint="eastAsia"/>
                <w:lang w:val="en-US" w:eastAsia="zh-CN"/>
              </w:rPr>
              <w:t>1、建设内容及规模</w:t>
            </w:r>
          </w:p>
          <w:p>
            <w:pPr>
              <w:pStyle w:val="16"/>
              <w:bidi w:val="0"/>
              <w:rPr>
                <w:rFonts w:hint="default"/>
              </w:rPr>
            </w:pPr>
            <w:r>
              <w:rPr>
                <w:rFonts w:hint="default"/>
              </w:rPr>
              <w:t>本工程建设内容为新钻</w:t>
            </w:r>
            <w:r>
              <w:rPr>
                <w:rFonts w:hint="eastAsia"/>
                <w:lang w:val="en-US" w:eastAsia="zh-CN"/>
              </w:rPr>
              <w:t>8</w:t>
            </w:r>
            <w:r>
              <w:rPr>
                <w:rFonts w:hint="default"/>
              </w:rPr>
              <w:t>口井，</w:t>
            </w:r>
            <w:r>
              <w:rPr>
                <w:rFonts w:hint="eastAsia"/>
                <w:lang w:val="en-US" w:eastAsia="zh-CN"/>
              </w:rPr>
              <w:t>分别为</w:t>
            </w:r>
            <w:r>
              <w:rPr>
                <w:rFonts w:hint="default"/>
              </w:rPr>
              <w:t>萨5-8-9</w:t>
            </w:r>
            <w:r>
              <w:rPr>
                <w:rFonts w:hint="eastAsia"/>
                <w:lang w:eastAsia="zh-CN"/>
              </w:rPr>
              <w:t>，</w:t>
            </w:r>
            <w:r>
              <w:rPr>
                <w:rFonts w:hint="default"/>
              </w:rPr>
              <w:t>萨5-8-10</w:t>
            </w:r>
            <w:r>
              <w:rPr>
                <w:rFonts w:hint="eastAsia"/>
                <w:lang w:eastAsia="zh-CN"/>
              </w:rPr>
              <w:t>，</w:t>
            </w:r>
            <w:r>
              <w:rPr>
                <w:rFonts w:hint="default"/>
              </w:rPr>
              <w:t>萨5-9-8</w:t>
            </w:r>
            <w:r>
              <w:rPr>
                <w:rFonts w:hint="eastAsia"/>
                <w:lang w:eastAsia="zh-CN"/>
              </w:rPr>
              <w:t>，</w:t>
            </w:r>
            <w:r>
              <w:rPr>
                <w:rFonts w:hint="default"/>
              </w:rPr>
              <w:t>萨5-9-9</w:t>
            </w:r>
            <w:r>
              <w:rPr>
                <w:rFonts w:hint="eastAsia"/>
                <w:lang w:eastAsia="zh-CN"/>
              </w:rPr>
              <w:t>，</w:t>
            </w:r>
            <w:r>
              <w:rPr>
                <w:rFonts w:hint="default"/>
              </w:rPr>
              <w:t>萨5-9-10</w:t>
            </w:r>
            <w:r>
              <w:rPr>
                <w:rFonts w:hint="eastAsia"/>
                <w:lang w:eastAsia="zh-CN"/>
              </w:rPr>
              <w:t>，</w:t>
            </w:r>
            <w:r>
              <w:rPr>
                <w:rFonts w:hint="default"/>
              </w:rPr>
              <w:t>萨5-11-9</w:t>
            </w:r>
            <w:r>
              <w:rPr>
                <w:rFonts w:hint="eastAsia"/>
                <w:lang w:eastAsia="zh-CN"/>
              </w:rPr>
              <w:t>，</w:t>
            </w:r>
            <w:r>
              <w:rPr>
                <w:rFonts w:hint="default"/>
              </w:rPr>
              <w:t>萨5-11-10</w:t>
            </w:r>
            <w:r>
              <w:rPr>
                <w:rFonts w:hint="eastAsia"/>
                <w:lang w:eastAsia="zh-CN"/>
              </w:rPr>
              <w:t>，</w:t>
            </w:r>
            <w:r>
              <w:rPr>
                <w:rFonts w:hint="default"/>
              </w:rPr>
              <w:t>萨5-12-9</w:t>
            </w:r>
            <w:r>
              <w:rPr>
                <w:rFonts w:hint="eastAsia"/>
                <w:lang w:val="en-US" w:eastAsia="zh-CN"/>
              </w:rPr>
              <w:t>，</w:t>
            </w:r>
            <w:r>
              <w:rPr>
                <w:rFonts w:hint="default"/>
              </w:rPr>
              <w:t>完井后进行试油，获取有关技术参数。本项目组成包括主体工程（钻前工程、钻井工程、试油工程等）、辅助、公用工程（生活营地、供电、供水等）、环保工程（钻井废弃物不落地处理系统等），以及仓储工程（泥浆储备罐等）等工程组成情况详见</w:t>
            </w:r>
            <w:r>
              <w:rPr>
                <w:rFonts w:hint="eastAsia"/>
                <w:lang w:val="en-US" w:eastAsia="zh-CN"/>
              </w:rPr>
              <w:t>下表</w:t>
            </w:r>
            <w:r>
              <w:rPr>
                <w:rFonts w:hint="default"/>
              </w:rPr>
              <w:t>。</w:t>
            </w:r>
          </w:p>
          <w:p>
            <w:pPr>
              <w:pStyle w:val="14"/>
              <w:bidi w:val="0"/>
              <w:rPr>
                <w:rFonts w:hint="eastAsia"/>
                <w:color w:val="auto"/>
                <w:lang w:val="en-US" w:eastAsia="zh-CN"/>
              </w:rPr>
            </w:pPr>
            <w:r>
              <w:rPr>
                <w:rFonts w:hint="eastAsia"/>
                <w:color w:val="auto"/>
                <w:lang w:val="en-US" w:eastAsia="zh-CN"/>
              </w:rPr>
              <w:t>表2-2   工程组成一览表</w:t>
            </w:r>
          </w:p>
          <w:tbl>
            <w:tblPr>
              <w:tblStyle w:val="1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794"/>
              <w:gridCol w:w="1113"/>
              <w:gridCol w:w="5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名称</w:t>
                  </w: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建设内容</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建设规模及建设内容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 w:type="pct"/>
                  <w:vMerge w:val="restar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主体工程</w:t>
                  </w: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钻前工程</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钻井前准备工作，包括进场道路建设、井场平整、设备基础修建等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 w:type="pct"/>
                  <w:vMerge w:val="continue"/>
                  <w:noWrap w:val="0"/>
                  <w:vAlign w:val="center"/>
                </w:tcPr>
                <w:p>
                  <w:pPr>
                    <w:pStyle w:val="17"/>
                    <w:widowControl w:val="0"/>
                    <w:bidi w:val="0"/>
                    <w:rPr>
                      <w:rFonts w:hint="default"/>
                      <w:color w:val="auto"/>
                      <w:highlight w:val="none"/>
                      <w:lang w:val="en-US" w:eastAsia="zh-C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钻井工程</w:t>
                  </w:r>
                </w:p>
              </w:tc>
              <w:tc>
                <w:tcPr>
                  <w:tcW w:w="3407" w:type="pct"/>
                  <w:noWrap w:val="0"/>
                  <w:vAlign w:val="center"/>
                </w:tcPr>
                <w:p>
                  <w:pPr>
                    <w:pStyle w:val="17"/>
                    <w:widowControl w:val="0"/>
                    <w:bidi w:val="0"/>
                    <w:rPr>
                      <w:rFonts w:hint="default"/>
                      <w:color w:val="auto"/>
                      <w:highlight w:val="none"/>
                      <w:lang w:val="en-US" w:eastAsia="zh-CN"/>
                    </w:rPr>
                  </w:pPr>
                  <w:r>
                    <w:rPr>
                      <w:rFonts w:hint="eastAsia"/>
                      <w:color w:val="auto"/>
                      <w:highlight w:val="none"/>
                      <w:lang w:val="en-US" w:eastAsia="zh-CN"/>
                    </w:rPr>
                    <w:t>新钻评价井8口，井型为定向井，总进尺为30452m。单井</w:t>
                  </w:r>
                  <w:r>
                    <w:rPr>
                      <w:rFonts w:hint="default"/>
                      <w:color w:val="auto"/>
                      <w:highlight w:val="none"/>
                      <w:lang w:val="en-US" w:eastAsia="zh-CN"/>
                    </w:rPr>
                    <w:t>钻井期</w:t>
                  </w:r>
                  <w:r>
                    <w:rPr>
                      <w:rFonts w:hint="eastAsia"/>
                      <w:color w:val="auto"/>
                      <w:highlight w:val="none"/>
                      <w:lang w:val="en-US" w:eastAsia="zh-CN"/>
                    </w:rPr>
                    <w:t>70d。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 w:type="pct"/>
                  <w:vMerge w:val="continue"/>
                  <w:noWrap w:val="0"/>
                  <w:vAlign w:val="center"/>
                </w:tcPr>
                <w:p>
                  <w:pPr>
                    <w:pStyle w:val="17"/>
                    <w:widowControl w:val="0"/>
                    <w:bidi w:val="0"/>
                    <w:rPr>
                      <w:rFonts w:hint="default"/>
                      <w:color w:val="auto"/>
                      <w:highlight w:val="none"/>
                      <w:lang w:val="en-US" w:eastAsia="zh-C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试油工程</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对完钻井进行通井、洗井、试压、射孔、诱喷、求产等工序，并配套洗井液注入泵等试油设备。单井试油期180天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 w:type="pct"/>
                  <w:vMerge w:val="restar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辅助工程</w:t>
                  </w: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井口基础</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加固井口，方便其他配套设施安装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 w:type="pct"/>
                  <w:vMerge w:val="continue"/>
                  <w:noWrap w:val="0"/>
                  <w:vAlign w:val="center"/>
                </w:tcPr>
                <w:p>
                  <w:pPr>
                    <w:pStyle w:val="17"/>
                    <w:widowControl w:val="0"/>
                    <w:bidi w:val="0"/>
                    <w:rPr>
                      <w:rFonts w:hint="default"/>
                      <w:color w:val="00B0F0"/>
                      <w:highlight w:val="none"/>
                      <w:lang w:val="en-US" w:eastAsia="zh-C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生活营地</w:t>
                  </w:r>
                </w:p>
              </w:tc>
              <w:tc>
                <w:tcPr>
                  <w:tcW w:w="3407" w:type="pct"/>
                  <w:noWrap w:val="0"/>
                  <w:vAlign w:val="top"/>
                </w:tcPr>
                <w:p>
                  <w:pPr>
                    <w:pStyle w:val="17"/>
                    <w:widowControl w:val="0"/>
                    <w:bidi w:val="0"/>
                    <w:rPr>
                      <w:rFonts w:hint="default"/>
                      <w:color w:val="auto"/>
                      <w:highlight w:val="none"/>
                      <w:lang w:val="en-US" w:eastAsia="zh-CN"/>
                    </w:rPr>
                  </w:pPr>
                  <w:r>
                    <w:rPr>
                      <w:rFonts w:hint="default"/>
                      <w:color w:val="auto"/>
                      <w:highlight w:val="none"/>
                    </w:rPr>
                    <w:t>设1个生活营地，规格为</w:t>
                  </w:r>
                  <w:r>
                    <w:rPr>
                      <w:rFonts w:hint="eastAsia"/>
                      <w:color w:val="auto"/>
                      <w:highlight w:val="none"/>
                      <w:lang w:val="en-US" w:eastAsia="zh-CN"/>
                    </w:rPr>
                    <w:t>60</w:t>
                  </w:r>
                  <w:r>
                    <w:rPr>
                      <w:rFonts w:hint="default"/>
                      <w:color w:val="auto"/>
                      <w:highlight w:val="none"/>
                    </w:rPr>
                    <w:t>×</w:t>
                  </w:r>
                  <w:r>
                    <w:rPr>
                      <w:rFonts w:hint="eastAsia"/>
                      <w:color w:val="auto"/>
                      <w:highlight w:val="none"/>
                      <w:lang w:val="en-US" w:eastAsia="zh-CN"/>
                    </w:rPr>
                    <w:t>8</w:t>
                  </w:r>
                  <w:r>
                    <w:rPr>
                      <w:rFonts w:hint="default"/>
                      <w:color w:val="auto"/>
                      <w:highlight w:val="none"/>
                    </w:rPr>
                    <w:t>0m</w:t>
                  </w:r>
                  <w:r>
                    <w:rPr>
                      <w:rFonts w:hint="default"/>
                      <w:color w:val="auto"/>
                      <w:highlight w:val="none"/>
                      <w:vertAlign w:val="superscript"/>
                    </w:rPr>
                    <w:t>2</w:t>
                  </w:r>
                  <w:r>
                    <w:rPr>
                      <w:rFonts w:hint="default"/>
                      <w:color w:val="auto"/>
                      <w:highlight w:val="none"/>
                    </w:rPr>
                    <w:t>，临时占地为</w:t>
                  </w:r>
                  <w:r>
                    <w:rPr>
                      <w:rFonts w:hint="eastAsia"/>
                      <w:color w:val="auto"/>
                      <w:highlight w:val="none"/>
                      <w:lang w:val="en-US" w:eastAsia="zh-CN"/>
                    </w:rPr>
                    <w:t>48</w:t>
                  </w:r>
                  <w:r>
                    <w:rPr>
                      <w:rFonts w:hint="default"/>
                      <w:color w:val="auto"/>
                      <w:highlight w:val="none"/>
                    </w:rPr>
                    <w:t>00m</w:t>
                  </w:r>
                  <w:r>
                    <w:rPr>
                      <w:rFonts w:hint="default"/>
                      <w:color w:val="auto"/>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restart"/>
                  <w:noWrap w:val="0"/>
                  <w:vAlign w:val="center"/>
                </w:tcPr>
                <w:p>
                  <w:pPr>
                    <w:pStyle w:val="17"/>
                    <w:widowControl w:val="0"/>
                    <w:bidi w:val="0"/>
                    <w:rPr>
                      <w:rFonts w:hint="default"/>
                      <w:color w:val="00B0F0"/>
                      <w:highlight w:val="none"/>
                      <w:lang w:val="en-US" w:eastAsia="zh-CN"/>
                    </w:rPr>
                  </w:pPr>
                  <w:r>
                    <w:rPr>
                      <w:rFonts w:hint="default"/>
                      <w:color w:val="auto"/>
                      <w:highlight w:val="none"/>
                      <w:lang w:val="en-US" w:eastAsia="zh-CN"/>
                    </w:rPr>
                    <w:t>储运工程</w:t>
                  </w: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泥浆储备罐区</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位于泥浆循环系统区域，用于储备压井泥浆。罐区周边设置围堰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continue"/>
                  <w:noWrap w:val="0"/>
                  <w:vAlign w:val="center"/>
                </w:tcPr>
                <w:p>
                  <w:pPr>
                    <w:pStyle w:val="17"/>
                    <w:widowControl w:val="0"/>
                    <w:bidi w:val="0"/>
                    <w:rPr>
                      <w:rFonts w:hint="default"/>
                      <w:color w:val="00B0F0"/>
                      <w:highlight w:val="green"/>
                      <w:lang w:val="en-US" w:eastAsia="zh-CN"/>
                    </w:rPr>
                  </w:pPr>
                </w:p>
              </w:tc>
              <w:tc>
                <w:tcPr>
                  <w:tcW w:w="1141" w:type="pct"/>
                  <w:gridSpan w:val="2"/>
                  <w:noWrap w:val="0"/>
                  <w:vAlign w:val="center"/>
                </w:tcPr>
                <w:p>
                  <w:pPr>
                    <w:pStyle w:val="17"/>
                    <w:widowControl w:val="0"/>
                    <w:bidi w:val="0"/>
                    <w:rPr>
                      <w:rFonts w:hint="default"/>
                      <w:color w:val="auto"/>
                      <w:highlight w:val="none"/>
                      <w:lang w:eastAsia="zh-CN"/>
                    </w:rPr>
                  </w:pPr>
                  <w:r>
                    <w:rPr>
                      <w:rFonts w:hint="default"/>
                      <w:color w:val="auto"/>
                      <w:highlight w:val="none"/>
                      <w:lang w:eastAsia="zh-CN"/>
                    </w:rPr>
                    <w:t>道路</w:t>
                  </w:r>
                </w:p>
              </w:tc>
              <w:tc>
                <w:tcPr>
                  <w:tcW w:w="3407" w:type="pct"/>
                  <w:noWrap w:val="0"/>
                  <w:vAlign w:val="center"/>
                </w:tcPr>
                <w:p>
                  <w:pPr>
                    <w:pStyle w:val="17"/>
                    <w:widowControl w:val="0"/>
                    <w:bidi w:val="0"/>
                    <w:rPr>
                      <w:rFonts w:hint="default"/>
                      <w:color w:val="auto"/>
                      <w:highlight w:val="none"/>
                      <w:lang w:val="en-US" w:eastAsia="zh-CN"/>
                    </w:rPr>
                  </w:pPr>
                  <w:r>
                    <w:rPr>
                      <w:rFonts w:hint="default" w:cs="Times New Roman"/>
                      <w:color w:val="auto"/>
                      <w:kern w:val="0"/>
                      <w:sz w:val="21"/>
                      <w:szCs w:val="21"/>
                      <w:highlight w:val="none"/>
                      <w:lang w:eastAsia="zh-CN" w:bidi="ar"/>
                    </w:rPr>
                    <w:t>修建</w:t>
                  </w:r>
                  <w:r>
                    <w:rPr>
                      <w:rFonts w:hint="default" w:ascii="Times New Roman" w:hAnsi="Times New Roman" w:eastAsia="宋体" w:cs="Times New Roman"/>
                      <w:color w:val="auto"/>
                      <w:kern w:val="0"/>
                      <w:sz w:val="21"/>
                      <w:szCs w:val="21"/>
                      <w:highlight w:val="none"/>
                      <w:lang w:val="en-US" w:eastAsia="zh-CN" w:bidi="ar"/>
                    </w:rPr>
                    <w:t>可到达井场</w:t>
                  </w:r>
                  <w:r>
                    <w:rPr>
                      <w:rFonts w:hint="default" w:cs="Times New Roman"/>
                      <w:color w:val="auto"/>
                      <w:kern w:val="0"/>
                      <w:sz w:val="21"/>
                      <w:szCs w:val="21"/>
                      <w:highlight w:val="none"/>
                      <w:lang w:eastAsia="zh-CN" w:bidi="ar"/>
                    </w:rPr>
                    <w:t>的简易道路</w:t>
                  </w:r>
                  <w:r>
                    <w:rPr>
                      <w:rFonts w:hint="default" w:ascii="Times New Roman" w:hAnsi="Times New Roman" w:eastAsia="宋体" w:cs="Times New Roman"/>
                      <w:color w:val="auto"/>
                      <w:kern w:val="0"/>
                      <w:sz w:val="21"/>
                      <w:szCs w:val="21"/>
                      <w:highlight w:val="none"/>
                      <w:lang w:val="en-US" w:eastAsia="zh-CN" w:bidi="ar"/>
                    </w:rPr>
                    <w:t>，临时道路</w:t>
                  </w:r>
                  <w:r>
                    <w:rPr>
                      <w:rFonts w:hint="eastAsia" w:ascii="Times New Roman" w:hAnsi="Times New Roman" w:eastAsia="宋体" w:cs="Times New Roman"/>
                      <w:color w:val="auto"/>
                      <w:kern w:val="0"/>
                      <w:sz w:val="21"/>
                      <w:szCs w:val="21"/>
                      <w:highlight w:val="none"/>
                      <w:lang w:val="en-US" w:eastAsia="zh-CN" w:bidi="ar"/>
                    </w:rPr>
                    <w:t>4</w:t>
                  </w:r>
                  <w:r>
                    <w:rPr>
                      <w:rFonts w:hint="default" w:ascii="Times New Roman" w:hAnsi="Times New Roman" w:eastAsia="宋体" w:cs="Times New Roman"/>
                      <w:color w:val="auto"/>
                      <w:kern w:val="0"/>
                      <w:sz w:val="21"/>
                      <w:szCs w:val="21"/>
                      <w:highlight w:val="none"/>
                      <w:lang w:val="en-US" w:eastAsia="zh-CN" w:bidi="ar"/>
                    </w:rPr>
                    <w:t>00m，宽度6m，道路占地面积</w:t>
                  </w:r>
                  <w:r>
                    <w:rPr>
                      <w:rFonts w:hint="eastAsia" w:cs="Times New Roman"/>
                      <w:color w:val="auto"/>
                      <w:kern w:val="0"/>
                      <w:sz w:val="21"/>
                      <w:szCs w:val="21"/>
                      <w:highlight w:val="none"/>
                      <w:lang w:val="en-US" w:eastAsia="zh-CN" w:bidi="ar"/>
                    </w:rPr>
                    <w:t>24</w:t>
                  </w:r>
                  <w:r>
                    <w:rPr>
                      <w:rFonts w:hint="default" w:ascii="Times New Roman" w:hAnsi="Times New Roman" w:eastAsia="宋体" w:cs="Times New Roman"/>
                      <w:color w:val="auto"/>
                      <w:kern w:val="0"/>
                      <w:sz w:val="21"/>
                      <w:szCs w:val="21"/>
                      <w:highlight w:val="none"/>
                      <w:lang w:val="en-US" w:eastAsia="zh-CN" w:bidi="ar"/>
                    </w:rPr>
                    <w:t>00m</w:t>
                  </w:r>
                  <w:r>
                    <w:rPr>
                      <w:rFonts w:hint="default" w:ascii="Times New Roman" w:hAnsi="Times New Roman" w:eastAsia="宋体" w:cs="Times New Roman"/>
                      <w:color w:val="auto"/>
                      <w:kern w:val="0"/>
                      <w:sz w:val="21"/>
                      <w:szCs w:val="21"/>
                      <w:highlight w:val="none"/>
                      <w:vertAlign w:val="superscript"/>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continue"/>
                  <w:noWrap w:val="0"/>
                  <w:vAlign w:val="center"/>
                </w:tcPr>
                <w:p>
                  <w:pPr>
                    <w:pStyle w:val="17"/>
                    <w:widowControl w:val="0"/>
                    <w:bidi w:val="0"/>
                    <w:rPr>
                      <w:rFonts w:hint="default"/>
                      <w:color w:val="00B0F0"/>
                      <w:highlight w:val="green"/>
                      <w:lang w:val="en-US" w:eastAsia="zh-C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钻井、固井材料储存区</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井场内设置1处材料堆存区，堆场采用彩钢板顶棚防雨防风，地面防渗处理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 w:type="pct"/>
                  <w:vMerge w:val="continue"/>
                  <w:noWrap w:val="0"/>
                  <w:vAlign w:val="center"/>
                </w:tcPr>
                <w:p>
                  <w:pPr>
                    <w:pStyle w:val="17"/>
                    <w:widowControl w:val="0"/>
                    <w:bidi w:val="0"/>
                    <w:rPr>
                      <w:rFonts w:hint="default"/>
                      <w:color w:val="00B0F0"/>
                      <w:highlight w:val="green"/>
                      <w:lang w:val="en-US" w:eastAsia="zh-C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危废临时贮存间</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本项目产生的机械设备废油，按照《危险废物贮存污染控制标准》（GB18597-2023）等的相关要求在井场设置的1座危险废物临时贮存间，位于不落地系统旁，采用防渗处理，防渗性能按重点防渗区执行，应满足等效黏土防渗层Mb≥6.0m，K≤10</w:t>
                  </w:r>
                  <w:r>
                    <w:rPr>
                      <w:rFonts w:hint="default"/>
                      <w:color w:val="auto"/>
                      <w:highlight w:val="none"/>
                      <w:vertAlign w:val="superscript"/>
                      <w:lang w:val="en-US" w:eastAsia="zh-CN"/>
                    </w:rPr>
                    <w:t>-7</w:t>
                  </w:r>
                  <w:r>
                    <w:rPr>
                      <w:rFonts w:hint="default"/>
                      <w:color w:val="auto"/>
                      <w:highlight w:val="none"/>
                      <w:lang w:val="en-US" w:eastAsia="zh-CN"/>
                    </w:rPr>
                    <w:t>cm/s，或2mm厚高密度聚乙烯，或至少2mm厚的其他人工材料(渗透系数≤10</w:t>
                  </w:r>
                  <w:r>
                    <w:rPr>
                      <w:rFonts w:hint="default"/>
                      <w:color w:val="auto"/>
                      <w:highlight w:val="none"/>
                      <w:vertAlign w:val="superscript"/>
                      <w:lang w:val="en-US" w:eastAsia="zh-CN"/>
                    </w:rPr>
                    <w:t>-10</w:t>
                  </w:r>
                  <w:r>
                    <w:rPr>
                      <w:rFonts w:hint="default"/>
                      <w:color w:val="auto"/>
                      <w:highlight w:val="none"/>
                      <w:lang w:val="en-US" w:eastAsia="zh-CN"/>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 w:type="pct"/>
                  <w:vMerge w:val="continue"/>
                  <w:noWrap w:val="0"/>
                  <w:vAlign w:val="center"/>
                </w:tcPr>
                <w:p>
                  <w:pPr>
                    <w:pStyle w:val="17"/>
                    <w:widowControl w:val="0"/>
                    <w:bidi w:val="0"/>
                    <w:rPr>
                      <w:rFonts w:hint="default"/>
                      <w:color w:val="00B0F0"/>
                      <w:highlight w:val="green"/>
                      <w:lang w:val="en-US" w:eastAsia="zh-C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eastAsia"/>
                      <w:color w:val="auto"/>
                      <w:highlight w:val="none"/>
                      <w:lang w:val="en-US" w:eastAsia="zh-CN"/>
                    </w:rPr>
                    <w:t>油罐区</w:t>
                  </w:r>
                </w:p>
              </w:tc>
              <w:tc>
                <w:tcPr>
                  <w:tcW w:w="3407" w:type="pct"/>
                  <w:noWrap w:val="0"/>
                  <w:vAlign w:val="center"/>
                </w:tcPr>
                <w:p>
                  <w:pPr>
                    <w:pStyle w:val="17"/>
                    <w:widowControl w:val="0"/>
                    <w:bidi w:val="0"/>
                    <w:rPr>
                      <w:rFonts w:hint="default"/>
                      <w:color w:val="auto"/>
                      <w:highlight w:val="none"/>
                      <w:lang w:val="en-US" w:eastAsia="zh-CN"/>
                    </w:rPr>
                  </w:pPr>
                  <w:r>
                    <w:rPr>
                      <w:rFonts w:hint="eastAsia"/>
                      <w:color w:val="auto"/>
                      <w:highlight w:val="none"/>
                      <w:lang w:val="en-US" w:eastAsia="zh-CN"/>
                    </w:rPr>
                    <w:t>每个</w:t>
                  </w:r>
                  <w:r>
                    <w:rPr>
                      <w:rFonts w:hint="default"/>
                      <w:color w:val="auto"/>
                      <w:highlight w:val="none"/>
                      <w:lang w:val="en-US" w:eastAsia="zh-CN"/>
                    </w:rPr>
                    <w:t>井场内设置1个60m</w:t>
                  </w:r>
                  <w:r>
                    <w:rPr>
                      <w:rFonts w:hint="default"/>
                      <w:color w:val="auto"/>
                      <w:highlight w:val="none"/>
                      <w:vertAlign w:val="superscript"/>
                      <w:lang w:val="en-US" w:eastAsia="zh-CN"/>
                    </w:rPr>
                    <w:t>3</w:t>
                  </w:r>
                  <w:r>
                    <w:rPr>
                      <w:rFonts w:hint="default"/>
                      <w:color w:val="auto"/>
                      <w:highlight w:val="none"/>
                      <w:lang w:val="en-US" w:eastAsia="zh-CN"/>
                    </w:rPr>
                    <w:t>原油临时储罐，设置围堰；不应低于6.0m厚渗透系数为1.0×10</w:t>
                  </w:r>
                  <w:r>
                    <w:rPr>
                      <w:rFonts w:hint="default"/>
                      <w:color w:val="auto"/>
                      <w:highlight w:val="none"/>
                      <w:vertAlign w:val="superscript"/>
                      <w:lang w:val="en-US" w:eastAsia="zh-CN"/>
                    </w:rPr>
                    <w:t>-7</w:t>
                  </w:r>
                  <w:r>
                    <w:rPr>
                      <w:rFonts w:hint="default"/>
                      <w:color w:val="auto"/>
                      <w:highlight w:val="none"/>
                      <w:lang w:val="en-US" w:eastAsia="zh-CN"/>
                    </w:rPr>
                    <w:t>cm/s的黏土层的防渗性能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 w:type="pct"/>
                  <w:vMerge w:val="restar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公用工程</w:t>
                  </w: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供配电</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钻机、办公等通过柴油发电机供电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 w:type="pct"/>
                  <w:vMerge w:val="continue"/>
                  <w:noWrap w:val="0"/>
                  <w:vAlign w:val="center"/>
                </w:tcPr>
                <w:p>
                  <w:pPr>
                    <w:pStyle w:val="17"/>
                    <w:widowControl w:val="0"/>
                    <w:bidi w:val="0"/>
                    <w:rPr>
                      <w:rFonts w:hint="default"/>
                      <w:color w:val="auto"/>
                      <w:highlight w:val="green"/>
                      <w:lang w:val="en-US" w:eastAsia="zh-C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供水</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项目用水就近拉运至井场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 w:hRule="atLeast"/>
              </w:trPr>
              <w:tc>
                <w:tcPr>
                  <w:tcW w:w="450" w:type="pct"/>
                  <w:vMerge w:val="restar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环保工程</w:t>
                  </w:r>
                </w:p>
              </w:tc>
              <w:tc>
                <w:tcPr>
                  <w:tcW w:w="475" w:type="pct"/>
                  <w:vMerge w:val="restar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废气</w:t>
                  </w:r>
                </w:p>
              </w:tc>
              <w:tc>
                <w:tcPr>
                  <w:tcW w:w="666" w:type="pct"/>
                  <w:noWrap w:val="0"/>
                  <w:vAlign w:val="center"/>
                </w:tcPr>
                <w:p>
                  <w:pPr>
                    <w:pStyle w:val="17"/>
                    <w:widowControl w:val="0"/>
                    <w:bidi w:val="0"/>
                    <w:rPr>
                      <w:rFonts w:hint="default"/>
                      <w:color w:val="auto"/>
                      <w:highlight w:val="none"/>
                    </w:rPr>
                  </w:pPr>
                  <w:r>
                    <w:rPr>
                      <w:rFonts w:hint="default"/>
                      <w:color w:val="auto"/>
                      <w:highlight w:val="none"/>
                      <w:lang w:val="en-US" w:eastAsia="zh-CN"/>
                    </w:rPr>
                    <w:t>柴油发电</w:t>
                  </w:r>
                </w:p>
                <w:p>
                  <w:pPr>
                    <w:pStyle w:val="17"/>
                    <w:widowControl w:val="0"/>
                    <w:bidi w:val="0"/>
                    <w:rPr>
                      <w:rFonts w:hint="default"/>
                      <w:color w:val="auto"/>
                      <w:highlight w:val="none"/>
                      <w:lang w:val="en-US" w:eastAsia="zh-CN"/>
                    </w:rPr>
                  </w:pPr>
                  <w:r>
                    <w:rPr>
                      <w:rFonts w:hint="default"/>
                      <w:color w:val="auto"/>
                      <w:highlight w:val="none"/>
                      <w:lang w:val="en-US" w:eastAsia="zh-CN"/>
                    </w:rPr>
                    <w:t>机废气</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废气产生量较少，属无组织排放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 w:hRule="atLeast"/>
              </w:trPr>
              <w:tc>
                <w:tcPr>
                  <w:tcW w:w="450" w:type="pct"/>
                  <w:vMerge w:val="continue"/>
                  <w:noWrap w:val="0"/>
                  <w:vAlign w:val="center"/>
                </w:tcPr>
                <w:p>
                  <w:pPr>
                    <w:pStyle w:val="17"/>
                    <w:widowControl w:val="0"/>
                    <w:bidi w:val="0"/>
                    <w:rPr>
                      <w:rFonts w:hint="default"/>
                      <w:color w:val="auto"/>
                      <w:highlight w:val="none"/>
                    </w:rPr>
                  </w:pPr>
                </w:p>
              </w:tc>
              <w:tc>
                <w:tcPr>
                  <w:tcW w:w="475" w:type="pct"/>
                  <w:vMerge w:val="continue"/>
                  <w:noWrap w:val="0"/>
                  <w:vAlign w:val="center"/>
                </w:tcPr>
                <w:p>
                  <w:pPr>
                    <w:pStyle w:val="17"/>
                    <w:widowControl w:val="0"/>
                    <w:bidi w:val="0"/>
                    <w:rPr>
                      <w:rFonts w:hint="default"/>
                      <w:color w:val="auto"/>
                      <w:highlight w:val="none"/>
                    </w:rPr>
                  </w:pPr>
                </w:p>
              </w:tc>
              <w:tc>
                <w:tcPr>
                  <w:tcW w:w="666"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施工扬尘</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产生量较少，属无组织排放，采取场区洒水抑尘措施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 w:hRule="atLeast"/>
              </w:trPr>
              <w:tc>
                <w:tcPr>
                  <w:tcW w:w="450" w:type="pct"/>
                  <w:vMerge w:val="continue"/>
                  <w:noWrap w:val="0"/>
                  <w:vAlign w:val="center"/>
                </w:tcPr>
                <w:p>
                  <w:pPr>
                    <w:pStyle w:val="17"/>
                    <w:widowControl w:val="0"/>
                    <w:bidi w:val="0"/>
                    <w:rPr>
                      <w:rFonts w:hint="default"/>
                      <w:color w:val="auto"/>
                      <w:highlight w:val="none"/>
                    </w:rPr>
                  </w:pPr>
                </w:p>
              </w:tc>
              <w:tc>
                <w:tcPr>
                  <w:tcW w:w="475" w:type="pct"/>
                  <w:vMerge w:val="continue"/>
                  <w:noWrap w:val="0"/>
                  <w:vAlign w:val="center"/>
                </w:tcPr>
                <w:p>
                  <w:pPr>
                    <w:pStyle w:val="17"/>
                    <w:widowControl w:val="0"/>
                    <w:bidi w:val="0"/>
                    <w:rPr>
                      <w:rFonts w:hint="default"/>
                      <w:color w:val="auto"/>
                      <w:highlight w:val="none"/>
                    </w:rPr>
                  </w:pPr>
                </w:p>
              </w:tc>
              <w:tc>
                <w:tcPr>
                  <w:tcW w:w="666" w:type="pct"/>
                  <w:noWrap w:val="0"/>
                  <w:vAlign w:val="center"/>
                </w:tcPr>
                <w:p>
                  <w:pPr>
                    <w:pStyle w:val="17"/>
                    <w:widowControl w:val="0"/>
                    <w:bidi w:val="0"/>
                    <w:rPr>
                      <w:rFonts w:hint="default"/>
                      <w:color w:val="auto"/>
                      <w:highlight w:val="none"/>
                      <w:lang w:val="en-US" w:eastAsia="zh-CN"/>
                    </w:rPr>
                  </w:pPr>
                  <w:r>
                    <w:rPr>
                      <w:rFonts w:hint="eastAsia"/>
                      <w:color w:val="auto"/>
                      <w:highlight w:val="none"/>
                      <w:lang w:val="en-US" w:eastAsia="zh-CN"/>
                    </w:rPr>
                    <w:t>伴生气燃烧废气</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rPr>
                    <w:t>伴生气通过排气管线充分燃烧后放空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450" w:type="pct"/>
                  <w:vMerge w:val="continue"/>
                  <w:noWrap w:val="0"/>
                  <w:vAlign w:val="center"/>
                </w:tcPr>
                <w:p>
                  <w:pPr>
                    <w:pStyle w:val="17"/>
                    <w:widowControl w:val="0"/>
                    <w:bidi w:val="0"/>
                    <w:rPr>
                      <w:rFonts w:hint="default"/>
                      <w:color w:val="auto"/>
                      <w:highlight w:val="none"/>
                    </w:rPr>
                  </w:pPr>
                </w:p>
              </w:tc>
              <w:tc>
                <w:tcPr>
                  <w:tcW w:w="475" w:type="pct"/>
                  <w:vMerge w:val="restart"/>
                  <w:noWrap w:val="0"/>
                  <w:vAlign w:val="center"/>
                </w:tcPr>
                <w:p>
                  <w:pPr>
                    <w:pStyle w:val="17"/>
                    <w:widowControl w:val="0"/>
                    <w:bidi w:val="0"/>
                    <w:rPr>
                      <w:rFonts w:hint="default"/>
                      <w:color w:val="auto"/>
                      <w:highlight w:val="none"/>
                    </w:rPr>
                  </w:pPr>
                  <w:r>
                    <w:rPr>
                      <w:rFonts w:hint="default"/>
                      <w:color w:val="auto"/>
                      <w:highlight w:val="none"/>
                      <w:lang w:val="en-US" w:eastAsia="zh-CN"/>
                    </w:rPr>
                    <w:t>废水</w:t>
                  </w:r>
                </w:p>
              </w:tc>
              <w:tc>
                <w:tcPr>
                  <w:tcW w:w="666" w:type="pct"/>
                  <w:noWrap w:val="0"/>
                  <w:vAlign w:val="center"/>
                </w:tcPr>
                <w:p>
                  <w:pPr>
                    <w:pStyle w:val="17"/>
                    <w:widowControl w:val="0"/>
                    <w:bidi w:val="0"/>
                    <w:rPr>
                      <w:rFonts w:hint="default"/>
                      <w:color w:val="auto"/>
                      <w:highlight w:val="none"/>
                      <w:lang w:val="en-US" w:eastAsia="zh-CN"/>
                    </w:rPr>
                  </w:pPr>
                  <w:r>
                    <w:rPr>
                      <w:rFonts w:hint="eastAsia"/>
                      <w:color w:val="auto"/>
                      <w:highlight w:val="none"/>
                      <w:lang w:val="en-US" w:eastAsia="zh-CN"/>
                    </w:rPr>
                    <w:t>生活污水</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rPr>
                    <w:t>井场设1个环保厕所，生活污水排入环保厕所，环保厕所下铺防渗膜，防渗材料为HDPE防渗膜，厚度2mm，渗透系数≤10</w:t>
                  </w:r>
                  <w:r>
                    <w:rPr>
                      <w:rFonts w:hint="default"/>
                      <w:color w:val="auto"/>
                      <w:highlight w:val="none"/>
                      <w:vertAlign w:val="superscript"/>
                    </w:rPr>
                    <w:t>-7</w:t>
                  </w:r>
                  <w:r>
                    <w:rPr>
                      <w:rFonts w:hint="default"/>
                      <w:color w:val="auto"/>
                      <w:highlight w:val="none"/>
                    </w:rPr>
                    <w:t>cm/s</w:t>
                  </w:r>
                  <w:r>
                    <w:rPr>
                      <w:rFonts w:hint="eastAsia"/>
                      <w:color w:val="auto"/>
                      <w:highlight w:val="none"/>
                      <w:lang w:eastAsia="zh-CN"/>
                    </w:rPr>
                    <w:t>，</w:t>
                  </w:r>
                  <w:r>
                    <w:rPr>
                      <w:rFonts w:hint="eastAsia"/>
                      <w:color w:val="auto"/>
                      <w:highlight w:val="none"/>
                      <w:lang w:val="en-US" w:eastAsia="zh-CN"/>
                    </w:rPr>
                    <w:t>采取</w:t>
                  </w:r>
                  <w:r>
                    <w:rPr>
                      <w:rFonts w:hint="eastAsia"/>
                      <w:color w:val="auto"/>
                      <w:highlight w:val="none"/>
                      <w:lang w:eastAsia="zh-CN"/>
                    </w:rPr>
                    <w:t>密闭式吸污罐车</w:t>
                  </w:r>
                  <w:r>
                    <w:rPr>
                      <w:rFonts w:hint="default"/>
                      <w:color w:val="auto"/>
                      <w:highlight w:val="none"/>
                    </w:rPr>
                    <w:t>定期拉运至</w:t>
                  </w:r>
                  <w:r>
                    <w:rPr>
                      <w:rFonts w:hint="eastAsia"/>
                      <w:color w:val="auto"/>
                      <w:highlight w:val="none"/>
                      <w:lang w:val="en-US" w:eastAsia="zh-CN"/>
                    </w:rPr>
                    <w:t>吉木萨尔县生活污水处理厂</w:t>
                  </w:r>
                  <w:r>
                    <w:rPr>
                      <w:rFonts w:hint="default"/>
                      <w:color w:val="auto"/>
                      <w:highlight w:val="none"/>
                    </w:rPr>
                    <w:t>进行处理，确保生活污水不外排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 w:hRule="atLeast"/>
              </w:trPr>
              <w:tc>
                <w:tcPr>
                  <w:tcW w:w="450" w:type="pct"/>
                  <w:vMerge w:val="continue"/>
                  <w:noWrap w:val="0"/>
                  <w:vAlign w:val="center"/>
                </w:tcPr>
                <w:p>
                  <w:pPr>
                    <w:pStyle w:val="17"/>
                    <w:widowControl w:val="0"/>
                    <w:bidi w:val="0"/>
                    <w:rPr>
                      <w:rFonts w:hint="default"/>
                      <w:color w:val="auto"/>
                      <w:highlight w:val="none"/>
                    </w:rPr>
                  </w:pPr>
                </w:p>
              </w:tc>
              <w:tc>
                <w:tcPr>
                  <w:tcW w:w="475" w:type="pct"/>
                  <w:vMerge w:val="continue"/>
                  <w:noWrap w:val="0"/>
                  <w:vAlign w:val="center"/>
                </w:tcPr>
                <w:p>
                  <w:pPr>
                    <w:pStyle w:val="17"/>
                    <w:widowControl w:val="0"/>
                    <w:bidi w:val="0"/>
                    <w:rPr>
                      <w:rFonts w:hint="default"/>
                      <w:color w:val="auto"/>
                      <w:highlight w:val="none"/>
                    </w:rPr>
                  </w:pPr>
                </w:p>
              </w:tc>
              <w:tc>
                <w:tcPr>
                  <w:tcW w:w="666"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井下作业废水</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项目井下作业废水采取带罐作业，井下作业废水全部回收，采用专用废液收集罐收集后</w:t>
                  </w:r>
                  <w:r>
                    <w:rPr>
                      <w:rFonts w:hint="eastAsia"/>
                      <w:color w:val="auto"/>
                      <w:highlight w:val="none"/>
                      <w:lang w:val="en-US" w:eastAsia="zh-CN"/>
                    </w:rPr>
                    <w:t>采取</w:t>
                  </w:r>
                  <w:r>
                    <w:rPr>
                      <w:rFonts w:hint="eastAsia"/>
                      <w:color w:val="auto"/>
                      <w:highlight w:val="none"/>
                      <w:lang w:eastAsia="zh-CN"/>
                    </w:rPr>
                    <w:t>密闭式吸污罐车</w:t>
                  </w:r>
                  <w:r>
                    <w:rPr>
                      <w:rFonts w:hint="default"/>
                      <w:color w:val="auto"/>
                      <w:highlight w:val="none"/>
                      <w:lang w:val="en-US" w:eastAsia="zh-CN"/>
                    </w:rPr>
                    <w:t>运至吉祥联合处理站处理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 w:hRule="atLeast"/>
              </w:trPr>
              <w:tc>
                <w:tcPr>
                  <w:tcW w:w="450" w:type="pct"/>
                  <w:vMerge w:val="continue"/>
                  <w:noWrap w:val="0"/>
                  <w:vAlign w:val="center"/>
                </w:tcPr>
                <w:p>
                  <w:pPr>
                    <w:pStyle w:val="17"/>
                    <w:widowControl w:val="0"/>
                    <w:bidi w:val="0"/>
                    <w:rPr>
                      <w:rFonts w:hint="default"/>
                      <w:color w:val="auto"/>
                      <w:highlight w:val="none"/>
                    </w:rPr>
                  </w:pPr>
                </w:p>
              </w:tc>
              <w:tc>
                <w:tcPr>
                  <w:tcW w:w="475" w:type="pct"/>
                  <w:vMerge w:val="restart"/>
                  <w:noWrap w:val="0"/>
                  <w:vAlign w:val="center"/>
                </w:tcPr>
                <w:p>
                  <w:pPr>
                    <w:pStyle w:val="17"/>
                    <w:widowControl w:val="0"/>
                    <w:bidi w:val="0"/>
                    <w:rPr>
                      <w:rFonts w:hint="eastAsia"/>
                      <w:color w:val="auto"/>
                      <w:highlight w:val="none"/>
                      <w:lang w:val="en-US" w:eastAsia="zh-CN"/>
                    </w:rPr>
                  </w:pPr>
                  <w:r>
                    <w:rPr>
                      <w:rFonts w:hint="eastAsia"/>
                      <w:color w:val="auto"/>
                      <w:highlight w:val="none"/>
                      <w:lang w:val="en-US" w:eastAsia="zh-CN"/>
                    </w:rPr>
                    <w:t>噪声</w:t>
                  </w:r>
                </w:p>
              </w:tc>
              <w:tc>
                <w:tcPr>
                  <w:tcW w:w="666"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施工设备、钻井机械噪声</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减振、隔声降噪措施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 w:hRule="atLeast"/>
              </w:trPr>
              <w:tc>
                <w:tcPr>
                  <w:tcW w:w="450" w:type="pct"/>
                  <w:vMerge w:val="continue"/>
                  <w:noWrap w:val="0"/>
                  <w:vAlign w:val="center"/>
                </w:tcPr>
                <w:p>
                  <w:pPr>
                    <w:pStyle w:val="17"/>
                    <w:widowControl w:val="0"/>
                    <w:bidi w:val="0"/>
                    <w:rPr>
                      <w:rFonts w:hint="default"/>
                      <w:color w:val="00B0F0"/>
                      <w:highlight w:val="none"/>
                    </w:rPr>
                  </w:pPr>
                </w:p>
              </w:tc>
              <w:tc>
                <w:tcPr>
                  <w:tcW w:w="475" w:type="pct"/>
                  <w:vMerge w:val="continue"/>
                  <w:noWrap w:val="0"/>
                  <w:vAlign w:val="center"/>
                </w:tcPr>
                <w:p>
                  <w:pPr>
                    <w:pStyle w:val="17"/>
                    <w:widowControl w:val="0"/>
                    <w:bidi w:val="0"/>
                    <w:rPr>
                      <w:rFonts w:hint="default"/>
                      <w:color w:val="auto"/>
                      <w:highlight w:val="none"/>
                    </w:rPr>
                  </w:pPr>
                </w:p>
              </w:tc>
              <w:tc>
                <w:tcPr>
                  <w:tcW w:w="666"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试油期机械噪声</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选用低噪声设备，安装基础减振垫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 w:hRule="atLeast"/>
              </w:trPr>
              <w:tc>
                <w:tcPr>
                  <w:tcW w:w="450" w:type="pct"/>
                  <w:vMerge w:val="continue"/>
                  <w:noWrap w:val="0"/>
                  <w:vAlign w:val="center"/>
                </w:tcPr>
                <w:p>
                  <w:pPr>
                    <w:pStyle w:val="17"/>
                    <w:widowControl w:val="0"/>
                    <w:bidi w:val="0"/>
                    <w:rPr>
                      <w:rFonts w:hint="default"/>
                      <w:color w:val="00B0F0"/>
                      <w:highlight w:val="none"/>
                    </w:rPr>
                  </w:pPr>
                </w:p>
              </w:tc>
              <w:tc>
                <w:tcPr>
                  <w:tcW w:w="475" w:type="pct"/>
                  <w:vMerge w:val="restart"/>
                  <w:noWrap w:val="0"/>
                  <w:vAlign w:val="center"/>
                </w:tcPr>
                <w:p>
                  <w:pPr>
                    <w:pStyle w:val="17"/>
                    <w:widowControl w:val="0"/>
                    <w:bidi w:val="0"/>
                    <w:rPr>
                      <w:rFonts w:hint="default"/>
                      <w:color w:val="auto"/>
                      <w:highlight w:val="none"/>
                    </w:rPr>
                  </w:pPr>
                  <w:r>
                    <w:rPr>
                      <w:rFonts w:hint="default"/>
                      <w:color w:val="auto"/>
                      <w:highlight w:val="none"/>
                      <w:lang w:val="en-US" w:eastAsia="zh-CN"/>
                    </w:rPr>
                    <w:t>固废</w:t>
                  </w:r>
                </w:p>
              </w:tc>
              <w:tc>
                <w:tcPr>
                  <w:tcW w:w="666"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落地油</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本项目井下作业时带罐作业，落地油100%回收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 w:hRule="atLeast"/>
              </w:trPr>
              <w:tc>
                <w:tcPr>
                  <w:tcW w:w="450" w:type="pct"/>
                  <w:vMerge w:val="continue"/>
                  <w:noWrap w:val="0"/>
                  <w:vAlign w:val="center"/>
                </w:tcPr>
                <w:p>
                  <w:pPr>
                    <w:pStyle w:val="17"/>
                    <w:widowControl w:val="0"/>
                    <w:bidi w:val="0"/>
                    <w:rPr>
                      <w:rFonts w:hint="default"/>
                      <w:color w:val="00B0F0"/>
                      <w:highlight w:val="green"/>
                    </w:rPr>
                  </w:pPr>
                </w:p>
              </w:tc>
              <w:tc>
                <w:tcPr>
                  <w:tcW w:w="475" w:type="pct"/>
                  <w:vMerge w:val="continue"/>
                  <w:noWrap w:val="0"/>
                  <w:vAlign w:val="center"/>
                </w:tcPr>
                <w:p>
                  <w:pPr>
                    <w:pStyle w:val="17"/>
                    <w:widowControl w:val="0"/>
                    <w:bidi w:val="0"/>
                    <w:rPr>
                      <w:rFonts w:hint="default"/>
                      <w:color w:val="auto"/>
                      <w:highlight w:val="none"/>
                    </w:rPr>
                  </w:pPr>
                </w:p>
              </w:tc>
              <w:tc>
                <w:tcPr>
                  <w:tcW w:w="666"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废弃防渗膜</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未破损、未沾油防渗材料由</w:t>
                  </w:r>
                  <w:r>
                    <w:rPr>
                      <w:rFonts w:hint="eastAsia"/>
                      <w:color w:val="auto"/>
                      <w:highlight w:val="none"/>
                      <w:lang w:val="en-US" w:eastAsia="zh-CN"/>
                    </w:rPr>
                    <w:t>建设</w:t>
                  </w:r>
                  <w:r>
                    <w:rPr>
                      <w:rFonts w:hint="default"/>
                      <w:color w:val="auto"/>
                      <w:highlight w:val="none"/>
                      <w:lang w:val="en-US" w:eastAsia="zh-CN"/>
                    </w:rPr>
                    <w:t>单位集中回收利用，沾油的废防渗材料由</w:t>
                  </w:r>
                  <w:r>
                    <w:rPr>
                      <w:rFonts w:hint="eastAsia"/>
                      <w:color w:val="auto"/>
                      <w:lang w:val="en-US" w:eastAsia="zh-CN"/>
                    </w:rPr>
                    <w:t>建设</w:t>
                  </w:r>
                  <w:r>
                    <w:rPr>
                      <w:rFonts w:hint="eastAsia"/>
                      <w:color w:val="auto"/>
                    </w:rPr>
                    <w:t>单位</w:t>
                  </w:r>
                  <w:r>
                    <w:rPr>
                      <w:rFonts w:hint="default"/>
                      <w:color w:val="auto"/>
                      <w:highlight w:val="none"/>
                      <w:lang w:val="en-US" w:eastAsia="zh-CN"/>
                    </w:rPr>
                    <w:t>委托具有相应危险废物处置资质的单位进行处置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 w:hRule="atLeast"/>
              </w:trPr>
              <w:tc>
                <w:tcPr>
                  <w:tcW w:w="450" w:type="pct"/>
                  <w:vMerge w:val="continue"/>
                  <w:noWrap w:val="0"/>
                  <w:vAlign w:val="center"/>
                </w:tcPr>
                <w:p>
                  <w:pPr>
                    <w:pStyle w:val="17"/>
                    <w:widowControl w:val="0"/>
                    <w:bidi w:val="0"/>
                    <w:rPr>
                      <w:rFonts w:hint="default"/>
                      <w:color w:val="00B0F0"/>
                      <w:highlight w:val="green"/>
                    </w:rPr>
                  </w:pPr>
                </w:p>
              </w:tc>
              <w:tc>
                <w:tcPr>
                  <w:tcW w:w="475" w:type="pct"/>
                  <w:vMerge w:val="continue"/>
                  <w:noWrap w:val="0"/>
                  <w:vAlign w:val="center"/>
                </w:tcPr>
                <w:p>
                  <w:pPr>
                    <w:pStyle w:val="17"/>
                    <w:widowControl w:val="0"/>
                    <w:bidi w:val="0"/>
                    <w:rPr>
                      <w:rFonts w:hint="default"/>
                      <w:color w:val="auto"/>
                      <w:highlight w:val="none"/>
                    </w:rPr>
                  </w:pPr>
                </w:p>
              </w:tc>
              <w:tc>
                <w:tcPr>
                  <w:tcW w:w="666"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机械设备废油</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由</w:t>
                  </w:r>
                  <w:r>
                    <w:rPr>
                      <w:rFonts w:hint="eastAsia"/>
                      <w:color w:val="auto"/>
                      <w:lang w:val="en-US" w:eastAsia="zh-CN"/>
                    </w:rPr>
                    <w:t>建设</w:t>
                  </w:r>
                  <w:r>
                    <w:rPr>
                      <w:rFonts w:hint="eastAsia"/>
                      <w:color w:val="auto"/>
                    </w:rPr>
                    <w:t>单位</w:t>
                  </w:r>
                  <w:r>
                    <w:rPr>
                      <w:rFonts w:hint="default"/>
                      <w:color w:val="auto"/>
                      <w:highlight w:val="none"/>
                      <w:lang w:val="en-US" w:eastAsia="zh-CN"/>
                    </w:rPr>
                    <w:t>委托有危险废物处理资质单位进行处置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 w:hRule="atLeast"/>
              </w:trPr>
              <w:tc>
                <w:tcPr>
                  <w:tcW w:w="450" w:type="pct"/>
                  <w:vMerge w:val="continue"/>
                  <w:noWrap w:val="0"/>
                  <w:vAlign w:val="center"/>
                </w:tcPr>
                <w:p>
                  <w:pPr>
                    <w:pStyle w:val="17"/>
                    <w:widowControl w:val="0"/>
                    <w:bidi w:val="0"/>
                    <w:rPr>
                      <w:rFonts w:hint="default"/>
                      <w:color w:val="00B0F0"/>
                      <w:highlight w:val="green"/>
                    </w:rPr>
                  </w:pPr>
                </w:p>
              </w:tc>
              <w:tc>
                <w:tcPr>
                  <w:tcW w:w="475" w:type="pct"/>
                  <w:vMerge w:val="continue"/>
                  <w:noWrap w:val="0"/>
                  <w:vAlign w:val="center"/>
                </w:tcPr>
                <w:p>
                  <w:pPr>
                    <w:pStyle w:val="17"/>
                    <w:widowControl w:val="0"/>
                    <w:bidi w:val="0"/>
                    <w:rPr>
                      <w:rFonts w:hint="default"/>
                      <w:color w:val="auto"/>
                      <w:highlight w:val="none"/>
                    </w:rPr>
                  </w:pPr>
                </w:p>
              </w:tc>
              <w:tc>
                <w:tcPr>
                  <w:tcW w:w="666"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水基泥浆和岩屑</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采用不落地装置分离后的液相回用，分离后的固相（岩屑）临时贮存在井场内的岩屑储罐中，检测满足《油气田钻井固体废物综合利用污染控制要求》（DB65/T 3997-2017）相关标准限值后用于本项目进出进场铺路、铺垫井场，不满足要求的委托有资质的单位进行处置</w:t>
                  </w: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 w:hRule="atLeast"/>
              </w:trPr>
              <w:tc>
                <w:tcPr>
                  <w:tcW w:w="450" w:type="pct"/>
                  <w:vMerge w:val="continue"/>
                  <w:noWrap w:val="0"/>
                  <w:vAlign w:val="center"/>
                </w:tcPr>
                <w:p>
                  <w:pPr>
                    <w:pStyle w:val="17"/>
                    <w:widowControl w:val="0"/>
                    <w:bidi w:val="0"/>
                    <w:rPr>
                      <w:rFonts w:hint="default"/>
                      <w:color w:val="00B0F0"/>
                      <w:highlight w:val="green"/>
                    </w:rPr>
                  </w:pPr>
                </w:p>
              </w:tc>
              <w:tc>
                <w:tcPr>
                  <w:tcW w:w="475" w:type="pct"/>
                  <w:vMerge w:val="continue"/>
                  <w:noWrap w:val="0"/>
                  <w:vAlign w:val="center"/>
                </w:tcPr>
                <w:p>
                  <w:pPr>
                    <w:pStyle w:val="17"/>
                    <w:widowControl w:val="0"/>
                    <w:bidi w:val="0"/>
                    <w:rPr>
                      <w:rFonts w:hint="default"/>
                      <w:color w:val="auto"/>
                      <w:highlight w:val="none"/>
                    </w:rPr>
                  </w:pPr>
                </w:p>
              </w:tc>
              <w:tc>
                <w:tcPr>
                  <w:tcW w:w="666"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油基钻井岩屑和废弃油基钻井泥浆</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油基钻井岩屑和废弃油基钻井泥浆委托有资质的单位进行处置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 w:hRule="atLeast"/>
              </w:trPr>
              <w:tc>
                <w:tcPr>
                  <w:tcW w:w="450" w:type="pct"/>
                  <w:vMerge w:val="continue"/>
                  <w:noWrap w:val="0"/>
                  <w:vAlign w:val="center"/>
                </w:tcPr>
                <w:p>
                  <w:pPr>
                    <w:pStyle w:val="17"/>
                    <w:widowControl w:val="0"/>
                    <w:bidi w:val="0"/>
                    <w:rPr>
                      <w:rFonts w:hint="default"/>
                      <w:color w:val="00B0F0"/>
                      <w:highlight w:val="green"/>
                    </w:rPr>
                  </w:pPr>
                </w:p>
              </w:tc>
              <w:tc>
                <w:tcPr>
                  <w:tcW w:w="475" w:type="pct"/>
                  <w:vMerge w:val="continue"/>
                  <w:noWrap w:val="0"/>
                  <w:vAlign w:val="center"/>
                </w:tcPr>
                <w:p>
                  <w:pPr>
                    <w:pStyle w:val="17"/>
                    <w:widowControl w:val="0"/>
                    <w:bidi w:val="0"/>
                    <w:rPr>
                      <w:rFonts w:hint="default"/>
                      <w:color w:val="00B0F0"/>
                      <w:highlight w:val="none"/>
                    </w:rPr>
                  </w:pPr>
                </w:p>
              </w:tc>
              <w:tc>
                <w:tcPr>
                  <w:tcW w:w="666" w:type="pct"/>
                  <w:noWrap w:val="0"/>
                  <w:vAlign w:val="center"/>
                </w:tcPr>
                <w:p>
                  <w:pPr>
                    <w:pStyle w:val="17"/>
                    <w:widowControl w:val="0"/>
                    <w:bidi w:val="0"/>
                    <w:rPr>
                      <w:rFonts w:hint="default"/>
                      <w:color w:val="auto"/>
                      <w:highlight w:val="none"/>
                      <w:lang w:val="en-US" w:eastAsia="zh-CN"/>
                    </w:rPr>
                  </w:pPr>
                  <w:r>
                    <w:rPr>
                      <w:rFonts w:hint="eastAsia"/>
                      <w:color w:val="auto"/>
                      <w:highlight w:val="none"/>
                      <w:lang w:val="en-US" w:eastAsia="zh-CN"/>
                    </w:rPr>
                    <w:t>生活垃圾</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集中收集后统一拉运至</w:t>
                  </w:r>
                  <w:r>
                    <w:rPr>
                      <w:rFonts w:hint="eastAsia"/>
                      <w:color w:val="auto"/>
                      <w:highlight w:val="none"/>
                      <w:lang w:val="en-US" w:eastAsia="zh-CN"/>
                    </w:rPr>
                    <w:t>吉木萨尔</w:t>
                  </w:r>
                  <w:r>
                    <w:rPr>
                      <w:rFonts w:hint="default"/>
                      <w:color w:val="auto"/>
                      <w:highlight w:val="none"/>
                      <w:lang w:val="en-US" w:eastAsia="zh-CN"/>
                    </w:rPr>
                    <w:t>县生活垃圾填埋场处理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 w:hRule="atLeast"/>
              </w:trPr>
              <w:tc>
                <w:tcPr>
                  <w:tcW w:w="450" w:type="pct"/>
                  <w:vMerge w:val="continue"/>
                  <w:noWrap w:val="0"/>
                  <w:vAlign w:val="center"/>
                </w:tcPr>
                <w:p>
                  <w:pPr>
                    <w:pStyle w:val="17"/>
                    <w:widowControl w:val="0"/>
                    <w:bidi w:val="0"/>
                    <w:rPr>
                      <w:rFonts w:hint="default"/>
                      <w:color w:val="00B0F0"/>
                      <w:highlight w:val="gree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生态恢复</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施工结束后井场周边平整场地，自然恢复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 w:hRule="atLeast"/>
              </w:trPr>
              <w:tc>
                <w:tcPr>
                  <w:tcW w:w="450" w:type="pct"/>
                  <w:vMerge w:val="continue"/>
                  <w:noWrap w:val="0"/>
                  <w:vAlign w:val="center"/>
                </w:tcPr>
                <w:p>
                  <w:pPr>
                    <w:pStyle w:val="17"/>
                    <w:widowControl w:val="0"/>
                    <w:bidi w:val="0"/>
                    <w:rPr>
                      <w:rFonts w:hint="default"/>
                      <w:color w:val="00B0F0"/>
                      <w:highlight w:val="gree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eastAsia"/>
                      <w:color w:val="auto"/>
                      <w:highlight w:val="none"/>
                      <w:lang w:val="en-US" w:eastAsia="zh-CN"/>
                    </w:rPr>
                    <w:t>环境风险</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安装井控装置；防止井喷；柴油罐、原油储等储罐底部铺设防渗材料或设置围堰，防止泄露；罐硫化氢监测；设置应急放喷池，对事故状态下，放喷液进行有效收集，防止污染周围地下水和土壤。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 w:hRule="atLeast"/>
              </w:trPr>
              <w:tc>
                <w:tcPr>
                  <w:tcW w:w="450" w:type="pct"/>
                  <w:vMerge w:val="restart"/>
                  <w:noWrap w:val="0"/>
                  <w:vAlign w:val="center"/>
                </w:tcPr>
                <w:p>
                  <w:pPr>
                    <w:pStyle w:val="17"/>
                    <w:widowControl w:val="0"/>
                    <w:bidi w:val="0"/>
                    <w:rPr>
                      <w:rFonts w:hint="default"/>
                      <w:color w:val="auto"/>
                      <w:highlight w:val="green"/>
                    </w:rPr>
                  </w:pPr>
                  <w:r>
                    <w:rPr>
                      <w:rFonts w:hint="default"/>
                      <w:color w:val="auto"/>
                      <w:highlight w:val="none"/>
                      <w:lang w:val="en-US" w:eastAsia="zh-CN"/>
                    </w:rPr>
                    <w:t>依托工程</w:t>
                  </w: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吉祥联合站</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吐哈油田分公司在准东流转区块内所产油、气、水统一进入新疆油田公司处理系统，本项目试油期带罐作业，井下作业废水收集后拉运至吉祥联合站处理后用于油田注水。试油期原油入罐，拉运至吉祥联合站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 w:hRule="atLeast"/>
              </w:trPr>
              <w:tc>
                <w:tcPr>
                  <w:tcW w:w="450" w:type="pct"/>
                  <w:vMerge w:val="continue"/>
                  <w:noWrap w:val="0"/>
                  <w:vAlign w:val="center"/>
                </w:tcPr>
                <w:p>
                  <w:pPr>
                    <w:pStyle w:val="17"/>
                    <w:widowControl w:val="0"/>
                    <w:bidi w:val="0"/>
                    <w:rPr>
                      <w:rFonts w:hint="default"/>
                      <w:color w:val="auto"/>
                      <w:highlight w:val="none"/>
                      <w:lang w:val="en-US" w:eastAsia="zh-C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克拉玛依金鑫油田环保工程有限公司</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克拉玛依金鑫油田环保工程有限公司设置1条年处理8万吨含油岩屑（污泥）撬装生产线。废弃油基泥浆及油基岩屑产生与处置的责任主体单位为</w:t>
                  </w:r>
                  <w:r>
                    <w:rPr>
                      <w:rFonts w:hint="eastAsia"/>
                      <w:color w:val="auto"/>
                      <w:lang w:val="en-US" w:eastAsia="zh-CN"/>
                    </w:rPr>
                    <w:t>建设</w:t>
                  </w:r>
                  <w:r>
                    <w:rPr>
                      <w:rFonts w:hint="eastAsia"/>
                      <w:color w:val="auto"/>
                    </w:rPr>
                    <w:t>单位</w:t>
                  </w:r>
                  <w:r>
                    <w:rPr>
                      <w:rFonts w:hint="default"/>
                      <w:color w:val="auto"/>
                      <w:highlight w:val="none"/>
                      <w:lang w:val="en-US" w:eastAsia="zh-CN"/>
                    </w:rPr>
                    <w:t>负责监管。油基泥浆同岩屑一起进入泥浆不落地系统固液分离后，液相循环使用，固相按照危险废物进行管理（危废编号为HW08，废物代码为071-002-08），委托有危废处置资质的单位（克拉玛依金鑫油田环保工程有限公司）进行妥善处理，处置协议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 w:hRule="atLeast"/>
              </w:trPr>
              <w:tc>
                <w:tcPr>
                  <w:tcW w:w="450" w:type="pct"/>
                  <w:vMerge w:val="continue"/>
                  <w:noWrap w:val="0"/>
                  <w:vAlign w:val="center"/>
                </w:tcPr>
                <w:p>
                  <w:pPr>
                    <w:pStyle w:val="17"/>
                    <w:widowControl w:val="0"/>
                    <w:bidi w:val="0"/>
                    <w:rPr>
                      <w:rFonts w:hint="default"/>
                      <w:color w:val="00B0F0"/>
                      <w:highlight w:val="green"/>
                      <w:lang w:val="en-US" w:eastAsia="zh-C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eastAsia"/>
                      <w:color w:val="auto"/>
                      <w:highlight w:val="none"/>
                      <w:lang w:val="en-US" w:eastAsia="zh-CN"/>
                    </w:rPr>
                    <w:t>吉木萨尔县污水处理厂</w:t>
                  </w:r>
                </w:p>
              </w:tc>
              <w:tc>
                <w:tcPr>
                  <w:tcW w:w="3407" w:type="pct"/>
                  <w:noWrap w:val="0"/>
                  <w:vAlign w:val="center"/>
                </w:tcPr>
                <w:p>
                  <w:pPr>
                    <w:pStyle w:val="17"/>
                    <w:widowControl w:val="0"/>
                    <w:bidi w:val="0"/>
                    <w:rPr>
                      <w:rFonts w:hint="default"/>
                      <w:color w:val="auto"/>
                      <w:highlight w:val="none"/>
                      <w:lang w:val="en-US" w:eastAsia="zh-CN"/>
                    </w:rPr>
                  </w:pPr>
                  <w:r>
                    <w:rPr>
                      <w:rFonts w:hint="eastAsia"/>
                      <w:color w:val="auto"/>
                      <w:highlight w:val="none"/>
                      <w:lang w:val="en-US" w:eastAsia="zh-CN"/>
                    </w:rPr>
                    <w:t>钻井期生活污水定期拉运至吉木萨尔县污水处理厂，污水处理厂设计规模为3万m</w:t>
                  </w:r>
                  <w:r>
                    <w:rPr>
                      <w:rFonts w:hint="eastAsia"/>
                      <w:color w:val="auto"/>
                      <w:highlight w:val="none"/>
                      <w:vertAlign w:val="superscript"/>
                      <w:lang w:val="en-US" w:eastAsia="zh-CN"/>
                    </w:rPr>
                    <w:t>3</w:t>
                  </w:r>
                  <w:r>
                    <w:rPr>
                      <w:rFonts w:hint="eastAsia"/>
                      <w:color w:val="auto"/>
                      <w:highlight w:val="none"/>
                      <w:lang w:val="en-US" w:eastAsia="zh-CN"/>
                    </w:rPr>
                    <w:t>/d，实际建设规模为1万m</w:t>
                  </w:r>
                  <w:r>
                    <w:rPr>
                      <w:rFonts w:hint="eastAsia"/>
                      <w:color w:val="auto"/>
                      <w:highlight w:val="none"/>
                      <w:vertAlign w:val="superscript"/>
                      <w:lang w:val="en-US" w:eastAsia="zh-CN"/>
                    </w:rPr>
                    <w:t>3</w:t>
                  </w:r>
                  <w:r>
                    <w:rPr>
                      <w:rFonts w:hint="eastAsia"/>
                      <w:color w:val="auto"/>
                      <w:highlight w:val="none"/>
                      <w:lang w:val="en-US" w:eastAsia="zh-CN"/>
                    </w:rPr>
                    <w:t>/d，实际处理量在0.6-0.7万m</w:t>
                  </w:r>
                  <w:r>
                    <w:rPr>
                      <w:rFonts w:hint="eastAsia"/>
                      <w:color w:val="auto"/>
                      <w:highlight w:val="none"/>
                      <w:vertAlign w:val="superscript"/>
                      <w:lang w:val="en-US" w:eastAsia="zh-CN"/>
                    </w:rPr>
                    <w:t>3</w:t>
                  </w:r>
                  <w:r>
                    <w:rPr>
                      <w:rFonts w:hint="eastAsia"/>
                      <w:color w:val="auto"/>
                      <w:highlight w:val="none"/>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 w:hRule="atLeast"/>
              </w:trPr>
              <w:tc>
                <w:tcPr>
                  <w:tcW w:w="450" w:type="pct"/>
                  <w:vMerge w:val="continue"/>
                  <w:noWrap w:val="0"/>
                  <w:vAlign w:val="center"/>
                </w:tcPr>
                <w:p>
                  <w:pPr>
                    <w:pStyle w:val="17"/>
                    <w:widowControl w:val="0"/>
                    <w:bidi w:val="0"/>
                    <w:rPr>
                      <w:rFonts w:hint="default"/>
                      <w:color w:val="00B0F0"/>
                      <w:highlight w:val="green"/>
                      <w:lang w:val="en-US" w:eastAsia="zh-C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eastAsia"/>
                      <w:color w:val="auto"/>
                      <w:highlight w:val="none"/>
                      <w:lang w:val="en-US" w:eastAsia="zh-CN"/>
                    </w:rPr>
                    <w:t>吉木萨尔县生活垃圾填埋场</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占地面积约21.94万</w:t>
                  </w:r>
                  <w:r>
                    <w:rPr>
                      <w:rFonts w:hint="eastAsia"/>
                      <w:color w:val="auto"/>
                      <w:highlight w:val="none"/>
                      <w:lang w:val="en-US" w:eastAsia="zh-CN"/>
                    </w:rPr>
                    <w:t>m</w:t>
                  </w:r>
                  <w:r>
                    <w:rPr>
                      <w:rFonts w:hint="eastAsia"/>
                      <w:color w:val="auto"/>
                      <w:highlight w:val="none"/>
                      <w:vertAlign w:val="superscript"/>
                      <w:lang w:val="en-US" w:eastAsia="zh-CN"/>
                    </w:rPr>
                    <w:t>2</w:t>
                  </w:r>
                  <w:r>
                    <w:rPr>
                      <w:rFonts w:hint="default"/>
                      <w:color w:val="auto"/>
                      <w:highlight w:val="none"/>
                      <w:lang w:val="en-US" w:eastAsia="zh-CN"/>
                    </w:rPr>
                    <w:t>，其中近期填埋场面积为7.0万m</w:t>
                  </w:r>
                  <w:r>
                    <w:rPr>
                      <w:rFonts w:hint="default"/>
                      <w:color w:val="auto"/>
                      <w:highlight w:val="none"/>
                      <w:vertAlign w:val="superscript"/>
                      <w:lang w:val="en-US" w:eastAsia="zh-CN"/>
                    </w:rPr>
                    <w:t>2</w:t>
                  </w:r>
                  <w:r>
                    <w:rPr>
                      <w:rFonts w:hint="default"/>
                      <w:color w:val="auto"/>
                      <w:highlight w:val="none"/>
                      <w:lang w:val="en-US" w:eastAsia="zh-CN"/>
                    </w:rPr>
                    <w:t>，远期填埋场面积约10.5万</w:t>
                  </w:r>
                  <w:r>
                    <w:rPr>
                      <w:rFonts w:hint="eastAsia"/>
                      <w:color w:val="auto"/>
                      <w:highlight w:val="none"/>
                      <w:lang w:val="en-US" w:eastAsia="zh-CN"/>
                    </w:rPr>
                    <w:t>m</w:t>
                  </w:r>
                  <w:r>
                    <w:rPr>
                      <w:rFonts w:hint="eastAsia"/>
                      <w:color w:val="auto"/>
                      <w:highlight w:val="none"/>
                      <w:vertAlign w:val="superscript"/>
                      <w:lang w:val="en-US" w:eastAsia="zh-CN"/>
                    </w:rPr>
                    <w:t>2</w:t>
                  </w:r>
                  <w:r>
                    <w:rPr>
                      <w:rFonts w:hint="default"/>
                      <w:color w:val="auto"/>
                      <w:highlight w:val="none"/>
                      <w:lang w:val="en-US" w:eastAsia="zh-CN"/>
                    </w:rPr>
                    <w:t>。</w:t>
                  </w:r>
                </w:p>
              </w:tc>
            </w:tr>
          </w:tbl>
          <w:p>
            <w:pPr>
              <w:pStyle w:val="4"/>
              <w:bidi w:val="0"/>
              <w:rPr>
                <w:color w:val="auto"/>
              </w:rPr>
            </w:pPr>
            <w:r>
              <w:rPr>
                <w:rFonts w:hint="default"/>
                <w:color w:val="auto"/>
                <w:lang w:val="en-US" w:eastAsia="zh-CN"/>
              </w:rPr>
              <w:t>2</w:t>
            </w:r>
            <w:r>
              <w:rPr>
                <w:rFonts w:hint="eastAsia"/>
                <w:color w:val="auto"/>
                <w:lang w:val="en-US" w:eastAsia="zh-CN"/>
              </w:rPr>
              <w:t>、钻前工程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olor w:val="auto"/>
                <w:lang w:val="en-US" w:eastAsia="zh-CN"/>
              </w:rPr>
            </w:pPr>
            <w:r>
              <w:rPr>
                <w:rStyle w:val="18"/>
                <w:rFonts w:hint="eastAsia"/>
                <w:color w:val="auto"/>
                <w:lang w:val="en-US" w:eastAsia="zh-CN"/>
              </w:rPr>
              <w:t>钻前工程包括井场平整，设备基础、井场道路等的建设，生活营地搭建等。主要工程量详见下表</w:t>
            </w:r>
            <w:r>
              <w:rPr>
                <w:rFonts w:hint="eastAsia"/>
                <w:color w:val="auto"/>
                <w:lang w:val="en-US" w:eastAsia="zh-CN"/>
              </w:rPr>
              <w:t>。</w:t>
            </w:r>
          </w:p>
          <w:p>
            <w:pPr>
              <w:pStyle w:val="14"/>
              <w:spacing w:before="0" w:beforeLines="0" w:line="360" w:lineRule="auto"/>
              <w:ind w:firstLine="0" w:firstLineChars="0"/>
              <w:jc w:val="center"/>
              <w:rPr>
                <w:rFonts w:hint="default"/>
                <w:color w:val="auto"/>
                <w:highlight w:val="none"/>
                <w:lang w:val="en-US" w:eastAsia="zh-CN"/>
              </w:rPr>
            </w:pPr>
            <w:r>
              <w:rPr>
                <w:rFonts w:hint="eastAsia"/>
                <w:color w:val="auto"/>
                <w:highlight w:val="none"/>
                <w:lang w:val="en-US" w:eastAsia="zh-CN"/>
              </w:rPr>
              <w:t>表2-3   本项目钻前工程主要工程量一览表</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1555"/>
              <w:gridCol w:w="909"/>
              <w:gridCol w:w="1112"/>
              <w:gridCol w:w="4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37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highlight w:val="none"/>
                    </w:rPr>
                  </w:pPr>
                  <w:r>
                    <w:rPr>
                      <w:rFonts w:hint="default"/>
                      <w:color w:val="auto"/>
                      <w:highlight w:val="none"/>
                    </w:rPr>
                    <w:t>序号</w:t>
                  </w:r>
                </w:p>
              </w:tc>
              <w:tc>
                <w:tcPr>
                  <w:tcW w:w="93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highlight w:val="none"/>
                    </w:rPr>
                  </w:pPr>
                  <w:r>
                    <w:rPr>
                      <w:rFonts w:hint="default"/>
                      <w:color w:val="auto"/>
                      <w:highlight w:val="none"/>
                    </w:rPr>
                    <w:t>名称</w:t>
                  </w:r>
                </w:p>
              </w:tc>
              <w:tc>
                <w:tcPr>
                  <w:tcW w:w="54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highlight w:val="none"/>
                    </w:rPr>
                  </w:pPr>
                  <w:r>
                    <w:rPr>
                      <w:rFonts w:hint="default"/>
                      <w:color w:val="auto"/>
                      <w:highlight w:val="none"/>
                    </w:rPr>
                    <w:t>单位</w:t>
                  </w:r>
                </w:p>
              </w:tc>
              <w:tc>
                <w:tcPr>
                  <w:tcW w:w="66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highlight w:val="none"/>
                    </w:rPr>
                  </w:pPr>
                  <w:r>
                    <w:rPr>
                      <w:rFonts w:hint="default"/>
                      <w:color w:val="auto"/>
                      <w:highlight w:val="none"/>
                    </w:rPr>
                    <w:t>数量</w:t>
                  </w:r>
                </w:p>
              </w:tc>
              <w:tc>
                <w:tcPr>
                  <w:tcW w:w="248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highlight w:val="none"/>
                    </w:rPr>
                  </w:pPr>
                  <w:r>
                    <w:rPr>
                      <w:rFonts w:hint="default"/>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37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eastAsia="宋体"/>
                      <w:color w:val="auto"/>
                      <w:highlight w:val="none"/>
                      <w:lang w:eastAsia="zh-CN"/>
                    </w:rPr>
                  </w:pPr>
                  <w:r>
                    <w:rPr>
                      <w:rFonts w:hint="eastAsia"/>
                      <w:color w:val="auto"/>
                      <w:highlight w:val="none"/>
                      <w:lang w:val="en-US" w:eastAsia="zh-CN"/>
                    </w:rPr>
                    <w:t>1</w:t>
                  </w:r>
                </w:p>
              </w:tc>
              <w:tc>
                <w:tcPr>
                  <w:tcW w:w="93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highlight w:val="none"/>
                    </w:rPr>
                  </w:pPr>
                  <w:r>
                    <w:rPr>
                      <w:rFonts w:hint="default"/>
                      <w:color w:val="auto"/>
                      <w:highlight w:val="none"/>
                    </w:rPr>
                    <w:t>生活营地</w:t>
                  </w:r>
                </w:p>
              </w:tc>
              <w:tc>
                <w:tcPr>
                  <w:tcW w:w="54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highlight w:val="none"/>
                    </w:rPr>
                  </w:pPr>
                  <w:r>
                    <w:rPr>
                      <w:rFonts w:hint="default"/>
                      <w:color w:val="auto"/>
                      <w:highlight w:val="none"/>
                    </w:rPr>
                    <w:t>m</w:t>
                  </w:r>
                  <w:r>
                    <w:rPr>
                      <w:rFonts w:hint="default"/>
                      <w:color w:val="auto"/>
                      <w:highlight w:val="none"/>
                      <w:vertAlign w:val="superscript"/>
                    </w:rPr>
                    <w:t>2</w:t>
                  </w:r>
                </w:p>
              </w:tc>
              <w:tc>
                <w:tcPr>
                  <w:tcW w:w="66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highlight w:val="none"/>
                      <w:lang w:val="en-US" w:eastAsia="zh-CN"/>
                    </w:rPr>
                  </w:pPr>
                  <w:r>
                    <w:rPr>
                      <w:rFonts w:hint="eastAsia"/>
                      <w:color w:val="auto"/>
                      <w:highlight w:val="none"/>
                      <w:lang w:val="en-US" w:eastAsia="zh-CN"/>
                    </w:rPr>
                    <w:t>4800</w:t>
                  </w:r>
                </w:p>
              </w:tc>
              <w:tc>
                <w:tcPr>
                  <w:tcW w:w="248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highlight w:val="none"/>
                    </w:rPr>
                  </w:pPr>
                  <w:r>
                    <w:rPr>
                      <w:rFonts w:hint="eastAsia"/>
                      <w:color w:val="auto"/>
                      <w:highlight w:val="none"/>
                      <w:lang w:val="en-US" w:eastAsia="zh-CN"/>
                    </w:rPr>
                    <w:t>钻井平台</w:t>
                  </w:r>
                  <w:r>
                    <w:rPr>
                      <w:rFonts w:hint="default"/>
                      <w:color w:val="auto"/>
                      <w:highlight w:val="none"/>
                    </w:rPr>
                    <w:t>设生活营地1座，临时占地为</w:t>
                  </w:r>
                  <w:r>
                    <w:rPr>
                      <w:rFonts w:hint="eastAsia"/>
                      <w:color w:val="auto"/>
                      <w:highlight w:val="none"/>
                      <w:lang w:val="en-US" w:eastAsia="zh-CN"/>
                    </w:rPr>
                    <w:t>48</w:t>
                  </w:r>
                  <w:r>
                    <w:rPr>
                      <w:rFonts w:hint="default"/>
                      <w:color w:val="auto"/>
                      <w:highlight w:val="none"/>
                    </w:rPr>
                    <w:t>00m</w:t>
                  </w:r>
                  <w:r>
                    <w:rPr>
                      <w:rFonts w:hint="default"/>
                      <w:color w:val="auto"/>
                      <w:highlight w:val="none"/>
                      <w:vertAlign w:val="superscript"/>
                    </w:rPr>
                    <w:t>2</w:t>
                  </w:r>
                  <w:r>
                    <w:rPr>
                      <w:rFonts w:hint="default"/>
                      <w:color w:val="auto"/>
                      <w:highlight w:val="none"/>
                    </w:rPr>
                    <w:t>（</w:t>
                  </w:r>
                  <w:r>
                    <w:rPr>
                      <w:rFonts w:hint="eastAsia"/>
                      <w:color w:val="auto"/>
                      <w:highlight w:val="none"/>
                      <w:lang w:val="en-US" w:eastAsia="zh-CN"/>
                    </w:rPr>
                    <w:t>80</w:t>
                  </w:r>
                  <w:r>
                    <w:rPr>
                      <w:rFonts w:hint="default"/>
                      <w:color w:val="auto"/>
                      <w:highlight w:val="none"/>
                    </w:rPr>
                    <w:t>m×60m）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78" w:type="pct"/>
                  <w:tcBorders>
                    <w:left w:val="single" w:color="auto" w:sz="4" w:space="0"/>
                    <w:right w:val="single" w:color="auto" w:sz="4" w:space="0"/>
                    <w:tl2br w:val="nil"/>
                    <w:tr2bl w:val="nil"/>
                  </w:tcBorders>
                  <w:noWrap w:val="0"/>
                  <w:vAlign w:val="center"/>
                </w:tcPr>
                <w:p>
                  <w:pPr>
                    <w:pStyle w:val="17"/>
                    <w:bidi w:val="0"/>
                    <w:rPr>
                      <w:rFonts w:hint="default"/>
                      <w:color w:val="auto"/>
                      <w:highlight w:val="none"/>
                      <w:lang w:eastAsia="zh-CN"/>
                    </w:rPr>
                  </w:pPr>
                  <w:r>
                    <w:rPr>
                      <w:rFonts w:hint="eastAsia"/>
                      <w:color w:val="auto"/>
                      <w:highlight w:val="none"/>
                      <w:lang w:val="en-US" w:eastAsia="zh-CN"/>
                    </w:rPr>
                    <w:t>2</w:t>
                  </w:r>
                </w:p>
              </w:tc>
              <w:tc>
                <w:tcPr>
                  <w:tcW w:w="930" w:type="pct"/>
                  <w:tcBorders>
                    <w:left w:val="single" w:color="auto" w:sz="4" w:space="0"/>
                    <w:right w:val="single" w:color="auto" w:sz="4" w:space="0"/>
                    <w:tl2br w:val="nil"/>
                    <w:tr2bl w:val="nil"/>
                  </w:tcBorders>
                  <w:noWrap w:val="0"/>
                  <w:vAlign w:val="center"/>
                </w:tcPr>
                <w:p>
                  <w:pPr>
                    <w:pStyle w:val="17"/>
                    <w:bidi w:val="0"/>
                    <w:rPr>
                      <w:rFonts w:hint="default"/>
                      <w:color w:val="auto"/>
                      <w:highlight w:val="none"/>
                      <w:lang w:val="en-US" w:eastAsia="zh-CN"/>
                    </w:rPr>
                  </w:pPr>
                  <w:r>
                    <w:rPr>
                      <w:rFonts w:hint="eastAsia"/>
                      <w:color w:val="auto"/>
                      <w:highlight w:val="none"/>
                      <w:lang w:val="en-US" w:eastAsia="zh-CN"/>
                    </w:rPr>
                    <w:t>进场道路</w:t>
                  </w:r>
                </w:p>
              </w:tc>
              <w:tc>
                <w:tcPr>
                  <w:tcW w:w="544" w:type="pct"/>
                  <w:tcBorders>
                    <w:left w:val="single" w:color="auto" w:sz="4" w:space="0"/>
                    <w:right w:val="single" w:color="auto" w:sz="4" w:space="0"/>
                    <w:tl2br w:val="nil"/>
                    <w:tr2bl w:val="nil"/>
                  </w:tcBorders>
                  <w:noWrap w:val="0"/>
                  <w:vAlign w:val="center"/>
                </w:tcPr>
                <w:p>
                  <w:pPr>
                    <w:pStyle w:val="17"/>
                    <w:bidi w:val="0"/>
                    <w:rPr>
                      <w:rFonts w:hint="eastAsia"/>
                      <w:color w:val="auto"/>
                      <w:highlight w:val="none"/>
                      <w:lang w:val="en-US" w:eastAsia="zh-CN"/>
                    </w:rPr>
                  </w:pPr>
                  <w:r>
                    <w:rPr>
                      <w:rFonts w:hint="eastAsia"/>
                      <w:color w:val="auto"/>
                      <w:highlight w:val="none"/>
                      <w:lang w:val="en-US" w:eastAsia="zh-CN"/>
                    </w:rPr>
                    <w:t>m</w:t>
                  </w:r>
                </w:p>
              </w:tc>
              <w:tc>
                <w:tcPr>
                  <w:tcW w:w="665" w:type="pct"/>
                  <w:tcBorders>
                    <w:left w:val="single" w:color="auto" w:sz="4" w:space="0"/>
                    <w:right w:val="single" w:color="auto" w:sz="4" w:space="0"/>
                    <w:tl2br w:val="nil"/>
                    <w:tr2bl w:val="nil"/>
                  </w:tcBorders>
                  <w:noWrap w:val="0"/>
                  <w:vAlign w:val="center"/>
                </w:tcPr>
                <w:p>
                  <w:pPr>
                    <w:pStyle w:val="17"/>
                    <w:bidi w:val="0"/>
                    <w:rPr>
                      <w:rFonts w:hint="default"/>
                      <w:color w:val="auto"/>
                      <w:highlight w:val="none"/>
                      <w:lang w:val="en-US" w:eastAsia="zh-CN"/>
                    </w:rPr>
                  </w:pPr>
                  <w:r>
                    <w:rPr>
                      <w:rFonts w:hint="eastAsia"/>
                      <w:color w:val="auto"/>
                      <w:highlight w:val="none"/>
                      <w:lang w:val="en-US" w:eastAsia="zh-CN"/>
                    </w:rPr>
                    <w:t>600</w:t>
                  </w:r>
                </w:p>
              </w:tc>
              <w:tc>
                <w:tcPr>
                  <w:tcW w:w="2481" w:type="pct"/>
                  <w:tcBorders>
                    <w:top w:val="single" w:color="auto" w:sz="4" w:space="0"/>
                    <w:left w:val="single" w:color="auto" w:sz="4" w:space="0"/>
                    <w:bottom w:val="single" w:color="auto" w:sz="4" w:space="0"/>
                    <w:right w:val="single" w:color="auto" w:sz="4" w:space="0"/>
                    <w:tl2br w:val="nil"/>
                    <w:tr2bl w:val="nil"/>
                  </w:tcBorders>
                  <w:noWrap w:val="0"/>
                  <w:vAlign w:val="top"/>
                </w:tcPr>
                <w:p>
                  <w:pPr>
                    <w:pStyle w:val="17"/>
                    <w:bidi w:val="0"/>
                    <w:rPr>
                      <w:rFonts w:hint="default"/>
                      <w:color w:val="auto"/>
                      <w:highlight w:val="none"/>
                    </w:rPr>
                  </w:pPr>
                  <w:r>
                    <w:rPr>
                      <w:rFonts w:hint="default"/>
                      <w:color w:val="auto"/>
                      <w:highlight w:val="none"/>
                      <w:lang w:val="en-US" w:eastAsia="zh-CN"/>
                    </w:rPr>
                    <w:t>临时道路</w:t>
                  </w:r>
                  <w:r>
                    <w:rPr>
                      <w:rFonts w:hint="eastAsia"/>
                      <w:color w:val="auto"/>
                      <w:highlight w:val="none"/>
                      <w:lang w:val="en-US" w:eastAsia="zh-CN"/>
                    </w:rPr>
                    <w:t>4</w:t>
                  </w:r>
                  <w:r>
                    <w:rPr>
                      <w:rFonts w:hint="default"/>
                      <w:color w:val="auto"/>
                      <w:highlight w:val="none"/>
                      <w:lang w:val="en-US" w:eastAsia="zh-CN"/>
                    </w:rPr>
                    <w:t>00m，宽度6m，道路占地面积</w:t>
                  </w:r>
                  <w:r>
                    <w:rPr>
                      <w:rFonts w:hint="eastAsia"/>
                      <w:color w:val="auto"/>
                      <w:highlight w:val="none"/>
                      <w:lang w:val="en-US" w:eastAsia="zh-CN"/>
                    </w:rPr>
                    <w:t>24</w:t>
                  </w:r>
                  <w:r>
                    <w:rPr>
                      <w:rFonts w:hint="default"/>
                      <w:color w:val="auto"/>
                      <w:highlight w:val="none"/>
                      <w:lang w:val="en-US" w:eastAsia="zh-CN"/>
                    </w:rPr>
                    <w:t>00m</w:t>
                  </w:r>
                  <w:r>
                    <w:rPr>
                      <w:rFonts w:hint="default"/>
                      <w:color w:val="auto"/>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78" w:type="pct"/>
                  <w:tcBorders>
                    <w:left w:val="single" w:color="auto" w:sz="4" w:space="0"/>
                    <w:right w:val="single" w:color="auto" w:sz="4" w:space="0"/>
                    <w:tl2br w:val="nil"/>
                    <w:tr2bl w:val="nil"/>
                  </w:tcBorders>
                  <w:noWrap w:val="0"/>
                  <w:vAlign w:val="center"/>
                </w:tcPr>
                <w:p>
                  <w:pPr>
                    <w:pStyle w:val="17"/>
                    <w:bidi w:val="0"/>
                    <w:rPr>
                      <w:rFonts w:hint="default"/>
                      <w:color w:val="auto"/>
                      <w:highlight w:val="none"/>
                      <w:lang w:val="en-US" w:eastAsia="zh-CN"/>
                    </w:rPr>
                  </w:pPr>
                  <w:r>
                    <w:rPr>
                      <w:rFonts w:hint="eastAsia"/>
                      <w:color w:val="auto"/>
                      <w:highlight w:val="none"/>
                      <w:lang w:val="en-US" w:eastAsia="zh-CN"/>
                    </w:rPr>
                    <w:t>3</w:t>
                  </w:r>
                </w:p>
              </w:tc>
              <w:tc>
                <w:tcPr>
                  <w:tcW w:w="930" w:type="pct"/>
                  <w:tcBorders>
                    <w:left w:val="single" w:color="auto" w:sz="4" w:space="0"/>
                    <w:right w:val="single" w:color="auto" w:sz="4" w:space="0"/>
                    <w:tl2br w:val="nil"/>
                    <w:tr2bl w:val="nil"/>
                  </w:tcBorders>
                  <w:noWrap w:val="0"/>
                  <w:vAlign w:val="center"/>
                </w:tcPr>
                <w:p>
                  <w:pPr>
                    <w:pStyle w:val="17"/>
                    <w:bidi w:val="0"/>
                    <w:rPr>
                      <w:rFonts w:hint="default"/>
                      <w:color w:val="auto"/>
                      <w:highlight w:val="none"/>
                      <w:lang w:val="en-US" w:eastAsia="zh-CN"/>
                    </w:rPr>
                  </w:pPr>
                  <w:r>
                    <w:rPr>
                      <w:rFonts w:hint="eastAsia"/>
                      <w:color w:val="auto"/>
                      <w:highlight w:val="none"/>
                      <w:lang w:val="en-US" w:eastAsia="zh-CN"/>
                    </w:rPr>
                    <w:t>井场面积</w:t>
                  </w:r>
                </w:p>
              </w:tc>
              <w:tc>
                <w:tcPr>
                  <w:tcW w:w="544" w:type="pct"/>
                  <w:tcBorders>
                    <w:left w:val="single" w:color="auto" w:sz="4" w:space="0"/>
                    <w:right w:val="single" w:color="auto" w:sz="4" w:space="0"/>
                    <w:tl2br w:val="nil"/>
                    <w:tr2bl w:val="nil"/>
                  </w:tcBorders>
                  <w:noWrap w:val="0"/>
                  <w:vAlign w:val="center"/>
                </w:tcPr>
                <w:p>
                  <w:pPr>
                    <w:pStyle w:val="17"/>
                    <w:bidi w:val="0"/>
                    <w:rPr>
                      <w:rFonts w:hint="eastAsia"/>
                      <w:color w:val="auto"/>
                      <w:highlight w:val="none"/>
                      <w:lang w:val="en-US" w:eastAsia="zh-CN"/>
                    </w:rPr>
                  </w:pPr>
                  <w:r>
                    <w:rPr>
                      <w:rFonts w:hint="default"/>
                      <w:color w:val="auto"/>
                      <w:highlight w:val="none"/>
                    </w:rPr>
                    <w:t>m</w:t>
                  </w:r>
                  <w:r>
                    <w:rPr>
                      <w:rFonts w:hint="default"/>
                      <w:color w:val="auto"/>
                      <w:highlight w:val="none"/>
                      <w:vertAlign w:val="superscript"/>
                    </w:rPr>
                    <w:t>2</w:t>
                  </w:r>
                </w:p>
              </w:tc>
              <w:tc>
                <w:tcPr>
                  <w:tcW w:w="665" w:type="pct"/>
                  <w:tcBorders>
                    <w:left w:val="single" w:color="auto" w:sz="4" w:space="0"/>
                    <w:right w:val="single" w:color="auto" w:sz="4" w:space="0"/>
                    <w:tl2br w:val="nil"/>
                    <w:tr2bl w:val="nil"/>
                  </w:tcBorders>
                  <w:noWrap w:val="0"/>
                  <w:vAlign w:val="center"/>
                </w:tcPr>
                <w:p>
                  <w:pPr>
                    <w:pStyle w:val="17"/>
                    <w:bidi w:val="0"/>
                    <w:rPr>
                      <w:rFonts w:hint="default"/>
                      <w:color w:val="auto"/>
                      <w:highlight w:val="none"/>
                      <w:lang w:val="en-US" w:eastAsia="zh-CN"/>
                    </w:rPr>
                  </w:pPr>
                  <w:r>
                    <w:rPr>
                      <w:rFonts w:hint="eastAsia"/>
                      <w:color w:val="auto"/>
                      <w:highlight w:val="none"/>
                      <w:lang w:val="en-US" w:eastAsia="zh-CN"/>
                    </w:rPr>
                    <w:t>46702</w:t>
                  </w:r>
                </w:p>
              </w:tc>
              <w:tc>
                <w:tcPr>
                  <w:tcW w:w="2481" w:type="pct"/>
                  <w:tcBorders>
                    <w:top w:val="single" w:color="auto" w:sz="4" w:space="0"/>
                    <w:left w:val="single" w:color="auto" w:sz="4" w:space="0"/>
                    <w:bottom w:val="single" w:color="auto" w:sz="4" w:space="0"/>
                    <w:right w:val="single" w:color="auto" w:sz="4" w:space="0"/>
                    <w:tl2br w:val="nil"/>
                    <w:tr2bl w:val="nil"/>
                  </w:tcBorders>
                  <w:noWrap w:val="0"/>
                  <w:vAlign w:val="top"/>
                </w:tcPr>
                <w:p>
                  <w:pPr>
                    <w:pStyle w:val="17"/>
                    <w:bidi w:val="0"/>
                    <w:rPr>
                      <w:rFonts w:hint="default"/>
                      <w:color w:val="auto"/>
                      <w:highlight w:val="none"/>
                      <w:lang w:val="en-US" w:eastAsia="zh-CN"/>
                    </w:rPr>
                  </w:pPr>
                  <w:r>
                    <w:rPr>
                      <w:rFonts w:hint="eastAsia"/>
                      <w:color w:val="auto"/>
                      <w:lang w:val="en-US" w:eastAsia="zh-CN"/>
                    </w:rPr>
                    <w:t>新钻</w:t>
                  </w:r>
                  <w:r>
                    <w:rPr>
                      <w:rFonts w:hint="eastAsia" w:ascii="Times New Roman" w:hAnsi="Times New Roman" w:eastAsia="宋体" w:cs="Times New Roman"/>
                      <w:color w:val="auto"/>
                      <w:spacing w:val="8"/>
                      <w:sz w:val="21"/>
                      <w:szCs w:val="21"/>
                      <w:lang w:eastAsia="zh-CN"/>
                    </w:rPr>
                    <w:t>萨5平台</w:t>
                  </w:r>
                  <w:r>
                    <w:rPr>
                      <w:rFonts w:hint="eastAsia"/>
                      <w:color w:val="auto"/>
                      <w:lang w:val="en-US" w:eastAsia="zh-CN"/>
                    </w:rPr>
                    <w:t>8</w:t>
                  </w:r>
                  <w:r>
                    <w:rPr>
                      <w:rFonts w:hint="eastAsia"/>
                      <w:color w:val="auto"/>
                      <w:highlight w:val="none"/>
                      <w:lang w:val="en-US" w:eastAsia="zh-CN"/>
                    </w:rPr>
                    <w:t>口井的井场面积</w:t>
                  </w:r>
                </w:p>
              </w:tc>
            </w:tr>
          </w:tbl>
          <w:p>
            <w:pPr>
              <w:pStyle w:val="4"/>
              <w:bidi w:val="0"/>
              <w:rPr>
                <w:rFonts w:hint="default"/>
                <w:color w:val="auto"/>
                <w:highlight w:val="none"/>
                <w:lang w:val="en-US" w:eastAsia="zh-CN"/>
              </w:rPr>
            </w:pPr>
            <w:r>
              <w:rPr>
                <w:rFonts w:hint="default"/>
                <w:color w:val="auto"/>
                <w:highlight w:val="none"/>
                <w:lang w:val="en-US" w:eastAsia="zh-CN"/>
              </w:rPr>
              <w:t>3</w:t>
            </w:r>
            <w:r>
              <w:rPr>
                <w:rFonts w:hint="eastAsia"/>
                <w:color w:val="auto"/>
                <w:highlight w:val="none"/>
                <w:lang w:val="en-US" w:eastAsia="zh-CN"/>
              </w:rPr>
              <w:t>、</w:t>
            </w:r>
            <w:r>
              <w:rPr>
                <w:rFonts w:hint="default"/>
                <w:color w:val="auto"/>
                <w:highlight w:val="none"/>
                <w:lang w:val="en-US" w:eastAsia="zh-CN"/>
              </w:rPr>
              <w:t>钻井工程</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outlineLvl w:val="1"/>
              <w:rPr>
                <w:rFonts w:hint="default"/>
                <w:color w:val="auto"/>
                <w:lang w:val="en-US" w:eastAsia="zh-CN"/>
              </w:rPr>
            </w:pPr>
            <w:r>
              <w:rPr>
                <w:rFonts w:hint="default"/>
                <w:color w:val="auto"/>
                <w:lang w:val="en-US" w:eastAsia="zh-CN"/>
              </w:rPr>
              <w:t>本项目</w:t>
            </w:r>
            <w:r>
              <w:rPr>
                <w:rFonts w:hint="default"/>
                <w:color w:val="auto"/>
              </w:rPr>
              <w:t>新钻</w:t>
            </w:r>
            <w:r>
              <w:rPr>
                <w:rFonts w:hint="eastAsia"/>
                <w:color w:val="auto"/>
                <w:lang w:val="en-US" w:eastAsia="zh-CN"/>
              </w:rPr>
              <w:t>8</w:t>
            </w:r>
            <w:r>
              <w:rPr>
                <w:rFonts w:hint="default"/>
                <w:color w:val="auto"/>
              </w:rPr>
              <w:t>口井，</w:t>
            </w:r>
            <w:r>
              <w:rPr>
                <w:rFonts w:hint="eastAsia"/>
                <w:color w:val="auto"/>
                <w:lang w:val="en-US" w:eastAsia="zh-CN"/>
              </w:rPr>
              <w:t>分别为</w:t>
            </w:r>
            <w:r>
              <w:rPr>
                <w:rFonts w:hint="default"/>
                <w:color w:val="auto"/>
              </w:rPr>
              <w:t>萨5-8-9</w:t>
            </w:r>
            <w:r>
              <w:rPr>
                <w:rFonts w:hint="eastAsia"/>
                <w:color w:val="auto"/>
                <w:lang w:eastAsia="zh-CN"/>
              </w:rPr>
              <w:t>、</w:t>
            </w:r>
            <w:r>
              <w:rPr>
                <w:rFonts w:hint="default"/>
                <w:color w:val="auto"/>
              </w:rPr>
              <w:t>萨5-8-</w:t>
            </w:r>
            <w:r>
              <w:rPr>
                <w:rFonts w:hint="eastAsia"/>
                <w:color w:val="auto"/>
                <w:lang w:val="en-US" w:eastAsia="zh-CN"/>
              </w:rPr>
              <w:t>10</w:t>
            </w:r>
            <w:r>
              <w:rPr>
                <w:rFonts w:hint="eastAsia"/>
                <w:color w:val="auto"/>
                <w:lang w:eastAsia="zh-CN"/>
              </w:rPr>
              <w:t>、</w:t>
            </w:r>
            <w:r>
              <w:rPr>
                <w:rFonts w:hint="default"/>
                <w:color w:val="auto"/>
              </w:rPr>
              <w:t>萨5-</w:t>
            </w:r>
            <w:r>
              <w:rPr>
                <w:rFonts w:hint="eastAsia"/>
                <w:color w:val="auto"/>
                <w:lang w:val="en-US" w:eastAsia="zh-CN"/>
              </w:rPr>
              <w:t>9-8</w:t>
            </w:r>
            <w:r>
              <w:rPr>
                <w:rFonts w:hint="eastAsia"/>
                <w:color w:val="auto"/>
                <w:lang w:eastAsia="zh-CN"/>
              </w:rPr>
              <w:t>、</w:t>
            </w:r>
            <w:r>
              <w:rPr>
                <w:rFonts w:hint="default"/>
                <w:color w:val="auto"/>
              </w:rPr>
              <w:t>萨5-</w:t>
            </w:r>
            <w:r>
              <w:rPr>
                <w:rFonts w:hint="eastAsia"/>
                <w:color w:val="auto"/>
                <w:lang w:val="en-US" w:eastAsia="zh-CN"/>
              </w:rPr>
              <w:t>9</w:t>
            </w:r>
            <w:r>
              <w:rPr>
                <w:rFonts w:hint="default"/>
                <w:color w:val="auto"/>
              </w:rPr>
              <w:t>-9</w:t>
            </w:r>
            <w:r>
              <w:rPr>
                <w:rFonts w:hint="eastAsia"/>
                <w:color w:val="auto"/>
                <w:lang w:eastAsia="zh-CN"/>
              </w:rPr>
              <w:t>、</w:t>
            </w:r>
            <w:r>
              <w:rPr>
                <w:rFonts w:hint="default"/>
                <w:color w:val="auto"/>
              </w:rPr>
              <w:t>萨5-</w:t>
            </w:r>
            <w:r>
              <w:rPr>
                <w:rFonts w:hint="eastAsia"/>
                <w:color w:val="auto"/>
                <w:lang w:val="en-US" w:eastAsia="zh-CN"/>
              </w:rPr>
              <w:t>9-10</w:t>
            </w:r>
            <w:r>
              <w:rPr>
                <w:rFonts w:hint="eastAsia"/>
                <w:color w:val="auto"/>
                <w:lang w:eastAsia="zh-CN"/>
              </w:rPr>
              <w:t>、</w:t>
            </w:r>
            <w:r>
              <w:rPr>
                <w:rFonts w:hint="default"/>
                <w:color w:val="auto"/>
              </w:rPr>
              <w:t>萨5-</w:t>
            </w:r>
            <w:r>
              <w:rPr>
                <w:rFonts w:hint="eastAsia"/>
                <w:color w:val="auto"/>
                <w:lang w:val="en-US" w:eastAsia="zh-CN"/>
              </w:rPr>
              <w:t>11</w:t>
            </w:r>
            <w:r>
              <w:rPr>
                <w:rFonts w:hint="default"/>
                <w:color w:val="auto"/>
              </w:rPr>
              <w:t>-9</w:t>
            </w:r>
            <w:r>
              <w:rPr>
                <w:rFonts w:hint="eastAsia"/>
                <w:color w:val="auto"/>
                <w:lang w:eastAsia="zh-CN"/>
              </w:rPr>
              <w:t>、</w:t>
            </w:r>
            <w:r>
              <w:rPr>
                <w:rFonts w:hint="default"/>
                <w:color w:val="auto"/>
              </w:rPr>
              <w:t>萨5-</w:t>
            </w:r>
            <w:r>
              <w:rPr>
                <w:rFonts w:hint="eastAsia"/>
                <w:color w:val="auto"/>
                <w:lang w:val="en-US" w:eastAsia="zh-CN"/>
              </w:rPr>
              <w:t>11</w:t>
            </w:r>
            <w:r>
              <w:rPr>
                <w:rFonts w:hint="default"/>
                <w:color w:val="auto"/>
              </w:rPr>
              <w:t>-</w:t>
            </w:r>
            <w:r>
              <w:rPr>
                <w:rFonts w:hint="eastAsia"/>
                <w:color w:val="auto"/>
                <w:lang w:val="en-US" w:eastAsia="zh-CN"/>
              </w:rPr>
              <w:t>10</w:t>
            </w:r>
            <w:r>
              <w:rPr>
                <w:rFonts w:hint="eastAsia"/>
                <w:color w:val="auto"/>
                <w:lang w:eastAsia="zh-CN"/>
              </w:rPr>
              <w:t>、</w:t>
            </w:r>
            <w:r>
              <w:rPr>
                <w:rFonts w:hint="default"/>
                <w:color w:val="auto"/>
              </w:rPr>
              <w:t>萨5-</w:t>
            </w:r>
            <w:r>
              <w:rPr>
                <w:rFonts w:hint="eastAsia"/>
                <w:color w:val="auto"/>
                <w:lang w:val="en-US" w:eastAsia="zh-CN"/>
              </w:rPr>
              <w:t>12</w:t>
            </w:r>
            <w:r>
              <w:rPr>
                <w:rFonts w:hint="default"/>
                <w:color w:val="auto"/>
              </w:rPr>
              <w:t>-9</w:t>
            </w:r>
            <w:r>
              <w:rPr>
                <w:rFonts w:hint="default"/>
                <w:color w:val="auto"/>
                <w:lang w:val="en-US" w:eastAsia="zh-CN"/>
              </w:rPr>
              <w:t>，井型</w:t>
            </w:r>
            <w:r>
              <w:rPr>
                <w:rFonts w:hint="eastAsia"/>
                <w:color w:val="auto"/>
                <w:lang w:val="en-US" w:eastAsia="zh-CN"/>
              </w:rPr>
              <w:t>均</w:t>
            </w:r>
            <w:r>
              <w:rPr>
                <w:rFonts w:hint="default"/>
                <w:color w:val="auto"/>
                <w:lang w:val="en-US" w:eastAsia="zh-CN"/>
              </w:rPr>
              <w:t>为</w:t>
            </w:r>
            <w:r>
              <w:rPr>
                <w:rFonts w:hint="eastAsia"/>
                <w:color w:val="auto"/>
                <w:lang w:val="en-US" w:eastAsia="zh-CN"/>
              </w:rPr>
              <w:t>定向</w:t>
            </w:r>
            <w:r>
              <w:rPr>
                <w:rFonts w:hint="default"/>
                <w:color w:val="auto"/>
                <w:lang w:val="en-US" w:eastAsia="zh-CN"/>
              </w:rPr>
              <w:t>井。</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outlineLvl w:val="1"/>
              <w:rPr>
                <w:rFonts w:hint="eastAsia"/>
                <w:b/>
                <w:bCs/>
                <w:color w:val="auto"/>
                <w:lang w:val="en-US" w:eastAsia="zh-CN"/>
              </w:rPr>
            </w:pPr>
            <w:r>
              <w:rPr>
                <w:rFonts w:hint="eastAsia"/>
                <w:b/>
                <w:bCs/>
                <w:color w:val="auto"/>
                <w:lang w:val="en-US" w:eastAsia="zh-CN"/>
              </w:rPr>
              <w:t>3.1井身结构</w:t>
            </w:r>
          </w:p>
          <w:p>
            <w:pPr>
              <w:pStyle w:val="16"/>
              <w:bidi w:val="0"/>
              <w:rPr>
                <w:rFonts w:hint="default" w:eastAsia="宋体"/>
                <w:lang w:val="en-US" w:eastAsia="zh-CN"/>
              </w:rPr>
            </w:pPr>
            <w:r>
              <w:rPr>
                <w:rFonts w:hint="default"/>
              </w:rPr>
              <w:t>新钻</w:t>
            </w:r>
            <w:r>
              <w:rPr>
                <w:rFonts w:hint="eastAsia"/>
                <w:lang w:val="en-US" w:eastAsia="zh-CN"/>
              </w:rPr>
              <w:t>8</w:t>
            </w:r>
            <w:r>
              <w:rPr>
                <w:rFonts w:hint="default"/>
              </w:rPr>
              <w:t>口井，</w:t>
            </w:r>
            <w:r>
              <w:rPr>
                <w:rFonts w:hint="eastAsia"/>
                <w:lang w:val="en-US" w:eastAsia="zh-CN"/>
              </w:rPr>
              <w:t>分别为</w:t>
            </w:r>
            <w:r>
              <w:rPr>
                <w:rFonts w:hint="default"/>
              </w:rPr>
              <w:t>萨5-8-9</w:t>
            </w:r>
            <w:r>
              <w:rPr>
                <w:rFonts w:hint="eastAsia"/>
                <w:lang w:eastAsia="zh-CN"/>
              </w:rPr>
              <w:t>、</w:t>
            </w:r>
            <w:r>
              <w:rPr>
                <w:rFonts w:hint="default"/>
              </w:rPr>
              <w:t>萨5-8-</w:t>
            </w:r>
            <w:r>
              <w:rPr>
                <w:rFonts w:hint="eastAsia"/>
                <w:lang w:val="en-US" w:eastAsia="zh-CN"/>
              </w:rPr>
              <w:t>10</w:t>
            </w:r>
            <w:r>
              <w:rPr>
                <w:rFonts w:hint="eastAsia"/>
                <w:lang w:eastAsia="zh-CN"/>
              </w:rPr>
              <w:t>、</w:t>
            </w:r>
            <w:r>
              <w:rPr>
                <w:rFonts w:hint="default"/>
              </w:rPr>
              <w:t>萨5-</w:t>
            </w:r>
            <w:r>
              <w:rPr>
                <w:rFonts w:hint="eastAsia"/>
                <w:lang w:val="en-US" w:eastAsia="zh-CN"/>
              </w:rPr>
              <w:t>9-8</w:t>
            </w:r>
            <w:r>
              <w:rPr>
                <w:rFonts w:hint="eastAsia"/>
                <w:lang w:eastAsia="zh-CN"/>
              </w:rPr>
              <w:t>、</w:t>
            </w:r>
            <w:r>
              <w:rPr>
                <w:rFonts w:hint="default"/>
              </w:rPr>
              <w:t>萨5-</w:t>
            </w:r>
            <w:r>
              <w:rPr>
                <w:rFonts w:hint="eastAsia"/>
                <w:lang w:val="en-US" w:eastAsia="zh-CN"/>
              </w:rPr>
              <w:t>9</w:t>
            </w:r>
            <w:r>
              <w:rPr>
                <w:rFonts w:hint="default"/>
              </w:rPr>
              <w:t>-9</w:t>
            </w:r>
            <w:r>
              <w:rPr>
                <w:rFonts w:hint="eastAsia"/>
                <w:lang w:eastAsia="zh-CN"/>
              </w:rPr>
              <w:t>、</w:t>
            </w:r>
            <w:r>
              <w:rPr>
                <w:rFonts w:hint="default"/>
              </w:rPr>
              <w:t>萨5-</w:t>
            </w:r>
            <w:r>
              <w:rPr>
                <w:rFonts w:hint="eastAsia"/>
                <w:lang w:val="en-US" w:eastAsia="zh-CN"/>
              </w:rPr>
              <w:t>9-10</w:t>
            </w:r>
            <w:r>
              <w:rPr>
                <w:rFonts w:hint="eastAsia"/>
                <w:lang w:eastAsia="zh-CN"/>
              </w:rPr>
              <w:t>、</w:t>
            </w:r>
            <w:r>
              <w:rPr>
                <w:rFonts w:hint="default"/>
              </w:rPr>
              <w:t>萨5-</w:t>
            </w:r>
            <w:r>
              <w:rPr>
                <w:rFonts w:hint="eastAsia"/>
                <w:lang w:val="en-US" w:eastAsia="zh-CN"/>
              </w:rPr>
              <w:t>11</w:t>
            </w:r>
            <w:r>
              <w:rPr>
                <w:rFonts w:hint="default"/>
              </w:rPr>
              <w:t>-9</w:t>
            </w:r>
            <w:r>
              <w:rPr>
                <w:rFonts w:hint="eastAsia"/>
                <w:lang w:eastAsia="zh-CN"/>
              </w:rPr>
              <w:t>、</w:t>
            </w:r>
            <w:r>
              <w:rPr>
                <w:rFonts w:hint="default"/>
              </w:rPr>
              <w:t>萨5-</w:t>
            </w:r>
            <w:r>
              <w:rPr>
                <w:rFonts w:hint="eastAsia"/>
                <w:lang w:val="en-US" w:eastAsia="zh-CN"/>
              </w:rPr>
              <w:t>11</w:t>
            </w:r>
            <w:r>
              <w:rPr>
                <w:rFonts w:hint="default"/>
              </w:rPr>
              <w:t>-</w:t>
            </w:r>
            <w:r>
              <w:rPr>
                <w:rFonts w:hint="eastAsia"/>
                <w:lang w:val="en-US" w:eastAsia="zh-CN"/>
              </w:rPr>
              <w:t>10</w:t>
            </w:r>
            <w:r>
              <w:rPr>
                <w:rFonts w:hint="eastAsia"/>
                <w:lang w:eastAsia="zh-CN"/>
              </w:rPr>
              <w:t>、</w:t>
            </w:r>
            <w:r>
              <w:rPr>
                <w:rFonts w:hint="default"/>
              </w:rPr>
              <w:t>萨5-</w:t>
            </w:r>
            <w:r>
              <w:rPr>
                <w:rFonts w:hint="eastAsia"/>
                <w:lang w:val="en-US" w:eastAsia="zh-CN"/>
              </w:rPr>
              <w:t>12</w:t>
            </w:r>
            <w:r>
              <w:rPr>
                <w:rFonts w:hint="default"/>
              </w:rPr>
              <w:t>-9</w:t>
            </w:r>
            <w:r>
              <w:rPr>
                <w:rFonts w:hint="eastAsia"/>
                <w:lang w:eastAsia="zh-CN"/>
              </w:rPr>
              <w:t>；</w:t>
            </w:r>
            <w:r>
              <w:rPr>
                <w:rFonts w:hint="eastAsia"/>
                <w:lang w:val="en-US" w:eastAsia="zh-CN"/>
              </w:rPr>
              <w:t>采用二开井身结构，井身结构图如下</w:t>
            </w:r>
          </w:p>
          <w:p>
            <w:pPr>
              <w:pStyle w:val="16"/>
              <w:bidi w:val="0"/>
              <w:ind w:left="0" w:leftChars="0" w:firstLine="0" w:firstLineChars="0"/>
              <w:jc w:val="center"/>
              <w:rPr>
                <w:rFonts w:hint="eastAsia"/>
                <w:lang w:val="en-US" w:eastAsia="zh-CN"/>
              </w:rPr>
            </w:pPr>
            <w:r>
              <w:rPr>
                <w:rFonts w:hint="eastAsia"/>
                <w:lang w:val="en-US" w:eastAsia="zh-CN"/>
              </w:rPr>
              <w:drawing>
                <wp:inline distT="0" distB="0" distL="114300" distR="114300">
                  <wp:extent cx="3667125" cy="6477000"/>
                  <wp:effectExtent l="0" t="0" r="9525" b="0"/>
                  <wp:docPr id="1" name="图片 1" descr="井身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井身结构图"/>
                          <pic:cNvPicPr>
                            <a:picLocks noChangeAspect="1"/>
                          </pic:cNvPicPr>
                        </pic:nvPicPr>
                        <pic:blipFill>
                          <a:blip r:embed="rId13"/>
                          <a:stretch>
                            <a:fillRect/>
                          </a:stretch>
                        </pic:blipFill>
                        <pic:spPr>
                          <a:xfrm>
                            <a:off x="0" y="0"/>
                            <a:ext cx="3667125" cy="6477000"/>
                          </a:xfrm>
                          <a:prstGeom prst="rect">
                            <a:avLst/>
                          </a:prstGeom>
                        </pic:spPr>
                      </pic:pic>
                    </a:graphicData>
                  </a:graphic>
                </wp:inline>
              </w:drawing>
            </w:r>
          </w:p>
          <w:p>
            <w:pPr>
              <w:pStyle w:val="14"/>
              <w:bidi w:val="0"/>
              <w:rPr>
                <w:rFonts w:hint="default"/>
                <w:color w:val="auto"/>
                <w:lang w:val="en-US" w:eastAsia="zh-CN"/>
              </w:rPr>
            </w:pPr>
            <w:r>
              <w:rPr>
                <w:rFonts w:hint="eastAsia"/>
                <w:color w:val="auto"/>
                <w:lang w:val="en-US" w:eastAsia="zh-CN"/>
              </w:rPr>
              <w:t>图1  井身结构示意图</w:t>
            </w:r>
          </w:p>
          <w:p>
            <w:pPr>
              <w:pStyle w:val="16"/>
              <w:bidi w:val="0"/>
              <w:rPr>
                <w:rFonts w:hint="default" w:eastAsia="宋体"/>
                <w:color w:val="auto"/>
                <w:lang w:val="en-US" w:eastAsia="zh-CN"/>
              </w:rPr>
            </w:pPr>
            <w:r>
              <w:rPr>
                <w:rFonts w:hint="eastAsia"/>
                <w:color w:val="auto"/>
                <w:lang w:val="en-US" w:eastAsia="zh-CN"/>
              </w:rPr>
              <w:t>井身结构设计数据表如下表</w:t>
            </w:r>
          </w:p>
          <w:p>
            <w:pPr>
              <w:pStyle w:val="14"/>
              <w:bidi w:val="0"/>
              <w:rPr>
                <w:rFonts w:hint="eastAsia"/>
                <w:lang w:val="en-US" w:eastAsia="zh-CN"/>
              </w:rPr>
            </w:pPr>
            <w:r>
              <w:rPr>
                <w:rFonts w:hint="eastAsia"/>
                <w:lang w:val="en-US" w:eastAsia="zh-CN"/>
              </w:rPr>
              <w:t>表2-4   井身结构数据表</w:t>
            </w:r>
          </w:p>
          <w:tbl>
            <w:tblPr>
              <w:tblStyle w:val="11"/>
              <w:tblW w:w="84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78"/>
              <w:gridCol w:w="987"/>
              <w:gridCol w:w="992"/>
              <w:gridCol w:w="1134"/>
              <w:gridCol w:w="851"/>
              <w:gridCol w:w="1281"/>
              <w:gridCol w:w="1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1" w:hRule="atLeast"/>
                <w:jc w:val="center"/>
              </w:trPr>
              <w:tc>
                <w:tcPr>
                  <w:tcW w:w="1378" w:type="dxa"/>
                  <w:noWrap w:val="0"/>
                  <w:vAlign w:val="center"/>
                </w:tcPr>
                <w:p>
                  <w:pPr>
                    <w:pStyle w:val="17"/>
                    <w:bidi w:val="0"/>
                  </w:pPr>
                  <w:r>
                    <w:t>开钻</w:t>
                  </w:r>
                </w:p>
                <w:p>
                  <w:pPr>
                    <w:pStyle w:val="17"/>
                    <w:bidi w:val="0"/>
                  </w:pPr>
                  <w:r>
                    <w:t>次序</w:t>
                  </w:r>
                </w:p>
              </w:tc>
              <w:tc>
                <w:tcPr>
                  <w:tcW w:w="987" w:type="dxa"/>
                  <w:noWrap w:val="0"/>
                  <w:vAlign w:val="center"/>
                </w:tcPr>
                <w:p>
                  <w:pPr>
                    <w:pStyle w:val="17"/>
                    <w:bidi w:val="0"/>
                    <w:rPr>
                      <w:rFonts w:hint="eastAsia"/>
                    </w:rPr>
                  </w:pPr>
                  <w:r>
                    <w:t>井</w:t>
                  </w:r>
                  <w:r>
                    <w:rPr>
                      <w:rFonts w:hint="eastAsia"/>
                    </w:rPr>
                    <w:t>段</w:t>
                  </w:r>
                </w:p>
                <w:p>
                  <w:pPr>
                    <w:pStyle w:val="17"/>
                    <w:bidi w:val="0"/>
                  </w:pPr>
                  <w:r>
                    <w:t>(m)</w:t>
                  </w:r>
                </w:p>
              </w:tc>
              <w:tc>
                <w:tcPr>
                  <w:tcW w:w="992" w:type="dxa"/>
                  <w:noWrap w:val="0"/>
                  <w:vAlign w:val="center"/>
                </w:tcPr>
                <w:p>
                  <w:pPr>
                    <w:pStyle w:val="17"/>
                    <w:bidi w:val="0"/>
                  </w:pPr>
                  <w:r>
                    <w:t>钻头尺寸</w:t>
                  </w:r>
                </w:p>
                <w:p>
                  <w:pPr>
                    <w:pStyle w:val="17"/>
                    <w:bidi w:val="0"/>
                  </w:pPr>
                  <w:r>
                    <w:t>(mm)</w:t>
                  </w:r>
                </w:p>
              </w:tc>
              <w:tc>
                <w:tcPr>
                  <w:tcW w:w="1134" w:type="dxa"/>
                  <w:noWrap w:val="0"/>
                  <w:vAlign w:val="center"/>
                </w:tcPr>
                <w:p>
                  <w:pPr>
                    <w:pStyle w:val="17"/>
                    <w:bidi w:val="0"/>
                  </w:pPr>
                  <w:r>
                    <w:t>套管尺寸</w:t>
                  </w:r>
                </w:p>
                <w:p>
                  <w:pPr>
                    <w:pStyle w:val="17"/>
                    <w:bidi w:val="0"/>
                  </w:pPr>
                  <w:r>
                    <w:t>(mm)</w:t>
                  </w:r>
                </w:p>
              </w:tc>
              <w:tc>
                <w:tcPr>
                  <w:tcW w:w="851" w:type="dxa"/>
                  <w:noWrap w:val="0"/>
                  <w:vAlign w:val="center"/>
                </w:tcPr>
                <w:p>
                  <w:pPr>
                    <w:pStyle w:val="17"/>
                    <w:bidi w:val="0"/>
                  </w:pPr>
                  <w:r>
                    <w:t>套管下入层位</w:t>
                  </w:r>
                </w:p>
              </w:tc>
              <w:tc>
                <w:tcPr>
                  <w:tcW w:w="1281" w:type="dxa"/>
                  <w:noWrap w:val="0"/>
                  <w:vAlign w:val="center"/>
                </w:tcPr>
                <w:p>
                  <w:pPr>
                    <w:pStyle w:val="17"/>
                    <w:bidi w:val="0"/>
                  </w:pPr>
                  <w:r>
                    <w:t>套管下入深度(m)</w:t>
                  </w:r>
                </w:p>
              </w:tc>
              <w:tc>
                <w:tcPr>
                  <w:tcW w:w="1791" w:type="dxa"/>
                  <w:noWrap w:val="0"/>
                  <w:vAlign w:val="center"/>
                </w:tcPr>
                <w:p>
                  <w:pPr>
                    <w:pStyle w:val="17"/>
                    <w:bidi w:val="0"/>
                  </w:pPr>
                  <w:r>
                    <w:t>环空水泥</w:t>
                  </w:r>
                </w:p>
                <w:p>
                  <w:pPr>
                    <w:pStyle w:val="17"/>
                    <w:bidi w:val="0"/>
                  </w:pPr>
                  <w:r>
                    <w:t>返深(m)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78" w:type="dxa"/>
                  <w:noWrap w:val="0"/>
                  <w:vAlign w:val="center"/>
                </w:tcPr>
                <w:p>
                  <w:pPr>
                    <w:pStyle w:val="17"/>
                    <w:bidi w:val="0"/>
                    <w:rPr>
                      <w:rFonts w:hint="eastAsia"/>
                    </w:rPr>
                  </w:pPr>
                  <w:r>
                    <w:rPr>
                      <w:rFonts w:hint="eastAsia"/>
                    </w:rPr>
                    <w:t>一开</w:t>
                  </w:r>
                </w:p>
              </w:tc>
              <w:tc>
                <w:tcPr>
                  <w:tcW w:w="987" w:type="dxa"/>
                  <w:noWrap w:val="0"/>
                  <w:vAlign w:val="center"/>
                </w:tcPr>
                <w:p>
                  <w:pPr>
                    <w:pStyle w:val="17"/>
                    <w:bidi w:val="0"/>
                  </w:pPr>
                  <w:r>
                    <w:t>0</w:t>
                  </w:r>
                  <w:r>
                    <w:rPr>
                      <w:rFonts w:hint="eastAsia"/>
                    </w:rPr>
                    <w:t>-</w:t>
                  </w:r>
                  <w:r>
                    <w:t>800</w:t>
                  </w:r>
                </w:p>
              </w:tc>
              <w:tc>
                <w:tcPr>
                  <w:tcW w:w="992" w:type="dxa"/>
                  <w:noWrap w:val="0"/>
                  <w:vAlign w:val="center"/>
                </w:tcPr>
                <w:p>
                  <w:pPr>
                    <w:pStyle w:val="17"/>
                    <w:bidi w:val="0"/>
                  </w:pPr>
                  <w:r>
                    <w:t>Φ311</w:t>
                  </w:r>
                </w:p>
              </w:tc>
              <w:tc>
                <w:tcPr>
                  <w:tcW w:w="1134" w:type="dxa"/>
                  <w:noWrap w:val="0"/>
                  <w:vAlign w:val="center"/>
                </w:tcPr>
                <w:p>
                  <w:pPr>
                    <w:pStyle w:val="17"/>
                    <w:bidi w:val="0"/>
                  </w:pPr>
                  <w:r>
                    <w:t>Φ244.5</w:t>
                  </w:r>
                </w:p>
              </w:tc>
              <w:tc>
                <w:tcPr>
                  <w:tcW w:w="851" w:type="dxa"/>
                  <w:noWrap w:val="0"/>
                  <w:vAlign w:val="center"/>
                </w:tcPr>
                <w:p>
                  <w:pPr>
                    <w:pStyle w:val="17"/>
                    <w:bidi w:val="0"/>
                  </w:pPr>
                  <w:r>
                    <w:t>K</w:t>
                  </w:r>
                </w:p>
              </w:tc>
              <w:tc>
                <w:tcPr>
                  <w:tcW w:w="1281" w:type="dxa"/>
                  <w:noWrap w:val="0"/>
                  <w:vAlign w:val="center"/>
                </w:tcPr>
                <w:p>
                  <w:pPr>
                    <w:pStyle w:val="17"/>
                    <w:bidi w:val="0"/>
                  </w:pPr>
                  <w:r>
                    <w:t>800</w:t>
                  </w:r>
                </w:p>
              </w:tc>
              <w:tc>
                <w:tcPr>
                  <w:tcW w:w="1791" w:type="dxa"/>
                  <w:noWrap w:val="0"/>
                  <w:vAlign w:val="center"/>
                </w:tcPr>
                <w:p>
                  <w:pPr>
                    <w:pStyle w:val="17"/>
                    <w:bidi w:val="0"/>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1378" w:type="dxa"/>
                  <w:noWrap w:val="0"/>
                  <w:vAlign w:val="center"/>
                </w:tcPr>
                <w:p>
                  <w:pPr>
                    <w:pStyle w:val="17"/>
                    <w:bidi w:val="0"/>
                  </w:pPr>
                  <w:r>
                    <w:rPr>
                      <w:rFonts w:hint="eastAsia"/>
                    </w:rPr>
                    <w:t>萨5-8-9二开</w:t>
                  </w:r>
                </w:p>
              </w:tc>
              <w:tc>
                <w:tcPr>
                  <w:tcW w:w="987" w:type="dxa"/>
                  <w:noWrap w:val="0"/>
                  <w:vAlign w:val="center"/>
                </w:tcPr>
                <w:p>
                  <w:pPr>
                    <w:pStyle w:val="17"/>
                    <w:bidi w:val="0"/>
                    <w:rPr>
                      <w:rFonts w:hint="default"/>
                      <w:lang w:val="en-US" w:eastAsia="zh-CN"/>
                    </w:rPr>
                  </w:pPr>
                  <w:r>
                    <w:rPr>
                      <w:rFonts w:hint="eastAsia"/>
                      <w:lang w:val="en-US" w:eastAsia="zh-CN"/>
                    </w:rPr>
                    <w:t>800-3812</w:t>
                  </w:r>
                </w:p>
              </w:tc>
              <w:tc>
                <w:tcPr>
                  <w:tcW w:w="992" w:type="dxa"/>
                  <w:vMerge w:val="restart"/>
                  <w:noWrap w:val="0"/>
                  <w:vAlign w:val="center"/>
                </w:tcPr>
                <w:p>
                  <w:pPr>
                    <w:pStyle w:val="17"/>
                    <w:bidi w:val="0"/>
                  </w:pPr>
                  <w:r>
                    <w:t>Φ216</w:t>
                  </w:r>
                </w:p>
              </w:tc>
              <w:tc>
                <w:tcPr>
                  <w:tcW w:w="1134" w:type="dxa"/>
                  <w:vMerge w:val="restart"/>
                  <w:noWrap w:val="0"/>
                  <w:vAlign w:val="center"/>
                </w:tcPr>
                <w:p>
                  <w:pPr>
                    <w:pStyle w:val="17"/>
                    <w:bidi w:val="0"/>
                  </w:pPr>
                  <w:r>
                    <w:t>Φ139.7</w:t>
                  </w:r>
                </w:p>
              </w:tc>
              <w:tc>
                <w:tcPr>
                  <w:tcW w:w="851" w:type="dxa"/>
                  <w:vMerge w:val="restart"/>
                  <w:noWrap w:val="0"/>
                  <w:vAlign w:val="center"/>
                </w:tcPr>
                <w:p>
                  <w:pPr>
                    <w:pStyle w:val="17"/>
                    <w:bidi w:val="0"/>
                  </w:pPr>
                  <w:r>
                    <w:rPr>
                      <w:rFonts w:hint="eastAsia"/>
                    </w:rPr>
                    <w:t>P</w:t>
                  </w:r>
                  <w:r>
                    <w:t>2</w:t>
                  </w:r>
                  <w:r>
                    <w:rPr>
                      <w:rFonts w:hint="eastAsia"/>
                    </w:rPr>
                    <w:t>jj</w:t>
                  </w:r>
                </w:p>
              </w:tc>
              <w:tc>
                <w:tcPr>
                  <w:tcW w:w="1281" w:type="dxa"/>
                  <w:noWrap w:val="0"/>
                  <w:vAlign w:val="center"/>
                </w:tcPr>
                <w:p>
                  <w:pPr>
                    <w:pStyle w:val="17"/>
                    <w:bidi w:val="0"/>
                    <w:rPr>
                      <w:rFonts w:hint="default"/>
                      <w:lang w:val="en-US" w:eastAsia="zh-CN"/>
                    </w:rPr>
                  </w:pPr>
                  <w:r>
                    <w:rPr>
                      <w:rFonts w:hint="eastAsia"/>
                      <w:lang w:val="en-US" w:eastAsia="zh-CN"/>
                    </w:rPr>
                    <w:t>3812</w:t>
                  </w:r>
                </w:p>
              </w:tc>
              <w:tc>
                <w:tcPr>
                  <w:tcW w:w="1791" w:type="dxa"/>
                  <w:vMerge w:val="restart"/>
                  <w:noWrap w:val="0"/>
                  <w:vAlign w:val="center"/>
                </w:tcPr>
                <w:p>
                  <w:pPr>
                    <w:pStyle w:val="17"/>
                    <w:bidi w:val="0"/>
                  </w:pPr>
                  <w:r>
                    <w:t>抗盐低密</w:t>
                  </w:r>
                  <w:r>
                    <w:rPr>
                      <w:rFonts w:hint="eastAsia"/>
                    </w:rPr>
                    <w:t>0</w:t>
                  </w:r>
                </w:p>
                <w:p>
                  <w:pPr>
                    <w:pStyle w:val="17"/>
                    <w:bidi w:val="0"/>
                  </w:pPr>
                  <w:r>
                    <w:t>抗盐增韧</w:t>
                  </w:r>
                  <w:r>
                    <w:rPr>
                      <w:rFonts w:hint="eastAsia"/>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1378" w:type="dxa"/>
                  <w:noWrap w:val="0"/>
                  <w:vAlign w:val="top"/>
                </w:tcPr>
                <w:p>
                  <w:pPr>
                    <w:pStyle w:val="17"/>
                    <w:bidi w:val="0"/>
                  </w:pPr>
                  <w:r>
                    <w:rPr>
                      <w:rFonts w:hint="eastAsia"/>
                    </w:rPr>
                    <w:t>萨5-8-10二开</w:t>
                  </w:r>
                </w:p>
              </w:tc>
              <w:tc>
                <w:tcPr>
                  <w:tcW w:w="987" w:type="dxa"/>
                  <w:noWrap w:val="0"/>
                  <w:vAlign w:val="center"/>
                </w:tcPr>
                <w:p>
                  <w:pPr>
                    <w:pStyle w:val="17"/>
                    <w:bidi w:val="0"/>
                  </w:pPr>
                  <w:r>
                    <w:rPr>
                      <w:rFonts w:hint="eastAsia"/>
                      <w:lang w:val="en-US" w:eastAsia="zh-CN"/>
                    </w:rPr>
                    <w:t>800-3744</w:t>
                  </w:r>
                </w:p>
              </w:tc>
              <w:tc>
                <w:tcPr>
                  <w:tcW w:w="992" w:type="dxa"/>
                  <w:vMerge w:val="continue"/>
                  <w:noWrap w:val="0"/>
                  <w:vAlign w:val="center"/>
                </w:tcPr>
                <w:p>
                  <w:pPr>
                    <w:pStyle w:val="17"/>
                    <w:bidi w:val="0"/>
                  </w:pPr>
                </w:p>
              </w:tc>
              <w:tc>
                <w:tcPr>
                  <w:tcW w:w="1134" w:type="dxa"/>
                  <w:vMerge w:val="continue"/>
                  <w:noWrap w:val="0"/>
                  <w:vAlign w:val="center"/>
                </w:tcPr>
                <w:p>
                  <w:pPr>
                    <w:pStyle w:val="17"/>
                    <w:bidi w:val="0"/>
                  </w:pPr>
                </w:p>
              </w:tc>
              <w:tc>
                <w:tcPr>
                  <w:tcW w:w="851" w:type="dxa"/>
                  <w:vMerge w:val="continue"/>
                  <w:noWrap w:val="0"/>
                  <w:vAlign w:val="center"/>
                </w:tcPr>
                <w:p>
                  <w:pPr>
                    <w:pStyle w:val="17"/>
                    <w:bidi w:val="0"/>
                  </w:pPr>
                </w:p>
              </w:tc>
              <w:tc>
                <w:tcPr>
                  <w:tcW w:w="1281" w:type="dxa"/>
                  <w:noWrap w:val="0"/>
                  <w:vAlign w:val="center"/>
                </w:tcPr>
                <w:p>
                  <w:pPr>
                    <w:pStyle w:val="17"/>
                    <w:bidi w:val="0"/>
                    <w:rPr>
                      <w:rFonts w:hint="default" w:eastAsia="宋体"/>
                      <w:lang w:val="en-US" w:eastAsia="zh-CN"/>
                    </w:rPr>
                  </w:pPr>
                  <w:r>
                    <w:rPr>
                      <w:rFonts w:hint="eastAsia"/>
                      <w:lang w:val="en-US" w:eastAsia="zh-CN"/>
                    </w:rPr>
                    <w:t>3744</w:t>
                  </w:r>
                </w:p>
              </w:tc>
              <w:tc>
                <w:tcPr>
                  <w:tcW w:w="1791" w:type="dxa"/>
                  <w:vMerge w:val="continue"/>
                  <w:noWrap w:val="0"/>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1378" w:type="dxa"/>
                  <w:noWrap w:val="0"/>
                  <w:vAlign w:val="top"/>
                </w:tcPr>
                <w:p>
                  <w:pPr>
                    <w:pStyle w:val="17"/>
                    <w:bidi w:val="0"/>
                  </w:pPr>
                  <w:r>
                    <w:rPr>
                      <w:rFonts w:hint="eastAsia"/>
                    </w:rPr>
                    <w:t>萨5-9-8二开</w:t>
                  </w:r>
                </w:p>
              </w:tc>
              <w:tc>
                <w:tcPr>
                  <w:tcW w:w="987" w:type="dxa"/>
                  <w:noWrap w:val="0"/>
                  <w:vAlign w:val="center"/>
                </w:tcPr>
                <w:p>
                  <w:pPr>
                    <w:pStyle w:val="17"/>
                    <w:bidi w:val="0"/>
                  </w:pPr>
                  <w:r>
                    <w:rPr>
                      <w:rFonts w:hint="eastAsia"/>
                      <w:lang w:val="en-US" w:eastAsia="zh-CN"/>
                    </w:rPr>
                    <w:t>800-3754</w:t>
                  </w:r>
                </w:p>
              </w:tc>
              <w:tc>
                <w:tcPr>
                  <w:tcW w:w="992" w:type="dxa"/>
                  <w:vMerge w:val="continue"/>
                  <w:noWrap w:val="0"/>
                  <w:vAlign w:val="center"/>
                </w:tcPr>
                <w:p>
                  <w:pPr>
                    <w:pStyle w:val="17"/>
                    <w:bidi w:val="0"/>
                  </w:pPr>
                </w:p>
              </w:tc>
              <w:tc>
                <w:tcPr>
                  <w:tcW w:w="1134" w:type="dxa"/>
                  <w:vMerge w:val="continue"/>
                  <w:noWrap w:val="0"/>
                  <w:vAlign w:val="center"/>
                </w:tcPr>
                <w:p>
                  <w:pPr>
                    <w:pStyle w:val="17"/>
                    <w:bidi w:val="0"/>
                  </w:pPr>
                </w:p>
              </w:tc>
              <w:tc>
                <w:tcPr>
                  <w:tcW w:w="851" w:type="dxa"/>
                  <w:vMerge w:val="continue"/>
                  <w:noWrap w:val="0"/>
                  <w:vAlign w:val="center"/>
                </w:tcPr>
                <w:p>
                  <w:pPr>
                    <w:pStyle w:val="17"/>
                    <w:bidi w:val="0"/>
                  </w:pPr>
                </w:p>
              </w:tc>
              <w:tc>
                <w:tcPr>
                  <w:tcW w:w="1281" w:type="dxa"/>
                  <w:noWrap w:val="0"/>
                  <w:vAlign w:val="center"/>
                </w:tcPr>
                <w:p>
                  <w:pPr>
                    <w:pStyle w:val="17"/>
                    <w:bidi w:val="0"/>
                    <w:rPr>
                      <w:rFonts w:hint="default" w:eastAsia="宋体"/>
                      <w:lang w:val="en-US" w:eastAsia="zh-CN"/>
                    </w:rPr>
                  </w:pPr>
                  <w:r>
                    <w:rPr>
                      <w:rFonts w:hint="eastAsia"/>
                      <w:lang w:val="en-US" w:eastAsia="zh-CN"/>
                    </w:rPr>
                    <w:t>3754</w:t>
                  </w:r>
                </w:p>
              </w:tc>
              <w:tc>
                <w:tcPr>
                  <w:tcW w:w="1791" w:type="dxa"/>
                  <w:vMerge w:val="continue"/>
                  <w:noWrap w:val="0"/>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1378" w:type="dxa"/>
                  <w:noWrap w:val="0"/>
                  <w:vAlign w:val="top"/>
                </w:tcPr>
                <w:p>
                  <w:pPr>
                    <w:pStyle w:val="17"/>
                    <w:bidi w:val="0"/>
                  </w:pPr>
                  <w:r>
                    <w:rPr>
                      <w:rFonts w:hint="eastAsia"/>
                    </w:rPr>
                    <w:t>萨5-9-9二开</w:t>
                  </w:r>
                </w:p>
              </w:tc>
              <w:tc>
                <w:tcPr>
                  <w:tcW w:w="987" w:type="dxa"/>
                  <w:noWrap w:val="0"/>
                  <w:vAlign w:val="center"/>
                </w:tcPr>
                <w:p>
                  <w:pPr>
                    <w:pStyle w:val="17"/>
                    <w:bidi w:val="0"/>
                  </w:pPr>
                  <w:r>
                    <w:rPr>
                      <w:rFonts w:hint="eastAsia"/>
                      <w:lang w:val="en-US" w:eastAsia="zh-CN"/>
                    </w:rPr>
                    <w:t>800-3821</w:t>
                  </w:r>
                </w:p>
              </w:tc>
              <w:tc>
                <w:tcPr>
                  <w:tcW w:w="992" w:type="dxa"/>
                  <w:vMerge w:val="continue"/>
                  <w:noWrap w:val="0"/>
                  <w:vAlign w:val="center"/>
                </w:tcPr>
                <w:p>
                  <w:pPr>
                    <w:pStyle w:val="17"/>
                    <w:bidi w:val="0"/>
                  </w:pPr>
                </w:p>
              </w:tc>
              <w:tc>
                <w:tcPr>
                  <w:tcW w:w="1134" w:type="dxa"/>
                  <w:vMerge w:val="continue"/>
                  <w:noWrap w:val="0"/>
                  <w:vAlign w:val="center"/>
                </w:tcPr>
                <w:p>
                  <w:pPr>
                    <w:pStyle w:val="17"/>
                    <w:bidi w:val="0"/>
                  </w:pPr>
                </w:p>
              </w:tc>
              <w:tc>
                <w:tcPr>
                  <w:tcW w:w="851" w:type="dxa"/>
                  <w:vMerge w:val="continue"/>
                  <w:noWrap w:val="0"/>
                  <w:vAlign w:val="center"/>
                </w:tcPr>
                <w:p>
                  <w:pPr>
                    <w:pStyle w:val="17"/>
                    <w:bidi w:val="0"/>
                  </w:pPr>
                </w:p>
              </w:tc>
              <w:tc>
                <w:tcPr>
                  <w:tcW w:w="1281" w:type="dxa"/>
                  <w:noWrap w:val="0"/>
                  <w:vAlign w:val="center"/>
                </w:tcPr>
                <w:p>
                  <w:pPr>
                    <w:pStyle w:val="17"/>
                    <w:bidi w:val="0"/>
                    <w:rPr>
                      <w:rFonts w:hint="default" w:eastAsia="宋体"/>
                      <w:lang w:val="en-US" w:eastAsia="zh-CN"/>
                    </w:rPr>
                  </w:pPr>
                  <w:r>
                    <w:rPr>
                      <w:rFonts w:hint="eastAsia"/>
                      <w:lang w:val="en-US" w:eastAsia="zh-CN"/>
                    </w:rPr>
                    <w:t>3821</w:t>
                  </w:r>
                </w:p>
              </w:tc>
              <w:tc>
                <w:tcPr>
                  <w:tcW w:w="1791" w:type="dxa"/>
                  <w:vMerge w:val="continue"/>
                  <w:noWrap w:val="0"/>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1378" w:type="dxa"/>
                  <w:noWrap w:val="0"/>
                  <w:vAlign w:val="top"/>
                </w:tcPr>
                <w:p>
                  <w:pPr>
                    <w:pStyle w:val="17"/>
                    <w:bidi w:val="0"/>
                  </w:pPr>
                  <w:r>
                    <w:rPr>
                      <w:rFonts w:hint="eastAsia"/>
                    </w:rPr>
                    <w:t>萨5-9-10二开</w:t>
                  </w:r>
                </w:p>
              </w:tc>
              <w:tc>
                <w:tcPr>
                  <w:tcW w:w="987" w:type="dxa"/>
                  <w:noWrap w:val="0"/>
                  <w:vAlign w:val="center"/>
                </w:tcPr>
                <w:p>
                  <w:pPr>
                    <w:pStyle w:val="17"/>
                    <w:bidi w:val="0"/>
                  </w:pPr>
                  <w:r>
                    <w:rPr>
                      <w:rFonts w:hint="eastAsia"/>
                      <w:lang w:val="en-US" w:eastAsia="zh-CN"/>
                    </w:rPr>
                    <w:t>800-3827</w:t>
                  </w:r>
                </w:p>
              </w:tc>
              <w:tc>
                <w:tcPr>
                  <w:tcW w:w="992" w:type="dxa"/>
                  <w:vMerge w:val="continue"/>
                  <w:noWrap w:val="0"/>
                  <w:vAlign w:val="center"/>
                </w:tcPr>
                <w:p>
                  <w:pPr>
                    <w:pStyle w:val="17"/>
                    <w:bidi w:val="0"/>
                  </w:pPr>
                </w:p>
              </w:tc>
              <w:tc>
                <w:tcPr>
                  <w:tcW w:w="1134" w:type="dxa"/>
                  <w:vMerge w:val="continue"/>
                  <w:noWrap w:val="0"/>
                  <w:vAlign w:val="center"/>
                </w:tcPr>
                <w:p>
                  <w:pPr>
                    <w:pStyle w:val="17"/>
                    <w:bidi w:val="0"/>
                  </w:pPr>
                </w:p>
              </w:tc>
              <w:tc>
                <w:tcPr>
                  <w:tcW w:w="851" w:type="dxa"/>
                  <w:vMerge w:val="continue"/>
                  <w:noWrap w:val="0"/>
                  <w:vAlign w:val="center"/>
                </w:tcPr>
                <w:p>
                  <w:pPr>
                    <w:pStyle w:val="17"/>
                    <w:bidi w:val="0"/>
                  </w:pPr>
                </w:p>
              </w:tc>
              <w:tc>
                <w:tcPr>
                  <w:tcW w:w="1281" w:type="dxa"/>
                  <w:noWrap w:val="0"/>
                  <w:vAlign w:val="center"/>
                </w:tcPr>
                <w:p>
                  <w:pPr>
                    <w:pStyle w:val="17"/>
                    <w:bidi w:val="0"/>
                    <w:rPr>
                      <w:rFonts w:hint="default" w:eastAsia="宋体"/>
                      <w:lang w:val="en-US" w:eastAsia="zh-CN"/>
                    </w:rPr>
                  </w:pPr>
                  <w:r>
                    <w:rPr>
                      <w:rFonts w:hint="eastAsia"/>
                      <w:lang w:val="en-US" w:eastAsia="zh-CN"/>
                    </w:rPr>
                    <w:t>3827</w:t>
                  </w:r>
                </w:p>
              </w:tc>
              <w:tc>
                <w:tcPr>
                  <w:tcW w:w="1791" w:type="dxa"/>
                  <w:vMerge w:val="continue"/>
                  <w:noWrap w:val="0"/>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1378" w:type="dxa"/>
                  <w:noWrap w:val="0"/>
                  <w:vAlign w:val="top"/>
                </w:tcPr>
                <w:p>
                  <w:pPr>
                    <w:pStyle w:val="17"/>
                    <w:bidi w:val="0"/>
                  </w:pPr>
                  <w:r>
                    <w:rPr>
                      <w:rFonts w:hint="eastAsia"/>
                    </w:rPr>
                    <w:t>萨5-11-9二开</w:t>
                  </w:r>
                </w:p>
              </w:tc>
              <w:tc>
                <w:tcPr>
                  <w:tcW w:w="987" w:type="dxa"/>
                  <w:noWrap w:val="0"/>
                  <w:vAlign w:val="center"/>
                </w:tcPr>
                <w:p>
                  <w:pPr>
                    <w:pStyle w:val="17"/>
                    <w:bidi w:val="0"/>
                  </w:pPr>
                  <w:r>
                    <w:rPr>
                      <w:rFonts w:hint="eastAsia"/>
                      <w:lang w:val="en-US" w:eastAsia="zh-CN"/>
                    </w:rPr>
                    <w:t>800-3840</w:t>
                  </w:r>
                </w:p>
              </w:tc>
              <w:tc>
                <w:tcPr>
                  <w:tcW w:w="992" w:type="dxa"/>
                  <w:vMerge w:val="continue"/>
                  <w:noWrap w:val="0"/>
                  <w:vAlign w:val="center"/>
                </w:tcPr>
                <w:p>
                  <w:pPr>
                    <w:pStyle w:val="17"/>
                    <w:bidi w:val="0"/>
                  </w:pPr>
                </w:p>
              </w:tc>
              <w:tc>
                <w:tcPr>
                  <w:tcW w:w="1134" w:type="dxa"/>
                  <w:vMerge w:val="continue"/>
                  <w:noWrap w:val="0"/>
                  <w:vAlign w:val="center"/>
                </w:tcPr>
                <w:p>
                  <w:pPr>
                    <w:pStyle w:val="17"/>
                    <w:bidi w:val="0"/>
                  </w:pPr>
                </w:p>
              </w:tc>
              <w:tc>
                <w:tcPr>
                  <w:tcW w:w="851" w:type="dxa"/>
                  <w:vMerge w:val="continue"/>
                  <w:noWrap w:val="0"/>
                  <w:vAlign w:val="center"/>
                </w:tcPr>
                <w:p>
                  <w:pPr>
                    <w:pStyle w:val="17"/>
                    <w:bidi w:val="0"/>
                  </w:pPr>
                </w:p>
              </w:tc>
              <w:tc>
                <w:tcPr>
                  <w:tcW w:w="1281" w:type="dxa"/>
                  <w:noWrap w:val="0"/>
                  <w:vAlign w:val="center"/>
                </w:tcPr>
                <w:p>
                  <w:pPr>
                    <w:pStyle w:val="17"/>
                    <w:bidi w:val="0"/>
                    <w:rPr>
                      <w:rFonts w:hint="default" w:eastAsia="宋体"/>
                      <w:lang w:val="en-US" w:eastAsia="zh-CN"/>
                    </w:rPr>
                  </w:pPr>
                  <w:r>
                    <w:rPr>
                      <w:rFonts w:hint="eastAsia"/>
                      <w:lang w:val="en-US" w:eastAsia="zh-CN"/>
                    </w:rPr>
                    <w:t>3840</w:t>
                  </w:r>
                </w:p>
              </w:tc>
              <w:tc>
                <w:tcPr>
                  <w:tcW w:w="1791" w:type="dxa"/>
                  <w:vMerge w:val="continue"/>
                  <w:noWrap w:val="0"/>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1378" w:type="dxa"/>
                  <w:noWrap w:val="0"/>
                  <w:vAlign w:val="top"/>
                </w:tcPr>
                <w:p>
                  <w:pPr>
                    <w:pStyle w:val="17"/>
                    <w:bidi w:val="0"/>
                  </w:pPr>
                  <w:r>
                    <w:rPr>
                      <w:rFonts w:hint="eastAsia"/>
                    </w:rPr>
                    <w:t>萨5-11-10二开</w:t>
                  </w:r>
                </w:p>
              </w:tc>
              <w:tc>
                <w:tcPr>
                  <w:tcW w:w="987" w:type="dxa"/>
                  <w:noWrap w:val="0"/>
                  <w:vAlign w:val="center"/>
                </w:tcPr>
                <w:p>
                  <w:pPr>
                    <w:pStyle w:val="17"/>
                    <w:bidi w:val="0"/>
                  </w:pPr>
                  <w:r>
                    <w:rPr>
                      <w:rFonts w:hint="eastAsia"/>
                      <w:lang w:val="en-US" w:eastAsia="zh-CN"/>
                    </w:rPr>
                    <w:t>800-3837</w:t>
                  </w:r>
                </w:p>
              </w:tc>
              <w:tc>
                <w:tcPr>
                  <w:tcW w:w="992" w:type="dxa"/>
                  <w:vMerge w:val="continue"/>
                  <w:noWrap w:val="0"/>
                  <w:vAlign w:val="center"/>
                </w:tcPr>
                <w:p>
                  <w:pPr>
                    <w:pStyle w:val="17"/>
                    <w:bidi w:val="0"/>
                  </w:pPr>
                </w:p>
              </w:tc>
              <w:tc>
                <w:tcPr>
                  <w:tcW w:w="1134" w:type="dxa"/>
                  <w:vMerge w:val="continue"/>
                  <w:noWrap w:val="0"/>
                  <w:vAlign w:val="center"/>
                </w:tcPr>
                <w:p>
                  <w:pPr>
                    <w:pStyle w:val="17"/>
                    <w:bidi w:val="0"/>
                  </w:pPr>
                </w:p>
              </w:tc>
              <w:tc>
                <w:tcPr>
                  <w:tcW w:w="851" w:type="dxa"/>
                  <w:vMerge w:val="continue"/>
                  <w:noWrap w:val="0"/>
                  <w:vAlign w:val="center"/>
                </w:tcPr>
                <w:p>
                  <w:pPr>
                    <w:pStyle w:val="17"/>
                    <w:bidi w:val="0"/>
                  </w:pPr>
                </w:p>
              </w:tc>
              <w:tc>
                <w:tcPr>
                  <w:tcW w:w="1281" w:type="dxa"/>
                  <w:noWrap w:val="0"/>
                  <w:vAlign w:val="center"/>
                </w:tcPr>
                <w:p>
                  <w:pPr>
                    <w:pStyle w:val="17"/>
                    <w:bidi w:val="0"/>
                    <w:rPr>
                      <w:rFonts w:hint="default" w:eastAsia="宋体"/>
                      <w:lang w:val="en-US" w:eastAsia="zh-CN"/>
                    </w:rPr>
                  </w:pPr>
                  <w:r>
                    <w:rPr>
                      <w:rFonts w:hint="eastAsia"/>
                      <w:lang w:val="en-US" w:eastAsia="zh-CN"/>
                    </w:rPr>
                    <w:t>3837</w:t>
                  </w:r>
                </w:p>
              </w:tc>
              <w:tc>
                <w:tcPr>
                  <w:tcW w:w="1791" w:type="dxa"/>
                  <w:vMerge w:val="continue"/>
                  <w:noWrap w:val="0"/>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1378" w:type="dxa"/>
                  <w:noWrap w:val="0"/>
                  <w:vAlign w:val="top"/>
                </w:tcPr>
                <w:p>
                  <w:pPr>
                    <w:pStyle w:val="17"/>
                    <w:bidi w:val="0"/>
                  </w:pPr>
                  <w:r>
                    <w:rPr>
                      <w:rFonts w:hint="eastAsia"/>
                    </w:rPr>
                    <w:t>萨5-12-9二开</w:t>
                  </w:r>
                </w:p>
              </w:tc>
              <w:tc>
                <w:tcPr>
                  <w:tcW w:w="987" w:type="dxa"/>
                  <w:noWrap w:val="0"/>
                  <w:vAlign w:val="center"/>
                </w:tcPr>
                <w:p>
                  <w:pPr>
                    <w:pStyle w:val="17"/>
                    <w:bidi w:val="0"/>
                  </w:pPr>
                  <w:r>
                    <w:rPr>
                      <w:rFonts w:hint="eastAsia"/>
                      <w:lang w:val="en-US" w:eastAsia="zh-CN"/>
                    </w:rPr>
                    <w:t>800-3817</w:t>
                  </w:r>
                </w:p>
              </w:tc>
              <w:tc>
                <w:tcPr>
                  <w:tcW w:w="992" w:type="dxa"/>
                  <w:vMerge w:val="continue"/>
                  <w:noWrap w:val="0"/>
                  <w:vAlign w:val="center"/>
                </w:tcPr>
                <w:p>
                  <w:pPr>
                    <w:pStyle w:val="17"/>
                    <w:bidi w:val="0"/>
                  </w:pPr>
                </w:p>
              </w:tc>
              <w:tc>
                <w:tcPr>
                  <w:tcW w:w="1134" w:type="dxa"/>
                  <w:vMerge w:val="continue"/>
                  <w:noWrap w:val="0"/>
                  <w:vAlign w:val="center"/>
                </w:tcPr>
                <w:p>
                  <w:pPr>
                    <w:pStyle w:val="17"/>
                    <w:bidi w:val="0"/>
                  </w:pPr>
                </w:p>
              </w:tc>
              <w:tc>
                <w:tcPr>
                  <w:tcW w:w="851" w:type="dxa"/>
                  <w:vMerge w:val="continue"/>
                  <w:noWrap w:val="0"/>
                  <w:vAlign w:val="center"/>
                </w:tcPr>
                <w:p>
                  <w:pPr>
                    <w:pStyle w:val="17"/>
                    <w:bidi w:val="0"/>
                  </w:pPr>
                </w:p>
              </w:tc>
              <w:tc>
                <w:tcPr>
                  <w:tcW w:w="1281" w:type="dxa"/>
                  <w:noWrap w:val="0"/>
                  <w:vAlign w:val="center"/>
                </w:tcPr>
                <w:p>
                  <w:pPr>
                    <w:pStyle w:val="17"/>
                    <w:bidi w:val="0"/>
                    <w:rPr>
                      <w:rFonts w:hint="default" w:eastAsia="宋体"/>
                      <w:lang w:val="en-US" w:eastAsia="zh-CN"/>
                    </w:rPr>
                  </w:pPr>
                  <w:r>
                    <w:rPr>
                      <w:rFonts w:hint="eastAsia"/>
                      <w:lang w:val="en-US" w:eastAsia="zh-CN"/>
                    </w:rPr>
                    <w:t>3817</w:t>
                  </w:r>
                </w:p>
              </w:tc>
              <w:tc>
                <w:tcPr>
                  <w:tcW w:w="1791" w:type="dxa"/>
                  <w:vMerge w:val="continue"/>
                  <w:noWrap w:val="0"/>
                  <w:vAlign w:val="center"/>
                </w:tcPr>
                <w:p>
                  <w:pPr>
                    <w:pStyle w:val="17"/>
                    <w:bidi w:val="0"/>
                  </w:pPr>
                </w:p>
              </w:tc>
            </w:tr>
          </w:tbl>
          <w:p>
            <w:pPr>
              <w:pStyle w:val="14"/>
              <w:bidi w:val="0"/>
              <w:spacing w:line="360" w:lineRule="auto"/>
              <w:rPr>
                <w:rFonts w:hint="default"/>
                <w:color w:val="auto"/>
                <w:lang w:val="en-US"/>
              </w:rPr>
            </w:pPr>
            <w:r>
              <w:rPr>
                <w:rFonts w:hint="eastAsia"/>
                <w:color w:val="auto"/>
                <w:lang w:val="en-US" w:eastAsia="zh-CN"/>
              </w:rPr>
              <w:t>表2-5   井身结构设计说明</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196"/>
              <w:gridCol w:w="6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7" w:hRule="atLeast"/>
                <w:jc w:val="center"/>
              </w:trPr>
              <w:tc>
                <w:tcPr>
                  <w:tcW w:w="1163" w:type="dxa"/>
                  <w:noWrap w:val="0"/>
                  <w:vAlign w:val="center"/>
                </w:tcPr>
                <w:p>
                  <w:pPr>
                    <w:pStyle w:val="17"/>
                    <w:bidi w:val="0"/>
                  </w:pPr>
                  <w:r>
                    <w:t>开钻次序</w:t>
                  </w:r>
                </w:p>
              </w:tc>
              <w:tc>
                <w:tcPr>
                  <w:tcW w:w="1196" w:type="dxa"/>
                  <w:noWrap w:val="0"/>
                  <w:vAlign w:val="center"/>
                </w:tcPr>
                <w:p>
                  <w:pPr>
                    <w:pStyle w:val="17"/>
                    <w:bidi w:val="0"/>
                  </w:pPr>
                  <w:r>
                    <w:t>套管尺寸mm</w:t>
                  </w:r>
                </w:p>
              </w:tc>
              <w:tc>
                <w:tcPr>
                  <w:tcW w:w="6068" w:type="dxa"/>
                  <w:noWrap w:val="0"/>
                  <w:vAlign w:val="center"/>
                </w:tcPr>
                <w:p>
                  <w:pPr>
                    <w:pStyle w:val="17"/>
                    <w:bidi w:val="0"/>
                  </w:pPr>
                  <w:r>
                    <w:t>设计说明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163" w:type="dxa"/>
                  <w:noWrap w:val="0"/>
                  <w:vAlign w:val="center"/>
                </w:tcPr>
                <w:p>
                  <w:pPr>
                    <w:pStyle w:val="17"/>
                    <w:bidi w:val="0"/>
                  </w:pPr>
                  <w:r>
                    <w:t>一开</w:t>
                  </w:r>
                </w:p>
              </w:tc>
              <w:tc>
                <w:tcPr>
                  <w:tcW w:w="1196" w:type="dxa"/>
                  <w:noWrap w:val="0"/>
                  <w:vAlign w:val="center"/>
                </w:tcPr>
                <w:p>
                  <w:pPr>
                    <w:pStyle w:val="17"/>
                    <w:bidi w:val="0"/>
                  </w:pPr>
                  <w:r>
                    <w:t>Φ244.5</w:t>
                  </w:r>
                </w:p>
              </w:tc>
              <w:tc>
                <w:tcPr>
                  <w:tcW w:w="6068" w:type="dxa"/>
                  <w:noWrap w:val="0"/>
                  <w:vAlign w:val="center"/>
                </w:tcPr>
                <w:p>
                  <w:pPr>
                    <w:pStyle w:val="17"/>
                    <w:bidi w:val="0"/>
                    <w:rPr>
                      <w:rFonts w:hint="eastAsia"/>
                    </w:rPr>
                  </w:pPr>
                  <w:r>
                    <w:t>用Φ311mm钻头一开，钻至井深800m左右，下入Φ244.5mm表层套管，水泥返至地面。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23" w:hRule="atLeast"/>
                <w:jc w:val="center"/>
              </w:trPr>
              <w:tc>
                <w:tcPr>
                  <w:tcW w:w="1163" w:type="dxa"/>
                  <w:noWrap w:val="0"/>
                  <w:vAlign w:val="center"/>
                </w:tcPr>
                <w:p>
                  <w:pPr>
                    <w:pStyle w:val="17"/>
                    <w:bidi w:val="0"/>
                  </w:pPr>
                  <w:r>
                    <w:t>二开</w:t>
                  </w:r>
                </w:p>
              </w:tc>
              <w:tc>
                <w:tcPr>
                  <w:tcW w:w="1196" w:type="dxa"/>
                  <w:noWrap w:val="0"/>
                  <w:vAlign w:val="center"/>
                </w:tcPr>
                <w:p>
                  <w:pPr>
                    <w:pStyle w:val="17"/>
                    <w:bidi w:val="0"/>
                  </w:pPr>
                  <w:r>
                    <w:t>Φ139.7</w:t>
                  </w:r>
                </w:p>
              </w:tc>
              <w:tc>
                <w:tcPr>
                  <w:tcW w:w="6068" w:type="dxa"/>
                  <w:noWrap w:val="0"/>
                  <w:vAlign w:val="center"/>
                </w:tcPr>
                <w:p>
                  <w:pPr>
                    <w:pStyle w:val="17"/>
                    <w:bidi w:val="0"/>
                  </w:pPr>
                  <w:r>
                    <w:t>用Ф216mm钻头二开，钻至</w:t>
                  </w:r>
                  <w:r>
                    <w:rPr>
                      <w:rFonts w:hint="eastAsia"/>
                      <w:lang w:val="en-US" w:eastAsia="zh-CN"/>
                    </w:rPr>
                    <w:t>每口井深</w:t>
                  </w:r>
                  <w:r>
                    <w:t>完钻，下入Φ139.7mm油层套管。采用抗盐增韧+抗盐低密水泥浆体系固井。抗盐增韧水泥上返至</w:t>
                  </w:r>
                  <w:r>
                    <w:rPr>
                      <w:rFonts w:hint="eastAsia"/>
                    </w:rPr>
                    <w:t>2000</w:t>
                  </w:r>
                  <w:r>
                    <w:t>m，封固段长</w:t>
                  </w:r>
                  <w:r>
                    <w:rPr>
                      <w:rFonts w:hint="eastAsia"/>
                    </w:rPr>
                    <w:t>1840</w:t>
                  </w:r>
                  <w:r>
                    <w:t>m；抗盐低密水泥上返至井口，封固段长</w:t>
                  </w:r>
                  <w:r>
                    <w:rPr>
                      <w:rFonts w:hint="eastAsia"/>
                    </w:rPr>
                    <w:t>2000</w:t>
                  </w:r>
                  <w: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819" w:hRule="atLeast"/>
                <w:jc w:val="center"/>
              </w:trPr>
              <w:tc>
                <w:tcPr>
                  <w:tcW w:w="8427" w:type="dxa"/>
                  <w:gridSpan w:val="3"/>
                  <w:noWrap w:val="0"/>
                  <w:vAlign w:val="center"/>
                </w:tcPr>
                <w:p>
                  <w:pPr>
                    <w:pStyle w:val="17"/>
                    <w:bidi w:val="0"/>
                    <w:jc w:val="left"/>
                  </w:pPr>
                  <w:r>
                    <w:t>说明：</w:t>
                  </w:r>
                </w:p>
                <w:p>
                  <w:pPr>
                    <w:pStyle w:val="17"/>
                    <w:bidi w:val="0"/>
                    <w:jc w:val="left"/>
                  </w:pPr>
                  <w:r>
                    <w:t>1.要确保井身质量、固井质量和井下安全。</w:t>
                  </w:r>
                </w:p>
                <w:p>
                  <w:pPr>
                    <w:pStyle w:val="17"/>
                    <w:bidi w:val="0"/>
                    <w:jc w:val="left"/>
                  </w:pPr>
                  <w:r>
                    <w:t>2.直井段钻进中应调整好钻井参数和钻具组合，加强测斜，严格控制井斜和方位的变化。</w:t>
                  </w:r>
                </w:p>
                <w:p>
                  <w:pPr>
                    <w:pStyle w:val="17"/>
                    <w:bidi w:val="0"/>
                    <w:jc w:val="left"/>
                  </w:pPr>
                  <w:r>
                    <w:t>3.水泥返深必须按设计执行，经声幅、变密度测井，固井质量合格。</w:t>
                  </w:r>
                </w:p>
                <w:p>
                  <w:pPr>
                    <w:pStyle w:val="17"/>
                    <w:bidi w:val="0"/>
                    <w:jc w:val="left"/>
                  </w:pPr>
                  <w:r>
                    <w:t>4.钻进过程中，应调整好钻井液密度，作好井控工作，防止井喷事故的发生。</w:t>
                  </w:r>
                </w:p>
              </w:tc>
            </w:tr>
          </w:tbl>
          <w:p>
            <w:pPr>
              <w:pStyle w:val="14"/>
              <w:bidi w:val="0"/>
              <w:spacing w:line="360" w:lineRule="auto"/>
              <w:rPr>
                <w:rFonts w:hint="default"/>
                <w:color w:val="auto"/>
                <w:lang w:val="en-US"/>
              </w:rPr>
            </w:pPr>
            <w:r>
              <w:rPr>
                <w:rFonts w:hint="eastAsia"/>
                <w:color w:val="auto"/>
                <w:lang w:val="en-US" w:eastAsia="zh-CN"/>
              </w:rPr>
              <w:t>表2-6   固井质量要求</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07"/>
              <w:gridCol w:w="1311"/>
              <w:gridCol w:w="1049"/>
              <w:gridCol w:w="1200"/>
              <w:gridCol w:w="1150"/>
              <w:gridCol w:w="1419"/>
              <w:gridCol w:w="597"/>
              <w:gridCol w:w="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pct"/>
                <w:trHeight w:val="33" w:hRule="atLeast"/>
                <w:jc w:val="center"/>
              </w:trPr>
              <w:tc>
                <w:tcPr>
                  <w:tcW w:w="962" w:type="pct"/>
                  <w:noWrap w:val="0"/>
                  <w:vAlign w:val="center"/>
                </w:tcPr>
                <w:p>
                  <w:pPr>
                    <w:pStyle w:val="17"/>
                    <w:bidi w:val="0"/>
                    <w:jc w:val="center"/>
                  </w:pPr>
                  <w:r>
                    <w:t>开钻</w:t>
                  </w:r>
                </w:p>
                <w:p>
                  <w:pPr>
                    <w:pStyle w:val="17"/>
                    <w:bidi w:val="0"/>
                    <w:jc w:val="center"/>
                  </w:pPr>
                  <w:r>
                    <w:t>次数</w:t>
                  </w:r>
                </w:p>
              </w:tc>
              <w:tc>
                <w:tcPr>
                  <w:tcW w:w="785" w:type="pct"/>
                  <w:noWrap w:val="0"/>
                  <w:vAlign w:val="center"/>
                </w:tcPr>
                <w:p>
                  <w:pPr>
                    <w:pStyle w:val="17"/>
                    <w:bidi w:val="0"/>
                    <w:jc w:val="center"/>
                  </w:pPr>
                  <w:r>
                    <w:t>钻头尺寸</w:t>
                  </w:r>
                </w:p>
                <w:p>
                  <w:pPr>
                    <w:pStyle w:val="17"/>
                    <w:bidi w:val="0"/>
                    <w:jc w:val="center"/>
                  </w:pPr>
                  <w:r>
                    <w:t>（mm）</w:t>
                  </w:r>
                </w:p>
              </w:tc>
              <w:tc>
                <w:tcPr>
                  <w:tcW w:w="628" w:type="pct"/>
                  <w:noWrap w:val="0"/>
                  <w:vAlign w:val="center"/>
                </w:tcPr>
                <w:p>
                  <w:pPr>
                    <w:pStyle w:val="17"/>
                    <w:bidi w:val="0"/>
                    <w:jc w:val="center"/>
                  </w:pPr>
                  <w:r>
                    <w:t>井段</w:t>
                  </w:r>
                </w:p>
                <w:p>
                  <w:pPr>
                    <w:pStyle w:val="17"/>
                    <w:bidi w:val="0"/>
                    <w:jc w:val="center"/>
                  </w:pPr>
                  <w:r>
                    <w:t>(m)</w:t>
                  </w:r>
                </w:p>
              </w:tc>
              <w:tc>
                <w:tcPr>
                  <w:tcW w:w="718" w:type="pct"/>
                  <w:noWrap w:val="0"/>
                  <w:vAlign w:val="center"/>
                </w:tcPr>
                <w:p>
                  <w:pPr>
                    <w:pStyle w:val="17"/>
                    <w:bidi w:val="0"/>
                    <w:jc w:val="center"/>
                  </w:pPr>
                  <w:r>
                    <w:t>套管尺寸</w:t>
                  </w:r>
                </w:p>
                <w:p>
                  <w:pPr>
                    <w:pStyle w:val="17"/>
                    <w:bidi w:val="0"/>
                    <w:jc w:val="center"/>
                  </w:pPr>
                  <w:r>
                    <w:t>(mm)</w:t>
                  </w:r>
                </w:p>
              </w:tc>
              <w:tc>
                <w:tcPr>
                  <w:tcW w:w="688" w:type="pct"/>
                  <w:noWrap w:val="0"/>
                  <w:vAlign w:val="center"/>
                </w:tcPr>
                <w:p>
                  <w:pPr>
                    <w:pStyle w:val="17"/>
                    <w:bidi w:val="0"/>
                    <w:jc w:val="center"/>
                  </w:pPr>
                  <w:r>
                    <w:t>套管下深</w:t>
                  </w:r>
                </w:p>
                <w:p>
                  <w:pPr>
                    <w:pStyle w:val="17"/>
                    <w:bidi w:val="0"/>
                    <w:jc w:val="center"/>
                  </w:pPr>
                  <w:r>
                    <w:t>(m)</w:t>
                  </w:r>
                </w:p>
              </w:tc>
              <w:tc>
                <w:tcPr>
                  <w:tcW w:w="849" w:type="pct"/>
                  <w:noWrap w:val="0"/>
                  <w:vAlign w:val="center"/>
                </w:tcPr>
                <w:p>
                  <w:pPr>
                    <w:pStyle w:val="17"/>
                    <w:bidi w:val="0"/>
                    <w:jc w:val="center"/>
                  </w:pPr>
                  <w:r>
                    <w:t>水泥封固井段</w:t>
                  </w:r>
                </w:p>
                <w:p>
                  <w:pPr>
                    <w:pStyle w:val="17"/>
                    <w:bidi w:val="0"/>
                    <w:jc w:val="center"/>
                  </w:pPr>
                  <w:r>
                    <w:t>（m）</w:t>
                  </w:r>
                </w:p>
              </w:tc>
              <w:tc>
                <w:tcPr>
                  <w:tcW w:w="357" w:type="pct"/>
                  <w:noWrap w:val="0"/>
                  <w:vAlign w:val="center"/>
                </w:tcPr>
                <w:p>
                  <w:pPr>
                    <w:pStyle w:val="17"/>
                    <w:bidi w:val="0"/>
                    <w:jc w:val="center"/>
                  </w:pPr>
                  <w:r>
                    <w:t>固井质量要求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pct"/>
                <w:trHeight w:val="262" w:hRule="atLeast"/>
                <w:jc w:val="center"/>
              </w:trPr>
              <w:tc>
                <w:tcPr>
                  <w:tcW w:w="962" w:type="pct"/>
                  <w:noWrap w:val="0"/>
                  <w:vAlign w:val="center"/>
                </w:tcPr>
                <w:p>
                  <w:pPr>
                    <w:pStyle w:val="17"/>
                    <w:bidi w:val="0"/>
                    <w:jc w:val="center"/>
                  </w:pPr>
                  <w:r>
                    <w:t>一开</w:t>
                  </w:r>
                </w:p>
              </w:tc>
              <w:tc>
                <w:tcPr>
                  <w:tcW w:w="785" w:type="pct"/>
                  <w:noWrap w:val="0"/>
                  <w:vAlign w:val="center"/>
                </w:tcPr>
                <w:p>
                  <w:pPr>
                    <w:pStyle w:val="17"/>
                    <w:bidi w:val="0"/>
                    <w:jc w:val="center"/>
                    <w:rPr>
                      <w:rFonts w:hint="default"/>
                      <w:lang w:val="en-US" w:eastAsia="zh-CN"/>
                    </w:rPr>
                  </w:pPr>
                  <w:r>
                    <w:t>Φ</w:t>
                  </w:r>
                  <w:r>
                    <w:rPr>
                      <w:rFonts w:hint="eastAsia"/>
                      <w:lang w:val="en-US" w:eastAsia="zh-CN"/>
                    </w:rPr>
                    <w:t>311</w:t>
                  </w:r>
                </w:p>
              </w:tc>
              <w:tc>
                <w:tcPr>
                  <w:tcW w:w="628" w:type="pct"/>
                  <w:noWrap w:val="0"/>
                  <w:vAlign w:val="center"/>
                </w:tcPr>
                <w:p>
                  <w:pPr>
                    <w:pStyle w:val="17"/>
                    <w:bidi w:val="0"/>
                    <w:jc w:val="center"/>
                    <w:rPr>
                      <w:rFonts w:hint="default"/>
                      <w:lang w:val="en-US" w:eastAsia="zh-CN"/>
                    </w:rPr>
                  </w:pPr>
                  <w:r>
                    <w:t>0-</w:t>
                  </w:r>
                  <w:r>
                    <w:rPr>
                      <w:rFonts w:hint="eastAsia"/>
                      <w:lang w:val="en-US" w:eastAsia="zh-CN"/>
                    </w:rPr>
                    <w:t>800</w:t>
                  </w:r>
                </w:p>
              </w:tc>
              <w:tc>
                <w:tcPr>
                  <w:tcW w:w="718" w:type="pct"/>
                  <w:noWrap w:val="0"/>
                  <w:vAlign w:val="center"/>
                </w:tcPr>
                <w:p>
                  <w:pPr>
                    <w:pStyle w:val="17"/>
                    <w:bidi w:val="0"/>
                    <w:jc w:val="center"/>
                    <w:rPr>
                      <w:rFonts w:hint="default"/>
                      <w:lang w:val="en-US" w:eastAsia="zh-CN"/>
                    </w:rPr>
                  </w:pPr>
                  <w:r>
                    <w:t>Φ</w:t>
                  </w:r>
                  <w:r>
                    <w:rPr>
                      <w:rFonts w:hint="eastAsia"/>
                      <w:lang w:val="en-US" w:eastAsia="zh-CN"/>
                    </w:rPr>
                    <w:t>244.5</w:t>
                  </w:r>
                </w:p>
              </w:tc>
              <w:tc>
                <w:tcPr>
                  <w:tcW w:w="688" w:type="pct"/>
                  <w:noWrap w:val="0"/>
                  <w:vAlign w:val="center"/>
                </w:tcPr>
                <w:p>
                  <w:pPr>
                    <w:pStyle w:val="17"/>
                    <w:bidi w:val="0"/>
                    <w:jc w:val="center"/>
                    <w:rPr>
                      <w:rFonts w:hint="default"/>
                      <w:lang w:val="en-US" w:eastAsia="zh-CN"/>
                    </w:rPr>
                  </w:pPr>
                  <w:r>
                    <w:rPr>
                      <w:rFonts w:hint="eastAsia"/>
                      <w:lang w:val="en-US" w:eastAsia="zh-CN"/>
                    </w:rPr>
                    <w:t>800</w:t>
                  </w:r>
                </w:p>
              </w:tc>
              <w:tc>
                <w:tcPr>
                  <w:tcW w:w="849" w:type="pct"/>
                  <w:noWrap w:val="0"/>
                  <w:vAlign w:val="center"/>
                </w:tcPr>
                <w:p>
                  <w:pPr>
                    <w:pStyle w:val="17"/>
                    <w:bidi w:val="0"/>
                    <w:jc w:val="center"/>
                    <w:rPr>
                      <w:rFonts w:hint="default"/>
                      <w:lang w:val="en-US" w:eastAsia="zh-CN"/>
                    </w:rPr>
                  </w:pPr>
                  <w:r>
                    <w:rPr>
                      <w:rFonts w:hint="eastAsia"/>
                      <w:lang w:val="en-US" w:eastAsia="zh-CN"/>
                    </w:rPr>
                    <w:t>0-800</w:t>
                  </w:r>
                </w:p>
              </w:tc>
              <w:tc>
                <w:tcPr>
                  <w:tcW w:w="357" w:type="pct"/>
                  <w:noWrap w:val="0"/>
                  <w:vAlign w:val="center"/>
                </w:tcPr>
                <w:p>
                  <w:pPr>
                    <w:pStyle w:val="17"/>
                    <w:bidi w:val="0"/>
                    <w:jc w:val="center"/>
                  </w:pPr>
                  <w: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pct"/>
                <w:trHeight w:val="497" w:hRule="atLeast"/>
                <w:jc w:val="center"/>
              </w:trPr>
              <w:tc>
                <w:tcPr>
                  <w:tcW w:w="962" w:type="pct"/>
                  <w:noWrap w:val="0"/>
                  <w:vAlign w:val="center"/>
                </w:tcPr>
                <w:p>
                  <w:pPr>
                    <w:pStyle w:val="17"/>
                    <w:bidi w:val="0"/>
                    <w:jc w:val="center"/>
                  </w:pPr>
                  <w:r>
                    <w:rPr>
                      <w:rFonts w:hint="eastAsia"/>
                    </w:rPr>
                    <w:t>萨5-8-9二开</w:t>
                  </w:r>
                </w:p>
              </w:tc>
              <w:tc>
                <w:tcPr>
                  <w:tcW w:w="785" w:type="pct"/>
                  <w:vMerge w:val="restart"/>
                  <w:noWrap w:val="0"/>
                  <w:vAlign w:val="center"/>
                </w:tcPr>
                <w:p>
                  <w:pPr>
                    <w:pStyle w:val="17"/>
                    <w:bidi w:val="0"/>
                    <w:jc w:val="center"/>
                    <w:rPr>
                      <w:rFonts w:hint="default"/>
                      <w:lang w:val="en-US" w:eastAsia="zh-CN"/>
                    </w:rPr>
                  </w:pPr>
                  <w:r>
                    <w:t>Φ</w:t>
                  </w:r>
                  <w:r>
                    <w:rPr>
                      <w:rFonts w:hint="eastAsia"/>
                      <w:lang w:val="en-US" w:eastAsia="zh-CN"/>
                    </w:rPr>
                    <w:t>216</w:t>
                  </w:r>
                </w:p>
              </w:tc>
              <w:tc>
                <w:tcPr>
                  <w:tcW w:w="628" w:type="pct"/>
                  <w:noWrap w:val="0"/>
                  <w:vAlign w:val="center"/>
                </w:tcPr>
                <w:p>
                  <w:pPr>
                    <w:pStyle w:val="17"/>
                    <w:bidi w:val="0"/>
                    <w:rPr>
                      <w:rFonts w:hint="default"/>
                      <w:lang w:val="en-US" w:eastAsia="zh-CN"/>
                    </w:rPr>
                  </w:pPr>
                  <w:r>
                    <w:rPr>
                      <w:rFonts w:hint="eastAsia"/>
                      <w:lang w:val="en-US" w:eastAsia="zh-CN"/>
                    </w:rPr>
                    <w:t>800-3812</w:t>
                  </w:r>
                </w:p>
              </w:tc>
              <w:tc>
                <w:tcPr>
                  <w:tcW w:w="718" w:type="pct"/>
                  <w:vMerge w:val="restart"/>
                  <w:noWrap w:val="0"/>
                  <w:vAlign w:val="center"/>
                </w:tcPr>
                <w:p>
                  <w:pPr>
                    <w:pStyle w:val="17"/>
                    <w:bidi w:val="0"/>
                    <w:jc w:val="center"/>
                    <w:rPr>
                      <w:rFonts w:hint="default"/>
                      <w:lang w:val="en-US" w:eastAsia="zh-CN"/>
                    </w:rPr>
                  </w:pPr>
                  <w:r>
                    <w:t>Φ</w:t>
                  </w:r>
                  <w:r>
                    <w:rPr>
                      <w:rFonts w:hint="eastAsia"/>
                      <w:lang w:val="en-US" w:eastAsia="zh-CN"/>
                    </w:rPr>
                    <w:t>139.7</w:t>
                  </w:r>
                </w:p>
              </w:tc>
              <w:tc>
                <w:tcPr>
                  <w:tcW w:w="688" w:type="pct"/>
                  <w:noWrap w:val="0"/>
                  <w:vAlign w:val="center"/>
                </w:tcPr>
                <w:p>
                  <w:pPr>
                    <w:pStyle w:val="17"/>
                    <w:bidi w:val="0"/>
                    <w:rPr>
                      <w:rFonts w:hint="default"/>
                      <w:lang w:val="en-US" w:eastAsia="zh-CN"/>
                    </w:rPr>
                  </w:pPr>
                  <w:r>
                    <w:rPr>
                      <w:rFonts w:hint="eastAsia"/>
                      <w:lang w:val="en-US" w:eastAsia="zh-CN"/>
                    </w:rPr>
                    <w:t>3812</w:t>
                  </w:r>
                </w:p>
              </w:tc>
              <w:tc>
                <w:tcPr>
                  <w:tcW w:w="849" w:type="pct"/>
                  <w:noWrap w:val="0"/>
                  <w:vAlign w:val="center"/>
                </w:tcPr>
                <w:p>
                  <w:pPr>
                    <w:pStyle w:val="17"/>
                    <w:bidi w:val="0"/>
                    <w:rPr>
                      <w:rFonts w:hint="default"/>
                      <w:lang w:val="en-US" w:eastAsia="zh-CN"/>
                    </w:rPr>
                  </w:pPr>
                  <w:r>
                    <w:rPr>
                      <w:rFonts w:hint="eastAsia"/>
                      <w:lang w:val="en-US" w:eastAsia="zh-CN"/>
                    </w:rPr>
                    <w:t>抗盐800-3812</w:t>
                  </w:r>
                </w:p>
              </w:tc>
              <w:tc>
                <w:tcPr>
                  <w:tcW w:w="357" w:type="pct"/>
                  <w:vMerge w:val="restart"/>
                  <w:noWrap w:val="0"/>
                  <w:vAlign w:val="center"/>
                </w:tcPr>
                <w:p>
                  <w:pPr>
                    <w:pStyle w:val="17"/>
                    <w:bidi w:val="0"/>
                    <w:jc w:val="center"/>
                  </w:pPr>
                  <w: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pct"/>
                <w:trHeight w:val="497" w:hRule="atLeast"/>
                <w:jc w:val="center"/>
              </w:trPr>
              <w:tc>
                <w:tcPr>
                  <w:tcW w:w="962" w:type="pct"/>
                  <w:noWrap w:val="0"/>
                  <w:vAlign w:val="center"/>
                </w:tcPr>
                <w:p>
                  <w:pPr>
                    <w:pStyle w:val="17"/>
                    <w:bidi w:val="0"/>
                    <w:jc w:val="center"/>
                  </w:pPr>
                  <w:r>
                    <w:rPr>
                      <w:rFonts w:hint="eastAsia"/>
                    </w:rPr>
                    <w:t>萨5-8-10二开</w:t>
                  </w:r>
                </w:p>
              </w:tc>
              <w:tc>
                <w:tcPr>
                  <w:tcW w:w="785" w:type="pct"/>
                  <w:vMerge w:val="continue"/>
                  <w:noWrap w:val="0"/>
                  <w:vAlign w:val="center"/>
                </w:tcPr>
                <w:p>
                  <w:pPr>
                    <w:pStyle w:val="17"/>
                    <w:bidi w:val="0"/>
                    <w:jc w:val="center"/>
                  </w:pPr>
                </w:p>
              </w:tc>
              <w:tc>
                <w:tcPr>
                  <w:tcW w:w="628" w:type="pct"/>
                  <w:noWrap w:val="0"/>
                  <w:vAlign w:val="center"/>
                </w:tcPr>
                <w:p>
                  <w:pPr>
                    <w:pStyle w:val="17"/>
                    <w:bidi w:val="0"/>
                    <w:rPr>
                      <w:rFonts w:hint="eastAsia"/>
                      <w:lang w:val="en-US" w:eastAsia="zh-CN"/>
                    </w:rPr>
                  </w:pPr>
                  <w:r>
                    <w:rPr>
                      <w:rFonts w:hint="eastAsia"/>
                      <w:lang w:val="en-US" w:eastAsia="zh-CN"/>
                    </w:rPr>
                    <w:t>800-3744</w:t>
                  </w:r>
                </w:p>
              </w:tc>
              <w:tc>
                <w:tcPr>
                  <w:tcW w:w="718" w:type="pct"/>
                  <w:vMerge w:val="continue"/>
                  <w:noWrap w:val="0"/>
                  <w:vAlign w:val="center"/>
                </w:tcPr>
                <w:p>
                  <w:pPr>
                    <w:pStyle w:val="17"/>
                    <w:bidi w:val="0"/>
                    <w:jc w:val="center"/>
                  </w:pPr>
                </w:p>
              </w:tc>
              <w:tc>
                <w:tcPr>
                  <w:tcW w:w="688" w:type="pct"/>
                  <w:noWrap w:val="0"/>
                  <w:vAlign w:val="center"/>
                </w:tcPr>
                <w:p>
                  <w:pPr>
                    <w:pStyle w:val="17"/>
                    <w:bidi w:val="0"/>
                    <w:rPr>
                      <w:rFonts w:hint="eastAsia"/>
                      <w:lang w:val="en-US" w:eastAsia="zh-CN"/>
                    </w:rPr>
                  </w:pPr>
                  <w:r>
                    <w:rPr>
                      <w:rFonts w:hint="eastAsia"/>
                      <w:lang w:val="en-US" w:eastAsia="zh-CN"/>
                    </w:rPr>
                    <w:t>3744</w:t>
                  </w:r>
                </w:p>
              </w:tc>
              <w:tc>
                <w:tcPr>
                  <w:tcW w:w="849" w:type="pct"/>
                  <w:noWrap w:val="0"/>
                  <w:vAlign w:val="center"/>
                </w:tcPr>
                <w:p>
                  <w:pPr>
                    <w:pStyle w:val="17"/>
                    <w:bidi w:val="0"/>
                  </w:pPr>
                  <w:r>
                    <w:rPr>
                      <w:rFonts w:hint="eastAsia"/>
                      <w:lang w:val="en-US" w:eastAsia="zh-CN"/>
                    </w:rPr>
                    <w:t>抗盐800-3744</w:t>
                  </w:r>
                </w:p>
              </w:tc>
              <w:tc>
                <w:tcPr>
                  <w:tcW w:w="357" w:type="pct"/>
                  <w:vMerge w:val="continue"/>
                  <w:noWrap w:val="0"/>
                  <w:vAlign w:val="center"/>
                </w:tcPr>
                <w:p>
                  <w:pPr>
                    <w:pStyle w:val="17"/>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pct"/>
                <w:trHeight w:val="497" w:hRule="atLeast"/>
                <w:jc w:val="center"/>
              </w:trPr>
              <w:tc>
                <w:tcPr>
                  <w:tcW w:w="962" w:type="pct"/>
                  <w:noWrap w:val="0"/>
                  <w:vAlign w:val="center"/>
                </w:tcPr>
                <w:p>
                  <w:pPr>
                    <w:pStyle w:val="17"/>
                    <w:bidi w:val="0"/>
                    <w:jc w:val="center"/>
                  </w:pPr>
                  <w:r>
                    <w:rPr>
                      <w:rFonts w:hint="eastAsia"/>
                    </w:rPr>
                    <w:t>萨5-9-8二开</w:t>
                  </w:r>
                </w:p>
              </w:tc>
              <w:tc>
                <w:tcPr>
                  <w:tcW w:w="785" w:type="pct"/>
                  <w:vMerge w:val="continue"/>
                  <w:noWrap w:val="0"/>
                  <w:vAlign w:val="center"/>
                </w:tcPr>
                <w:p>
                  <w:pPr>
                    <w:pStyle w:val="17"/>
                    <w:bidi w:val="0"/>
                    <w:jc w:val="center"/>
                  </w:pPr>
                </w:p>
              </w:tc>
              <w:tc>
                <w:tcPr>
                  <w:tcW w:w="628" w:type="pct"/>
                  <w:noWrap w:val="0"/>
                  <w:vAlign w:val="center"/>
                </w:tcPr>
                <w:p>
                  <w:pPr>
                    <w:pStyle w:val="17"/>
                    <w:bidi w:val="0"/>
                    <w:rPr>
                      <w:rFonts w:hint="eastAsia"/>
                      <w:lang w:val="en-US" w:eastAsia="zh-CN"/>
                    </w:rPr>
                  </w:pPr>
                  <w:r>
                    <w:rPr>
                      <w:rFonts w:hint="eastAsia"/>
                      <w:lang w:val="en-US" w:eastAsia="zh-CN"/>
                    </w:rPr>
                    <w:t>800-3754</w:t>
                  </w:r>
                </w:p>
              </w:tc>
              <w:tc>
                <w:tcPr>
                  <w:tcW w:w="718" w:type="pct"/>
                  <w:vMerge w:val="continue"/>
                  <w:noWrap w:val="0"/>
                  <w:vAlign w:val="center"/>
                </w:tcPr>
                <w:p>
                  <w:pPr>
                    <w:pStyle w:val="17"/>
                    <w:bidi w:val="0"/>
                    <w:jc w:val="center"/>
                  </w:pPr>
                </w:p>
              </w:tc>
              <w:tc>
                <w:tcPr>
                  <w:tcW w:w="688" w:type="pct"/>
                  <w:noWrap w:val="0"/>
                  <w:vAlign w:val="center"/>
                </w:tcPr>
                <w:p>
                  <w:pPr>
                    <w:pStyle w:val="17"/>
                    <w:bidi w:val="0"/>
                    <w:rPr>
                      <w:rFonts w:hint="eastAsia"/>
                      <w:lang w:val="en-US" w:eastAsia="zh-CN"/>
                    </w:rPr>
                  </w:pPr>
                  <w:r>
                    <w:rPr>
                      <w:rFonts w:hint="eastAsia"/>
                      <w:lang w:val="en-US" w:eastAsia="zh-CN"/>
                    </w:rPr>
                    <w:t>3754</w:t>
                  </w:r>
                </w:p>
              </w:tc>
              <w:tc>
                <w:tcPr>
                  <w:tcW w:w="849" w:type="pct"/>
                  <w:noWrap w:val="0"/>
                  <w:vAlign w:val="center"/>
                </w:tcPr>
                <w:p>
                  <w:pPr>
                    <w:pStyle w:val="17"/>
                    <w:bidi w:val="0"/>
                  </w:pPr>
                  <w:r>
                    <w:rPr>
                      <w:rFonts w:hint="eastAsia"/>
                      <w:lang w:val="en-US" w:eastAsia="zh-CN"/>
                    </w:rPr>
                    <w:t>抗盐800-3754</w:t>
                  </w:r>
                </w:p>
              </w:tc>
              <w:tc>
                <w:tcPr>
                  <w:tcW w:w="357" w:type="pct"/>
                  <w:vMerge w:val="continue"/>
                  <w:noWrap w:val="0"/>
                  <w:vAlign w:val="center"/>
                </w:tcPr>
                <w:p>
                  <w:pPr>
                    <w:pStyle w:val="17"/>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pct"/>
                <w:trHeight w:val="497" w:hRule="atLeast"/>
                <w:jc w:val="center"/>
              </w:trPr>
              <w:tc>
                <w:tcPr>
                  <w:tcW w:w="962" w:type="pct"/>
                  <w:noWrap w:val="0"/>
                  <w:vAlign w:val="center"/>
                </w:tcPr>
                <w:p>
                  <w:pPr>
                    <w:pStyle w:val="17"/>
                    <w:bidi w:val="0"/>
                    <w:jc w:val="center"/>
                  </w:pPr>
                  <w:r>
                    <w:rPr>
                      <w:rFonts w:hint="eastAsia"/>
                    </w:rPr>
                    <w:t>萨5-9-9二开</w:t>
                  </w:r>
                </w:p>
              </w:tc>
              <w:tc>
                <w:tcPr>
                  <w:tcW w:w="785" w:type="pct"/>
                  <w:vMerge w:val="continue"/>
                  <w:noWrap w:val="0"/>
                  <w:vAlign w:val="center"/>
                </w:tcPr>
                <w:p>
                  <w:pPr>
                    <w:pStyle w:val="17"/>
                    <w:bidi w:val="0"/>
                    <w:jc w:val="center"/>
                  </w:pPr>
                </w:p>
              </w:tc>
              <w:tc>
                <w:tcPr>
                  <w:tcW w:w="628" w:type="pct"/>
                  <w:noWrap w:val="0"/>
                  <w:vAlign w:val="center"/>
                </w:tcPr>
                <w:p>
                  <w:pPr>
                    <w:pStyle w:val="17"/>
                    <w:bidi w:val="0"/>
                    <w:rPr>
                      <w:rFonts w:hint="eastAsia"/>
                      <w:lang w:val="en-US" w:eastAsia="zh-CN"/>
                    </w:rPr>
                  </w:pPr>
                  <w:r>
                    <w:rPr>
                      <w:rFonts w:hint="eastAsia"/>
                      <w:lang w:val="en-US" w:eastAsia="zh-CN"/>
                    </w:rPr>
                    <w:t>800-3821</w:t>
                  </w:r>
                </w:p>
              </w:tc>
              <w:tc>
                <w:tcPr>
                  <w:tcW w:w="718" w:type="pct"/>
                  <w:vMerge w:val="continue"/>
                  <w:noWrap w:val="0"/>
                  <w:vAlign w:val="center"/>
                </w:tcPr>
                <w:p>
                  <w:pPr>
                    <w:pStyle w:val="17"/>
                    <w:bidi w:val="0"/>
                    <w:jc w:val="center"/>
                  </w:pPr>
                </w:p>
              </w:tc>
              <w:tc>
                <w:tcPr>
                  <w:tcW w:w="688" w:type="pct"/>
                  <w:noWrap w:val="0"/>
                  <w:vAlign w:val="center"/>
                </w:tcPr>
                <w:p>
                  <w:pPr>
                    <w:pStyle w:val="17"/>
                    <w:bidi w:val="0"/>
                    <w:rPr>
                      <w:rFonts w:hint="eastAsia"/>
                      <w:lang w:val="en-US" w:eastAsia="zh-CN"/>
                    </w:rPr>
                  </w:pPr>
                  <w:r>
                    <w:rPr>
                      <w:rFonts w:hint="eastAsia"/>
                      <w:lang w:val="en-US" w:eastAsia="zh-CN"/>
                    </w:rPr>
                    <w:t>3821</w:t>
                  </w:r>
                </w:p>
              </w:tc>
              <w:tc>
                <w:tcPr>
                  <w:tcW w:w="849" w:type="pct"/>
                  <w:noWrap w:val="0"/>
                  <w:vAlign w:val="center"/>
                </w:tcPr>
                <w:p>
                  <w:pPr>
                    <w:pStyle w:val="17"/>
                    <w:bidi w:val="0"/>
                  </w:pPr>
                  <w:r>
                    <w:rPr>
                      <w:rFonts w:hint="eastAsia"/>
                      <w:lang w:val="en-US" w:eastAsia="zh-CN"/>
                    </w:rPr>
                    <w:t>抗盐800-3821</w:t>
                  </w:r>
                </w:p>
              </w:tc>
              <w:tc>
                <w:tcPr>
                  <w:tcW w:w="357" w:type="pct"/>
                  <w:vMerge w:val="continue"/>
                  <w:noWrap w:val="0"/>
                  <w:vAlign w:val="center"/>
                </w:tcPr>
                <w:p>
                  <w:pPr>
                    <w:pStyle w:val="17"/>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pct"/>
                <w:trHeight w:val="497" w:hRule="atLeast"/>
                <w:jc w:val="center"/>
              </w:trPr>
              <w:tc>
                <w:tcPr>
                  <w:tcW w:w="962" w:type="pct"/>
                  <w:noWrap w:val="0"/>
                  <w:vAlign w:val="center"/>
                </w:tcPr>
                <w:p>
                  <w:pPr>
                    <w:pStyle w:val="17"/>
                    <w:bidi w:val="0"/>
                    <w:jc w:val="center"/>
                  </w:pPr>
                  <w:r>
                    <w:rPr>
                      <w:rFonts w:hint="eastAsia"/>
                    </w:rPr>
                    <w:t>萨5-9-10二开</w:t>
                  </w:r>
                </w:p>
              </w:tc>
              <w:tc>
                <w:tcPr>
                  <w:tcW w:w="785" w:type="pct"/>
                  <w:vMerge w:val="continue"/>
                  <w:noWrap w:val="0"/>
                  <w:vAlign w:val="center"/>
                </w:tcPr>
                <w:p>
                  <w:pPr>
                    <w:pStyle w:val="17"/>
                    <w:bidi w:val="0"/>
                    <w:jc w:val="center"/>
                  </w:pPr>
                </w:p>
              </w:tc>
              <w:tc>
                <w:tcPr>
                  <w:tcW w:w="628" w:type="pct"/>
                  <w:noWrap w:val="0"/>
                  <w:vAlign w:val="center"/>
                </w:tcPr>
                <w:p>
                  <w:pPr>
                    <w:pStyle w:val="17"/>
                    <w:bidi w:val="0"/>
                    <w:rPr>
                      <w:rFonts w:hint="eastAsia"/>
                      <w:lang w:val="en-US" w:eastAsia="zh-CN"/>
                    </w:rPr>
                  </w:pPr>
                  <w:r>
                    <w:rPr>
                      <w:rFonts w:hint="eastAsia"/>
                      <w:lang w:val="en-US" w:eastAsia="zh-CN"/>
                    </w:rPr>
                    <w:t>800-3827</w:t>
                  </w:r>
                </w:p>
              </w:tc>
              <w:tc>
                <w:tcPr>
                  <w:tcW w:w="718" w:type="pct"/>
                  <w:vMerge w:val="continue"/>
                  <w:noWrap w:val="0"/>
                  <w:vAlign w:val="center"/>
                </w:tcPr>
                <w:p>
                  <w:pPr>
                    <w:pStyle w:val="17"/>
                    <w:bidi w:val="0"/>
                    <w:jc w:val="center"/>
                  </w:pPr>
                </w:p>
              </w:tc>
              <w:tc>
                <w:tcPr>
                  <w:tcW w:w="688" w:type="pct"/>
                  <w:noWrap w:val="0"/>
                  <w:vAlign w:val="center"/>
                </w:tcPr>
                <w:p>
                  <w:pPr>
                    <w:pStyle w:val="17"/>
                    <w:bidi w:val="0"/>
                    <w:rPr>
                      <w:rFonts w:hint="eastAsia"/>
                      <w:lang w:val="en-US" w:eastAsia="zh-CN"/>
                    </w:rPr>
                  </w:pPr>
                  <w:r>
                    <w:rPr>
                      <w:rFonts w:hint="eastAsia"/>
                      <w:lang w:val="en-US" w:eastAsia="zh-CN"/>
                    </w:rPr>
                    <w:t>3827</w:t>
                  </w:r>
                </w:p>
              </w:tc>
              <w:tc>
                <w:tcPr>
                  <w:tcW w:w="849" w:type="pct"/>
                  <w:noWrap w:val="0"/>
                  <w:vAlign w:val="center"/>
                </w:tcPr>
                <w:p>
                  <w:pPr>
                    <w:pStyle w:val="17"/>
                    <w:bidi w:val="0"/>
                  </w:pPr>
                  <w:r>
                    <w:rPr>
                      <w:rFonts w:hint="eastAsia"/>
                      <w:lang w:val="en-US" w:eastAsia="zh-CN"/>
                    </w:rPr>
                    <w:t>抗盐800-3827</w:t>
                  </w:r>
                </w:p>
              </w:tc>
              <w:tc>
                <w:tcPr>
                  <w:tcW w:w="357" w:type="pct"/>
                  <w:vMerge w:val="continue"/>
                  <w:noWrap w:val="0"/>
                  <w:vAlign w:val="center"/>
                </w:tcPr>
                <w:p>
                  <w:pPr>
                    <w:pStyle w:val="17"/>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pct"/>
                <w:trHeight w:val="497" w:hRule="atLeast"/>
                <w:jc w:val="center"/>
              </w:trPr>
              <w:tc>
                <w:tcPr>
                  <w:tcW w:w="962" w:type="pct"/>
                  <w:noWrap w:val="0"/>
                  <w:vAlign w:val="center"/>
                </w:tcPr>
                <w:p>
                  <w:pPr>
                    <w:pStyle w:val="17"/>
                    <w:bidi w:val="0"/>
                    <w:jc w:val="center"/>
                  </w:pPr>
                  <w:r>
                    <w:rPr>
                      <w:rFonts w:hint="eastAsia"/>
                    </w:rPr>
                    <w:t>萨5-11-9二开</w:t>
                  </w:r>
                </w:p>
              </w:tc>
              <w:tc>
                <w:tcPr>
                  <w:tcW w:w="785" w:type="pct"/>
                  <w:vMerge w:val="continue"/>
                  <w:noWrap w:val="0"/>
                  <w:vAlign w:val="center"/>
                </w:tcPr>
                <w:p>
                  <w:pPr>
                    <w:pStyle w:val="17"/>
                    <w:bidi w:val="0"/>
                    <w:jc w:val="center"/>
                  </w:pPr>
                </w:p>
              </w:tc>
              <w:tc>
                <w:tcPr>
                  <w:tcW w:w="628" w:type="pct"/>
                  <w:noWrap w:val="0"/>
                  <w:vAlign w:val="center"/>
                </w:tcPr>
                <w:p>
                  <w:pPr>
                    <w:pStyle w:val="17"/>
                    <w:bidi w:val="0"/>
                    <w:rPr>
                      <w:rFonts w:hint="eastAsia"/>
                      <w:lang w:val="en-US" w:eastAsia="zh-CN"/>
                    </w:rPr>
                  </w:pPr>
                  <w:r>
                    <w:rPr>
                      <w:rFonts w:hint="eastAsia"/>
                      <w:lang w:val="en-US" w:eastAsia="zh-CN"/>
                    </w:rPr>
                    <w:t>800-3840</w:t>
                  </w:r>
                </w:p>
              </w:tc>
              <w:tc>
                <w:tcPr>
                  <w:tcW w:w="718" w:type="pct"/>
                  <w:vMerge w:val="continue"/>
                  <w:noWrap w:val="0"/>
                  <w:vAlign w:val="center"/>
                </w:tcPr>
                <w:p>
                  <w:pPr>
                    <w:pStyle w:val="17"/>
                    <w:bidi w:val="0"/>
                    <w:jc w:val="center"/>
                  </w:pPr>
                </w:p>
              </w:tc>
              <w:tc>
                <w:tcPr>
                  <w:tcW w:w="688" w:type="pct"/>
                  <w:noWrap w:val="0"/>
                  <w:vAlign w:val="center"/>
                </w:tcPr>
                <w:p>
                  <w:pPr>
                    <w:pStyle w:val="17"/>
                    <w:bidi w:val="0"/>
                    <w:rPr>
                      <w:rFonts w:hint="eastAsia"/>
                      <w:lang w:val="en-US" w:eastAsia="zh-CN"/>
                    </w:rPr>
                  </w:pPr>
                  <w:r>
                    <w:rPr>
                      <w:rFonts w:hint="eastAsia"/>
                      <w:lang w:val="en-US" w:eastAsia="zh-CN"/>
                    </w:rPr>
                    <w:t>3840</w:t>
                  </w:r>
                </w:p>
              </w:tc>
              <w:tc>
                <w:tcPr>
                  <w:tcW w:w="849" w:type="pct"/>
                  <w:noWrap w:val="0"/>
                  <w:vAlign w:val="center"/>
                </w:tcPr>
                <w:p>
                  <w:pPr>
                    <w:pStyle w:val="17"/>
                    <w:bidi w:val="0"/>
                  </w:pPr>
                  <w:r>
                    <w:rPr>
                      <w:rFonts w:hint="eastAsia"/>
                      <w:lang w:val="en-US" w:eastAsia="zh-CN"/>
                    </w:rPr>
                    <w:t>抗盐800-3840</w:t>
                  </w:r>
                </w:p>
              </w:tc>
              <w:tc>
                <w:tcPr>
                  <w:tcW w:w="357" w:type="pct"/>
                  <w:vMerge w:val="continue"/>
                  <w:noWrap w:val="0"/>
                  <w:vAlign w:val="center"/>
                </w:tcPr>
                <w:p>
                  <w:pPr>
                    <w:pStyle w:val="17"/>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pct"/>
                <w:trHeight w:val="497" w:hRule="atLeast"/>
                <w:jc w:val="center"/>
              </w:trPr>
              <w:tc>
                <w:tcPr>
                  <w:tcW w:w="962" w:type="pct"/>
                  <w:noWrap w:val="0"/>
                  <w:vAlign w:val="center"/>
                </w:tcPr>
                <w:p>
                  <w:pPr>
                    <w:pStyle w:val="17"/>
                    <w:bidi w:val="0"/>
                    <w:jc w:val="center"/>
                  </w:pPr>
                  <w:r>
                    <w:rPr>
                      <w:rFonts w:hint="eastAsia"/>
                    </w:rPr>
                    <w:t>萨5-11-10二开</w:t>
                  </w:r>
                </w:p>
              </w:tc>
              <w:tc>
                <w:tcPr>
                  <w:tcW w:w="785" w:type="pct"/>
                  <w:vMerge w:val="continue"/>
                  <w:noWrap w:val="0"/>
                  <w:vAlign w:val="center"/>
                </w:tcPr>
                <w:p>
                  <w:pPr>
                    <w:pStyle w:val="17"/>
                    <w:bidi w:val="0"/>
                    <w:jc w:val="center"/>
                  </w:pPr>
                </w:p>
              </w:tc>
              <w:tc>
                <w:tcPr>
                  <w:tcW w:w="628" w:type="pct"/>
                  <w:noWrap w:val="0"/>
                  <w:vAlign w:val="center"/>
                </w:tcPr>
                <w:p>
                  <w:pPr>
                    <w:pStyle w:val="17"/>
                    <w:bidi w:val="0"/>
                    <w:rPr>
                      <w:rFonts w:hint="eastAsia"/>
                      <w:lang w:val="en-US" w:eastAsia="zh-CN"/>
                    </w:rPr>
                  </w:pPr>
                  <w:r>
                    <w:rPr>
                      <w:rFonts w:hint="eastAsia"/>
                      <w:lang w:val="en-US" w:eastAsia="zh-CN"/>
                    </w:rPr>
                    <w:t>800-3837</w:t>
                  </w:r>
                </w:p>
              </w:tc>
              <w:tc>
                <w:tcPr>
                  <w:tcW w:w="718" w:type="pct"/>
                  <w:vMerge w:val="continue"/>
                  <w:noWrap w:val="0"/>
                  <w:vAlign w:val="center"/>
                </w:tcPr>
                <w:p>
                  <w:pPr>
                    <w:pStyle w:val="17"/>
                    <w:bidi w:val="0"/>
                    <w:jc w:val="center"/>
                  </w:pPr>
                </w:p>
              </w:tc>
              <w:tc>
                <w:tcPr>
                  <w:tcW w:w="688" w:type="pct"/>
                  <w:noWrap w:val="0"/>
                  <w:vAlign w:val="center"/>
                </w:tcPr>
                <w:p>
                  <w:pPr>
                    <w:pStyle w:val="17"/>
                    <w:bidi w:val="0"/>
                    <w:rPr>
                      <w:rFonts w:hint="eastAsia"/>
                      <w:lang w:val="en-US" w:eastAsia="zh-CN"/>
                    </w:rPr>
                  </w:pPr>
                  <w:r>
                    <w:rPr>
                      <w:rFonts w:hint="eastAsia"/>
                      <w:lang w:val="en-US" w:eastAsia="zh-CN"/>
                    </w:rPr>
                    <w:t>3837</w:t>
                  </w:r>
                </w:p>
              </w:tc>
              <w:tc>
                <w:tcPr>
                  <w:tcW w:w="849" w:type="pct"/>
                  <w:noWrap w:val="0"/>
                  <w:vAlign w:val="center"/>
                </w:tcPr>
                <w:p>
                  <w:pPr>
                    <w:pStyle w:val="17"/>
                    <w:bidi w:val="0"/>
                  </w:pPr>
                  <w:r>
                    <w:rPr>
                      <w:rFonts w:hint="eastAsia"/>
                      <w:lang w:val="en-US" w:eastAsia="zh-CN"/>
                    </w:rPr>
                    <w:t>抗盐800-3837</w:t>
                  </w:r>
                </w:p>
              </w:tc>
              <w:tc>
                <w:tcPr>
                  <w:tcW w:w="357" w:type="pct"/>
                  <w:vMerge w:val="continue"/>
                  <w:noWrap w:val="0"/>
                  <w:vAlign w:val="center"/>
                </w:tcPr>
                <w:p>
                  <w:pPr>
                    <w:pStyle w:val="17"/>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pct"/>
                <w:trHeight w:val="497" w:hRule="atLeast"/>
                <w:jc w:val="center"/>
              </w:trPr>
              <w:tc>
                <w:tcPr>
                  <w:tcW w:w="962" w:type="pct"/>
                  <w:noWrap w:val="0"/>
                  <w:vAlign w:val="center"/>
                </w:tcPr>
                <w:p>
                  <w:pPr>
                    <w:pStyle w:val="17"/>
                    <w:bidi w:val="0"/>
                    <w:jc w:val="center"/>
                  </w:pPr>
                  <w:r>
                    <w:rPr>
                      <w:rFonts w:hint="eastAsia"/>
                    </w:rPr>
                    <w:t>萨5-12-9二开</w:t>
                  </w:r>
                </w:p>
              </w:tc>
              <w:tc>
                <w:tcPr>
                  <w:tcW w:w="785" w:type="pct"/>
                  <w:vMerge w:val="continue"/>
                  <w:noWrap w:val="0"/>
                  <w:vAlign w:val="center"/>
                </w:tcPr>
                <w:p>
                  <w:pPr>
                    <w:pStyle w:val="17"/>
                    <w:bidi w:val="0"/>
                    <w:jc w:val="center"/>
                  </w:pPr>
                </w:p>
              </w:tc>
              <w:tc>
                <w:tcPr>
                  <w:tcW w:w="628" w:type="pct"/>
                  <w:noWrap w:val="0"/>
                  <w:vAlign w:val="center"/>
                </w:tcPr>
                <w:p>
                  <w:pPr>
                    <w:pStyle w:val="17"/>
                    <w:bidi w:val="0"/>
                    <w:rPr>
                      <w:rFonts w:hint="eastAsia"/>
                      <w:lang w:val="en-US" w:eastAsia="zh-CN"/>
                    </w:rPr>
                  </w:pPr>
                  <w:r>
                    <w:rPr>
                      <w:rFonts w:hint="eastAsia"/>
                      <w:lang w:val="en-US" w:eastAsia="zh-CN"/>
                    </w:rPr>
                    <w:t>800-3817</w:t>
                  </w:r>
                </w:p>
              </w:tc>
              <w:tc>
                <w:tcPr>
                  <w:tcW w:w="718" w:type="pct"/>
                  <w:vMerge w:val="continue"/>
                  <w:noWrap w:val="0"/>
                  <w:vAlign w:val="center"/>
                </w:tcPr>
                <w:p>
                  <w:pPr>
                    <w:pStyle w:val="17"/>
                    <w:bidi w:val="0"/>
                    <w:jc w:val="center"/>
                  </w:pPr>
                </w:p>
              </w:tc>
              <w:tc>
                <w:tcPr>
                  <w:tcW w:w="688" w:type="pct"/>
                  <w:noWrap w:val="0"/>
                  <w:vAlign w:val="center"/>
                </w:tcPr>
                <w:p>
                  <w:pPr>
                    <w:pStyle w:val="17"/>
                    <w:bidi w:val="0"/>
                    <w:rPr>
                      <w:rFonts w:hint="eastAsia"/>
                      <w:lang w:val="en-US" w:eastAsia="zh-CN"/>
                    </w:rPr>
                  </w:pPr>
                  <w:r>
                    <w:rPr>
                      <w:rFonts w:hint="eastAsia"/>
                      <w:lang w:val="en-US" w:eastAsia="zh-CN"/>
                    </w:rPr>
                    <w:t>3817</w:t>
                  </w:r>
                </w:p>
              </w:tc>
              <w:tc>
                <w:tcPr>
                  <w:tcW w:w="849" w:type="pct"/>
                  <w:noWrap w:val="0"/>
                  <w:vAlign w:val="center"/>
                </w:tcPr>
                <w:p>
                  <w:pPr>
                    <w:pStyle w:val="17"/>
                    <w:bidi w:val="0"/>
                  </w:pPr>
                  <w:r>
                    <w:rPr>
                      <w:rFonts w:hint="eastAsia"/>
                      <w:lang w:val="en-US" w:eastAsia="zh-CN"/>
                    </w:rPr>
                    <w:t>抗盐800-3817</w:t>
                  </w:r>
                </w:p>
              </w:tc>
              <w:tc>
                <w:tcPr>
                  <w:tcW w:w="357" w:type="pct"/>
                  <w:vMerge w:val="continue"/>
                  <w:noWrap w:val="0"/>
                  <w:vAlign w:val="center"/>
                </w:tcPr>
                <w:p>
                  <w:pPr>
                    <w:pStyle w:val="17"/>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2" w:hRule="atLeast"/>
                <w:jc w:val="center"/>
              </w:trPr>
              <w:tc>
                <w:tcPr>
                  <w:tcW w:w="5000" w:type="pct"/>
                  <w:gridSpan w:val="8"/>
                  <w:noWrap w:val="0"/>
                  <w:vAlign w:val="center"/>
                </w:tcPr>
                <w:p>
                  <w:pPr>
                    <w:pStyle w:val="17"/>
                    <w:bidi w:val="0"/>
                    <w:jc w:val="center"/>
                  </w:pPr>
                  <w:r>
                    <w:t>注：集团公司固井质量不合格判定红线为：</w:t>
                  </w:r>
                  <w:r>
                    <w:rPr>
                      <w:rFonts w:hint="eastAsia"/>
                    </w:rPr>
                    <w:t>①</w:t>
                  </w:r>
                  <w:r>
                    <w:t>固井水泥返高未达到设计值，且低于设计段长大于50m。</w:t>
                  </w:r>
                  <w:r>
                    <w:rPr>
                      <w:rFonts w:hint="eastAsia"/>
                    </w:rPr>
                    <w:t>②</w:t>
                  </w:r>
                  <w:r>
                    <w:t>生产套管固井质量在油气水层段、尾管重合段、上层套管鞋处、上层套管分级箍处及其以上25m环空范围内，固井水泥一、二界面胶结质量未达到连续胶结中等及以上。</w:t>
                  </w:r>
                  <w:r>
                    <w:rPr>
                      <w:rFonts w:hint="eastAsia"/>
                    </w:rPr>
                    <w:t>③</w:t>
                  </w:r>
                  <w:r>
                    <w:t>全井固井水泥环一、二界面胶结质量中等以上井段长度低于封固井段长度70%的。</w:t>
                  </w:r>
                  <w:r>
                    <w:rPr>
                      <w:rFonts w:hint="eastAsia"/>
                    </w:rPr>
                    <w:t>④</w:t>
                  </w:r>
                  <w:r>
                    <w:t>入井套管质量或固井用水泥及外加剂质量不合格的，或固井后套管柱试压不合格的。以上四项有任一项不满足要求则判定为固井质量不合格。</w:t>
                  </w:r>
                </w:p>
              </w:tc>
            </w:tr>
          </w:tbl>
          <w:p>
            <w:pPr>
              <w:pStyle w:val="19"/>
              <w:bidi w:val="0"/>
              <w:rPr>
                <w:rFonts w:hint="default"/>
                <w:lang w:val="en-US" w:eastAsia="zh-CN"/>
              </w:rPr>
            </w:pPr>
            <w:r>
              <w:rPr>
                <w:rFonts w:hint="eastAsia"/>
                <w:lang w:val="en-US" w:eastAsia="zh-CN"/>
              </w:rPr>
              <w:t>3.2钻井液</w:t>
            </w:r>
          </w:p>
          <w:p>
            <w:pPr>
              <w:pStyle w:val="16"/>
              <w:bidi w:val="0"/>
              <w:rPr>
                <w:rFonts w:hint="eastAsia"/>
                <w:lang w:eastAsia="zh-CN"/>
              </w:rPr>
            </w:pPr>
            <w:r>
              <w:rPr>
                <w:rFonts w:hint="default"/>
              </w:rPr>
              <w:t>本项目一开采用水基非磺化钻井液，二开采用油基钻井液</w:t>
            </w:r>
            <w:r>
              <w:rPr>
                <w:rFonts w:hint="eastAsia"/>
                <w:lang w:eastAsia="zh-CN"/>
              </w:rPr>
              <w:t>，</w:t>
            </w:r>
            <w:r>
              <w:rPr>
                <w:rFonts w:hint="default"/>
              </w:rPr>
              <w:t>钻井液设计见下表</w:t>
            </w:r>
            <w:r>
              <w:rPr>
                <w:rFonts w:hint="eastAsia"/>
                <w:lang w:eastAsia="zh-CN"/>
              </w:rPr>
              <w:t>。</w:t>
            </w:r>
          </w:p>
          <w:p>
            <w:pPr>
              <w:pStyle w:val="14"/>
              <w:bidi w:val="0"/>
              <w:rPr>
                <w:rFonts w:hint="default"/>
                <w:lang w:val="en-US" w:eastAsia="zh-CN"/>
              </w:rPr>
            </w:pPr>
            <w:r>
              <w:rPr>
                <w:rFonts w:hint="eastAsia"/>
                <w:lang w:val="en-US" w:eastAsia="zh-CN"/>
              </w:rPr>
              <w:t>表2-7   本项目钻井液设计表</w:t>
            </w:r>
          </w:p>
          <w:tbl>
            <w:tblPr>
              <w:tblStyle w:val="11"/>
              <w:tblW w:w="48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9"/>
              <w:gridCol w:w="587"/>
              <w:gridCol w:w="575"/>
              <w:gridCol w:w="625"/>
              <w:gridCol w:w="513"/>
              <w:gridCol w:w="637"/>
              <w:gridCol w:w="461"/>
              <w:gridCol w:w="514"/>
              <w:gridCol w:w="388"/>
              <w:gridCol w:w="137"/>
              <w:gridCol w:w="438"/>
              <w:gridCol w:w="150"/>
              <w:gridCol w:w="434"/>
              <w:gridCol w:w="144"/>
              <w:gridCol w:w="350"/>
              <w:gridCol w:w="69"/>
              <w:gridCol w:w="366"/>
              <w:gridCol w:w="75"/>
              <w:gridCol w:w="252"/>
              <w:gridCol w:w="137"/>
              <w:gridCol w:w="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91" w:hRule="atLeast"/>
                <w:jc w:val="center"/>
              </w:trPr>
              <w:tc>
                <w:tcPr>
                  <w:tcW w:w="599" w:type="pct"/>
                  <w:vMerge w:val="restart"/>
                  <w:noWrap w:val="0"/>
                  <w:vAlign w:val="center"/>
                </w:tcPr>
                <w:p>
                  <w:pPr>
                    <w:pStyle w:val="17"/>
                    <w:bidi w:val="0"/>
                  </w:pPr>
                  <w:r>
                    <w:t>开钻</w:t>
                  </w:r>
                </w:p>
                <w:p>
                  <w:pPr>
                    <w:pStyle w:val="17"/>
                    <w:bidi w:val="0"/>
                  </w:pPr>
                  <w:r>
                    <w:t>次序</w:t>
                  </w:r>
                </w:p>
              </w:tc>
              <w:tc>
                <w:tcPr>
                  <w:tcW w:w="359" w:type="pct"/>
                  <w:vMerge w:val="restart"/>
                  <w:noWrap w:val="0"/>
                  <w:vAlign w:val="center"/>
                </w:tcPr>
                <w:p>
                  <w:pPr>
                    <w:pStyle w:val="17"/>
                    <w:bidi w:val="0"/>
                  </w:pPr>
                  <w:r>
                    <w:t>井段</w:t>
                  </w:r>
                </w:p>
                <w:p>
                  <w:pPr>
                    <w:pStyle w:val="17"/>
                    <w:bidi w:val="0"/>
                  </w:pPr>
                  <w:r>
                    <w:t>m</w:t>
                  </w:r>
                </w:p>
              </w:tc>
              <w:tc>
                <w:tcPr>
                  <w:tcW w:w="2356" w:type="pct"/>
                  <w:gridSpan w:val="8"/>
                  <w:noWrap w:val="0"/>
                  <w:vAlign w:val="center"/>
                </w:tcPr>
                <w:p>
                  <w:pPr>
                    <w:pStyle w:val="17"/>
                    <w:bidi w:val="0"/>
                  </w:pPr>
                  <w:r>
                    <w:t>常规性能（控制指标）</w:t>
                  </w:r>
                </w:p>
              </w:tc>
              <w:tc>
                <w:tcPr>
                  <w:tcW w:w="1684" w:type="pct"/>
                  <w:gridSpan w:val="11"/>
                  <w:noWrap w:val="0"/>
                  <w:vAlign w:val="center"/>
                </w:tcPr>
                <w:p>
                  <w:pPr>
                    <w:pStyle w:val="17"/>
                    <w:bidi w:val="0"/>
                  </w:pPr>
                  <w:r>
                    <w:t>推荐性能（参考指标）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7" w:hRule="atLeast"/>
                <w:jc w:val="center"/>
              </w:trPr>
              <w:tc>
                <w:tcPr>
                  <w:tcW w:w="599" w:type="pct"/>
                  <w:vMerge w:val="continue"/>
                  <w:noWrap w:val="0"/>
                  <w:vAlign w:val="center"/>
                </w:tcPr>
                <w:p>
                  <w:pPr>
                    <w:pStyle w:val="17"/>
                    <w:bidi w:val="0"/>
                  </w:pPr>
                </w:p>
              </w:tc>
              <w:tc>
                <w:tcPr>
                  <w:tcW w:w="359" w:type="pct"/>
                  <w:vMerge w:val="continue"/>
                  <w:noWrap w:val="0"/>
                  <w:vAlign w:val="center"/>
                </w:tcPr>
                <w:p>
                  <w:pPr>
                    <w:pStyle w:val="17"/>
                    <w:bidi w:val="0"/>
                  </w:pPr>
                </w:p>
              </w:tc>
              <w:tc>
                <w:tcPr>
                  <w:tcW w:w="351" w:type="pct"/>
                  <w:noWrap w:val="0"/>
                  <w:vAlign w:val="center"/>
                </w:tcPr>
                <w:p>
                  <w:pPr>
                    <w:pStyle w:val="17"/>
                    <w:bidi w:val="0"/>
                  </w:pPr>
                  <w:r>
                    <w:t>密度</w:t>
                  </w:r>
                </w:p>
                <w:p>
                  <w:pPr>
                    <w:pStyle w:val="17"/>
                    <w:bidi w:val="0"/>
                  </w:pPr>
                  <w:r>
                    <w:t>g/cm</w:t>
                  </w:r>
                  <w:r>
                    <w:rPr>
                      <w:vertAlign w:val="superscript"/>
                    </w:rPr>
                    <w:t>3</w:t>
                  </w:r>
                </w:p>
              </w:tc>
              <w:tc>
                <w:tcPr>
                  <w:tcW w:w="382" w:type="pct"/>
                  <w:noWrap w:val="0"/>
                  <w:vAlign w:val="center"/>
                </w:tcPr>
                <w:p>
                  <w:pPr>
                    <w:pStyle w:val="17"/>
                    <w:bidi w:val="0"/>
                  </w:pPr>
                  <w:r>
                    <w:t>API</w:t>
                  </w:r>
                </w:p>
                <w:p>
                  <w:pPr>
                    <w:pStyle w:val="17"/>
                    <w:bidi w:val="0"/>
                  </w:pPr>
                  <w:r>
                    <w:t>mL</w:t>
                  </w:r>
                </w:p>
              </w:tc>
              <w:tc>
                <w:tcPr>
                  <w:tcW w:w="314" w:type="pct"/>
                  <w:noWrap w:val="0"/>
                  <w:vAlign w:val="center"/>
                </w:tcPr>
                <w:p>
                  <w:pPr>
                    <w:pStyle w:val="17"/>
                    <w:bidi w:val="0"/>
                  </w:pPr>
                  <w:r>
                    <w:t>泥饼</w:t>
                  </w:r>
                </w:p>
                <w:p>
                  <w:pPr>
                    <w:pStyle w:val="17"/>
                    <w:bidi w:val="0"/>
                  </w:pPr>
                  <w:r>
                    <w:t>mm</w:t>
                  </w:r>
                </w:p>
              </w:tc>
              <w:tc>
                <w:tcPr>
                  <w:tcW w:w="389" w:type="pct"/>
                  <w:noWrap w:val="0"/>
                  <w:vAlign w:val="center"/>
                </w:tcPr>
                <w:p>
                  <w:pPr>
                    <w:pStyle w:val="17"/>
                    <w:bidi w:val="0"/>
                  </w:pPr>
                  <w:r>
                    <w:t>坂含</w:t>
                  </w:r>
                </w:p>
                <w:p>
                  <w:pPr>
                    <w:pStyle w:val="17"/>
                    <w:bidi w:val="0"/>
                  </w:pPr>
                  <w:r>
                    <w:t>g/L</w:t>
                  </w:r>
                </w:p>
              </w:tc>
              <w:tc>
                <w:tcPr>
                  <w:tcW w:w="282" w:type="pct"/>
                  <w:noWrap w:val="0"/>
                  <w:vAlign w:val="center"/>
                </w:tcPr>
                <w:p>
                  <w:pPr>
                    <w:pStyle w:val="17"/>
                    <w:bidi w:val="0"/>
                  </w:pPr>
                  <w:r>
                    <w:t>固相</w:t>
                  </w:r>
                </w:p>
                <w:p>
                  <w:pPr>
                    <w:pStyle w:val="17"/>
                    <w:bidi w:val="0"/>
                  </w:pPr>
                  <w:r>
                    <w:t>%</w:t>
                  </w:r>
                </w:p>
              </w:tc>
              <w:tc>
                <w:tcPr>
                  <w:tcW w:w="314" w:type="pct"/>
                  <w:noWrap w:val="0"/>
                  <w:vAlign w:val="center"/>
                </w:tcPr>
                <w:p>
                  <w:pPr>
                    <w:pStyle w:val="17"/>
                    <w:bidi w:val="0"/>
                  </w:pPr>
                  <w:r>
                    <w:t>含砂</w:t>
                  </w:r>
                </w:p>
                <w:p>
                  <w:pPr>
                    <w:pStyle w:val="17"/>
                    <w:bidi w:val="0"/>
                  </w:pPr>
                  <w:r>
                    <w:t>%</w:t>
                  </w:r>
                </w:p>
              </w:tc>
              <w:tc>
                <w:tcPr>
                  <w:tcW w:w="237" w:type="pct"/>
                  <w:noWrap w:val="0"/>
                  <w:vAlign w:val="center"/>
                </w:tcPr>
                <w:p>
                  <w:pPr>
                    <w:pStyle w:val="17"/>
                    <w:bidi w:val="0"/>
                  </w:pPr>
                  <w:r>
                    <w:t>HTHPmL</w:t>
                  </w:r>
                </w:p>
              </w:tc>
              <w:tc>
                <w:tcPr>
                  <w:tcW w:w="351" w:type="pct"/>
                  <w:gridSpan w:val="2"/>
                  <w:noWrap w:val="0"/>
                  <w:vAlign w:val="center"/>
                </w:tcPr>
                <w:p>
                  <w:pPr>
                    <w:pStyle w:val="17"/>
                    <w:bidi w:val="0"/>
                  </w:pPr>
                  <w:r>
                    <w:t>粘度s</w:t>
                  </w:r>
                </w:p>
              </w:tc>
              <w:tc>
                <w:tcPr>
                  <w:tcW w:w="357" w:type="pct"/>
                  <w:gridSpan w:val="2"/>
                  <w:noWrap w:val="0"/>
                  <w:vAlign w:val="center"/>
                </w:tcPr>
                <w:p>
                  <w:pPr>
                    <w:pStyle w:val="17"/>
                    <w:bidi w:val="0"/>
                  </w:pPr>
                  <w:r>
                    <w:t>塑粘</w:t>
                  </w:r>
                </w:p>
                <w:p>
                  <w:pPr>
                    <w:pStyle w:val="17"/>
                    <w:bidi w:val="0"/>
                  </w:pPr>
                  <w:r>
                    <w:t>mPa.s</w:t>
                  </w:r>
                </w:p>
              </w:tc>
              <w:tc>
                <w:tcPr>
                  <w:tcW w:w="302" w:type="pct"/>
                  <w:gridSpan w:val="2"/>
                  <w:noWrap w:val="0"/>
                  <w:vAlign w:val="center"/>
                </w:tcPr>
                <w:p>
                  <w:pPr>
                    <w:pStyle w:val="17"/>
                    <w:bidi w:val="0"/>
                  </w:pPr>
                  <w:r>
                    <w:t>动切</w:t>
                  </w:r>
                </w:p>
                <w:p>
                  <w:pPr>
                    <w:pStyle w:val="17"/>
                    <w:bidi w:val="0"/>
                  </w:pPr>
                  <w:r>
                    <w:t>Pa</w:t>
                  </w:r>
                </w:p>
              </w:tc>
              <w:tc>
                <w:tcPr>
                  <w:tcW w:w="266" w:type="pct"/>
                  <w:gridSpan w:val="2"/>
                  <w:noWrap w:val="0"/>
                  <w:vAlign w:val="center"/>
                </w:tcPr>
                <w:p>
                  <w:pPr>
                    <w:pStyle w:val="17"/>
                    <w:bidi w:val="0"/>
                  </w:pPr>
                  <w:r>
                    <w:t>初切</w:t>
                  </w:r>
                </w:p>
                <w:p>
                  <w:pPr>
                    <w:pStyle w:val="17"/>
                    <w:bidi w:val="0"/>
                  </w:pPr>
                  <w:r>
                    <w:t>Pa</w:t>
                  </w:r>
                </w:p>
              </w:tc>
              <w:tc>
                <w:tcPr>
                  <w:tcW w:w="200" w:type="pct"/>
                  <w:gridSpan w:val="2"/>
                  <w:noWrap w:val="0"/>
                  <w:vAlign w:val="center"/>
                </w:tcPr>
                <w:p>
                  <w:pPr>
                    <w:pStyle w:val="17"/>
                    <w:bidi w:val="0"/>
                  </w:pPr>
                  <w:r>
                    <w:t>终切</w:t>
                  </w:r>
                </w:p>
                <w:p>
                  <w:pPr>
                    <w:pStyle w:val="17"/>
                    <w:bidi w:val="0"/>
                  </w:pPr>
                  <w:r>
                    <w:t>Pa</w:t>
                  </w:r>
                </w:p>
              </w:tc>
              <w:tc>
                <w:tcPr>
                  <w:tcW w:w="290" w:type="pct"/>
                  <w:gridSpan w:val="2"/>
                  <w:noWrap w:val="0"/>
                  <w:vAlign w:val="center"/>
                </w:tcPr>
                <w:p>
                  <w:pPr>
                    <w:pStyle w:val="17"/>
                    <w:bidi w:val="0"/>
                  </w:pPr>
                  <w:r>
                    <w:t>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8" w:hRule="atLeast"/>
                <w:jc w:val="center"/>
              </w:trPr>
              <w:tc>
                <w:tcPr>
                  <w:tcW w:w="599" w:type="pct"/>
                  <w:noWrap w:val="0"/>
                  <w:vAlign w:val="center"/>
                </w:tcPr>
                <w:p>
                  <w:pPr>
                    <w:pStyle w:val="17"/>
                    <w:bidi w:val="0"/>
                  </w:pPr>
                  <w:r>
                    <w:t>一开</w:t>
                  </w:r>
                </w:p>
              </w:tc>
              <w:tc>
                <w:tcPr>
                  <w:tcW w:w="359" w:type="pct"/>
                  <w:noWrap w:val="0"/>
                  <w:vAlign w:val="center"/>
                </w:tcPr>
                <w:p>
                  <w:pPr>
                    <w:pStyle w:val="17"/>
                    <w:bidi w:val="0"/>
                  </w:pPr>
                  <w:r>
                    <w:t>0-800</w:t>
                  </w:r>
                </w:p>
              </w:tc>
              <w:tc>
                <w:tcPr>
                  <w:tcW w:w="351" w:type="pct"/>
                  <w:noWrap w:val="0"/>
                  <w:vAlign w:val="center"/>
                </w:tcPr>
                <w:p>
                  <w:pPr>
                    <w:pStyle w:val="17"/>
                    <w:bidi w:val="0"/>
                  </w:pPr>
                  <w:r>
                    <w:t>1.10-1.</w:t>
                  </w:r>
                  <w:r>
                    <w:rPr>
                      <w:rFonts w:hint="eastAsia"/>
                    </w:rPr>
                    <w:t>15</w:t>
                  </w:r>
                </w:p>
              </w:tc>
              <w:tc>
                <w:tcPr>
                  <w:tcW w:w="382" w:type="pct"/>
                  <w:noWrap w:val="0"/>
                  <w:vAlign w:val="center"/>
                </w:tcPr>
                <w:p>
                  <w:pPr>
                    <w:pStyle w:val="17"/>
                    <w:bidi w:val="0"/>
                  </w:pPr>
                  <w:r>
                    <w:rPr/>
                    <w:sym w:font="Symbol" w:char="F0A3"/>
                  </w:r>
                  <w:r>
                    <w:t>10</w:t>
                  </w:r>
                </w:p>
              </w:tc>
              <w:tc>
                <w:tcPr>
                  <w:tcW w:w="314" w:type="pct"/>
                  <w:noWrap w:val="0"/>
                  <w:vAlign w:val="center"/>
                </w:tcPr>
                <w:p>
                  <w:pPr>
                    <w:pStyle w:val="17"/>
                    <w:bidi w:val="0"/>
                  </w:pPr>
                  <w:r>
                    <w:rPr/>
                    <w:sym w:font="Symbol" w:char="F0A3"/>
                  </w:r>
                  <w:r>
                    <w:t>0.5</w:t>
                  </w:r>
                </w:p>
              </w:tc>
              <w:tc>
                <w:tcPr>
                  <w:tcW w:w="389" w:type="pct"/>
                  <w:noWrap w:val="0"/>
                  <w:vAlign w:val="center"/>
                </w:tcPr>
                <w:p>
                  <w:pPr>
                    <w:pStyle w:val="17"/>
                    <w:bidi w:val="0"/>
                  </w:pPr>
                  <w:r>
                    <w:t>35-45</w:t>
                  </w:r>
                </w:p>
              </w:tc>
              <w:tc>
                <w:tcPr>
                  <w:tcW w:w="282" w:type="pct"/>
                  <w:noWrap w:val="0"/>
                  <w:vAlign w:val="center"/>
                </w:tcPr>
                <w:p>
                  <w:pPr>
                    <w:pStyle w:val="17"/>
                    <w:bidi w:val="0"/>
                  </w:pPr>
                  <w:r>
                    <w:rPr/>
                    <w:sym w:font="Symbol" w:char="F0A3"/>
                  </w:r>
                  <w:r>
                    <w:t>20</w:t>
                  </w:r>
                </w:p>
              </w:tc>
              <w:tc>
                <w:tcPr>
                  <w:tcW w:w="314" w:type="pct"/>
                  <w:noWrap w:val="0"/>
                  <w:vAlign w:val="center"/>
                </w:tcPr>
                <w:p>
                  <w:pPr>
                    <w:pStyle w:val="17"/>
                    <w:bidi w:val="0"/>
                  </w:pPr>
                  <w:r>
                    <w:rPr/>
                    <w:sym w:font="Symbol" w:char="F0A3"/>
                  </w:r>
                  <w:r>
                    <w:t>0.5</w:t>
                  </w:r>
                </w:p>
              </w:tc>
              <w:tc>
                <w:tcPr>
                  <w:tcW w:w="237" w:type="pct"/>
                  <w:noWrap w:val="0"/>
                  <w:vAlign w:val="center"/>
                </w:tcPr>
                <w:p>
                  <w:pPr>
                    <w:pStyle w:val="17"/>
                    <w:bidi w:val="0"/>
                  </w:pPr>
                </w:p>
              </w:tc>
              <w:tc>
                <w:tcPr>
                  <w:tcW w:w="351" w:type="pct"/>
                  <w:gridSpan w:val="2"/>
                  <w:noWrap w:val="0"/>
                  <w:vAlign w:val="center"/>
                </w:tcPr>
                <w:p>
                  <w:pPr>
                    <w:pStyle w:val="17"/>
                    <w:bidi w:val="0"/>
                  </w:pPr>
                  <w:r>
                    <w:t>40-70</w:t>
                  </w:r>
                </w:p>
              </w:tc>
              <w:tc>
                <w:tcPr>
                  <w:tcW w:w="357" w:type="pct"/>
                  <w:gridSpan w:val="2"/>
                  <w:noWrap w:val="0"/>
                  <w:vAlign w:val="center"/>
                </w:tcPr>
                <w:p>
                  <w:pPr>
                    <w:pStyle w:val="17"/>
                    <w:bidi w:val="0"/>
                  </w:pPr>
                  <w:r>
                    <w:t>10-30</w:t>
                  </w:r>
                </w:p>
              </w:tc>
              <w:tc>
                <w:tcPr>
                  <w:tcW w:w="302" w:type="pct"/>
                  <w:gridSpan w:val="2"/>
                  <w:noWrap w:val="0"/>
                  <w:vAlign w:val="center"/>
                </w:tcPr>
                <w:p>
                  <w:pPr>
                    <w:pStyle w:val="17"/>
                    <w:bidi w:val="0"/>
                  </w:pPr>
                  <w:r>
                    <w:t>3-12</w:t>
                  </w:r>
                </w:p>
              </w:tc>
              <w:tc>
                <w:tcPr>
                  <w:tcW w:w="266" w:type="pct"/>
                  <w:gridSpan w:val="2"/>
                  <w:noWrap w:val="0"/>
                  <w:vAlign w:val="center"/>
                </w:tcPr>
                <w:p>
                  <w:pPr>
                    <w:pStyle w:val="17"/>
                    <w:bidi w:val="0"/>
                  </w:pPr>
                  <w:r>
                    <w:t>1-5</w:t>
                  </w:r>
                </w:p>
              </w:tc>
              <w:tc>
                <w:tcPr>
                  <w:tcW w:w="200" w:type="pct"/>
                  <w:gridSpan w:val="2"/>
                  <w:noWrap w:val="0"/>
                  <w:vAlign w:val="center"/>
                </w:tcPr>
                <w:p>
                  <w:pPr>
                    <w:pStyle w:val="17"/>
                    <w:bidi w:val="0"/>
                  </w:pPr>
                  <w:r>
                    <w:t>2-7</w:t>
                  </w:r>
                </w:p>
              </w:tc>
              <w:tc>
                <w:tcPr>
                  <w:tcW w:w="290" w:type="pct"/>
                  <w:gridSpan w:val="2"/>
                  <w:noWrap w:val="0"/>
                  <w:vAlign w:val="center"/>
                </w:tcPr>
                <w:p>
                  <w:pPr>
                    <w:pStyle w:val="17"/>
                    <w:bidi w:val="0"/>
                  </w:pPr>
                  <w:r>
                    <w:t>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8" w:hRule="atLeast"/>
                <w:jc w:val="center"/>
              </w:trPr>
              <w:tc>
                <w:tcPr>
                  <w:tcW w:w="599" w:type="pct"/>
                  <w:noWrap w:val="0"/>
                  <w:vAlign w:val="center"/>
                </w:tcPr>
                <w:p>
                  <w:pPr>
                    <w:pStyle w:val="17"/>
                    <w:bidi w:val="0"/>
                  </w:pPr>
                  <w:r>
                    <w:t>类型</w:t>
                  </w:r>
                </w:p>
              </w:tc>
              <w:tc>
                <w:tcPr>
                  <w:tcW w:w="4400" w:type="pct"/>
                  <w:gridSpan w:val="20"/>
                  <w:vMerge w:val="restart"/>
                  <w:noWrap w:val="0"/>
                  <w:vAlign w:val="center"/>
                </w:tcPr>
                <w:p>
                  <w:pPr>
                    <w:pStyle w:val="17"/>
                    <w:bidi w:val="0"/>
                  </w:pPr>
                  <w:r>
                    <w:t>10-15%坂土+0.2-0.3%Na</w:t>
                  </w:r>
                  <w:r>
                    <w:rPr>
                      <w:vertAlign w:val="subscript"/>
                    </w:rPr>
                    <w:t>2</w:t>
                  </w:r>
                  <w:r>
                    <w:t>CO</w:t>
                  </w:r>
                  <w:r>
                    <w:rPr>
                      <w:vertAlign w:val="subscript"/>
                    </w:rPr>
                    <w:t>3</w:t>
                  </w:r>
                </w:p>
                <w:p>
                  <w:pPr>
                    <w:pStyle w:val="17"/>
                    <w:bidi w:val="0"/>
                  </w:pPr>
                  <w:r>
                    <w:t>+0.2-0.3%CMC+重晶石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42" w:hRule="atLeast"/>
                <w:jc w:val="center"/>
              </w:trPr>
              <w:tc>
                <w:tcPr>
                  <w:tcW w:w="599" w:type="pct"/>
                  <w:noWrap w:val="0"/>
                  <w:vAlign w:val="center"/>
                </w:tcPr>
                <w:p>
                  <w:pPr>
                    <w:pStyle w:val="17"/>
                    <w:bidi w:val="0"/>
                    <w:rPr>
                      <w:rFonts w:hint="eastAsia"/>
                    </w:rPr>
                  </w:pPr>
                  <w:r>
                    <w:t>坂土+CMC</w:t>
                  </w:r>
                </w:p>
                <w:p>
                  <w:pPr>
                    <w:pStyle w:val="17"/>
                    <w:bidi w:val="0"/>
                  </w:pPr>
                  <w:r>
                    <w:t>钻井液</w:t>
                  </w:r>
                </w:p>
              </w:tc>
              <w:tc>
                <w:tcPr>
                  <w:tcW w:w="4400" w:type="pct"/>
                  <w:gridSpan w:val="20"/>
                  <w:vMerge w:val="continue"/>
                  <w:noWrap w:val="0"/>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8" w:hRule="atLeast"/>
                <w:jc w:val="center"/>
              </w:trPr>
              <w:tc>
                <w:tcPr>
                  <w:tcW w:w="599" w:type="pct"/>
                  <w:vMerge w:val="restart"/>
                  <w:noWrap w:val="0"/>
                  <w:vAlign w:val="center"/>
                </w:tcPr>
                <w:p>
                  <w:pPr>
                    <w:pStyle w:val="17"/>
                    <w:bidi w:val="0"/>
                  </w:pPr>
                  <w:r>
                    <w:t>开钻</w:t>
                  </w:r>
                </w:p>
                <w:p>
                  <w:pPr>
                    <w:pStyle w:val="17"/>
                    <w:bidi w:val="0"/>
                  </w:pPr>
                  <w:r>
                    <w:t>次序</w:t>
                  </w:r>
                </w:p>
              </w:tc>
              <w:tc>
                <w:tcPr>
                  <w:tcW w:w="359" w:type="pct"/>
                  <w:vMerge w:val="restart"/>
                  <w:noWrap w:val="0"/>
                  <w:vAlign w:val="center"/>
                </w:tcPr>
                <w:p>
                  <w:pPr>
                    <w:pStyle w:val="17"/>
                    <w:bidi w:val="0"/>
                  </w:pPr>
                  <w:r>
                    <w:t>井段</w:t>
                  </w:r>
                </w:p>
                <w:p>
                  <w:pPr>
                    <w:pStyle w:val="17"/>
                    <w:bidi w:val="0"/>
                  </w:pPr>
                  <w:r>
                    <w:t>m</w:t>
                  </w:r>
                </w:p>
              </w:tc>
              <w:tc>
                <w:tcPr>
                  <w:tcW w:w="2356" w:type="pct"/>
                  <w:gridSpan w:val="8"/>
                  <w:noWrap w:val="0"/>
                  <w:vAlign w:val="center"/>
                </w:tcPr>
                <w:p>
                  <w:pPr>
                    <w:pStyle w:val="17"/>
                    <w:bidi w:val="0"/>
                  </w:pPr>
                  <w:r>
                    <w:t>常规性能（控制指标）</w:t>
                  </w:r>
                </w:p>
              </w:tc>
              <w:tc>
                <w:tcPr>
                  <w:tcW w:w="1684" w:type="pct"/>
                  <w:gridSpan w:val="11"/>
                  <w:noWrap w:val="0"/>
                  <w:vAlign w:val="center"/>
                </w:tcPr>
                <w:p>
                  <w:pPr>
                    <w:pStyle w:val="17"/>
                    <w:bidi w:val="0"/>
                  </w:pPr>
                  <w:r>
                    <w:t>推荐性能（参考指标）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8" w:hRule="atLeast"/>
                <w:jc w:val="center"/>
              </w:trPr>
              <w:tc>
                <w:tcPr>
                  <w:tcW w:w="599" w:type="pct"/>
                  <w:vMerge w:val="continue"/>
                  <w:noWrap w:val="0"/>
                  <w:vAlign w:val="center"/>
                </w:tcPr>
                <w:p>
                  <w:pPr>
                    <w:pStyle w:val="17"/>
                    <w:bidi w:val="0"/>
                  </w:pPr>
                </w:p>
              </w:tc>
              <w:tc>
                <w:tcPr>
                  <w:tcW w:w="359" w:type="pct"/>
                  <w:vMerge w:val="continue"/>
                  <w:noWrap w:val="0"/>
                  <w:vAlign w:val="center"/>
                </w:tcPr>
                <w:p>
                  <w:pPr>
                    <w:pStyle w:val="17"/>
                    <w:bidi w:val="0"/>
                  </w:pPr>
                </w:p>
              </w:tc>
              <w:tc>
                <w:tcPr>
                  <w:tcW w:w="351" w:type="pct"/>
                  <w:noWrap w:val="0"/>
                  <w:vAlign w:val="center"/>
                </w:tcPr>
                <w:p>
                  <w:pPr>
                    <w:pStyle w:val="17"/>
                    <w:bidi w:val="0"/>
                  </w:pPr>
                  <w:r>
                    <w:t>密度</w:t>
                  </w:r>
                </w:p>
                <w:p>
                  <w:pPr>
                    <w:pStyle w:val="17"/>
                    <w:bidi w:val="0"/>
                  </w:pPr>
                  <w:r>
                    <w:t>g/cm</w:t>
                  </w:r>
                  <w:r>
                    <w:rPr>
                      <w:vertAlign w:val="superscript"/>
                    </w:rPr>
                    <w:t>3</w:t>
                  </w:r>
                </w:p>
              </w:tc>
              <w:tc>
                <w:tcPr>
                  <w:tcW w:w="382" w:type="pct"/>
                  <w:noWrap w:val="0"/>
                  <w:vAlign w:val="center"/>
                </w:tcPr>
                <w:p>
                  <w:pPr>
                    <w:pStyle w:val="17"/>
                    <w:bidi w:val="0"/>
                  </w:pPr>
                  <w:r>
                    <w:t>FLHTHPml</w:t>
                  </w:r>
                </w:p>
              </w:tc>
              <w:tc>
                <w:tcPr>
                  <w:tcW w:w="314" w:type="pct"/>
                  <w:noWrap w:val="0"/>
                  <w:vAlign w:val="center"/>
                </w:tcPr>
                <w:p>
                  <w:pPr>
                    <w:pStyle w:val="17"/>
                    <w:bidi w:val="0"/>
                  </w:pPr>
                  <w:r>
                    <w:t>泥饼</w:t>
                  </w:r>
                </w:p>
                <w:p>
                  <w:pPr>
                    <w:pStyle w:val="17"/>
                    <w:bidi w:val="0"/>
                  </w:pPr>
                  <w:r>
                    <w:t>mm</w:t>
                  </w:r>
                </w:p>
              </w:tc>
              <w:tc>
                <w:tcPr>
                  <w:tcW w:w="389" w:type="pct"/>
                  <w:noWrap w:val="0"/>
                  <w:vAlign w:val="center"/>
                </w:tcPr>
                <w:p>
                  <w:pPr>
                    <w:pStyle w:val="17"/>
                    <w:bidi w:val="0"/>
                  </w:pPr>
                  <w:r>
                    <w:t>油水比</w:t>
                  </w:r>
                </w:p>
                <w:p>
                  <w:pPr>
                    <w:pStyle w:val="17"/>
                    <w:bidi w:val="0"/>
                  </w:pPr>
                  <w:r>
                    <w:t>%</w:t>
                  </w:r>
                </w:p>
              </w:tc>
              <w:tc>
                <w:tcPr>
                  <w:tcW w:w="282" w:type="pct"/>
                  <w:noWrap w:val="0"/>
                  <w:vAlign w:val="center"/>
                </w:tcPr>
                <w:p>
                  <w:pPr>
                    <w:pStyle w:val="17"/>
                    <w:bidi w:val="0"/>
                  </w:pPr>
                  <w:r>
                    <w:t>固相</w:t>
                  </w:r>
                </w:p>
                <w:p>
                  <w:pPr>
                    <w:pStyle w:val="17"/>
                    <w:bidi w:val="0"/>
                  </w:pPr>
                  <w:r>
                    <w:t>%</w:t>
                  </w:r>
                </w:p>
              </w:tc>
              <w:tc>
                <w:tcPr>
                  <w:tcW w:w="314" w:type="pct"/>
                  <w:noWrap w:val="0"/>
                  <w:vAlign w:val="center"/>
                </w:tcPr>
                <w:p>
                  <w:pPr>
                    <w:pStyle w:val="17"/>
                    <w:bidi w:val="0"/>
                  </w:pPr>
                  <w:r>
                    <w:t>含砂</w:t>
                  </w:r>
                </w:p>
                <w:p>
                  <w:pPr>
                    <w:pStyle w:val="17"/>
                    <w:bidi w:val="0"/>
                  </w:pPr>
                  <w:r>
                    <w:t>%</w:t>
                  </w:r>
                </w:p>
              </w:tc>
              <w:tc>
                <w:tcPr>
                  <w:tcW w:w="321" w:type="pct"/>
                  <w:gridSpan w:val="2"/>
                  <w:noWrap w:val="0"/>
                  <w:vAlign w:val="center"/>
                </w:tcPr>
                <w:p>
                  <w:pPr>
                    <w:pStyle w:val="17"/>
                    <w:bidi w:val="0"/>
                  </w:pPr>
                  <w:r>
                    <w:t>ES</w:t>
                  </w:r>
                </w:p>
                <w:p>
                  <w:pPr>
                    <w:pStyle w:val="17"/>
                    <w:bidi w:val="0"/>
                  </w:pPr>
                  <w:r>
                    <w:t>V</w:t>
                  </w:r>
                </w:p>
              </w:tc>
              <w:tc>
                <w:tcPr>
                  <w:tcW w:w="359" w:type="pct"/>
                  <w:gridSpan w:val="2"/>
                  <w:noWrap w:val="0"/>
                  <w:vAlign w:val="center"/>
                </w:tcPr>
                <w:p>
                  <w:pPr>
                    <w:pStyle w:val="17"/>
                    <w:bidi w:val="0"/>
                  </w:pPr>
                  <w:r>
                    <w:t>漏斗粘度s</w:t>
                  </w:r>
                </w:p>
              </w:tc>
              <w:tc>
                <w:tcPr>
                  <w:tcW w:w="353" w:type="pct"/>
                  <w:gridSpan w:val="2"/>
                  <w:noWrap w:val="0"/>
                  <w:vAlign w:val="center"/>
                </w:tcPr>
                <w:p>
                  <w:pPr>
                    <w:pStyle w:val="17"/>
                    <w:bidi w:val="0"/>
                  </w:pPr>
                  <w:r>
                    <w:t>塑性粘度mPa.s</w:t>
                  </w:r>
                </w:p>
              </w:tc>
              <w:tc>
                <w:tcPr>
                  <w:tcW w:w="256" w:type="pct"/>
                  <w:gridSpan w:val="2"/>
                  <w:noWrap w:val="0"/>
                  <w:vAlign w:val="center"/>
                </w:tcPr>
                <w:p>
                  <w:pPr>
                    <w:pStyle w:val="17"/>
                    <w:bidi w:val="0"/>
                  </w:pPr>
                  <w:r>
                    <w:t>动切</w:t>
                  </w:r>
                </w:p>
                <w:p>
                  <w:pPr>
                    <w:pStyle w:val="17"/>
                    <w:bidi w:val="0"/>
                  </w:pPr>
                  <w:r>
                    <w:t>Pa</w:t>
                  </w:r>
                </w:p>
              </w:tc>
              <w:tc>
                <w:tcPr>
                  <w:tcW w:w="269" w:type="pct"/>
                  <w:gridSpan w:val="2"/>
                  <w:noWrap w:val="0"/>
                  <w:vAlign w:val="center"/>
                </w:tcPr>
                <w:p>
                  <w:pPr>
                    <w:pStyle w:val="17"/>
                    <w:bidi w:val="0"/>
                  </w:pPr>
                  <w:r>
                    <w:t>初切</w:t>
                  </w:r>
                </w:p>
                <w:p>
                  <w:pPr>
                    <w:pStyle w:val="17"/>
                    <w:bidi w:val="0"/>
                  </w:pPr>
                  <w:r>
                    <w:t>Pa</w:t>
                  </w:r>
                </w:p>
              </w:tc>
              <w:tc>
                <w:tcPr>
                  <w:tcW w:w="238" w:type="pct"/>
                  <w:gridSpan w:val="2"/>
                  <w:noWrap w:val="0"/>
                  <w:vAlign w:val="center"/>
                </w:tcPr>
                <w:p>
                  <w:pPr>
                    <w:pStyle w:val="17"/>
                    <w:bidi w:val="0"/>
                  </w:pPr>
                  <w:r>
                    <w:t>终切</w:t>
                  </w:r>
                </w:p>
                <w:p>
                  <w:pPr>
                    <w:pStyle w:val="17"/>
                    <w:bidi w:val="0"/>
                  </w:pPr>
                  <w:r>
                    <w:t>Pa</w:t>
                  </w:r>
                </w:p>
              </w:tc>
              <w:tc>
                <w:tcPr>
                  <w:tcW w:w="206" w:type="pct"/>
                  <w:noWrap w:val="0"/>
                  <w:vAlign w:val="center"/>
                </w:tcPr>
                <w:p>
                  <w:pPr>
                    <w:pStyle w:val="17"/>
                    <w:bidi w:val="0"/>
                  </w:pPr>
                  <w:r>
                    <w:t>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9" w:hRule="atLeast"/>
                <w:jc w:val="center"/>
              </w:trPr>
              <w:tc>
                <w:tcPr>
                  <w:tcW w:w="599" w:type="pct"/>
                  <w:noWrap w:val="0"/>
                  <w:vAlign w:val="center"/>
                </w:tcPr>
                <w:p>
                  <w:pPr>
                    <w:pStyle w:val="17"/>
                    <w:bidi w:val="0"/>
                  </w:pPr>
                  <w:r>
                    <w:rPr>
                      <w:rFonts w:hint="eastAsia"/>
                    </w:rPr>
                    <w:t>萨5-8-9二开</w:t>
                  </w:r>
                </w:p>
              </w:tc>
              <w:tc>
                <w:tcPr>
                  <w:tcW w:w="359" w:type="pct"/>
                  <w:noWrap w:val="0"/>
                  <w:vAlign w:val="center"/>
                </w:tcPr>
                <w:p>
                  <w:pPr>
                    <w:pStyle w:val="17"/>
                    <w:bidi w:val="0"/>
                  </w:pPr>
                  <w:r>
                    <w:rPr>
                      <w:rFonts w:hint="eastAsia"/>
                      <w:lang w:val="en-US" w:eastAsia="zh-CN"/>
                    </w:rPr>
                    <w:t>800-3812</w:t>
                  </w:r>
                </w:p>
              </w:tc>
              <w:tc>
                <w:tcPr>
                  <w:tcW w:w="351" w:type="pct"/>
                  <w:vMerge w:val="restart"/>
                  <w:noWrap w:val="0"/>
                  <w:vAlign w:val="center"/>
                </w:tcPr>
                <w:p>
                  <w:pPr>
                    <w:pStyle w:val="17"/>
                    <w:bidi w:val="0"/>
                  </w:pPr>
                  <w:r>
                    <w:t>1.</w:t>
                  </w:r>
                  <w:r>
                    <w:rPr>
                      <w:rFonts w:hint="eastAsia"/>
                    </w:rPr>
                    <w:t>15</w:t>
                  </w:r>
                  <w:r>
                    <w:t>-</w:t>
                  </w:r>
                </w:p>
                <w:p>
                  <w:pPr>
                    <w:pStyle w:val="17"/>
                    <w:bidi w:val="0"/>
                  </w:pPr>
                  <w:r>
                    <w:t>1.</w:t>
                  </w:r>
                  <w:r>
                    <w:rPr>
                      <w:rFonts w:hint="eastAsia"/>
                    </w:rPr>
                    <w:t>20</w:t>
                  </w:r>
                </w:p>
              </w:tc>
              <w:tc>
                <w:tcPr>
                  <w:tcW w:w="382" w:type="pct"/>
                  <w:vMerge w:val="restart"/>
                  <w:noWrap w:val="0"/>
                  <w:vAlign w:val="center"/>
                </w:tcPr>
                <w:p>
                  <w:pPr>
                    <w:pStyle w:val="17"/>
                    <w:bidi w:val="0"/>
                  </w:pPr>
                  <w:r>
                    <w:rPr/>
                    <w:sym w:font="Symbol" w:char="00A3"/>
                  </w:r>
                  <w:r>
                    <w:t>3.0</w:t>
                  </w:r>
                </w:p>
              </w:tc>
              <w:tc>
                <w:tcPr>
                  <w:tcW w:w="314" w:type="pct"/>
                  <w:vMerge w:val="restart"/>
                  <w:noWrap w:val="0"/>
                  <w:vAlign w:val="center"/>
                </w:tcPr>
                <w:p>
                  <w:pPr>
                    <w:pStyle w:val="17"/>
                    <w:bidi w:val="0"/>
                  </w:pPr>
                  <w:r>
                    <w:rPr/>
                    <w:sym w:font="Symbol" w:char="00A3"/>
                  </w:r>
                  <w:r>
                    <w:rPr>
                      <w:rFonts w:hint="eastAsia"/>
                    </w:rPr>
                    <w:t>2</w:t>
                  </w:r>
                  <w:r>
                    <w:t>.0</w:t>
                  </w:r>
                </w:p>
              </w:tc>
              <w:tc>
                <w:tcPr>
                  <w:tcW w:w="389" w:type="pct"/>
                  <w:vMerge w:val="restart"/>
                  <w:noWrap w:val="0"/>
                  <w:vAlign w:val="center"/>
                </w:tcPr>
                <w:p>
                  <w:pPr>
                    <w:pStyle w:val="17"/>
                    <w:bidi w:val="0"/>
                  </w:pPr>
                  <w:r>
                    <w:t>≥</w:t>
                  </w:r>
                  <w:r>
                    <w:rPr>
                      <w:rFonts w:hint="eastAsia"/>
                    </w:rPr>
                    <w:t>80:20</w:t>
                  </w:r>
                </w:p>
              </w:tc>
              <w:tc>
                <w:tcPr>
                  <w:tcW w:w="282" w:type="pct"/>
                  <w:vMerge w:val="restart"/>
                  <w:noWrap w:val="0"/>
                  <w:vAlign w:val="center"/>
                </w:tcPr>
                <w:p>
                  <w:pPr>
                    <w:pStyle w:val="17"/>
                    <w:bidi w:val="0"/>
                  </w:pPr>
                  <w:r>
                    <w:rPr/>
                    <w:sym w:font="Symbol" w:char="00A3"/>
                  </w:r>
                  <w:r>
                    <w:rPr>
                      <w:rFonts w:hint="eastAsia"/>
                    </w:rPr>
                    <w:t>25</w:t>
                  </w:r>
                </w:p>
              </w:tc>
              <w:tc>
                <w:tcPr>
                  <w:tcW w:w="314" w:type="pct"/>
                  <w:vMerge w:val="restart"/>
                  <w:noWrap w:val="0"/>
                  <w:vAlign w:val="center"/>
                </w:tcPr>
                <w:p>
                  <w:pPr>
                    <w:pStyle w:val="17"/>
                    <w:bidi w:val="0"/>
                    <w:rPr>
                      <w:rFonts w:hint="eastAsia"/>
                    </w:rPr>
                  </w:pPr>
                  <w:r>
                    <w:t>≤0.</w:t>
                  </w:r>
                  <w:r>
                    <w:rPr>
                      <w:rFonts w:hint="eastAsia"/>
                    </w:rPr>
                    <w:t>3</w:t>
                  </w:r>
                </w:p>
              </w:tc>
              <w:tc>
                <w:tcPr>
                  <w:tcW w:w="321" w:type="pct"/>
                  <w:gridSpan w:val="2"/>
                  <w:vMerge w:val="restart"/>
                  <w:noWrap w:val="0"/>
                  <w:vAlign w:val="center"/>
                </w:tcPr>
                <w:p>
                  <w:pPr>
                    <w:pStyle w:val="17"/>
                    <w:bidi w:val="0"/>
                  </w:pPr>
                  <w:r>
                    <w:t>≥</w:t>
                  </w:r>
                  <w:r>
                    <w:rPr>
                      <w:rFonts w:hint="eastAsia"/>
                    </w:rPr>
                    <w:t>5</w:t>
                  </w:r>
                  <w:r>
                    <w:t>00</w:t>
                  </w:r>
                </w:p>
              </w:tc>
              <w:tc>
                <w:tcPr>
                  <w:tcW w:w="359" w:type="pct"/>
                  <w:gridSpan w:val="2"/>
                  <w:vMerge w:val="restart"/>
                  <w:noWrap w:val="0"/>
                  <w:vAlign w:val="center"/>
                </w:tcPr>
                <w:p>
                  <w:pPr>
                    <w:pStyle w:val="17"/>
                    <w:bidi w:val="0"/>
                  </w:pPr>
                  <w:r>
                    <w:t>45-</w:t>
                  </w:r>
                  <w:r>
                    <w:rPr>
                      <w:rFonts w:hint="eastAsia"/>
                    </w:rPr>
                    <w:t>10</w:t>
                  </w:r>
                  <w:r>
                    <w:t>0</w:t>
                  </w:r>
                </w:p>
              </w:tc>
              <w:tc>
                <w:tcPr>
                  <w:tcW w:w="353" w:type="pct"/>
                  <w:gridSpan w:val="2"/>
                  <w:vMerge w:val="restart"/>
                  <w:noWrap w:val="0"/>
                  <w:vAlign w:val="center"/>
                </w:tcPr>
                <w:p>
                  <w:pPr>
                    <w:pStyle w:val="17"/>
                    <w:bidi w:val="0"/>
                  </w:pPr>
                  <w:r>
                    <w:t>20-60</w:t>
                  </w:r>
                </w:p>
              </w:tc>
              <w:tc>
                <w:tcPr>
                  <w:tcW w:w="256" w:type="pct"/>
                  <w:gridSpan w:val="2"/>
                  <w:vMerge w:val="restart"/>
                  <w:noWrap w:val="0"/>
                  <w:vAlign w:val="center"/>
                </w:tcPr>
                <w:p>
                  <w:pPr>
                    <w:pStyle w:val="17"/>
                    <w:bidi w:val="0"/>
                  </w:pPr>
                  <w:r>
                    <w:rPr>
                      <w:rFonts w:hint="eastAsia"/>
                    </w:rPr>
                    <w:t>4</w:t>
                  </w:r>
                  <w:r>
                    <w:t>-20</w:t>
                  </w:r>
                </w:p>
              </w:tc>
              <w:tc>
                <w:tcPr>
                  <w:tcW w:w="269" w:type="pct"/>
                  <w:gridSpan w:val="2"/>
                  <w:vMerge w:val="restart"/>
                  <w:noWrap w:val="0"/>
                  <w:vAlign w:val="center"/>
                </w:tcPr>
                <w:p>
                  <w:pPr>
                    <w:pStyle w:val="17"/>
                    <w:bidi w:val="0"/>
                  </w:pPr>
                  <w:r>
                    <w:t>1.5-7</w:t>
                  </w:r>
                </w:p>
              </w:tc>
              <w:tc>
                <w:tcPr>
                  <w:tcW w:w="238" w:type="pct"/>
                  <w:gridSpan w:val="2"/>
                  <w:vMerge w:val="restart"/>
                  <w:noWrap w:val="0"/>
                  <w:vAlign w:val="center"/>
                </w:tcPr>
                <w:p>
                  <w:pPr>
                    <w:pStyle w:val="17"/>
                    <w:bidi w:val="0"/>
                  </w:pPr>
                  <w:r>
                    <w:t>3-15</w:t>
                  </w:r>
                </w:p>
              </w:tc>
              <w:tc>
                <w:tcPr>
                  <w:tcW w:w="206" w:type="pct"/>
                  <w:vMerge w:val="restart"/>
                  <w:noWrap w:val="0"/>
                  <w:vAlign w:val="center"/>
                </w:tcPr>
                <w:p>
                  <w:pPr>
                    <w:pStyle w:val="17"/>
                    <w:bidi w:val="0"/>
                  </w:pPr>
                  <w: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9" w:hRule="atLeast"/>
                <w:jc w:val="center"/>
              </w:trPr>
              <w:tc>
                <w:tcPr>
                  <w:tcW w:w="599" w:type="pct"/>
                  <w:noWrap w:val="0"/>
                  <w:vAlign w:val="top"/>
                </w:tcPr>
                <w:p>
                  <w:pPr>
                    <w:pStyle w:val="17"/>
                    <w:bidi w:val="0"/>
                  </w:pPr>
                  <w:r>
                    <w:rPr>
                      <w:rFonts w:hint="eastAsia"/>
                    </w:rPr>
                    <w:t>萨5-8-10二开</w:t>
                  </w:r>
                </w:p>
              </w:tc>
              <w:tc>
                <w:tcPr>
                  <w:tcW w:w="359" w:type="pct"/>
                  <w:noWrap w:val="0"/>
                  <w:vAlign w:val="center"/>
                </w:tcPr>
                <w:p>
                  <w:pPr>
                    <w:pStyle w:val="17"/>
                    <w:bidi w:val="0"/>
                    <w:rPr>
                      <w:rFonts w:hint="eastAsia"/>
                    </w:rPr>
                  </w:pPr>
                  <w:r>
                    <w:rPr>
                      <w:rFonts w:hint="eastAsia"/>
                      <w:lang w:val="en-US" w:eastAsia="zh-CN"/>
                    </w:rPr>
                    <w:t>800-3744</w:t>
                  </w:r>
                </w:p>
              </w:tc>
              <w:tc>
                <w:tcPr>
                  <w:tcW w:w="351" w:type="pct"/>
                  <w:vMerge w:val="continue"/>
                  <w:noWrap w:val="0"/>
                  <w:vAlign w:val="center"/>
                </w:tcPr>
                <w:p>
                  <w:pPr>
                    <w:pStyle w:val="17"/>
                    <w:bidi w:val="0"/>
                  </w:pPr>
                </w:p>
              </w:tc>
              <w:tc>
                <w:tcPr>
                  <w:tcW w:w="382" w:type="pct"/>
                  <w:vMerge w:val="continue"/>
                  <w:noWrap w:val="0"/>
                  <w:vAlign w:val="center"/>
                </w:tcPr>
                <w:p>
                  <w:pPr>
                    <w:pStyle w:val="17"/>
                    <w:bidi w:val="0"/>
                  </w:pPr>
                </w:p>
              </w:tc>
              <w:tc>
                <w:tcPr>
                  <w:tcW w:w="314" w:type="pct"/>
                  <w:vMerge w:val="continue"/>
                  <w:noWrap w:val="0"/>
                  <w:vAlign w:val="center"/>
                </w:tcPr>
                <w:p>
                  <w:pPr>
                    <w:pStyle w:val="17"/>
                    <w:bidi w:val="0"/>
                  </w:pPr>
                </w:p>
              </w:tc>
              <w:tc>
                <w:tcPr>
                  <w:tcW w:w="389" w:type="pct"/>
                  <w:vMerge w:val="continue"/>
                  <w:noWrap w:val="0"/>
                  <w:vAlign w:val="center"/>
                </w:tcPr>
                <w:p>
                  <w:pPr>
                    <w:pStyle w:val="17"/>
                    <w:bidi w:val="0"/>
                  </w:pPr>
                </w:p>
              </w:tc>
              <w:tc>
                <w:tcPr>
                  <w:tcW w:w="282" w:type="pct"/>
                  <w:vMerge w:val="continue"/>
                  <w:noWrap w:val="0"/>
                  <w:vAlign w:val="center"/>
                </w:tcPr>
                <w:p>
                  <w:pPr>
                    <w:pStyle w:val="17"/>
                    <w:bidi w:val="0"/>
                  </w:pPr>
                </w:p>
              </w:tc>
              <w:tc>
                <w:tcPr>
                  <w:tcW w:w="314" w:type="pct"/>
                  <w:vMerge w:val="continue"/>
                  <w:noWrap w:val="0"/>
                  <w:vAlign w:val="center"/>
                </w:tcPr>
                <w:p>
                  <w:pPr>
                    <w:pStyle w:val="17"/>
                    <w:bidi w:val="0"/>
                  </w:pPr>
                </w:p>
              </w:tc>
              <w:tc>
                <w:tcPr>
                  <w:tcW w:w="321" w:type="pct"/>
                  <w:gridSpan w:val="2"/>
                  <w:vMerge w:val="continue"/>
                  <w:noWrap w:val="0"/>
                  <w:vAlign w:val="center"/>
                </w:tcPr>
                <w:p>
                  <w:pPr>
                    <w:pStyle w:val="17"/>
                    <w:bidi w:val="0"/>
                  </w:pPr>
                </w:p>
              </w:tc>
              <w:tc>
                <w:tcPr>
                  <w:tcW w:w="359" w:type="pct"/>
                  <w:gridSpan w:val="2"/>
                  <w:vMerge w:val="continue"/>
                  <w:noWrap w:val="0"/>
                  <w:vAlign w:val="center"/>
                </w:tcPr>
                <w:p>
                  <w:pPr>
                    <w:pStyle w:val="17"/>
                    <w:bidi w:val="0"/>
                  </w:pPr>
                </w:p>
              </w:tc>
              <w:tc>
                <w:tcPr>
                  <w:tcW w:w="353" w:type="pct"/>
                  <w:gridSpan w:val="2"/>
                  <w:vMerge w:val="continue"/>
                  <w:noWrap w:val="0"/>
                  <w:vAlign w:val="center"/>
                </w:tcPr>
                <w:p>
                  <w:pPr>
                    <w:pStyle w:val="17"/>
                    <w:bidi w:val="0"/>
                  </w:pPr>
                </w:p>
              </w:tc>
              <w:tc>
                <w:tcPr>
                  <w:tcW w:w="256" w:type="pct"/>
                  <w:gridSpan w:val="2"/>
                  <w:vMerge w:val="continue"/>
                  <w:noWrap w:val="0"/>
                  <w:vAlign w:val="center"/>
                </w:tcPr>
                <w:p>
                  <w:pPr>
                    <w:pStyle w:val="17"/>
                    <w:bidi w:val="0"/>
                    <w:rPr>
                      <w:rFonts w:hint="eastAsia"/>
                    </w:rPr>
                  </w:pPr>
                </w:p>
              </w:tc>
              <w:tc>
                <w:tcPr>
                  <w:tcW w:w="269" w:type="pct"/>
                  <w:gridSpan w:val="2"/>
                  <w:vMerge w:val="continue"/>
                  <w:noWrap w:val="0"/>
                  <w:vAlign w:val="center"/>
                </w:tcPr>
                <w:p>
                  <w:pPr>
                    <w:pStyle w:val="17"/>
                    <w:bidi w:val="0"/>
                  </w:pPr>
                </w:p>
              </w:tc>
              <w:tc>
                <w:tcPr>
                  <w:tcW w:w="238" w:type="pct"/>
                  <w:gridSpan w:val="2"/>
                  <w:vMerge w:val="continue"/>
                  <w:noWrap w:val="0"/>
                  <w:vAlign w:val="center"/>
                </w:tcPr>
                <w:p>
                  <w:pPr>
                    <w:pStyle w:val="17"/>
                    <w:bidi w:val="0"/>
                  </w:pPr>
                </w:p>
              </w:tc>
              <w:tc>
                <w:tcPr>
                  <w:tcW w:w="206" w:type="pct"/>
                  <w:vMerge w:val="continue"/>
                  <w:noWrap w:val="0"/>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9" w:hRule="atLeast"/>
                <w:jc w:val="center"/>
              </w:trPr>
              <w:tc>
                <w:tcPr>
                  <w:tcW w:w="599" w:type="pct"/>
                  <w:noWrap w:val="0"/>
                  <w:vAlign w:val="top"/>
                </w:tcPr>
                <w:p>
                  <w:pPr>
                    <w:pStyle w:val="17"/>
                    <w:bidi w:val="0"/>
                  </w:pPr>
                  <w:r>
                    <w:rPr>
                      <w:rFonts w:hint="eastAsia"/>
                    </w:rPr>
                    <w:t>萨5-9-8二开</w:t>
                  </w:r>
                </w:p>
              </w:tc>
              <w:tc>
                <w:tcPr>
                  <w:tcW w:w="359" w:type="pct"/>
                  <w:noWrap w:val="0"/>
                  <w:vAlign w:val="center"/>
                </w:tcPr>
                <w:p>
                  <w:pPr>
                    <w:pStyle w:val="17"/>
                    <w:bidi w:val="0"/>
                    <w:rPr>
                      <w:rFonts w:hint="eastAsia"/>
                    </w:rPr>
                  </w:pPr>
                  <w:r>
                    <w:rPr>
                      <w:rFonts w:hint="eastAsia"/>
                      <w:lang w:val="en-US" w:eastAsia="zh-CN"/>
                    </w:rPr>
                    <w:t>800-3754</w:t>
                  </w:r>
                </w:p>
              </w:tc>
              <w:tc>
                <w:tcPr>
                  <w:tcW w:w="351" w:type="pct"/>
                  <w:vMerge w:val="continue"/>
                  <w:noWrap w:val="0"/>
                  <w:vAlign w:val="center"/>
                </w:tcPr>
                <w:p>
                  <w:pPr>
                    <w:pStyle w:val="17"/>
                    <w:bidi w:val="0"/>
                  </w:pPr>
                </w:p>
              </w:tc>
              <w:tc>
                <w:tcPr>
                  <w:tcW w:w="382" w:type="pct"/>
                  <w:vMerge w:val="continue"/>
                  <w:noWrap w:val="0"/>
                  <w:vAlign w:val="center"/>
                </w:tcPr>
                <w:p>
                  <w:pPr>
                    <w:pStyle w:val="17"/>
                    <w:bidi w:val="0"/>
                  </w:pPr>
                </w:p>
              </w:tc>
              <w:tc>
                <w:tcPr>
                  <w:tcW w:w="314" w:type="pct"/>
                  <w:vMerge w:val="continue"/>
                  <w:noWrap w:val="0"/>
                  <w:vAlign w:val="center"/>
                </w:tcPr>
                <w:p>
                  <w:pPr>
                    <w:pStyle w:val="17"/>
                    <w:bidi w:val="0"/>
                  </w:pPr>
                </w:p>
              </w:tc>
              <w:tc>
                <w:tcPr>
                  <w:tcW w:w="389" w:type="pct"/>
                  <w:vMerge w:val="continue"/>
                  <w:noWrap w:val="0"/>
                  <w:vAlign w:val="center"/>
                </w:tcPr>
                <w:p>
                  <w:pPr>
                    <w:pStyle w:val="17"/>
                    <w:bidi w:val="0"/>
                  </w:pPr>
                </w:p>
              </w:tc>
              <w:tc>
                <w:tcPr>
                  <w:tcW w:w="282" w:type="pct"/>
                  <w:vMerge w:val="continue"/>
                  <w:noWrap w:val="0"/>
                  <w:vAlign w:val="center"/>
                </w:tcPr>
                <w:p>
                  <w:pPr>
                    <w:pStyle w:val="17"/>
                    <w:bidi w:val="0"/>
                  </w:pPr>
                </w:p>
              </w:tc>
              <w:tc>
                <w:tcPr>
                  <w:tcW w:w="314" w:type="pct"/>
                  <w:vMerge w:val="continue"/>
                  <w:noWrap w:val="0"/>
                  <w:vAlign w:val="center"/>
                </w:tcPr>
                <w:p>
                  <w:pPr>
                    <w:pStyle w:val="17"/>
                    <w:bidi w:val="0"/>
                  </w:pPr>
                </w:p>
              </w:tc>
              <w:tc>
                <w:tcPr>
                  <w:tcW w:w="321" w:type="pct"/>
                  <w:gridSpan w:val="2"/>
                  <w:vMerge w:val="continue"/>
                  <w:noWrap w:val="0"/>
                  <w:vAlign w:val="center"/>
                </w:tcPr>
                <w:p>
                  <w:pPr>
                    <w:pStyle w:val="17"/>
                    <w:bidi w:val="0"/>
                  </w:pPr>
                </w:p>
              </w:tc>
              <w:tc>
                <w:tcPr>
                  <w:tcW w:w="359" w:type="pct"/>
                  <w:gridSpan w:val="2"/>
                  <w:vMerge w:val="continue"/>
                  <w:noWrap w:val="0"/>
                  <w:vAlign w:val="center"/>
                </w:tcPr>
                <w:p>
                  <w:pPr>
                    <w:pStyle w:val="17"/>
                    <w:bidi w:val="0"/>
                  </w:pPr>
                </w:p>
              </w:tc>
              <w:tc>
                <w:tcPr>
                  <w:tcW w:w="353" w:type="pct"/>
                  <w:gridSpan w:val="2"/>
                  <w:vMerge w:val="continue"/>
                  <w:noWrap w:val="0"/>
                  <w:vAlign w:val="center"/>
                </w:tcPr>
                <w:p>
                  <w:pPr>
                    <w:pStyle w:val="17"/>
                    <w:bidi w:val="0"/>
                  </w:pPr>
                </w:p>
              </w:tc>
              <w:tc>
                <w:tcPr>
                  <w:tcW w:w="256" w:type="pct"/>
                  <w:gridSpan w:val="2"/>
                  <w:vMerge w:val="continue"/>
                  <w:noWrap w:val="0"/>
                  <w:vAlign w:val="center"/>
                </w:tcPr>
                <w:p>
                  <w:pPr>
                    <w:pStyle w:val="17"/>
                    <w:bidi w:val="0"/>
                    <w:rPr>
                      <w:rFonts w:hint="eastAsia"/>
                    </w:rPr>
                  </w:pPr>
                </w:p>
              </w:tc>
              <w:tc>
                <w:tcPr>
                  <w:tcW w:w="269" w:type="pct"/>
                  <w:gridSpan w:val="2"/>
                  <w:vMerge w:val="continue"/>
                  <w:noWrap w:val="0"/>
                  <w:vAlign w:val="center"/>
                </w:tcPr>
                <w:p>
                  <w:pPr>
                    <w:pStyle w:val="17"/>
                    <w:bidi w:val="0"/>
                  </w:pPr>
                </w:p>
              </w:tc>
              <w:tc>
                <w:tcPr>
                  <w:tcW w:w="238" w:type="pct"/>
                  <w:gridSpan w:val="2"/>
                  <w:vMerge w:val="continue"/>
                  <w:noWrap w:val="0"/>
                  <w:vAlign w:val="center"/>
                </w:tcPr>
                <w:p>
                  <w:pPr>
                    <w:pStyle w:val="17"/>
                    <w:bidi w:val="0"/>
                  </w:pPr>
                </w:p>
              </w:tc>
              <w:tc>
                <w:tcPr>
                  <w:tcW w:w="206" w:type="pct"/>
                  <w:vMerge w:val="continue"/>
                  <w:noWrap w:val="0"/>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9" w:hRule="atLeast"/>
                <w:jc w:val="center"/>
              </w:trPr>
              <w:tc>
                <w:tcPr>
                  <w:tcW w:w="599" w:type="pct"/>
                  <w:noWrap w:val="0"/>
                  <w:vAlign w:val="top"/>
                </w:tcPr>
                <w:p>
                  <w:pPr>
                    <w:pStyle w:val="17"/>
                    <w:bidi w:val="0"/>
                  </w:pPr>
                  <w:r>
                    <w:rPr>
                      <w:rFonts w:hint="eastAsia"/>
                    </w:rPr>
                    <w:t>萨5-9-9二开</w:t>
                  </w:r>
                </w:p>
              </w:tc>
              <w:tc>
                <w:tcPr>
                  <w:tcW w:w="359" w:type="pct"/>
                  <w:noWrap w:val="0"/>
                  <w:vAlign w:val="center"/>
                </w:tcPr>
                <w:p>
                  <w:pPr>
                    <w:pStyle w:val="17"/>
                    <w:bidi w:val="0"/>
                    <w:rPr>
                      <w:rFonts w:hint="eastAsia"/>
                    </w:rPr>
                  </w:pPr>
                  <w:r>
                    <w:rPr>
                      <w:rFonts w:hint="eastAsia"/>
                      <w:lang w:val="en-US" w:eastAsia="zh-CN"/>
                    </w:rPr>
                    <w:t>800-3821</w:t>
                  </w:r>
                </w:p>
              </w:tc>
              <w:tc>
                <w:tcPr>
                  <w:tcW w:w="351" w:type="pct"/>
                  <w:vMerge w:val="continue"/>
                  <w:noWrap w:val="0"/>
                  <w:vAlign w:val="center"/>
                </w:tcPr>
                <w:p>
                  <w:pPr>
                    <w:pStyle w:val="17"/>
                    <w:bidi w:val="0"/>
                  </w:pPr>
                </w:p>
              </w:tc>
              <w:tc>
                <w:tcPr>
                  <w:tcW w:w="382" w:type="pct"/>
                  <w:vMerge w:val="continue"/>
                  <w:noWrap w:val="0"/>
                  <w:vAlign w:val="center"/>
                </w:tcPr>
                <w:p>
                  <w:pPr>
                    <w:pStyle w:val="17"/>
                    <w:bidi w:val="0"/>
                  </w:pPr>
                </w:p>
              </w:tc>
              <w:tc>
                <w:tcPr>
                  <w:tcW w:w="314" w:type="pct"/>
                  <w:vMerge w:val="continue"/>
                  <w:noWrap w:val="0"/>
                  <w:vAlign w:val="center"/>
                </w:tcPr>
                <w:p>
                  <w:pPr>
                    <w:pStyle w:val="17"/>
                    <w:bidi w:val="0"/>
                  </w:pPr>
                </w:p>
              </w:tc>
              <w:tc>
                <w:tcPr>
                  <w:tcW w:w="389" w:type="pct"/>
                  <w:vMerge w:val="continue"/>
                  <w:noWrap w:val="0"/>
                  <w:vAlign w:val="center"/>
                </w:tcPr>
                <w:p>
                  <w:pPr>
                    <w:pStyle w:val="17"/>
                    <w:bidi w:val="0"/>
                  </w:pPr>
                </w:p>
              </w:tc>
              <w:tc>
                <w:tcPr>
                  <w:tcW w:w="282" w:type="pct"/>
                  <w:vMerge w:val="continue"/>
                  <w:noWrap w:val="0"/>
                  <w:vAlign w:val="center"/>
                </w:tcPr>
                <w:p>
                  <w:pPr>
                    <w:pStyle w:val="17"/>
                    <w:bidi w:val="0"/>
                  </w:pPr>
                </w:p>
              </w:tc>
              <w:tc>
                <w:tcPr>
                  <w:tcW w:w="314" w:type="pct"/>
                  <w:vMerge w:val="continue"/>
                  <w:noWrap w:val="0"/>
                  <w:vAlign w:val="center"/>
                </w:tcPr>
                <w:p>
                  <w:pPr>
                    <w:pStyle w:val="17"/>
                    <w:bidi w:val="0"/>
                  </w:pPr>
                </w:p>
              </w:tc>
              <w:tc>
                <w:tcPr>
                  <w:tcW w:w="321" w:type="pct"/>
                  <w:gridSpan w:val="2"/>
                  <w:vMerge w:val="continue"/>
                  <w:noWrap w:val="0"/>
                  <w:vAlign w:val="center"/>
                </w:tcPr>
                <w:p>
                  <w:pPr>
                    <w:pStyle w:val="17"/>
                    <w:bidi w:val="0"/>
                  </w:pPr>
                </w:p>
              </w:tc>
              <w:tc>
                <w:tcPr>
                  <w:tcW w:w="359" w:type="pct"/>
                  <w:gridSpan w:val="2"/>
                  <w:vMerge w:val="continue"/>
                  <w:noWrap w:val="0"/>
                  <w:vAlign w:val="center"/>
                </w:tcPr>
                <w:p>
                  <w:pPr>
                    <w:pStyle w:val="17"/>
                    <w:bidi w:val="0"/>
                  </w:pPr>
                </w:p>
              </w:tc>
              <w:tc>
                <w:tcPr>
                  <w:tcW w:w="353" w:type="pct"/>
                  <w:gridSpan w:val="2"/>
                  <w:vMerge w:val="continue"/>
                  <w:noWrap w:val="0"/>
                  <w:vAlign w:val="center"/>
                </w:tcPr>
                <w:p>
                  <w:pPr>
                    <w:pStyle w:val="17"/>
                    <w:bidi w:val="0"/>
                  </w:pPr>
                </w:p>
              </w:tc>
              <w:tc>
                <w:tcPr>
                  <w:tcW w:w="256" w:type="pct"/>
                  <w:gridSpan w:val="2"/>
                  <w:vMerge w:val="continue"/>
                  <w:noWrap w:val="0"/>
                  <w:vAlign w:val="center"/>
                </w:tcPr>
                <w:p>
                  <w:pPr>
                    <w:pStyle w:val="17"/>
                    <w:bidi w:val="0"/>
                    <w:rPr>
                      <w:rFonts w:hint="eastAsia"/>
                    </w:rPr>
                  </w:pPr>
                </w:p>
              </w:tc>
              <w:tc>
                <w:tcPr>
                  <w:tcW w:w="269" w:type="pct"/>
                  <w:gridSpan w:val="2"/>
                  <w:vMerge w:val="continue"/>
                  <w:noWrap w:val="0"/>
                  <w:vAlign w:val="center"/>
                </w:tcPr>
                <w:p>
                  <w:pPr>
                    <w:pStyle w:val="17"/>
                    <w:bidi w:val="0"/>
                  </w:pPr>
                </w:p>
              </w:tc>
              <w:tc>
                <w:tcPr>
                  <w:tcW w:w="238" w:type="pct"/>
                  <w:gridSpan w:val="2"/>
                  <w:vMerge w:val="continue"/>
                  <w:noWrap w:val="0"/>
                  <w:vAlign w:val="center"/>
                </w:tcPr>
                <w:p>
                  <w:pPr>
                    <w:pStyle w:val="17"/>
                    <w:bidi w:val="0"/>
                  </w:pPr>
                </w:p>
              </w:tc>
              <w:tc>
                <w:tcPr>
                  <w:tcW w:w="206" w:type="pct"/>
                  <w:vMerge w:val="continue"/>
                  <w:noWrap w:val="0"/>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9" w:hRule="atLeast"/>
                <w:jc w:val="center"/>
              </w:trPr>
              <w:tc>
                <w:tcPr>
                  <w:tcW w:w="599" w:type="pct"/>
                  <w:noWrap w:val="0"/>
                  <w:vAlign w:val="top"/>
                </w:tcPr>
                <w:p>
                  <w:pPr>
                    <w:pStyle w:val="17"/>
                    <w:bidi w:val="0"/>
                  </w:pPr>
                  <w:r>
                    <w:rPr>
                      <w:rFonts w:hint="eastAsia"/>
                    </w:rPr>
                    <w:t>萨5-9-10二开</w:t>
                  </w:r>
                </w:p>
              </w:tc>
              <w:tc>
                <w:tcPr>
                  <w:tcW w:w="359" w:type="pct"/>
                  <w:noWrap w:val="0"/>
                  <w:vAlign w:val="center"/>
                </w:tcPr>
                <w:p>
                  <w:pPr>
                    <w:pStyle w:val="17"/>
                    <w:bidi w:val="0"/>
                    <w:rPr>
                      <w:rFonts w:hint="eastAsia"/>
                    </w:rPr>
                  </w:pPr>
                  <w:r>
                    <w:rPr>
                      <w:rFonts w:hint="eastAsia"/>
                      <w:lang w:val="en-US" w:eastAsia="zh-CN"/>
                    </w:rPr>
                    <w:t>800-3827</w:t>
                  </w:r>
                </w:p>
              </w:tc>
              <w:tc>
                <w:tcPr>
                  <w:tcW w:w="351" w:type="pct"/>
                  <w:vMerge w:val="continue"/>
                  <w:noWrap w:val="0"/>
                  <w:vAlign w:val="center"/>
                </w:tcPr>
                <w:p>
                  <w:pPr>
                    <w:pStyle w:val="17"/>
                    <w:bidi w:val="0"/>
                  </w:pPr>
                </w:p>
              </w:tc>
              <w:tc>
                <w:tcPr>
                  <w:tcW w:w="382" w:type="pct"/>
                  <w:vMerge w:val="continue"/>
                  <w:noWrap w:val="0"/>
                  <w:vAlign w:val="center"/>
                </w:tcPr>
                <w:p>
                  <w:pPr>
                    <w:pStyle w:val="17"/>
                    <w:bidi w:val="0"/>
                  </w:pPr>
                </w:p>
              </w:tc>
              <w:tc>
                <w:tcPr>
                  <w:tcW w:w="314" w:type="pct"/>
                  <w:vMerge w:val="continue"/>
                  <w:noWrap w:val="0"/>
                  <w:vAlign w:val="center"/>
                </w:tcPr>
                <w:p>
                  <w:pPr>
                    <w:pStyle w:val="17"/>
                    <w:bidi w:val="0"/>
                  </w:pPr>
                </w:p>
              </w:tc>
              <w:tc>
                <w:tcPr>
                  <w:tcW w:w="389" w:type="pct"/>
                  <w:vMerge w:val="continue"/>
                  <w:noWrap w:val="0"/>
                  <w:vAlign w:val="center"/>
                </w:tcPr>
                <w:p>
                  <w:pPr>
                    <w:pStyle w:val="17"/>
                    <w:bidi w:val="0"/>
                  </w:pPr>
                </w:p>
              </w:tc>
              <w:tc>
                <w:tcPr>
                  <w:tcW w:w="282" w:type="pct"/>
                  <w:vMerge w:val="continue"/>
                  <w:noWrap w:val="0"/>
                  <w:vAlign w:val="center"/>
                </w:tcPr>
                <w:p>
                  <w:pPr>
                    <w:pStyle w:val="17"/>
                    <w:bidi w:val="0"/>
                  </w:pPr>
                </w:p>
              </w:tc>
              <w:tc>
                <w:tcPr>
                  <w:tcW w:w="314" w:type="pct"/>
                  <w:vMerge w:val="continue"/>
                  <w:noWrap w:val="0"/>
                  <w:vAlign w:val="center"/>
                </w:tcPr>
                <w:p>
                  <w:pPr>
                    <w:pStyle w:val="17"/>
                    <w:bidi w:val="0"/>
                  </w:pPr>
                </w:p>
              </w:tc>
              <w:tc>
                <w:tcPr>
                  <w:tcW w:w="321" w:type="pct"/>
                  <w:gridSpan w:val="2"/>
                  <w:vMerge w:val="continue"/>
                  <w:noWrap w:val="0"/>
                  <w:vAlign w:val="center"/>
                </w:tcPr>
                <w:p>
                  <w:pPr>
                    <w:pStyle w:val="17"/>
                    <w:bidi w:val="0"/>
                  </w:pPr>
                </w:p>
              </w:tc>
              <w:tc>
                <w:tcPr>
                  <w:tcW w:w="359" w:type="pct"/>
                  <w:gridSpan w:val="2"/>
                  <w:vMerge w:val="continue"/>
                  <w:noWrap w:val="0"/>
                  <w:vAlign w:val="center"/>
                </w:tcPr>
                <w:p>
                  <w:pPr>
                    <w:pStyle w:val="17"/>
                    <w:bidi w:val="0"/>
                  </w:pPr>
                </w:p>
              </w:tc>
              <w:tc>
                <w:tcPr>
                  <w:tcW w:w="353" w:type="pct"/>
                  <w:gridSpan w:val="2"/>
                  <w:vMerge w:val="continue"/>
                  <w:noWrap w:val="0"/>
                  <w:vAlign w:val="center"/>
                </w:tcPr>
                <w:p>
                  <w:pPr>
                    <w:pStyle w:val="17"/>
                    <w:bidi w:val="0"/>
                  </w:pPr>
                </w:p>
              </w:tc>
              <w:tc>
                <w:tcPr>
                  <w:tcW w:w="256" w:type="pct"/>
                  <w:gridSpan w:val="2"/>
                  <w:vMerge w:val="continue"/>
                  <w:noWrap w:val="0"/>
                  <w:vAlign w:val="center"/>
                </w:tcPr>
                <w:p>
                  <w:pPr>
                    <w:pStyle w:val="17"/>
                    <w:bidi w:val="0"/>
                    <w:rPr>
                      <w:rFonts w:hint="eastAsia"/>
                    </w:rPr>
                  </w:pPr>
                </w:p>
              </w:tc>
              <w:tc>
                <w:tcPr>
                  <w:tcW w:w="269" w:type="pct"/>
                  <w:gridSpan w:val="2"/>
                  <w:vMerge w:val="continue"/>
                  <w:noWrap w:val="0"/>
                  <w:vAlign w:val="center"/>
                </w:tcPr>
                <w:p>
                  <w:pPr>
                    <w:pStyle w:val="17"/>
                    <w:bidi w:val="0"/>
                  </w:pPr>
                </w:p>
              </w:tc>
              <w:tc>
                <w:tcPr>
                  <w:tcW w:w="238" w:type="pct"/>
                  <w:gridSpan w:val="2"/>
                  <w:vMerge w:val="continue"/>
                  <w:noWrap w:val="0"/>
                  <w:vAlign w:val="center"/>
                </w:tcPr>
                <w:p>
                  <w:pPr>
                    <w:pStyle w:val="17"/>
                    <w:bidi w:val="0"/>
                  </w:pPr>
                </w:p>
              </w:tc>
              <w:tc>
                <w:tcPr>
                  <w:tcW w:w="206" w:type="pct"/>
                  <w:vMerge w:val="continue"/>
                  <w:noWrap w:val="0"/>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9" w:hRule="atLeast"/>
                <w:jc w:val="center"/>
              </w:trPr>
              <w:tc>
                <w:tcPr>
                  <w:tcW w:w="599" w:type="pct"/>
                  <w:noWrap w:val="0"/>
                  <w:vAlign w:val="top"/>
                </w:tcPr>
                <w:p>
                  <w:pPr>
                    <w:pStyle w:val="17"/>
                    <w:bidi w:val="0"/>
                  </w:pPr>
                  <w:r>
                    <w:rPr>
                      <w:rFonts w:hint="eastAsia"/>
                    </w:rPr>
                    <w:t>萨5-11-9二开</w:t>
                  </w:r>
                </w:p>
              </w:tc>
              <w:tc>
                <w:tcPr>
                  <w:tcW w:w="359" w:type="pct"/>
                  <w:noWrap w:val="0"/>
                  <w:vAlign w:val="center"/>
                </w:tcPr>
                <w:p>
                  <w:pPr>
                    <w:pStyle w:val="17"/>
                    <w:bidi w:val="0"/>
                    <w:rPr>
                      <w:rFonts w:hint="eastAsia"/>
                    </w:rPr>
                  </w:pPr>
                  <w:r>
                    <w:rPr>
                      <w:rFonts w:hint="eastAsia"/>
                      <w:lang w:val="en-US" w:eastAsia="zh-CN"/>
                    </w:rPr>
                    <w:t>800-3840</w:t>
                  </w:r>
                </w:p>
              </w:tc>
              <w:tc>
                <w:tcPr>
                  <w:tcW w:w="351" w:type="pct"/>
                  <w:vMerge w:val="continue"/>
                  <w:noWrap w:val="0"/>
                  <w:vAlign w:val="center"/>
                </w:tcPr>
                <w:p>
                  <w:pPr>
                    <w:pStyle w:val="17"/>
                    <w:bidi w:val="0"/>
                  </w:pPr>
                </w:p>
              </w:tc>
              <w:tc>
                <w:tcPr>
                  <w:tcW w:w="382" w:type="pct"/>
                  <w:vMerge w:val="continue"/>
                  <w:noWrap w:val="0"/>
                  <w:vAlign w:val="center"/>
                </w:tcPr>
                <w:p>
                  <w:pPr>
                    <w:pStyle w:val="17"/>
                    <w:bidi w:val="0"/>
                  </w:pPr>
                </w:p>
              </w:tc>
              <w:tc>
                <w:tcPr>
                  <w:tcW w:w="314" w:type="pct"/>
                  <w:vMerge w:val="continue"/>
                  <w:noWrap w:val="0"/>
                  <w:vAlign w:val="center"/>
                </w:tcPr>
                <w:p>
                  <w:pPr>
                    <w:pStyle w:val="17"/>
                    <w:bidi w:val="0"/>
                  </w:pPr>
                </w:p>
              </w:tc>
              <w:tc>
                <w:tcPr>
                  <w:tcW w:w="389" w:type="pct"/>
                  <w:vMerge w:val="continue"/>
                  <w:noWrap w:val="0"/>
                  <w:vAlign w:val="center"/>
                </w:tcPr>
                <w:p>
                  <w:pPr>
                    <w:pStyle w:val="17"/>
                    <w:bidi w:val="0"/>
                  </w:pPr>
                </w:p>
              </w:tc>
              <w:tc>
                <w:tcPr>
                  <w:tcW w:w="282" w:type="pct"/>
                  <w:vMerge w:val="continue"/>
                  <w:noWrap w:val="0"/>
                  <w:vAlign w:val="center"/>
                </w:tcPr>
                <w:p>
                  <w:pPr>
                    <w:pStyle w:val="17"/>
                    <w:bidi w:val="0"/>
                  </w:pPr>
                </w:p>
              </w:tc>
              <w:tc>
                <w:tcPr>
                  <w:tcW w:w="314" w:type="pct"/>
                  <w:vMerge w:val="continue"/>
                  <w:noWrap w:val="0"/>
                  <w:vAlign w:val="center"/>
                </w:tcPr>
                <w:p>
                  <w:pPr>
                    <w:pStyle w:val="17"/>
                    <w:bidi w:val="0"/>
                  </w:pPr>
                </w:p>
              </w:tc>
              <w:tc>
                <w:tcPr>
                  <w:tcW w:w="321" w:type="pct"/>
                  <w:gridSpan w:val="2"/>
                  <w:vMerge w:val="continue"/>
                  <w:noWrap w:val="0"/>
                  <w:vAlign w:val="center"/>
                </w:tcPr>
                <w:p>
                  <w:pPr>
                    <w:pStyle w:val="17"/>
                    <w:bidi w:val="0"/>
                    <w:rPr>
                      <w:rFonts w:hint="default"/>
                      <w:lang w:val="en-US"/>
                    </w:rPr>
                  </w:pPr>
                </w:p>
              </w:tc>
              <w:tc>
                <w:tcPr>
                  <w:tcW w:w="359" w:type="pct"/>
                  <w:gridSpan w:val="2"/>
                  <w:vMerge w:val="continue"/>
                  <w:noWrap w:val="0"/>
                  <w:vAlign w:val="center"/>
                </w:tcPr>
                <w:p>
                  <w:pPr>
                    <w:pStyle w:val="17"/>
                    <w:bidi w:val="0"/>
                  </w:pPr>
                </w:p>
              </w:tc>
              <w:tc>
                <w:tcPr>
                  <w:tcW w:w="353" w:type="pct"/>
                  <w:gridSpan w:val="2"/>
                  <w:vMerge w:val="continue"/>
                  <w:noWrap w:val="0"/>
                  <w:vAlign w:val="center"/>
                </w:tcPr>
                <w:p>
                  <w:pPr>
                    <w:pStyle w:val="17"/>
                    <w:bidi w:val="0"/>
                  </w:pPr>
                </w:p>
              </w:tc>
              <w:tc>
                <w:tcPr>
                  <w:tcW w:w="256" w:type="pct"/>
                  <w:gridSpan w:val="2"/>
                  <w:vMerge w:val="continue"/>
                  <w:noWrap w:val="0"/>
                  <w:vAlign w:val="center"/>
                </w:tcPr>
                <w:p>
                  <w:pPr>
                    <w:pStyle w:val="17"/>
                    <w:bidi w:val="0"/>
                    <w:rPr>
                      <w:rFonts w:hint="eastAsia"/>
                    </w:rPr>
                  </w:pPr>
                </w:p>
              </w:tc>
              <w:tc>
                <w:tcPr>
                  <w:tcW w:w="269" w:type="pct"/>
                  <w:gridSpan w:val="2"/>
                  <w:vMerge w:val="continue"/>
                  <w:noWrap w:val="0"/>
                  <w:vAlign w:val="center"/>
                </w:tcPr>
                <w:p>
                  <w:pPr>
                    <w:pStyle w:val="17"/>
                    <w:bidi w:val="0"/>
                  </w:pPr>
                </w:p>
              </w:tc>
              <w:tc>
                <w:tcPr>
                  <w:tcW w:w="238" w:type="pct"/>
                  <w:gridSpan w:val="2"/>
                  <w:vMerge w:val="continue"/>
                  <w:noWrap w:val="0"/>
                  <w:vAlign w:val="center"/>
                </w:tcPr>
                <w:p>
                  <w:pPr>
                    <w:pStyle w:val="17"/>
                    <w:bidi w:val="0"/>
                  </w:pPr>
                </w:p>
              </w:tc>
              <w:tc>
                <w:tcPr>
                  <w:tcW w:w="206" w:type="pct"/>
                  <w:vMerge w:val="continue"/>
                  <w:noWrap w:val="0"/>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9" w:hRule="atLeast"/>
                <w:jc w:val="center"/>
              </w:trPr>
              <w:tc>
                <w:tcPr>
                  <w:tcW w:w="599" w:type="pct"/>
                  <w:noWrap w:val="0"/>
                  <w:vAlign w:val="top"/>
                </w:tcPr>
                <w:p>
                  <w:pPr>
                    <w:pStyle w:val="17"/>
                    <w:bidi w:val="0"/>
                  </w:pPr>
                  <w:r>
                    <w:rPr>
                      <w:rFonts w:hint="eastAsia"/>
                    </w:rPr>
                    <w:t>萨5-11-10二开</w:t>
                  </w:r>
                </w:p>
              </w:tc>
              <w:tc>
                <w:tcPr>
                  <w:tcW w:w="359" w:type="pct"/>
                  <w:noWrap w:val="0"/>
                  <w:vAlign w:val="center"/>
                </w:tcPr>
                <w:p>
                  <w:pPr>
                    <w:pStyle w:val="17"/>
                    <w:bidi w:val="0"/>
                    <w:rPr>
                      <w:rFonts w:hint="eastAsia"/>
                    </w:rPr>
                  </w:pPr>
                  <w:r>
                    <w:rPr>
                      <w:rFonts w:hint="eastAsia"/>
                      <w:lang w:val="en-US" w:eastAsia="zh-CN"/>
                    </w:rPr>
                    <w:t>800-3837</w:t>
                  </w:r>
                </w:p>
              </w:tc>
              <w:tc>
                <w:tcPr>
                  <w:tcW w:w="351" w:type="pct"/>
                  <w:vMerge w:val="continue"/>
                  <w:noWrap w:val="0"/>
                  <w:vAlign w:val="center"/>
                </w:tcPr>
                <w:p>
                  <w:pPr>
                    <w:pStyle w:val="17"/>
                    <w:bidi w:val="0"/>
                  </w:pPr>
                </w:p>
              </w:tc>
              <w:tc>
                <w:tcPr>
                  <w:tcW w:w="382" w:type="pct"/>
                  <w:vMerge w:val="continue"/>
                  <w:noWrap w:val="0"/>
                  <w:vAlign w:val="center"/>
                </w:tcPr>
                <w:p>
                  <w:pPr>
                    <w:pStyle w:val="17"/>
                    <w:bidi w:val="0"/>
                  </w:pPr>
                </w:p>
              </w:tc>
              <w:tc>
                <w:tcPr>
                  <w:tcW w:w="314" w:type="pct"/>
                  <w:vMerge w:val="continue"/>
                  <w:noWrap w:val="0"/>
                  <w:vAlign w:val="center"/>
                </w:tcPr>
                <w:p>
                  <w:pPr>
                    <w:pStyle w:val="17"/>
                    <w:bidi w:val="0"/>
                  </w:pPr>
                </w:p>
              </w:tc>
              <w:tc>
                <w:tcPr>
                  <w:tcW w:w="389" w:type="pct"/>
                  <w:vMerge w:val="continue"/>
                  <w:noWrap w:val="0"/>
                  <w:vAlign w:val="center"/>
                </w:tcPr>
                <w:p>
                  <w:pPr>
                    <w:pStyle w:val="17"/>
                    <w:bidi w:val="0"/>
                  </w:pPr>
                </w:p>
              </w:tc>
              <w:tc>
                <w:tcPr>
                  <w:tcW w:w="282" w:type="pct"/>
                  <w:vMerge w:val="continue"/>
                  <w:noWrap w:val="0"/>
                  <w:vAlign w:val="center"/>
                </w:tcPr>
                <w:p>
                  <w:pPr>
                    <w:pStyle w:val="17"/>
                    <w:bidi w:val="0"/>
                  </w:pPr>
                </w:p>
              </w:tc>
              <w:tc>
                <w:tcPr>
                  <w:tcW w:w="314" w:type="pct"/>
                  <w:vMerge w:val="continue"/>
                  <w:noWrap w:val="0"/>
                  <w:vAlign w:val="center"/>
                </w:tcPr>
                <w:p>
                  <w:pPr>
                    <w:pStyle w:val="17"/>
                    <w:bidi w:val="0"/>
                  </w:pPr>
                </w:p>
              </w:tc>
              <w:tc>
                <w:tcPr>
                  <w:tcW w:w="321" w:type="pct"/>
                  <w:gridSpan w:val="2"/>
                  <w:vMerge w:val="continue"/>
                  <w:noWrap w:val="0"/>
                  <w:vAlign w:val="center"/>
                </w:tcPr>
                <w:p>
                  <w:pPr>
                    <w:pStyle w:val="17"/>
                    <w:bidi w:val="0"/>
                  </w:pPr>
                </w:p>
              </w:tc>
              <w:tc>
                <w:tcPr>
                  <w:tcW w:w="359" w:type="pct"/>
                  <w:gridSpan w:val="2"/>
                  <w:vMerge w:val="continue"/>
                  <w:noWrap w:val="0"/>
                  <w:vAlign w:val="center"/>
                </w:tcPr>
                <w:p>
                  <w:pPr>
                    <w:pStyle w:val="17"/>
                    <w:bidi w:val="0"/>
                  </w:pPr>
                </w:p>
              </w:tc>
              <w:tc>
                <w:tcPr>
                  <w:tcW w:w="353" w:type="pct"/>
                  <w:gridSpan w:val="2"/>
                  <w:vMerge w:val="continue"/>
                  <w:noWrap w:val="0"/>
                  <w:vAlign w:val="center"/>
                </w:tcPr>
                <w:p>
                  <w:pPr>
                    <w:pStyle w:val="17"/>
                    <w:bidi w:val="0"/>
                  </w:pPr>
                </w:p>
              </w:tc>
              <w:tc>
                <w:tcPr>
                  <w:tcW w:w="256" w:type="pct"/>
                  <w:gridSpan w:val="2"/>
                  <w:vMerge w:val="continue"/>
                  <w:noWrap w:val="0"/>
                  <w:vAlign w:val="center"/>
                </w:tcPr>
                <w:p>
                  <w:pPr>
                    <w:pStyle w:val="17"/>
                    <w:bidi w:val="0"/>
                    <w:rPr>
                      <w:rFonts w:hint="eastAsia"/>
                    </w:rPr>
                  </w:pPr>
                </w:p>
              </w:tc>
              <w:tc>
                <w:tcPr>
                  <w:tcW w:w="269" w:type="pct"/>
                  <w:gridSpan w:val="2"/>
                  <w:vMerge w:val="continue"/>
                  <w:noWrap w:val="0"/>
                  <w:vAlign w:val="center"/>
                </w:tcPr>
                <w:p>
                  <w:pPr>
                    <w:pStyle w:val="17"/>
                    <w:bidi w:val="0"/>
                  </w:pPr>
                </w:p>
              </w:tc>
              <w:tc>
                <w:tcPr>
                  <w:tcW w:w="238" w:type="pct"/>
                  <w:gridSpan w:val="2"/>
                  <w:vMerge w:val="continue"/>
                  <w:noWrap w:val="0"/>
                  <w:vAlign w:val="center"/>
                </w:tcPr>
                <w:p>
                  <w:pPr>
                    <w:pStyle w:val="17"/>
                    <w:bidi w:val="0"/>
                  </w:pPr>
                </w:p>
              </w:tc>
              <w:tc>
                <w:tcPr>
                  <w:tcW w:w="206" w:type="pct"/>
                  <w:vMerge w:val="continue"/>
                  <w:noWrap w:val="0"/>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9" w:hRule="atLeast"/>
                <w:jc w:val="center"/>
              </w:trPr>
              <w:tc>
                <w:tcPr>
                  <w:tcW w:w="599" w:type="pct"/>
                  <w:noWrap w:val="0"/>
                  <w:vAlign w:val="top"/>
                </w:tcPr>
                <w:p>
                  <w:pPr>
                    <w:pStyle w:val="17"/>
                    <w:bidi w:val="0"/>
                  </w:pPr>
                  <w:r>
                    <w:rPr>
                      <w:rFonts w:hint="eastAsia"/>
                    </w:rPr>
                    <w:t>萨5-12-9二开</w:t>
                  </w:r>
                </w:p>
              </w:tc>
              <w:tc>
                <w:tcPr>
                  <w:tcW w:w="359" w:type="pct"/>
                  <w:noWrap w:val="0"/>
                  <w:vAlign w:val="center"/>
                </w:tcPr>
                <w:p>
                  <w:pPr>
                    <w:pStyle w:val="17"/>
                    <w:bidi w:val="0"/>
                    <w:rPr>
                      <w:rFonts w:hint="eastAsia"/>
                    </w:rPr>
                  </w:pPr>
                  <w:r>
                    <w:rPr>
                      <w:rFonts w:hint="eastAsia"/>
                      <w:lang w:val="en-US" w:eastAsia="zh-CN"/>
                    </w:rPr>
                    <w:t>800-3817</w:t>
                  </w:r>
                </w:p>
              </w:tc>
              <w:tc>
                <w:tcPr>
                  <w:tcW w:w="351" w:type="pct"/>
                  <w:vMerge w:val="continue"/>
                  <w:noWrap w:val="0"/>
                  <w:vAlign w:val="center"/>
                </w:tcPr>
                <w:p>
                  <w:pPr>
                    <w:pStyle w:val="17"/>
                    <w:bidi w:val="0"/>
                  </w:pPr>
                </w:p>
              </w:tc>
              <w:tc>
                <w:tcPr>
                  <w:tcW w:w="382" w:type="pct"/>
                  <w:vMerge w:val="continue"/>
                  <w:noWrap w:val="0"/>
                  <w:vAlign w:val="center"/>
                </w:tcPr>
                <w:p>
                  <w:pPr>
                    <w:pStyle w:val="17"/>
                    <w:bidi w:val="0"/>
                  </w:pPr>
                </w:p>
              </w:tc>
              <w:tc>
                <w:tcPr>
                  <w:tcW w:w="314" w:type="pct"/>
                  <w:vMerge w:val="continue"/>
                  <w:noWrap w:val="0"/>
                  <w:vAlign w:val="center"/>
                </w:tcPr>
                <w:p>
                  <w:pPr>
                    <w:pStyle w:val="17"/>
                    <w:bidi w:val="0"/>
                  </w:pPr>
                </w:p>
              </w:tc>
              <w:tc>
                <w:tcPr>
                  <w:tcW w:w="389" w:type="pct"/>
                  <w:vMerge w:val="continue"/>
                  <w:noWrap w:val="0"/>
                  <w:vAlign w:val="center"/>
                </w:tcPr>
                <w:p>
                  <w:pPr>
                    <w:pStyle w:val="17"/>
                    <w:bidi w:val="0"/>
                  </w:pPr>
                </w:p>
              </w:tc>
              <w:tc>
                <w:tcPr>
                  <w:tcW w:w="282" w:type="pct"/>
                  <w:vMerge w:val="continue"/>
                  <w:noWrap w:val="0"/>
                  <w:vAlign w:val="center"/>
                </w:tcPr>
                <w:p>
                  <w:pPr>
                    <w:pStyle w:val="17"/>
                    <w:bidi w:val="0"/>
                  </w:pPr>
                </w:p>
              </w:tc>
              <w:tc>
                <w:tcPr>
                  <w:tcW w:w="314" w:type="pct"/>
                  <w:vMerge w:val="continue"/>
                  <w:noWrap w:val="0"/>
                  <w:vAlign w:val="center"/>
                </w:tcPr>
                <w:p>
                  <w:pPr>
                    <w:pStyle w:val="17"/>
                    <w:bidi w:val="0"/>
                  </w:pPr>
                </w:p>
              </w:tc>
              <w:tc>
                <w:tcPr>
                  <w:tcW w:w="321" w:type="pct"/>
                  <w:gridSpan w:val="2"/>
                  <w:vMerge w:val="continue"/>
                  <w:noWrap w:val="0"/>
                  <w:vAlign w:val="center"/>
                </w:tcPr>
                <w:p>
                  <w:pPr>
                    <w:pStyle w:val="17"/>
                    <w:bidi w:val="0"/>
                  </w:pPr>
                </w:p>
              </w:tc>
              <w:tc>
                <w:tcPr>
                  <w:tcW w:w="359" w:type="pct"/>
                  <w:gridSpan w:val="2"/>
                  <w:vMerge w:val="continue"/>
                  <w:noWrap w:val="0"/>
                  <w:vAlign w:val="center"/>
                </w:tcPr>
                <w:p>
                  <w:pPr>
                    <w:pStyle w:val="17"/>
                    <w:bidi w:val="0"/>
                  </w:pPr>
                </w:p>
              </w:tc>
              <w:tc>
                <w:tcPr>
                  <w:tcW w:w="353" w:type="pct"/>
                  <w:gridSpan w:val="2"/>
                  <w:vMerge w:val="continue"/>
                  <w:noWrap w:val="0"/>
                  <w:vAlign w:val="center"/>
                </w:tcPr>
                <w:p>
                  <w:pPr>
                    <w:pStyle w:val="17"/>
                    <w:bidi w:val="0"/>
                  </w:pPr>
                </w:p>
              </w:tc>
              <w:tc>
                <w:tcPr>
                  <w:tcW w:w="256" w:type="pct"/>
                  <w:gridSpan w:val="2"/>
                  <w:vMerge w:val="continue"/>
                  <w:noWrap w:val="0"/>
                  <w:vAlign w:val="center"/>
                </w:tcPr>
                <w:p>
                  <w:pPr>
                    <w:pStyle w:val="17"/>
                    <w:bidi w:val="0"/>
                    <w:rPr>
                      <w:rFonts w:hint="eastAsia"/>
                    </w:rPr>
                  </w:pPr>
                </w:p>
              </w:tc>
              <w:tc>
                <w:tcPr>
                  <w:tcW w:w="269" w:type="pct"/>
                  <w:gridSpan w:val="2"/>
                  <w:vMerge w:val="continue"/>
                  <w:noWrap w:val="0"/>
                  <w:vAlign w:val="center"/>
                </w:tcPr>
                <w:p>
                  <w:pPr>
                    <w:pStyle w:val="17"/>
                    <w:bidi w:val="0"/>
                  </w:pPr>
                </w:p>
              </w:tc>
              <w:tc>
                <w:tcPr>
                  <w:tcW w:w="238" w:type="pct"/>
                  <w:gridSpan w:val="2"/>
                  <w:vMerge w:val="continue"/>
                  <w:noWrap w:val="0"/>
                  <w:vAlign w:val="center"/>
                </w:tcPr>
                <w:p>
                  <w:pPr>
                    <w:pStyle w:val="17"/>
                    <w:bidi w:val="0"/>
                  </w:pPr>
                </w:p>
              </w:tc>
              <w:tc>
                <w:tcPr>
                  <w:tcW w:w="206" w:type="pct"/>
                  <w:vMerge w:val="continue"/>
                  <w:noWrap w:val="0"/>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75" w:hRule="atLeast"/>
                <w:jc w:val="center"/>
              </w:trPr>
              <w:tc>
                <w:tcPr>
                  <w:tcW w:w="599" w:type="pct"/>
                  <w:noWrap w:val="0"/>
                  <w:vAlign w:val="center"/>
                </w:tcPr>
                <w:p>
                  <w:pPr>
                    <w:pStyle w:val="17"/>
                    <w:bidi w:val="0"/>
                  </w:pPr>
                  <w:r>
                    <w:t>类型</w:t>
                  </w:r>
                </w:p>
              </w:tc>
              <w:tc>
                <w:tcPr>
                  <w:tcW w:w="4400" w:type="pct"/>
                  <w:gridSpan w:val="20"/>
                  <w:vMerge w:val="restart"/>
                  <w:noWrap w:val="0"/>
                  <w:vAlign w:val="center"/>
                </w:tcPr>
                <w:p>
                  <w:pPr>
                    <w:pStyle w:val="17"/>
                    <w:bidi w:val="0"/>
                  </w:pPr>
                  <w:r>
                    <w:t>80:20（白/柴油:30%CaCl2水溶液）+2%~2.5%主乳化剂+2%~3%辅乳化剂+1%润湿剂+2.5%~3.0%有机土+2.5%降滤失剂+</w:t>
                  </w:r>
                  <w:r>
                    <w:rPr>
                      <w:rFonts w:hint="eastAsia"/>
                    </w:rPr>
                    <w:t>5%超细钙</w:t>
                  </w:r>
                  <w:r>
                    <w:t xml:space="preserve">1.5%CaO </w:t>
                  </w:r>
                  <w:r>
                    <w:rPr>
                      <w:rFonts w:hint="eastAsia"/>
                    </w:rPr>
                    <w:t>+1%纳米封堵剂</w:t>
                  </w:r>
                  <w:r>
                    <w:t>+3%氧化沥青+重晶石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32" w:hRule="atLeast"/>
                <w:jc w:val="center"/>
              </w:trPr>
              <w:tc>
                <w:tcPr>
                  <w:tcW w:w="599" w:type="pct"/>
                  <w:noWrap w:val="0"/>
                  <w:vAlign w:val="center"/>
                </w:tcPr>
                <w:p>
                  <w:pPr>
                    <w:pStyle w:val="17"/>
                    <w:bidi w:val="0"/>
                  </w:pPr>
                  <w:r>
                    <w:t>白/柴油基</w:t>
                  </w:r>
                </w:p>
                <w:p>
                  <w:pPr>
                    <w:pStyle w:val="17"/>
                    <w:bidi w:val="0"/>
                  </w:pPr>
                  <w:r>
                    <w:t>钻井完井液</w:t>
                  </w:r>
                </w:p>
              </w:tc>
              <w:tc>
                <w:tcPr>
                  <w:tcW w:w="4400" w:type="pct"/>
                  <w:gridSpan w:val="20"/>
                  <w:vMerge w:val="continue"/>
                  <w:noWrap w:val="0"/>
                  <w:vAlign w:val="center"/>
                </w:tcPr>
                <w:p>
                  <w:pPr>
                    <w:pStyle w:val="17"/>
                    <w:bidi w:val="0"/>
                  </w:pPr>
                </w:p>
              </w:tc>
            </w:tr>
          </w:tbl>
          <w:p>
            <w:pPr>
              <w:pStyle w:val="16"/>
              <w:bidi w:val="0"/>
              <w:ind w:left="0" w:leftChars="0" w:firstLine="0" w:firstLineChars="0"/>
              <w:rPr>
                <w:sz w:val="21"/>
                <w:szCs w:val="21"/>
              </w:rPr>
            </w:pPr>
            <w:r>
              <w:rPr>
                <w:sz w:val="21"/>
                <w:szCs w:val="21"/>
              </w:rPr>
              <w:t>备注：1、钻进过程中根据实际情况，如确需提高钻井液密度，须及时向建设单位请示，以防井涌、井喷、井漏等事故的发生。</w:t>
            </w:r>
          </w:p>
          <w:p>
            <w:pPr>
              <w:pStyle w:val="16"/>
              <w:bidi w:val="0"/>
              <w:rPr>
                <w:rFonts w:hint="eastAsia"/>
                <w:sz w:val="21"/>
                <w:szCs w:val="21"/>
                <w:lang w:val="en-US" w:eastAsia="zh-CN"/>
              </w:rPr>
            </w:pPr>
            <w:r>
              <w:rPr>
                <w:sz w:val="21"/>
                <w:szCs w:val="21"/>
              </w:rPr>
              <w:t>2、钻井液常规性能控制指标作为考核指标，推荐性能作为参考指标，对于井深大于4000</w:t>
            </w:r>
            <w:r>
              <w:rPr>
                <w:rFonts w:hint="eastAsia"/>
                <w:sz w:val="21"/>
                <w:szCs w:val="21"/>
                <w:lang w:eastAsia="zh-CN"/>
              </w:rPr>
              <w:t>m</w:t>
            </w:r>
            <w:r>
              <w:rPr>
                <w:sz w:val="21"/>
                <w:szCs w:val="21"/>
              </w:rPr>
              <w:t>或井温达到80</w:t>
            </w:r>
            <w:r>
              <w:rPr>
                <w:rFonts w:hint="eastAsia"/>
                <w:sz w:val="21"/>
                <w:szCs w:val="21"/>
              </w:rPr>
              <w:t>℃</w:t>
            </w:r>
            <w:r>
              <w:rPr>
                <w:sz w:val="21"/>
                <w:szCs w:val="21"/>
              </w:rPr>
              <w:t>以上时须考核高温高压滤失量。</w:t>
            </w:r>
          </w:p>
          <w:p>
            <w:pPr>
              <w:pStyle w:val="16"/>
              <w:bidi w:val="0"/>
              <w:rPr>
                <w:rFonts w:hint="eastAsia"/>
                <w:sz w:val="21"/>
                <w:szCs w:val="21"/>
                <w:lang w:val="en-US" w:eastAsia="zh-CN"/>
              </w:rPr>
            </w:pPr>
            <w:r>
              <w:rPr>
                <w:rFonts w:hint="default"/>
                <w:sz w:val="21"/>
                <w:szCs w:val="21"/>
                <w:lang w:val="en-US" w:eastAsia="zh-CN"/>
              </w:rPr>
              <w:t>钻井</w:t>
            </w:r>
            <w:r>
              <w:rPr>
                <w:rFonts w:hint="eastAsia"/>
                <w:sz w:val="21"/>
                <w:szCs w:val="21"/>
                <w:lang w:val="en-US" w:eastAsia="zh-CN"/>
              </w:rPr>
              <w:t>液</w:t>
            </w:r>
            <w:r>
              <w:rPr>
                <w:rFonts w:hint="default"/>
                <w:sz w:val="21"/>
                <w:szCs w:val="21"/>
                <w:lang w:val="en-US" w:eastAsia="zh-CN"/>
              </w:rPr>
              <w:t>材料消耗见</w:t>
            </w:r>
            <w:r>
              <w:rPr>
                <w:rFonts w:hint="eastAsia"/>
                <w:sz w:val="21"/>
                <w:szCs w:val="21"/>
                <w:lang w:val="en-US" w:eastAsia="zh-CN"/>
              </w:rPr>
              <w:t>下表。</w:t>
            </w:r>
          </w:p>
          <w:p>
            <w:pPr>
              <w:pStyle w:val="14"/>
              <w:bidi w:val="0"/>
              <w:rPr>
                <w:rFonts w:hint="default"/>
                <w:lang w:val="en-US" w:eastAsia="zh-CN"/>
              </w:rPr>
            </w:pPr>
            <w:r>
              <w:rPr>
                <w:rFonts w:hint="eastAsia"/>
                <w:lang w:val="en-US" w:eastAsia="zh-CN"/>
              </w:rPr>
              <w:t>表2-8   钻井液材料消耗表</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3904"/>
              <w:gridCol w:w="1001"/>
              <w:gridCol w:w="1091"/>
              <w:gridCol w:w="869"/>
              <w:gridCol w:w="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序</w:t>
                  </w:r>
                </w:p>
                <w:p>
                  <w:pPr>
                    <w:pStyle w:val="17"/>
                    <w:bidi w:val="0"/>
                    <w:rPr>
                      <w:rFonts w:hint="eastAsia"/>
                      <w:color w:val="auto"/>
                      <w:lang w:val="en-US" w:eastAsia="zh-CN"/>
                    </w:rPr>
                  </w:pPr>
                  <w:r>
                    <w:rPr>
                      <w:rFonts w:hint="eastAsia"/>
                      <w:color w:val="auto"/>
                      <w:lang w:val="en-US" w:eastAsia="zh-CN"/>
                    </w:rPr>
                    <w:t>号</w:t>
                  </w:r>
                </w:p>
              </w:tc>
              <w:tc>
                <w:tcPr>
                  <w:tcW w:w="2337"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材料名称及代号</w:t>
                  </w:r>
                </w:p>
              </w:tc>
              <w:tc>
                <w:tcPr>
                  <w:tcW w:w="1252"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数量（t）</w:t>
                  </w:r>
                </w:p>
              </w:tc>
              <w:tc>
                <w:tcPr>
                  <w:tcW w:w="520"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单井合计</w:t>
                  </w:r>
                </w:p>
                <w:p>
                  <w:pPr>
                    <w:pStyle w:val="17"/>
                    <w:bidi w:val="0"/>
                    <w:rPr>
                      <w:rFonts w:hint="eastAsia"/>
                      <w:color w:val="auto"/>
                      <w:lang w:val="en-US" w:eastAsia="zh-CN"/>
                    </w:rPr>
                  </w:pPr>
                  <w:r>
                    <w:rPr>
                      <w:rFonts w:hint="eastAsia"/>
                      <w:color w:val="auto"/>
                      <w:lang w:val="en-US" w:eastAsia="zh-CN"/>
                    </w:rPr>
                    <w:t>（t）</w:t>
                  </w:r>
                </w:p>
              </w:tc>
              <w:tc>
                <w:tcPr>
                  <w:tcW w:w="583" w:type="pct"/>
                  <w:vMerge w:val="restart"/>
                  <w:tcBorders>
                    <w:top w:val="single" w:color="auto" w:sz="4" w:space="0"/>
                    <w:left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8口井合计（t）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p>
              </w:tc>
              <w:tc>
                <w:tcPr>
                  <w:tcW w:w="233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一开</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二开</w:t>
                  </w:r>
                </w:p>
              </w:tc>
              <w:tc>
                <w:tcPr>
                  <w:tcW w:w="52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p>
              </w:tc>
              <w:tc>
                <w:tcPr>
                  <w:tcW w:w="583" w:type="pct"/>
                  <w:vMerge w:val="continue"/>
                  <w:tcBorders>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膨润土粉</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30</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10</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40</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2</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纯碱Na</w:t>
                  </w:r>
                  <w:r>
                    <w:rPr>
                      <w:rFonts w:hint="eastAsia"/>
                      <w:color w:val="auto"/>
                      <w:vertAlign w:val="subscript"/>
                      <w:lang w:val="en-US" w:eastAsia="zh-CN"/>
                    </w:rPr>
                    <w:t>2</w:t>
                  </w:r>
                  <w:r>
                    <w:rPr>
                      <w:rFonts w:hint="eastAsia"/>
                      <w:color w:val="auto"/>
                      <w:lang w:val="en-US" w:eastAsia="zh-CN"/>
                    </w:rPr>
                    <w:t>CO</w:t>
                  </w:r>
                  <w:r>
                    <w:rPr>
                      <w:rFonts w:hint="eastAsia"/>
                      <w:color w:val="auto"/>
                      <w:vertAlign w:val="subscript"/>
                      <w:lang w:val="en-US" w:eastAsia="zh-CN"/>
                    </w:rPr>
                    <w:t>3</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1.0</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0.2</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1.2</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3</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钻井液用高粘羧甲基纤维素CMC-HV</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2.5</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1.5</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4</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4</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烧碱 NaOH</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4</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6</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5</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钻井液用水解聚丙烯晴铵盐</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2.2</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3.1</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6</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钻井液用聚合物降滤失剂-钻井液用降滤失剂聚丙烯酰胺钾盐 SP-8</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5</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4</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9</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7</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钻井液用包被抑制剂羧羟基烷烯共聚物 IND10</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5</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3</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8</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8</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氯化钾 工业用 K</w:t>
                  </w:r>
                  <w:r>
                    <w:rPr>
                      <w:rFonts w:hint="eastAsia"/>
                      <w:color w:val="auto"/>
                      <w:vertAlign w:val="subscript"/>
                      <w:lang w:val="en-US" w:eastAsia="zh-CN"/>
                    </w:rPr>
                    <w:t>2</w:t>
                  </w:r>
                  <w:r>
                    <w:rPr>
                      <w:rFonts w:hint="eastAsia"/>
                      <w:color w:val="auto"/>
                      <w:lang w:val="en-US" w:eastAsia="zh-CN"/>
                    </w:rPr>
                    <w:t>O≥62%</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30</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20</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50</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9</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工业盐 NaCL</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30</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20</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50</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10</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钻井液用封堵防塌剂 FT-401</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12</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12</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24</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11</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超细碳酸钙 CaCO3</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30</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30</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60</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12</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XZ系列堵漏剂 XZ-DL5</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6</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8</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14</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13</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轻柴油 0# 优等品</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0</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350</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350</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14</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氯化钙 工业用 无水 一级 ≥94%</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22</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22</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15</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有机土 TYODF-601</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9</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9</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16</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氧化钙 粉状 优等品 ≥85%</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14</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14</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17</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钻井液用乳化剂 脂肪酸衍生物 XZ-OZR</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8</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8</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18</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钻井液用乳化剂 脂肪酸衍生物 XZ-OFR</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8</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8</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19</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钻井液用表面活性剂</w:t>
                  </w:r>
                  <w:r>
                    <w:rPr>
                      <w:color w:val="auto"/>
                      <w:lang w:val="en-US" w:eastAsia="zh-CN"/>
                    </w:rPr>
                    <w:t xml:space="preserve"> </w:t>
                  </w:r>
                  <w:r>
                    <w:rPr>
                      <w:rFonts w:hint="eastAsia"/>
                      <w:color w:val="auto"/>
                      <w:lang w:val="en-US" w:eastAsia="zh-CN"/>
                    </w:rPr>
                    <w:t>油基钻井液用润湿剂</w:t>
                  </w:r>
                  <w:r>
                    <w:rPr>
                      <w:color w:val="auto"/>
                      <w:lang w:val="en-US" w:eastAsia="zh-CN"/>
                    </w:rPr>
                    <w:t xml:space="preserve"> </w:t>
                  </w:r>
                  <w:r>
                    <w:rPr>
                      <w:rFonts w:hint="eastAsia"/>
                      <w:color w:val="auto"/>
                      <w:lang w:val="en-US" w:eastAsia="zh-CN"/>
                    </w:rPr>
                    <w:t>酰胺基聚醚</w:t>
                  </w:r>
                  <w:r>
                    <w:rPr>
                      <w:color w:val="auto"/>
                      <w:lang w:val="en-US" w:eastAsia="zh-CN"/>
                    </w:rPr>
                    <w:t xml:space="preserve"> XZ-ORS</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4</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4</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20</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钻井液用封堵防塌剂 FT-401</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8</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8</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21</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超细碳酸钙</w:t>
                  </w:r>
                  <w:r>
                    <w:rPr>
                      <w:color w:val="auto"/>
                      <w:lang w:val="en-US" w:eastAsia="zh-CN"/>
                    </w:rPr>
                    <w:t>325</w:t>
                  </w:r>
                  <w:r>
                    <w:rPr>
                      <w:rFonts w:hint="eastAsia"/>
                      <w:color w:val="auto"/>
                      <w:lang w:val="en-US" w:eastAsia="zh-CN"/>
                    </w:rPr>
                    <w:t>目 CaCO3</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18</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18</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22</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钻井液用封堵剂 碳酸钙 CS-3</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18</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18</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2</w:t>
                  </w:r>
                  <w:r>
                    <w:rPr>
                      <w:rFonts w:hint="eastAsia"/>
                      <w:color w:val="auto"/>
                      <w:lang w:val="en-US" w:eastAsia="zh-CN"/>
                    </w:rPr>
                    <w:t>3</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钻井液用封堵剂 碳酸钙 CS-5</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18</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18</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24</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钻井液用堵漏剂 惰性材料混合物 XZ-DL5</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12</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12</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25</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钻井液用堵漏剂 惰性材料混合物 XZ-DL8</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6</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6</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26</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钻井液用封堵剂</w:t>
                  </w:r>
                  <w:r>
                    <w:rPr>
                      <w:color w:val="auto"/>
                      <w:lang w:val="en-US" w:eastAsia="zh-CN"/>
                    </w:rPr>
                    <w:t xml:space="preserve"> </w:t>
                  </w:r>
                  <w:r>
                    <w:rPr>
                      <w:rFonts w:hint="eastAsia"/>
                      <w:color w:val="auto"/>
                      <w:lang w:val="en-US" w:eastAsia="zh-CN"/>
                    </w:rPr>
                    <w:t>可变型聚合物乳胶</w:t>
                  </w:r>
                  <w:r>
                    <w:rPr>
                      <w:color w:val="auto"/>
                      <w:lang w:val="en-US" w:eastAsia="zh-CN"/>
                    </w:rPr>
                    <w:t xml:space="preserve"> ZK-601</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7</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7</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27</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重晶石粉</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360</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300</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660</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5280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6"/>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rPr>
                    <w:t>注:表中材料可用其它同类材料替代</w:t>
                  </w:r>
                </w:p>
              </w:tc>
            </w:tr>
          </w:tbl>
          <w:p>
            <w:pPr>
              <w:pStyle w:val="19"/>
              <w:bidi w:val="0"/>
              <w:rPr>
                <w:rFonts w:hint="default"/>
                <w:lang w:val="en-US" w:eastAsia="zh-CN"/>
              </w:rPr>
            </w:pPr>
            <w:r>
              <w:rPr>
                <w:rFonts w:hint="eastAsia"/>
                <w:lang w:val="en-US" w:eastAsia="zh-CN"/>
              </w:rPr>
              <w:t>3.3钻井设备</w:t>
            </w:r>
          </w:p>
          <w:p>
            <w:pPr>
              <w:pStyle w:val="16"/>
              <w:bidi w:val="0"/>
              <w:rPr>
                <w:rFonts w:hint="default"/>
              </w:rPr>
            </w:pPr>
            <w:r>
              <w:rPr>
                <w:rFonts w:hint="default"/>
              </w:rPr>
              <w:t>本项目钻井主要设备见</w:t>
            </w:r>
            <w:r>
              <w:rPr>
                <w:rFonts w:hint="eastAsia"/>
                <w:lang w:val="en-US" w:eastAsia="zh-CN"/>
              </w:rPr>
              <w:t>下表</w:t>
            </w:r>
            <w:r>
              <w:rPr>
                <w:rFonts w:hint="default"/>
              </w:rPr>
              <w:t>。</w:t>
            </w:r>
          </w:p>
          <w:p>
            <w:pPr>
              <w:pStyle w:val="14"/>
              <w:bidi w:val="0"/>
              <w:rPr>
                <w:rFonts w:hint="default"/>
              </w:rPr>
            </w:pPr>
            <w:r>
              <w:rPr>
                <w:rFonts w:hint="default"/>
              </w:rPr>
              <w:t>表</w:t>
            </w:r>
            <w:r>
              <w:rPr>
                <w:rFonts w:hint="eastAsia"/>
                <w:lang w:val="en-US" w:eastAsia="zh-CN"/>
              </w:rPr>
              <w:t>2-9</w:t>
            </w:r>
            <w:r>
              <w:rPr>
                <w:rFonts w:hint="default"/>
              </w:rPr>
              <w:t xml:space="preserve">  单井钻井主要设备配置</w:t>
            </w:r>
          </w:p>
          <w:tbl>
            <w:tblPr>
              <w:tblStyle w:val="12"/>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960"/>
              <w:gridCol w:w="1091"/>
              <w:gridCol w:w="1785"/>
              <w:gridCol w:w="1002"/>
              <w:gridCol w:w="1189"/>
              <w:gridCol w:w="755"/>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9" w:hRule="atLeast"/>
              </w:trPr>
              <w:tc>
                <w:tcPr>
                  <w:tcW w:w="484" w:type="pct"/>
                  <w:noWrap w:val="0"/>
                  <w:vAlign w:val="center"/>
                </w:tcPr>
                <w:p>
                  <w:pPr>
                    <w:pStyle w:val="17"/>
                    <w:widowControl w:val="0"/>
                    <w:bidi w:val="0"/>
                    <w:rPr>
                      <w:rFonts w:hint="default"/>
                      <w:lang w:val="en-US" w:eastAsia="zh-CN"/>
                    </w:rPr>
                  </w:pPr>
                  <w:r>
                    <w:rPr>
                      <w:rFonts w:hint="default"/>
                      <w:lang w:val="en-US" w:eastAsia="zh-CN"/>
                    </w:rPr>
                    <w:t>序号</w:t>
                  </w:r>
                </w:p>
              </w:tc>
              <w:tc>
                <w:tcPr>
                  <w:tcW w:w="1228" w:type="pct"/>
                  <w:gridSpan w:val="2"/>
                  <w:noWrap w:val="0"/>
                  <w:vAlign w:val="center"/>
                </w:tcPr>
                <w:p>
                  <w:pPr>
                    <w:pStyle w:val="17"/>
                    <w:widowControl w:val="0"/>
                    <w:bidi w:val="0"/>
                    <w:rPr>
                      <w:rFonts w:hint="default"/>
                      <w:lang w:val="en-US" w:eastAsia="zh-CN"/>
                    </w:rPr>
                  </w:pPr>
                  <w:r>
                    <w:rPr>
                      <w:rFonts w:hint="default"/>
                      <w:lang w:val="en-US" w:eastAsia="zh-CN"/>
                    </w:rPr>
                    <w:t>名称</w:t>
                  </w:r>
                </w:p>
              </w:tc>
              <w:tc>
                <w:tcPr>
                  <w:tcW w:w="1069" w:type="pct"/>
                  <w:noWrap w:val="0"/>
                  <w:vAlign w:val="center"/>
                </w:tcPr>
                <w:p>
                  <w:pPr>
                    <w:pStyle w:val="17"/>
                    <w:widowControl w:val="0"/>
                    <w:bidi w:val="0"/>
                    <w:rPr>
                      <w:rFonts w:hint="default"/>
                      <w:lang w:val="en-US" w:eastAsia="zh-CN"/>
                    </w:rPr>
                  </w:pPr>
                  <w:r>
                    <w:rPr>
                      <w:rFonts w:hint="default"/>
                      <w:lang w:val="en-US" w:eastAsia="zh-CN"/>
                    </w:rPr>
                    <w:t>型号</w:t>
                  </w:r>
                </w:p>
              </w:tc>
              <w:tc>
                <w:tcPr>
                  <w:tcW w:w="600" w:type="pct"/>
                  <w:noWrap w:val="0"/>
                  <w:vAlign w:val="center"/>
                </w:tcPr>
                <w:p>
                  <w:pPr>
                    <w:pStyle w:val="17"/>
                    <w:widowControl w:val="0"/>
                    <w:bidi w:val="0"/>
                    <w:rPr>
                      <w:rFonts w:hint="default"/>
                      <w:lang w:val="en-US" w:eastAsia="zh-CN"/>
                    </w:rPr>
                  </w:pPr>
                  <w:r>
                    <w:rPr>
                      <w:rFonts w:hint="default"/>
                      <w:lang w:val="en-US" w:eastAsia="zh-CN"/>
                    </w:rPr>
                    <w:t>载荷</w:t>
                  </w:r>
                </w:p>
              </w:tc>
              <w:tc>
                <w:tcPr>
                  <w:tcW w:w="712" w:type="pct"/>
                  <w:noWrap w:val="0"/>
                  <w:vAlign w:val="center"/>
                </w:tcPr>
                <w:p>
                  <w:pPr>
                    <w:pStyle w:val="17"/>
                    <w:widowControl w:val="0"/>
                    <w:bidi w:val="0"/>
                    <w:rPr>
                      <w:rFonts w:hint="default"/>
                      <w:lang w:val="en-US" w:eastAsia="zh-CN"/>
                    </w:rPr>
                  </w:pPr>
                  <w:r>
                    <w:rPr>
                      <w:rFonts w:hint="default"/>
                      <w:lang w:val="en-US" w:eastAsia="zh-CN"/>
                    </w:rPr>
                    <w:t>功率KW</w:t>
                  </w:r>
                </w:p>
              </w:tc>
              <w:tc>
                <w:tcPr>
                  <w:tcW w:w="452" w:type="pct"/>
                  <w:noWrap w:val="0"/>
                  <w:vAlign w:val="center"/>
                </w:tcPr>
                <w:p>
                  <w:pPr>
                    <w:pStyle w:val="17"/>
                    <w:widowControl w:val="0"/>
                    <w:bidi w:val="0"/>
                    <w:rPr>
                      <w:rFonts w:hint="default"/>
                      <w:lang w:val="en-US" w:eastAsia="zh-CN"/>
                    </w:rPr>
                  </w:pPr>
                  <w:r>
                    <w:rPr>
                      <w:rFonts w:hint="default"/>
                      <w:lang w:val="en-US" w:eastAsia="zh-CN"/>
                    </w:rPr>
                    <w:t>单位</w:t>
                  </w:r>
                </w:p>
              </w:tc>
              <w:tc>
                <w:tcPr>
                  <w:tcW w:w="452" w:type="pct"/>
                  <w:noWrap w:val="0"/>
                  <w:vAlign w:val="center"/>
                </w:tcPr>
                <w:p>
                  <w:pPr>
                    <w:pStyle w:val="17"/>
                    <w:widowControl w:val="0"/>
                    <w:bidi w:val="0"/>
                    <w:rPr>
                      <w:rFonts w:hint="default"/>
                      <w:lang w:val="en-US" w:eastAsia="zh-CN"/>
                    </w:rPr>
                  </w:pPr>
                  <w:r>
                    <w:rPr>
                      <w:rFonts w:hint="eastAsia"/>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484" w:type="pct"/>
                  <w:noWrap w:val="0"/>
                  <w:vAlign w:val="center"/>
                </w:tcPr>
                <w:p>
                  <w:pPr>
                    <w:pStyle w:val="17"/>
                    <w:widowControl w:val="0"/>
                    <w:bidi w:val="0"/>
                    <w:rPr>
                      <w:rFonts w:hint="default"/>
                      <w:lang w:val="en-US" w:eastAsia="zh-CN"/>
                    </w:rPr>
                  </w:pPr>
                  <w:r>
                    <w:rPr>
                      <w:rFonts w:hint="default"/>
                      <w:lang w:val="en-US" w:eastAsia="zh-CN"/>
                    </w:rPr>
                    <w:t>1</w:t>
                  </w:r>
                </w:p>
              </w:tc>
              <w:tc>
                <w:tcPr>
                  <w:tcW w:w="1228" w:type="pct"/>
                  <w:gridSpan w:val="2"/>
                  <w:noWrap w:val="0"/>
                  <w:vAlign w:val="center"/>
                </w:tcPr>
                <w:p>
                  <w:pPr>
                    <w:pStyle w:val="17"/>
                    <w:widowControl w:val="0"/>
                    <w:bidi w:val="0"/>
                    <w:rPr>
                      <w:rFonts w:hint="default"/>
                      <w:lang w:val="en-US" w:eastAsia="zh-CN"/>
                    </w:rPr>
                  </w:pPr>
                  <w:r>
                    <w:rPr>
                      <w:rFonts w:hint="default"/>
                      <w:lang w:val="en-US" w:eastAsia="zh-CN"/>
                    </w:rPr>
                    <w:t>钻机</w:t>
                  </w:r>
                </w:p>
              </w:tc>
              <w:tc>
                <w:tcPr>
                  <w:tcW w:w="1069" w:type="pct"/>
                  <w:noWrap w:val="0"/>
                  <w:vAlign w:val="center"/>
                </w:tcPr>
                <w:p>
                  <w:pPr>
                    <w:pStyle w:val="17"/>
                    <w:widowControl w:val="0"/>
                    <w:bidi w:val="0"/>
                    <w:rPr>
                      <w:rFonts w:hint="default"/>
                      <w:lang w:val="en-US" w:eastAsia="zh-CN"/>
                    </w:rPr>
                  </w:pPr>
                  <w:r>
                    <w:rPr>
                      <w:rFonts w:hint="default"/>
                      <w:lang w:val="en-US" w:eastAsia="zh-CN"/>
                    </w:rPr>
                    <w:t>ZJ-</w:t>
                  </w:r>
                  <w:r>
                    <w:rPr>
                      <w:rFonts w:hint="eastAsia"/>
                      <w:lang w:val="en-US" w:eastAsia="zh-CN"/>
                    </w:rPr>
                    <w:t>50</w:t>
                  </w:r>
                </w:p>
              </w:tc>
              <w:tc>
                <w:tcPr>
                  <w:tcW w:w="600" w:type="pct"/>
                  <w:noWrap w:val="0"/>
                  <w:vAlign w:val="center"/>
                </w:tcPr>
                <w:p>
                  <w:pPr>
                    <w:pStyle w:val="17"/>
                    <w:widowControl w:val="0"/>
                    <w:bidi w:val="0"/>
                    <w:rPr>
                      <w:rFonts w:hint="default"/>
                      <w:lang w:val="en-US" w:eastAsia="zh-CN"/>
                    </w:rPr>
                  </w:pPr>
                  <w:r>
                    <w:rPr>
                      <w:rFonts w:hint="default"/>
                      <w:lang w:val="en-US" w:eastAsia="zh-CN"/>
                    </w:rPr>
                    <w:t>/</w:t>
                  </w:r>
                </w:p>
              </w:tc>
              <w:tc>
                <w:tcPr>
                  <w:tcW w:w="712" w:type="pct"/>
                  <w:noWrap w:val="0"/>
                  <w:vAlign w:val="center"/>
                </w:tcPr>
                <w:p>
                  <w:pPr>
                    <w:pStyle w:val="17"/>
                    <w:widowControl w:val="0"/>
                    <w:bidi w:val="0"/>
                    <w:rPr>
                      <w:rFonts w:hint="default"/>
                      <w:lang w:val="en-US" w:eastAsia="zh-CN"/>
                    </w:rPr>
                  </w:pPr>
                  <w:r>
                    <w:rPr>
                      <w:rFonts w:hint="default"/>
                      <w:lang w:val="en-US" w:eastAsia="zh-CN"/>
                    </w:rPr>
                    <w:t>/</w:t>
                  </w:r>
                </w:p>
              </w:tc>
              <w:tc>
                <w:tcPr>
                  <w:tcW w:w="452" w:type="pct"/>
                  <w:noWrap w:val="0"/>
                  <w:vAlign w:val="center"/>
                </w:tcPr>
                <w:p>
                  <w:pPr>
                    <w:pStyle w:val="17"/>
                    <w:widowControl w:val="0"/>
                    <w:bidi w:val="0"/>
                    <w:rPr>
                      <w:rFonts w:hint="default"/>
                      <w:lang w:val="en-US" w:eastAsia="zh-CN"/>
                    </w:rPr>
                  </w:pPr>
                  <w:r>
                    <w:rPr>
                      <w:rFonts w:hint="default"/>
                      <w:lang w:val="en-US" w:eastAsia="zh-CN"/>
                    </w:rPr>
                    <w:t>部</w:t>
                  </w:r>
                </w:p>
              </w:tc>
              <w:tc>
                <w:tcPr>
                  <w:tcW w:w="452" w:type="pct"/>
                  <w:noWrap w:val="0"/>
                  <w:vAlign w:val="center"/>
                </w:tcPr>
                <w:p>
                  <w:pPr>
                    <w:pStyle w:val="17"/>
                    <w:widowControl w:val="0"/>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4" w:type="pct"/>
                  <w:noWrap w:val="0"/>
                  <w:vAlign w:val="center"/>
                </w:tcPr>
                <w:p>
                  <w:pPr>
                    <w:pStyle w:val="17"/>
                    <w:widowControl w:val="0"/>
                    <w:bidi w:val="0"/>
                    <w:rPr>
                      <w:rFonts w:hint="default"/>
                      <w:lang w:val="en-US" w:eastAsia="zh-CN"/>
                    </w:rPr>
                  </w:pPr>
                  <w:r>
                    <w:rPr>
                      <w:rFonts w:hint="default"/>
                      <w:lang w:val="en-US" w:eastAsia="zh-CN"/>
                    </w:rPr>
                    <w:t>2</w:t>
                  </w:r>
                </w:p>
              </w:tc>
              <w:tc>
                <w:tcPr>
                  <w:tcW w:w="1228" w:type="pct"/>
                  <w:gridSpan w:val="2"/>
                  <w:noWrap w:val="0"/>
                  <w:vAlign w:val="center"/>
                </w:tcPr>
                <w:p>
                  <w:pPr>
                    <w:pStyle w:val="17"/>
                    <w:widowControl w:val="0"/>
                    <w:bidi w:val="0"/>
                    <w:rPr>
                      <w:rFonts w:hint="default"/>
                      <w:lang w:val="en-US" w:eastAsia="zh-CN"/>
                    </w:rPr>
                  </w:pPr>
                  <w:r>
                    <w:rPr>
                      <w:rFonts w:hint="default"/>
                      <w:lang w:val="en-US" w:eastAsia="zh-CN"/>
                    </w:rPr>
                    <w:t>井架</w:t>
                  </w:r>
                </w:p>
              </w:tc>
              <w:tc>
                <w:tcPr>
                  <w:tcW w:w="1069" w:type="pct"/>
                  <w:noWrap w:val="0"/>
                  <w:vAlign w:val="center"/>
                </w:tcPr>
                <w:p>
                  <w:pPr>
                    <w:pStyle w:val="17"/>
                    <w:widowControl w:val="0"/>
                    <w:bidi w:val="0"/>
                    <w:rPr>
                      <w:rFonts w:hint="default"/>
                      <w:lang w:val="en-US" w:eastAsia="zh-CN"/>
                    </w:rPr>
                  </w:pPr>
                  <w:r>
                    <w:rPr>
                      <w:rFonts w:hint="default"/>
                      <w:lang w:val="en-US" w:eastAsia="zh-CN"/>
                    </w:rPr>
                    <w:t>JJ450</w:t>
                  </w:r>
                </w:p>
              </w:tc>
              <w:tc>
                <w:tcPr>
                  <w:tcW w:w="600" w:type="pct"/>
                  <w:noWrap w:val="0"/>
                  <w:vAlign w:val="center"/>
                </w:tcPr>
                <w:p>
                  <w:pPr>
                    <w:pStyle w:val="17"/>
                    <w:widowControl w:val="0"/>
                    <w:bidi w:val="0"/>
                    <w:rPr>
                      <w:rFonts w:hint="default"/>
                      <w:lang w:val="en-US" w:eastAsia="zh-CN"/>
                    </w:rPr>
                  </w:pPr>
                  <w:r>
                    <w:rPr>
                      <w:rFonts w:hint="default"/>
                      <w:lang w:val="en-US" w:eastAsia="zh-CN"/>
                    </w:rPr>
                    <w:t>4500KN</w:t>
                  </w:r>
                </w:p>
              </w:tc>
              <w:tc>
                <w:tcPr>
                  <w:tcW w:w="712" w:type="pct"/>
                  <w:noWrap w:val="0"/>
                  <w:vAlign w:val="center"/>
                </w:tcPr>
                <w:p>
                  <w:pPr>
                    <w:pStyle w:val="17"/>
                    <w:widowControl w:val="0"/>
                    <w:bidi w:val="0"/>
                    <w:rPr>
                      <w:rFonts w:hint="default"/>
                      <w:lang w:val="en-US" w:eastAsia="zh-CN"/>
                    </w:rPr>
                  </w:pPr>
                  <w:r>
                    <w:rPr>
                      <w:rFonts w:hint="default"/>
                      <w:lang w:val="en-US" w:eastAsia="zh-CN"/>
                    </w:rPr>
                    <w:t>/</w:t>
                  </w:r>
                </w:p>
              </w:tc>
              <w:tc>
                <w:tcPr>
                  <w:tcW w:w="452" w:type="pct"/>
                  <w:noWrap w:val="0"/>
                  <w:vAlign w:val="center"/>
                </w:tcPr>
                <w:p>
                  <w:pPr>
                    <w:pStyle w:val="17"/>
                    <w:widowControl w:val="0"/>
                    <w:bidi w:val="0"/>
                    <w:rPr>
                      <w:rFonts w:hint="default"/>
                      <w:lang w:val="en-US" w:eastAsia="zh-CN"/>
                    </w:rPr>
                  </w:pPr>
                  <w:r>
                    <w:rPr>
                      <w:rFonts w:hint="default"/>
                      <w:lang w:val="en-US" w:eastAsia="zh-CN"/>
                    </w:rPr>
                    <w:t>部</w:t>
                  </w:r>
                </w:p>
              </w:tc>
              <w:tc>
                <w:tcPr>
                  <w:tcW w:w="452" w:type="pct"/>
                  <w:noWrap w:val="0"/>
                  <w:vAlign w:val="center"/>
                </w:tcPr>
                <w:p>
                  <w:pPr>
                    <w:pStyle w:val="17"/>
                    <w:widowControl w:val="0"/>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4" w:type="pct"/>
                  <w:noWrap w:val="0"/>
                  <w:vAlign w:val="center"/>
                </w:tcPr>
                <w:p>
                  <w:pPr>
                    <w:pStyle w:val="17"/>
                    <w:widowControl w:val="0"/>
                    <w:bidi w:val="0"/>
                    <w:rPr>
                      <w:rFonts w:hint="default"/>
                      <w:lang w:val="en-US" w:eastAsia="zh-CN"/>
                    </w:rPr>
                  </w:pPr>
                  <w:r>
                    <w:rPr>
                      <w:rFonts w:hint="default"/>
                      <w:lang w:val="en-US" w:eastAsia="zh-CN"/>
                    </w:rPr>
                    <w:t>3</w:t>
                  </w:r>
                </w:p>
              </w:tc>
              <w:tc>
                <w:tcPr>
                  <w:tcW w:w="1228" w:type="pct"/>
                  <w:gridSpan w:val="2"/>
                  <w:noWrap w:val="0"/>
                  <w:vAlign w:val="center"/>
                </w:tcPr>
                <w:p>
                  <w:pPr>
                    <w:pStyle w:val="17"/>
                    <w:widowControl w:val="0"/>
                    <w:bidi w:val="0"/>
                    <w:rPr>
                      <w:rFonts w:hint="default"/>
                      <w:lang w:val="en-US" w:eastAsia="zh-CN"/>
                    </w:rPr>
                  </w:pPr>
                  <w:r>
                    <w:rPr>
                      <w:rFonts w:hint="default"/>
                      <w:lang w:val="en-US" w:eastAsia="zh-CN"/>
                    </w:rPr>
                    <w:t>天车</w:t>
                  </w:r>
                </w:p>
              </w:tc>
              <w:tc>
                <w:tcPr>
                  <w:tcW w:w="1069" w:type="pct"/>
                  <w:noWrap w:val="0"/>
                  <w:vAlign w:val="center"/>
                </w:tcPr>
                <w:p>
                  <w:pPr>
                    <w:pStyle w:val="17"/>
                    <w:widowControl w:val="0"/>
                    <w:bidi w:val="0"/>
                    <w:rPr>
                      <w:rFonts w:hint="default"/>
                      <w:lang w:val="en-US" w:eastAsia="zh-CN"/>
                    </w:rPr>
                  </w:pPr>
                  <w:r>
                    <w:rPr>
                      <w:rFonts w:hint="default"/>
                      <w:lang w:val="en-US" w:eastAsia="zh-CN"/>
                    </w:rPr>
                    <w:t>TC-450</w:t>
                  </w:r>
                </w:p>
              </w:tc>
              <w:tc>
                <w:tcPr>
                  <w:tcW w:w="600" w:type="pct"/>
                  <w:noWrap w:val="0"/>
                  <w:vAlign w:val="center"/>
                </w:tcPr>
                <w:p>
                  <w:pPr>
                    <w:pStyle w:val="17"/>
                    <w:widowControl w:val="0"/>
                    <w:bidi w:val="0"/>
                    <w:rPr>
                      <w:rFonts w:hint="default"/>
                      <w:lang w:val="en-US" w:eastAsia="zh-CN"/>
                    </w:rPr>
                  </w:pPr>
                  <w:r>
                    <w:rPr>
                      <w:rFonts w:hint="default"/>
                      <w:lang w:val="en-US" w:eastAsia="zh-CN"/>
                    </w:rPr>
                    <w:t>4500KN</w:t>
                  </w:r>
                </w:p>
              </w:tc>
              <w:tc>
                <w:tcPr>
                  <w:tcW w:w="712" w:type="pct"/>
                  <w:noWrap w:val="0"/>
                  <w:vAlign w:val="center"/>
                </w:tcPr>
                <w:p>
                  <w:pPr>
                    <w:pStyle w:val="17"/>
                    <w:widowControl w:val="0"/>
                    <w:bidi w:val="0"/>
                    <w:rPr>
                      <w:rFonts w:hint="default"/>
                      <w:lang w:val="en-US" w:eastAsia="zh-CN"/>
                    </w:rPr>
                  </w:pPr>
                  <w:r>
                    <w:rPr>
                      <w:rFonts w:hint="default"/>
                      <w:lang w:val="en-US" w:eastAsia="zh-CN"/>
                    </w:rPr>
                    <w:t>/</w:t>
                  </w:r>
                </w:p>
              </w:tc>
              <w:tc>
                <w:tcPr>
                  <w:tcW w:w="452" w:type="pct"/>
                  <w:noWrap w:val="0"/>
                  <w:vAlign w:val="center"/>
                </w:tcPr>
                <w:p>
                  <w:pPr>
                    <w:pStyle w:val="17"/>
                    <w:widowControl w:val="0"/>
                    <w:bidi w:val="0"/>
                    <w:rPr>
                      <w:rFonts w:hint="default"/>
                      <w:lang w:val="en-US" w:eastAsia="zh-CN"/>
                    </w:rPr>
                  </w:pPr>
                  <w:r>
                    <w:rPr>
                      <w:rFonts w:hint="default"/>
                      <w:lang w:val="en-US" w:eastAsia="zh-CN"/>
                    </w:rPr>
                    <w:t>个</w:t>
                  </w:r>
                </w:p>
              </w:tc>
              <w:tc>
                <w:tcPr>
                  <w:tcW w:w="452" w:type="pct"/>
                  <w:noWrap w:val="0"/>
                  <w:vAlign w:val="center"/>
                </w:tcPr>
                <w:p>
                  <w:pPr>
                    <w:pStyle w:val="17"/>
                    <w:widowControl w:val="0"/>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4" w:type="pct"/>
                  <w:noWrap w:val="0"/>
                  <w:vAlign w:val="center"/>
                </w:tcPr>
                <w:p>
                  <w:pPr>
                    <w:pStyle w:val="17"/>
                    <w:widowControl w:val="0"/>
                    <w:bidi w:val="0"/>
                    <w:rPr>
                      <w:rFonts w:hint="default"/>
                      <w:lang w:val="en-US" w:eastAsia="zh-CN"/>
                    </w:rPr>
                  </w:pPr>
                  <w:r>
                    <w:rPr>
                      <w:rFonts w:hint="default"/>
                      <w:lang w:val="en-US" w:eastAsia="zh-CN"/>
                    </w:rPr>
                    <w:t>4</w:t>
                  </w:r>
                </w:p>
              </w:tc>
              <w:tc>
                <w:tcPr>
                  <w:tcW w:w="1228" w:type="pct"/>
                  <w:gridSpan w:val="2"/>
                  <w:noWrap w:val="0"/>
                  <w:vAlign w:val="center"/>
                </w:tcPr>
                <w:p>
                  <w:pPr>
                    <w:pStyle w:val="17"/>
                    <w:widowControl w:val="0"/>
                    <w:bidi w:val="0"/>
                    <w:rPr>
                      <w:rFonts w:hint="default"/>
                      <w:lang w:val="en-US" w:eastAsia="zh-CN"/>
                    </w:rPr>
                  </w:pPr>
                  <w:r>
                    <w:rPr>
                      <w:rFonts w:hint="default"/>
                      <w:lang w:val="en-US" w:eastAsia="zh-CN"/>
                    </w:rPr>
                    <w:t>游动滑车</w:t>
                  </w:r>
                </w:p>
              </w:tc>
              <w:tc>
                <w:tcPr>
                  <w:tcW w:w="1069" w:type="pct"/>
                  <w:noWrap w:val="0"/>
                  <w:vAlign w:val="center"/>
                </w:tcPr>
                <w:p>
                  <w:pPr>
                    <w:pStyle w:val="17"/>
                    <w:widowControl w:val="0"/>
                    <w:bidi w:val="0"/>
                    <w:rPr>
                      <w:rFonts w:hint="default"/>
                      <w:lang w:val="en-US" w:eastAsia="zh-CN"/>
                    </w:rPr>
                  </w:pPr>
                  <w:r>
                    <w:rPr>
                      <w:rFonts w:hint="default"/>
                      <w:lang w:val="en-US" w:eastAsia="zh-CN"/>
                    </w:rPr>
                    <w:t>YC-450</w:t>
                  </w:r>
                </w:p>
              </w:tc>
              <w:tc>
                <w:tcPr>
                  <w:tcW w:w="600" w:type="pct"/>
                  <w:noWrap w:val="0"/>
                  <w:vAlign w:val="center"/>
                </w:tcPr>
                <w:p>
                  <w:pPr>
                    <w:pStyle w:val="17"/>
                    <w:widowControl w:val="0"/>
                    <w:bidi w:val="0"/>
                    <w:rPr>
                      <w:rFonts w:hint="default"/>
                      <w:lang w:val="en-US" w:eastAsia="zh-CN"/>
                    </w:rPr>
                  </w:pPr>
                  <w:r>
                    <w:rPr>
                      <w:rFonts w:hint="default"/>
                      <w:lang w:val="en-US" w:eastAsia="zh-CN"/>
                    </w:rPr>
                    <w:t>4500KN</w:t>
                  </w:r>
                </w:p>
              </w:tc>
              <w:tc>
                <w:tcPr>
                  <w:tcW w:w="712" w:type="pct"/>
                  <w:noWrap w:val="0"/>
                  <w:vAlign w:val="center"/>
                </w:tcPr>
                <w:p>
                  <w:pPr>
                    <w:pStyle w:val="17"/>
                    <w:widowControl w:val="0"/>
                    <w:bidi w:val="0"/>
                    <w:rPr>
                      <w:rFonts w:hint="default"/>
                      <w:lang w:val="en-US" w:eastAsia="zh-CN"/>
                    </w:rPr>
                  </w:pPr>
                  <w:r>
                    <w:rPr>
                      <w:rFonts w:hint="default"/>
                      <w:lang w:val="en-US" w:eastAsia="zh-CN"/>
                    </w:rPr>
                    <w:t>/</w:t>
                  </w:r>
                </w:p>
              </w:tc>
              <w:tc>
                <w:tcPr>
                  <w:tcW w:w="452" w:type="pct"/>
                  <w:noWrap w:val="0"/>
                  <w:vAlign w:val="center"/>
                </w:tcPr>
                <w:p>
                  <w:pPr>
                    <w:pStyle w:val="17"/>
                    <w:widowControl w:val="0"/>
                    <w:bidi w:val="0"/>
                    <w:rPr>
                      <w:rFonts w:hint="default"/>
                      <w:lang w:val="en-US" w:eastAsia="zh-CN"/>
                    </w:rPr>
                  </w:pPr>
                  <w:r>
                    <w:rPr>
                      <w:rFonts w:hint="default"/>
                      <w:lang w:val="en-US" w:eastAsia="zh-CN"/>
                    </w:rPr>
                    <w:t>个</w:t>
                  </w:r>
                </w:p>
              </w:tc>
              <w:tc>
                <w:tcPr>
                  <w:tcW w:w="452" w:type="pct"/>
                  <w:noWrap w:val="0"/>
                  <w:vAlign w:val="center"/>
                </w:tcPr>
                <w:p>
                  <w:pPr>
                    <w:pStyle w:val="17"/>
                    <w:widowControl w:val="0"/>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4" w:type="pct"/>
                  <w:noWrap w:val="0"/>
                  <w:vAlign w:val="center"/>
                </w:tcPr>
                <w:p>
                  <w:pPr>
                    <w:pStyle w:val="17"/>
                    <w:widowControl w:val="0"/>
                    <w:bidi w:val="0"/>
                    <w:rPr>
                      <w:rFonts w:hint="default"/>
                      <w:lang w:val="en-US" w:eastAsia="zh-CN"/>
                    </w:rPr>
                  </w:pPr>
                  <w:r>
                    <w:rPr>
                      <w:rFonts w:hint="default"/>
                      <w:lang w:val="en-US" w:eastAsia="zh-CN"/>
                    </w:rPr>
                    <w:t>5</w:t>
                  </w:r>
                </w:p>
              </w:tc>
              <w:tc>
                <w:tcPr>
                  <w:tcW w:w="1228" w:type="pct"/>
                  <w:gridSpan w:val="2"/>
                  <w:noWrap w:val="0"/>
                  <w:vAlign w:val="center"/>
                </w:tcPr>
                <w:p>
                  <w:pPr>
                    <w:pStyle w:val="17"/>
                    <w:widowControl w:val="0"/>
                    <w:bidi w:val="0"/>
                    <w:rPr>
                      <w:rFonts w:hint="default"/>
                      <w:lang w:val="en-US" w:eastAsia="zh-CN"/>
                    </w:rPr>
                  </w:pPr>
                  <w:r>
                    <w:rPr>
                      <w:rFonts w:hint="default"/>
                      <w:lang w:val="en-US" w:eastAsia="zh-CN"/>
                    </w:rPr>
                    <w:t>大钩</w:t>
                  </w:r>
                </w:p>
              </w:tc>
              <w:tc>
                <w:tcPr>
                  <w:tcW w:w="1069" w:type="pct"/>
                  <w:noWrap w:val="0"/>
                  <w:vAlign w:val="center"/>
                </w:tcPr>
                <w:p>
                  <w:pPr>
                    <w:pStyle w:val="17"/>
                    <w:widowControl w:val="0"/>
                    <w:bidi w:val="0"/>
                    <w:rPr>
                      <w:rFonts w:hint="default"/>
                      <w:lang w:val="en-US" w:eastAsia="zh-CN"/>
                    </w:rPr>
                  </w:pPr>
                  <w:r>
                    <w:rPr>
                      <w:rFonts w:hint="default"/>
                      <w:lang w:val="en-US" w:eastAsia="zh-CN"/>
                    </w:rPr>
                    <w:t>DG-450</w:t>
                  </w:r>
                </w:p>
              </w:tc>
              <w:tc>
                <w:tcPr>
                  <w:tcW w:w="600" w:type="pct"/>
                  <w:noWrap w:val="0"/>
                  <w:vAlign w:val="center"/>
                </w:tcPr>
                <w:p>
                  <w:pPr>
                    <w:pStyle w:val="17"/>
                    <w:widowControl w:val="0"/>
                    <w:bidi w:val="0"/>
                    <w:rPr>
                      <w:rFonts w:hint="default"/>
                      <w:lang w:val="en-US" w:eastAsia="zh-CN"/>
                    </w:rPr>
                  </w:pPr>
                  <w:r>
                    <w:rPr>
                      <w:rFonts w:hint="default"/>
                      <w:lang w:val="en-US" w:eastAsia="zh-CN"/>
                    </w:rPr>
                    <w:t>4500KN</w:t>
                  </w:r>
                </w:p>
              </w:tc>
              <w:tc>
                <w:tcPr>
                  <w:tcW w:w="712" w:type="pct"/>
                  <w:noWrap w:val="0"/>
                  <w:vAlign w:val="center"/>
                </w:tcPr>
                <w:p>
                  <w:pPr>
                    <w:pStyle w:val="17"/>
                    <w:widowControl w:val="0"/>
                    <w:bidi w:val="0"/>
                    <w:rPr>
                      <w:rFonts w:hint="default"/>
                      <w:lang w:val="en-US" w:eastAsia="zh-CN"/>
                    </w:rPr>
                  </w:pPr>
                  <w:r>
                    <w:rPr>
                      <w:rFonts w:hint="default"/>
                      <w:lang w:val="en-US" w:eastAsia="zh-CN"/>
                    </w:rPr>
                    <w:t>/</w:t>
                  </w:r>
                </w:p>
              </w:tc>
              <w:tc>
                <w:tcPr>
                  <w:tcW w:w="452" w:type="pct"/>
                  <w:noWrap w:val="0"/>
                  <w:vAlign w:val="center"/>
                </w:tcPr>
                <w:p>
                  <w:pPr>
                    <w:pStyle w:val="17"/>
                    <w:widowControl w:val="0"/>
                    <w:bidi w:val="0"/>
                    <w:rPr>
                      <w:rFonts w:hint="default"/>
                      <w:lang w:val="en-US" w:eastAsia="zh-CN"/>
                    </w:rPr>
                  </w:pPr>
                  <w:r>
                    <w:rPr>
                      <w:rFonts w:hint="default"/>
                      <w:lang w:val="en-US" w:eastAsia="zh-CN"/>
                    </w:rPr>
                    <w:t>个</w:t>
                  </w:r>
                </w:p>
              </w:tc>
              <w:tc>
                <w:tcPr>
                  <w:tcW w:w="452" w:type="pct"/>
                  <w:noWrap w:val="0"/>
                  <w:vAlign w:val="center"/>
                </w:tcPr>
                <w:p>
                  <w:pPr>
                    <w:pStyle w:val="17"/>
                    <w:widowControl w:val="0"/>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4" w:type="pct"/>
                  <w:noWrap w:val="0"/>
                  <w:vAlign w:val="center"/>
                </w:tcPr>
                <w:p>
                  <w:pPr>
                    <w:pStyle w:val="17"/>
                    <w:widowControl w:val="0"/>
                    <w:bidi w:val="0"/>
                    <w:rPr>
                      <w:rFonts w:hint="default"/>
                      <w:lang w:val="en-US" w:eastAsia="zh-CN"/>
                    </w:rPr>
                  </w:pPr>
                  <w:r>
                    <w:rPr>
                      <w:rFonts w:hint="default"/>
                      <w:lang w:val="en-US" w:eastAsia="zh-CN"/>
                    </w:rPr>
                    <w:t>6</w:t>
                  </w:r>
                </w:p>
              </w:tc>
              <w:tc>
                <w:tcPr>
                  <w:tcW w:w="1228" w:type="pct"/>
                  <w:gridSpan w:val="2"/>
                  <w:noWrap w:val="0"/>
                  <w:vAlign w:val="center"/>
                </w:tcPr>
                <w:p>
                  <w:pPr>
                    <w:pStyle w:val="17"/>
                    <w:widowControl w:val="0"/>
                    <w:bidi w:val="0"/>
                    <w:rPr>
                      <w:rFonts w:hint="default"/>
                      <w:lang w:val="en-US" w:eastAsia="zh-CN"/>
                    </w:rPr>
                  </w:pPr>
                  <w:r>
                    <w:rPr>
                      <w:rFonts w:hint="default"/>
                      <w:lang w:val="en-US" w:eastAsia="zh-CN"/>
                    </w:rPr>
                    <w:t>水龙头</w:t>
                  </w:r>
                </w:p>
              </w:tc>
              <w:tc>
                <w:tcPr>
                  <w:tcW w:w="1069" w:type="pct"/>
                  <w:noWrap w:val="0"/>
                  <w:vAlign w:val="center"/>
                </w:tcPr>
                <w:p>
                  <w:pPr>
                    <w:pStyle w:val="17"/>
                    <w:widowControl w:val="0"/>
                    <w:bidi w:val="0"/>
                    <w:rPr>
                      <w:rFonts w:hint="default"/>
                      <w:lang w:val="en-US" w:eastAsia="zh-CN"/>
                    </w:rPr>
                  </w:pPr>
                  <w:r>
                    <w:rPr>
                      <w:rFonts w:hint="default"/>
                      <w:lang w:val="en-US" w:eastAsia="zh-CN"/>
                    </w:rPr>
                    <w:t>SL-450</w:t>
                  </w:r>
                </w:p>
              </w:tc>
              <w:tc>
                <w:tcPr>
                  <w:tcW w:w="600" w:type="pct"/>
                  <w:noWrap w:val="0"/>
                  <w:vAlign w:val="center"/>
                </w:tcPr>
                <w:p>
                  <w:pPr>
                    <w:pStyle w:val="17"/>
                    <w:widowControl w:val="0"/>
                    <w:bidi w:val="0"/>
                    <w:rPr>
                      <w:rFonts w:hint="default"/>
                      <w:lang w:val="en-US" w:eastAsia="zh-CN"/>
                    </w:rPr>
                  </w:pPr>
                  <w:r>
                    <w:rPr>
                      <w:rFonts w:hint="default"/>
                      <w:lang w:val="en-US" w:eastAsia="zh-CN"/>
                    </w:rPr>
                    <w:t>4500KN</w:t>
                  </w:r>
                </w:p>
              </w:tc>
              <w:tc>
                <w:tcPr>
                  <w:tcW w:w="712" w:type="pct"/>
                  <w:noWrap w:val="0"/>
                  <w:vAlign w:val="center"/>
                </w:tcPr>
                <w:p>
                  <w:pPr>
                    <w:pStyle w:val="17"/>
                    <w:widowControl w:val="0"/>
                    <w:bidi w:val="0"/>
                    <w:rPr>
                      <w:rFonts w:hint="default"/>
                      <w:lang w:val="en-US" w:eastAsia="zh-CN"/>
                    </w:rPr>
                  </w:pPr>
                  <w:r>
                    <w:rPr>
                      <w:rFonts w:hint="default"/>
                      <w:lang w:val="en-US" w:eastAsia="zh-CN"/>
                    </w:rPr>
                    <w:t>/</w:t>
                  </w:r>
                </w:p>
              </w:tc>
              <w:tc>
                <w:tcPr>
                  <w:tcW w:w="452" w:type="pct"/>
                  <w:noWrap w:val="0"/>
                  <w:vAlign w:val="center"/>
                </w:tcPr>
                <w:p>
                  <w:pPr>
                    <w:pStyle w:val="17"/>
                    <w:widowControl w:val="0"/>
                    <w:bidi w:val="0"/>
                    <w:rPr>
                      <w:rFonts w:hint="default"/>
                      <w:lang w:val="en-US" w:eastAsia="zh-CN"/>
                    </w:rPr>
                  </w:pPr>
                  <w:r>
                    <w:rPr>
                      <w:rFonts w:hint="default"/>
                      <w:lang w:val="en-US" w:eastAsia="zh-CN"/>
                    </w:rPr>
                    <w:t>个</w:t>
                  </w:r>
                </w:p>
              </w:tc>
              <w:tc>
                <w:tcPr>
                  <w:tcW w:w="452" w:type="pct"/>
                  <w:noWrap w:val="0"/>
                  <w:vAlign w:val="center"/>
                </w:tcPr>
                <w:p>
                  <w:pPr>
                    <w:pStyle w:val="17"/>
                    <w:widowControl w:val="0"/>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4" w:type="pct"/>
                  <w:noWrap w:val="0"/>
                  <w:vAlign w:val="center"/>
                </w:tcPr>
                <w:p>
                  <w:pPr>
                    <w:pStyle w:val="17"/>
                    <w:widowControl w:val="0"/>
                    <w:bidi w:val="0"/>
                    <w:rPr>
                      <w:rFonts w:hint="default"/>
                      <w:lang w:val="en-US" w:eastAsia="zh-CN"/>
                    </w:rPr>
                  </w:pPr>
                  <w:r>
                    <w:rPr>
                      <w:rFonts w:hint="default"/>
                      <w:lang w:val="en-US" w:eastAsia="zh-CN"/>
                    </w:rPr>
                    <w:t>7</w:t>
                  </w:r>
                </w:p>
              </w:tc>
              <w:tc>
                <w:tcPr>
                  <w:tcW w:w="1228" w:type="pct"/>
                  <w:gridSpan w:val="2"/>
                  <w:noWrap w:val="0"/>
                  <w:vAlign w:val="center"/>
                </w:tcPr>
                <w:p>
                  <w:pPr>
                    <w:pStyle w:val="17"/>
                    <w:widowControl w:val="0"/>
                    <w:bidi w:val="0"/>
                    <w:rPr>
                      <w:rFonts w:hint="default"/>
                      <w:lang w:val="en-US" w:eastAsia="zh-CN"/>
                    </w:rPr>
                  </w:pPr>
                  <w:r>
                    <w:rPr>
                      <w:rFonts w:hint="default"/>
                      <w:lang w:val="en-US" w:eastAsia="zh-CN"/>
                    </w:rPr>
                    <w:t>转盘</w:t>
                  </w:r>
                </w:p>
              </w:tc>
              <w:tc>
                <w:tcPr>
                  <w:tcW w:w="1069" w:type="pct"/>
                  <w:noWrap w:val="0"/>
                  <w:vAlign w:val="center"/>
                </w:tcPr>
                <w:p>
                  <w:pPr>
                    <w:pStyle w:val="17"/>
                    <w:widowControl w:val="0"/>
                    <w:bidi w:val="0"/>
                    <w:rPr>
                      <w:rFonts w:hint="default"/>
                      <w:lang w:val="en-US" w:eastAsia="zh-CN"/>
                    </w:rPr>
                  </w:pPr>
                  <w:r>
                    <w:rPr>
                      <w:rFonts w:hint="default"/>
                      <w:lang w:val="en-US" w:eastAsia="zh-CN"/>
                    </w:rPr>
                    <w:t>ZP-375</w:t>
                  </w:r>
                </w:p>
              </w:tc>
              <w:tc>
                <w:tcPr>
                  <w:tcW w:w="600" w:type="pct"/>
                  <w:noWrap w:val="0"/>
                  <w:vAlign w:val="center"/>
                </w:tcPr>
                <w:p>
                  <w:pPr>
                    <w:pStyle w:val="17"/>
                    <w:widowControl w:val="0"/>
                    <w:bidi w:val="0"/>
                    <w:rPr>
                      <w:rFonts w:hint="default"/>
                      <w:lang w:val="en-US" w:eastAsia="zh-CN"/>
                    </w:rPr>
                  </w:pPr>
                  <w:r>
                    <w:rPr>
                      <w:rFonts w:hint="default"/>
                      <w:lang w:val="en-US" w:eastAsia="zh-CN"/>
                    </w:rPr>
                    <w:t>200T</w:t>
                  </w:r>
                </w:p>
              </w:tc>
              <w:tc>
                <w:tcPr>
                  <w:tcW w:w="712" w:type="pct"/>
                  <w:noWrap w:val="0"/>
                  <w:vAlign w:val="center"/>
                </w:tcPr>
                <w:p>
                  <w:pPr>
                    <w:pStyle w:val="17"/>
                    <w:widowControl w:val="0"/>
                    <w:bidi w:val="0"/>
                    <w:rPr>
                      <w:rFonts w:hint="default"/>
                      <w:lang w:val="en-US" w:eastAsia="zh-CN"/>
                    </w:rPr>
                  </w:pPr>
                  <w:r>
                    <w:rPr>
                      <w:rFonts w:hint="default"/>
                      <w:lang w:val="en-US" w:eastAsia="zh-CN"/>
                    </w:rPr>
                    <w:t>/</w:t>
                  </w:r>
                </w:p>
              </w:tc>
              <w:tc>
                <w:tcPr>
                  <w:tcW w:w="452" w:type="pct"/>
                  <w:noWrap w:val="0"/>
                  <w:vAlign w:val="center"/>
                </w:tcPr>
                <w:p>
                  <w:pPr>
                    <w:pStyle w:val="17"/>
                    <w:widowControl w:val="0"/>
                    <w:bidi w:val="0"/>
                    <w:rPr>
                      <w:rFonts w:hint="default"/>
                      <w:lang w:val="en-US" w:eastAsia="zh-CN"/>
                    </w:rPr>
                  </w:pPr>
                  <w:r>
                    <w:rPr>
                      <w:rFonts w:hint="default"/>
                      <w:lang w:val="en-US" w:eastAsia="zh-CN"/>
                    </w:rPr>
                    <w:t>个</w:t>
                  </w:r>
                </w:p>
              </w:tc>
              <w:tc>
                <w:tcPr>
                  <w:tcW w:w="452" w:type="pct"/>
                  <w:noWrap w:val="0"/>
                  <w:vAlign w:val="center"/>
                </w:tcPr>
                <w:p>
                  <w:pPr>
                    <w:pStyle w:val="17"/>
                    <w:widowControl w:val="0"/>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4" w:type="pct"/>
                  <w:noWrap w:val="0"/>
                  <w:vAlign w:val="center"/>
                </w:tcPr>
                <w:p>
                  <w:pPr>
                    <w:pStyle w:val="17"/>
                    <w:widowControl w:val="0"/>
                    <w:bidi w:val="0"/>
                    <w:rPr>
                      <w:rFonts w:hint="default"/>
                      <w:lang w:val="en-US" w:eastAsia="zh-CN"/>
                    </w:rPr>
                  </w:pPr>
                  <w:r>
                    <w:rPr>
                      <w:rFonts w:hint="default"/>
                      <w:lang w:val="en-US" w:eastAsia="zh-CN"/>
                    </w:rPr>
                    <w:t>8</w:t>
                  </w:r>
                </w:p>
              </w:tc>
              <w:tc>
                <w:tcPr>
                  <w:tcW w:w="1228" w:type="pct"/>
                  <w:gridSpan w:val="2"/>
                  <w:noWrap w:val="0"/>
                  <w:vAlign w:val="center"/>
                </w:tcPr>
                <w:p>
                  <w:pPr>
                    <w:pStyle w:val="17"/>
                    <w:widowControl w:val="0"/>
                    <w:bidi w:val="0"/>
                    <w:rPr>
                      <w:rFonts w:hint="default"/>
                      <w:lang w:val="en-US" w:eastAsia="zh-CN"/>
                    </w:rPr>
                  </w:pPr>
                  <w:r>
                    <w:rPr>
                      <w:rFonts w:hint="default"/>
                      <w:lang w:val="en-US" w:eastAsia="zh-CN"/>
                    </w:rPr>
                    <w:t>绞车</w:t>
                  </w:r>
                </w:p>
              </w:tc>
              <w:tc>
                <w:tcPr>
                  <w:tcW w:w="1069" w:type="pct"/>
                  <w:noWrap w:val="0"/>
                  <w:vAlign w:val="center"/>
                </w:tcPr>
                <w:p>
                  <w:pPr>
                    <w:pStyle w:val="17"/>
                    <w:widowControl w:val="0"/>
                    <w:bidi w:val="0"/>
                    <w:rPr>
                      <w:rFonts w:hint="default"/>
                      <w:lang w:val="en-US" w:eastAsia="zh-CN"/>
                    </w:rPr>
                  </w:pPr>
                  <w:r>
                    <w:rPr>
                      <w:rFonts w:hint="default"/>
                      <w:lang w:val="en-US" w:eastAsia="zh-CN"/>
                    </w:rPr>
                    <w:t>JC-200</w:t>
                  </w:r>
                </w:p>
              </w:tc>
              <w:tc>
                <w:tcPr>
                  <w:tcW w:w="600" w:type="pct"/>
                  <w:noWrap w:val="0"/>
                  <w:vAlign w:val="center"/>
                </w:tcPr>
                <w:p>
                  <w:pPr>
                    <w:pStyle w:val="17"/>
                    <w:widowControl w:val="0"/>
                    <w:bidi w:val="0"/>
                    <w:rPr>
                      <w:rFonts w:hint="default"/>
                      <w:lang w:val="en-US" w:eastAsia="zh-CN"/>
                    </w:rPr>
                  </w:pPr>
                  <w:r>
                    <w:rPr>
                      <w:rFonts w:hint="default"/>
                      <w:lang w:val="en-US" w:eastAsia="zh-CN"/>
                    </w:rPr>
                    <w:t>/</w:t>
                  </w:r>
                </w:p>
              </w:tc>
              <w:tc>
                <w:tcPr>
                  <w:tcW w:w="712" w:type="pct"/>
                  <w:noWrap w:val="0"/>
                  <w:vAlign w:val="center"/>
                </w:tcPr>
                <w:p>
                  <w:pPr>
                    <w:pStyle w:val="17"/>
                    <w:widowControl w:val="0"/>
                    <w:bidi w:val="0"/>
                    <w:rPr>
                      <w:rFonts w:hint="default"/>
                      <w:lang w:val="en-US" w:eastAsia="zh-CN"/>
                    </w:rPr>
                  </w:pPr>
                  <w:r>
                    <w:rPr>
                      <w:rFonts w:hint="default"/>
                      <w:lang w:val="en-US" w:eastAsia="zh-CN"/>
                    </w:rPr>
                    <w:t>/</w:t>
                  </w:r>
                </w:p>
              </w:tc>
              <w:tc>
                <w:tcPr>
                  <w:tcW w:w="452" w:type="pct"/>
                  <w:noWrap w:val="0"/>
                  <w:vAlign w:val="center"/>
                </w:tcPr>
                <w:p>
                  <w:pPr>
                    <w:pStyle w:val="17"/>
                    <w:widowControl w:val="0"/>
                    <w:bidi w:val="0"/>
                    <w:rPr>
                      <w:rFonts w:hint="default"/>
                      <w:lang w:val="en-US" w:eastAsia="zh-CN"/>
                    </w:rPr>
                  </w:pPr>
                  <w:r>
                    <w:rPr>
                      <w:rFonts w:hint="default"/>
                      <w:lang w:val="en-US" w:eastAsia="zh-CN"/>
                    </w:rPr>
                    <w:t>个</w:t>
                  </w:r>
                </w:p>
              </w:tc>
              <w:tc>
                <w:tcPr>
                  <w:tcW w:w="452" w:type="pct"/>
                  <w:noWrap w:val="0"/>
                  <w:vAlign w:val="center"/>
                </w:tcPr>
                <w:p>
                  <w:pPr>
                    <w:pStyle w:val="17"/>
                    <w:widowControl w:val="0"/>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4" w:type="pct"/>
                  <w:noWrap w:val="0"/>
                  <w:vAlign w:val="center"/>
                </w:tcPr>
                <w:p>
                  <w:pPr>
                    <w:pStyle w:val="17"/>
                    <w:widowControl w:val="0"/>
                    <w:bidi w:val="0"/>
                    <w:rPr>
                      <w:rFonts w:hint="default"/>
                      <w:lang w:val="en-US" w:eastAsia="zh-CN"/>
                    </w:rPr>
                  </w:pPr>
                  <w:r>
                    <w:rPr>
                      <w:rFonts w:hint="default"/>
                      <w:lang w:val="en-US" w:eastAsia="zh-CN"/>
                    </w:rPr>
                    <w:t>9</w:t>
                  </w:r>
                </w:p>
              </w:tc>
              <w:tc>
                <w:tcPr>
                  <w:tcW w:w="1228" w:type="pct"/>
                  <w:gridSpan w:val="2"/>
                  <w:noWrap w:val="0"/>
                  <w:vAlign w:val="center"/>
                </w:tcPr>
                <w:p>
                  <w:pPr>
                    <w:pStyle w:val="17"/>
                    <w:widowControl w:val="0"/>
                    <w:bidi w:val="0"/>
                    <w:rPr>
                      <w:rFonts w:hint="default"/>
                      <w:lang w:val="en-US" w:eastAsia="zh-CN"/>
                    </w:rPr>
                  </w:pPr>
                  <w:r>
                    <w:rPr>
                      <w:rFonts w:hint="default"/>
                      <w:lang w:val="en-US" w:eastAsia="zh-CN"/>
                    </w:rPr>
                    <w:t>泥浆泵</w:t>
                  </w:r>
                </w:p>
              </w:tc>
              <w:tc>
                <w:tcPr>
                  <w:tcW w:w="1069" w:type="pct"/>
                  <w:noWrap w:val="0"/>
                  <w:vAlign w:val="center"/>
                </w:tcPr>
                <w:p>
                  <w:pPr>
                    <w:pStyle w:val="17"/>
                    <w:widowControl w:val="0"/>
                    <w:bidi w:val="0"/>
                    <w:rPr>
                      <w:rFonts w:hint="default"/>
                      <w:lang w:val="en-US" w:eastAsia="zh-CN"/>
                    </w:rPr>
                  </w:pPr>
                  <w:r>
                    <w:rPr>
                      <w:rFonts w:hint="default"/>
                      <w:lang w:val="en-US" w:eastAsia="zh-CN"/>
                    </w:rPr>
                    <w:t>F-1600</w:t>
                  </w:r>
                </w:p>
              </w:tc>
              <w:tc>
                <w:tcPr>
                  <w:tcW w:w="600" w:type="pct"/>
                  <w:noWrap w:val="0"/>
                  <w:vAlign w:val="center"/>
                </w:tcPr>
                <w:p>
                  <w:pPr>
                    <w:pStyle w:val="17"/>
                    <w:widowControl w:val="0"/>
                    <w:bidi w:val="0"/>
                    <w:rPr>
                      <w:rFonts w:hint="default"/>
                      <w:lang w:val="en-US" w:eastAsia="zh-CN"/>
                    </w:rPr>
                  </w:pPr>
                  <w:r>
                    <w:rPr>
                      <w:rFonts w:hint="default"/>
                      <w:lang w:val="en-US" w:eastAsia="zh-CN"/>
                    </w:rPr>
                    <w:t>/</w:t>
                  </w:r>
                </w:p>
              </w:tc>
              <w:tc>
                <w:tcPr>
                  <w:tcW w:w="712" w:type="pct"/>
                  <w:noWrap w:val="0"/>
                  <w:vAlign w:val="center"/>
                </w:tcPr>
                <w:p>
                  <w:pPr>
                    <w:pStyle w:val="17"/>
                    <w:widowControl w:val="0"/>
                    <w:bidi w:val="0"/>
                    <w:rPr>
                      <w:rFonts w:hint="default"/>
                      <w:lang w:val="en-US" w:eastAsia="zh-CN"/>
                    </w:rPr>
                  </w:pPr>
                  <w:r>
                    <w:rPr>
                      <w:rFonts w:hint="default"/>
                      <w:lang w:val="en-US" w:eastAsia="zh-CN"/>
                    </w:rPr>
                    <w:t>1600</w:t>
                  </w:r>
                </w:p>
              </w:tc>
              <w:tc>
                <w:tcPr>
                  <w:tcW w:w="452" w:type="pct"/>
                  <w:noWrap w:val="0"/>
                  <w:vAlign w:val="center"/>
                </w:tcPr>
                <w:p>
                  <w:pPr>
                    <w:pStyle w:val="17"/>
                    <w:widowControl w:val="0"/>
                    <w:bidi w:val="0"/>
                    <w:rPr>
                      <w:rFonts w:hint="default"/>
                      <w:lang w:val="en-US" w:eastAsia="zh-CN"/>
                    </w:rPr>
                  </w:pPr>
                  <w:r>
                    <w:rPr>
                      <w:rFonts w:hint="default"/>
                      <w:lang w:val="en-US" w:eastAsia="zh-CN"/>
                    </w:rPr>
                    <w:t>台</w:t>
                  </w:r>
                </w:p>
              </w:tc>
              <w:tc>
                <w:tcPr>
                  <w:tcW w:w="452" w:type="pct"/>
                  <w:noWrap w:val="0"/>
                  <w:vAlign w:val="center"/>
                </w:tcPr>
                <w:p>
                  <w:pPr>
                    <w:pStyle w:val="17"/>
                    <w:widowControl w:val="0"/>
                    <w:bidi w:val="0"/>
                    <w:rPr>
                      <w:rFonts w:hint="default"/>
                      <w:lang w:val="en-US" w:eastAsia="zh-CN"/>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4" w:type="pct"/>
                  <w:noWrap w:val="0"/>
                  <w:vAlign w:val="center"/>
                </w:tcPr>
                <w:p>
                  <w:pPr>
                    <w:pStyle w:val="17"/>
                    <w:widowControl w:val="0"/>
                    <w:bidi w:val="0"/>
                    <w:rPr>
                      <w:rFonts w:hint="default"/>
                      <w:lang w:val="en-US" w:eastAsia="zh-CN"/>
                    </w:rPr>
                  </w:pPr>
                  <w:r>
                    <w:rPr>
                      <w:rFonts w:hint="default"/>
                      <w:lang w:val="en-US" w:eastAsia="zh-CN"/>
                    </w:rPr>
                    <w:t>10</w:t>
                  </w:r>
                </w:p>
              </w:tc>
              <w:tc>
                <w:tcPr>
                  <w:tcW w:w="1228" w:type="pct"/>
                  <w:gridSpan w:val="2"/>
                  <w:noWrap w:val="0"/>
                  <w:vAlign w:val="center"/>
                </w:tcPr>
                <w:p>
                  <w:pPr>
                    <w:pStyle w:val="17"/>
                    <w:widowControl w:val="0"/>
                    <w:bidi w:val="0"/>
                    <w:rPr>
                      <w:rFonts w:hint="default"/>
                      <w:lang w:val="en-US" w:eastAsia="zh-CN"/>
                    </w:rPr>
                  </w:pPr>
                  <w:r>
                    <w:rPr>
                      <w:rFonts w:hint="default"/>
                      <w:lang w:val="en-US" w:eastAsia="zh-CN"/>
                    </w:rPr>
                    <w:t>柴油机</w:t>
                  </w:r>
                </w:p>
              </w:tc>
              <w:tc>
                <w:tcPr>
                  <w:tcW w:w="1069" w:type="pct"/>
                  <w:noWrap w:val="0"/>
                  <w:vAlign w:val="center"/>
                </w:tcPr>
                <w:p>
                  <w:pPr>
                    <w:pStyle w:val="17"/>
                    <w:widowControl w:val="0"/>
                    <w:bidi w:val="0"/>
                    <w:rPr>
                      <w:rFonts w:hint="default"/>
                      <w:lang w:val="en-US" w:eastAsia="zh-CN"/>
                    </w:rPr>
                  </w:pPr>
                  <w:r>
                    <w:rPr>
                      <w:rFonts w:hint="default"/>
                      <w:lang w:val="en-US" w:eastAsia="zh-CN"/>
                    </w:rPr>
                    <w:t>G12V190PJL-3</w:t>
                  </w:r>
                </w:p>
              </w:tc>
              <w:tc>
                <w:tcPr>
                  <w:tcW w:w="600" w:type="pct"/>
                  <w:noWrap w:val="0"/>
                  <w:vAlign w:val="center"/>
                </w:tcPr>
                <w:p>
                  <w:pPr>
                    <w:pStyle w:val="17"/>
                    <w:widowControl w:val="0"/>
                    <w:bidi w:val="0"/>
                    <w:rPr>
                      <w:rFonts w:hint="default"/>
                      <w:lang w:val="en-US" w:eastAsia="zh-CN"/>
                    </w:rPr>
                  </w:pPr>
                  <w:r>
                    <w:rPr>
                      <w:rFonts w:hint="default"/>
                      <w:lang w:val="en-US" w:eastAsia="zh-CN"/>
                    </w:rPr>
                    <w:t>/</w:t>
                  </w:r>
                </w:p>
              </w:tc>
              <w:tc>
                <w:tcPr>
                  <w:tcW w:w="712" w:type="pct"/>
                  <w:noWrap w:val="0"/>
                  <w:vAlign w:val="center"/>
                </w:tcPr>
                <w:p>
                  <w:pPr>
                    <w:pStyle w:val="17"/>
                    <w:widowControl w:val="0"/>
                    <w:bidi w:val="0"/>
                    <w:rPr>
                      <w:rFonts w:hint="default"/>
                      <w:lang w:val="en-US" w:eastAsia="zh-CN"/>
                    </w:rPr>
                  </w:pPr>
                  <w:r>
                    <w:rPr>
                      <w:rFonts w:hint="default"/>
                      <w:lang w:val="en-US" w:eastAsia="zh-CN"/>
                    </w:rPr>
                    <w:t>810</w:t>
                  </w:r>
                </w:p>
              </w:tc>
              <w:tc>
                <w:tcPr>
                  <w:tcW w:w="452" w:type="pct"/>
                  <w:noWrap w:val="0"/>
                  <w:vAlign w:val="center"/>
                </w:tcPr>
                <w:p>
                  <w:pPr>
                    <w:pStyle w:val="17"/>
                    <w:widowControl w:val="0"/>
                    <w:bidi w:val="0"/>
                    <w:rPr>
                      <w:rFonts w:hint="default"/>
                      <w:lang w:val="en-US" w:eastAsia="zh-CN"/>
                    </w:rPr>
                  </w:pPr>
                  <w:r>
                    <w:rPr>
                      <w:rFonts w:hint="default"/>
                      <w:lang w:val="en-US" w:eastAsia="zh-CN"/>
                    </w:rPr>
                    <w:t>台</w:t>
                  </w:r>
                </w:p>
              </w:tc>
              <w:tc>
                <w:tcPr>
                  <w:tcW w:w="452" w:type="pct"/>
                  <w:noWrap w:val="0"/>
                  <w:vAlign w:val="center"/>
                </w:tcPr>
                <w:p>
                  <w:pPr>
                    <w:pStyle w:val="17"/>
                    <w:widowControl w:val="0"/>
                    <w:bidi w:val="0"/>
                    <w:rPr>
                      <w:rFonts w:hint="default"/>
                      <w:lang w:val="en-US" w:eastAsia="zh-CN"/>
                    </w:rPr>
                  </w:pPr>
                  <w:r>
                    <w:rPr>
                      <w:rFonts w:hint="eastAsia"/>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 w:hRule="atLeast"/>
              </w:trPr>
              <w:tc>
                <w:tcPr>
                  <w:tcW w:w="484" w:type="pct"/>
                  <w:vMerge w:val="restart"/>
                  <w:noWrap w:val="0"/>
                  <w:vAlign w:val="center"/>
                </w:tcPr>
                <w:p>
                  <w:pPr>
                    <w:pStyle w:val="17"/>
                    <w:widowControl w:val="0"/>
                    <w:bidi w:val="0"/>
                    <w:rPr>
                      <w:rFonts w:hint="default"/>
                      <w:lang w:val="en-US" w:eastAsia="zh-CN"/>
                    </w:rPr>
                  </w:pPr>
                  <w:r>
                    <w:rPr>
                      <w:rFonts w:hint="default"/>
                      <w:lang w:val="en-US" w:eastAsia="zh-CN"/>
                    </w:rPr>
                    <w:t>11</w:t>
                  </w:r>
                </w:p>
              </w:tc>
              <w:tc>
                <w:tcPr>
                  <w:tcW w:w="575" w:type="pct"/>
                  <w:vMerge w:val="restart"/>
                  <w:noWrap w:val="0"/>
                  <w:vAlign w:val="center"/>
                </w:tcPr>
                <w:p>
                  <w:pPr>
                    <w:pStyle w:val="17"/>
                    <w:widowControl w:val="0"/>
                    <w:bidi w:val="0"/>
                    <w:rPr>
                      <w:rFonts w:hint="default"/>
                      <w:lang w:val="en-US" w:eastAsia="zh-CN"/>
                    </w:rPr>
                  </w:pPr>
                  <w:r>
                    <w:rPr>
                      <w:rFonts w:hint="default"/>
                      <w:lang w:val="en-US" w:eastAsia="zh-CN"/>
                    </w:rPr>
                    <w:t>四级固控装置</w:t>
                  </w:r>
                </w:p>
              </w:tc>
              <w:tc>
                <w:tcPr>
                  <w:tcW w:w="653" w:type="pct"/>
                  <w:noWrap w:val="0"/>
                  <w:vAlign w:val="center"/>
                </w:tcPr>
                <w:p>
                  <w:pPr>
                    <w:pStyle w:val="17"/>
                    <w:widowControl w:val="0"/>
                    <w:bidi w:val="0"/>
                    <w:rPr>
                      <w:rFonts w:hint="default"/>
                      <w:lang w:val="en-US" w:eastAsia="zh-CN"/>
                    </w:rPr>
                  </w:pPr>
                  <w:r>
                    <w:rPr>
                      <w:rFonts w:hint="default"/>
                      <w:lang w:val="en-US" w:eastAsia="zh-CN"/>
                    </w:rPr>
                    <w:t>振动筛×3</w:t>
                  </w:r>
                </w:p>
              </w:tc>
              <w:tc>
                <w:tcPr>
                  <w:tcW w:w="1069" w:type="pct"/>
                  <w:noWrap w:val="0"/>
                  <w:vAlign w:val="center"/>
                </w:tcPr>
                <w:p>
                  <w:pPr>
                    <w:pStyle w:val="17"/>
                    <w:widowControl w:val="0"/>
                    <w:bidi w:val="0"/>
                    <w:rPr>
                      <w:rFonts w:hint="default"/>
                      <w:lang w:val="en-US" w:eastAsia="zh-CN"/>
                    </w:rPr>
                  </w:pPr>
                  <w:r>
                    <w:rPr>
                      <w:rFonts w:hint="default"/>
                      <w:lang w:val="en-US" w:eastAsia="zh-CN"/>
                    </w:rPr>
                    <w:t>ZX-60×300</w:t>
                  </w:r>
                </w:p>
              </w:tc>
              <w:tc>
                <w:tcPr>
                  <w:tcW w:w="600" w:type="pct"/>
                  <w:noWrap w:val="0"/>
                  <w:vAlign w:val="center"/>
                </w:tcPr>
                <w:p>
                  <w:pPr>
                    <w:pStyle w:val="17"/>
                    <w:widowControl w:val="0"/>
                    <w:bidi w:val="0"/>
                    <w:rPr>
                      <w:rFonts w:hint="default"/>
                      <w:lang w:val="en-US" w:eastAsia="zh-CN"/>
                    </w:rPr>
                  </w:pPr>
                  <w:r>
                    <w:rPr>
                      <w:rFonts w:hint="default"/>
                      <w:lang w:val="en-US" w:eastAsia="zh-CN"/>
                    </w:rPr>
                    <w:t>/</w:t>
                  </w:r>
                </w:p>
              </w:tc>
              <w:tc>
                <w:tcPr>
                  <w:tcW w:w="712" w:type="pct"/>
                  <w:noWrap w:val="0"/>
                  <w:vAlign w:val="center"/>
                </w:tcPr>
                <w:p>
                  <w:pPr>
                    <w:pStyle w:val="17"/>
                    <w:widowControl w:val="0"/>
                    <w:bidi w:val="0"/>
                    <w:rPr>
                      <w:rFonts w:hint="default"/>
                      <w:lang w:val="en-US" w:eastAsia="zh-CN"/>
                    </w:rPr>
                  </w:pPr>
                  <w:r>
                    <w:rPr>
                      <w:rFonts w:hint="default"/>
                      <w:lang w:val="en-US" w:eastAsia="zh-CN"/>
                    </w:rPr>
                    <w:t>/</w:t>
                  </w:r>
                </w:p>
              </w:tc>
              <w:tc>
                <w:tcPr>
                  <w:tcW w:w="452" w:type="pct"/>
                  <w:noWrap w:val="0"/>
                  <w:vAlign w:val="center"/>
                </w:tcPr>
                <w:p>
                  <w:pPr>
                    <w:pStyle w:val="17"/>
                    <w:widowControl w:val="0"/>
                    <w:bidi w:val="0"/>
                    <w:rPr>
                      <w:rFonts w:hint="default"/>
                      <w:lang w:val="en-US" w:eastAsia="zh-CN"/>
                    </w:rPr>
                  </w:pPr>
                  <w:r>
                    <w:rPr>
                      <w:rFonts w:hint="default"/>
                      <w:lang w:val="en-US" w:eastAsia="zh-CN"/>
                    </w:rPr>
                    <w:t>组</w:t>
                  </w:r>
                </w:p>
              </w:tc>
              <w:tc>
                <w:tcPr>
                  <w:tcW w:w="452" w:type="pct"/>
                  <w:noWrap w:val="0"/>
                  <w:vAlign w:val="center"/>
                </w:tcPr>
                <w:p>
                  <w:pPr>
                    <w:pStyle w:val="17"/>
                    <w:widowControl w:val="0"/>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 w:hRule="atLeast"/>
              </w:trPr>
              <w:tc>
                <w:tcPr>
                  <w:tcW w:w="484" w:type="pct"/>
                  <w:vMerge w:val="continue"/>
                  <w:noWrap w:val="0"/>
                  <w:vAlign w:val="center"/>
                </w:tcPr>
                <w:p>
                  <w:pPr>
                    <w:pStyle w:val="17"/>
                    <w:widowControl w:val="0"/>
                    <w:bidi w:val="0"/>
                    <w:rPr>
                      <w:rFonts w:hint="default"/>
                      <w:lang w:val="en-US" w:eastAsia="zh-CN"/>
                    </w:rPr>
                  </w:pPr>
                </w:p>
              </w:tc>
              <w:tc>
                <w:tcPr>
                  <w:tcW w:w="575" w:type="pct"/>
                  <w:vMerge w:val="continue"/>
                  <w:noWrap w:val="0"/>
                  <w:vAlign w:val="center"/>
                </w:tcPr>
                <w:p>
                  <w:pPr>
                    <w:pStyle w:val="17"/>
                    <w:widowControl w:val="0"/>
                    <w:bidi w:val="0"/>
                    <w:rPr>
                      <w:rFonts w:hint="default"/>
                      <w:lang w:val="en-US" w:eastAsia="zh-CN"/>
                    </w:rPr>
                  </w:pPr>
                </w:p>
              </w:tc>
              <w:tc>
                <w:tcPr>
                  <w:tcW w:w="653" w:type="pct"/>
                  <w:noWrap w:val="0"/>
                  <w:vAlign w:val="center"/>
                </w:tcPr>
                <w:p>
                  <w:pPr>
                    <w:pStyle w:val="17"/>
                    <w:widowControl w:val="0"/>
                    <w:bidi w:val="0"/>
                    <w:rPr>
                      <w:rFonts w:hint="default"/>
                      <w:lang w:val="en-US" w:eastAsia="zh-CN"/>
                    </w:rPr>
                  </w:pPr>
                  <w:r>
                    <w:rPr>
                      <w:rFonts w:hint="default"/>
                      <w:lang w:val="en-US" w:eastAsia="zh-CN"/>
                    </w:rPr>
                    <w:t>除砂器</w:t>
                  </w:r>
                </w:p>
              </w:tc>
              <w:tc>
                <w:tcPr>
                  <w:tcW w:w="1069" w:type="pct"/>
                  <w:noWrap w:val="0"/>
                  <w:vAlign w:val="center"/>
                </w:tcPr>
                <w:p>
                  <w:pPr>
                    <w:pStyle w:val="17"/>
                    <w:widowControl w:val="0"/>
                    <w:bidi w:val="0"/>
                    <w:rPr>
                      <w:rFonts w:hint="default"/>
                      <w:lang w:val="en-US" w:eastAsia="zh-CN"/>
                    </w:rPr>
                  </w:pPr>
                  <w:r>
                    <w:rPr>
                      <w:rFonts w:hint="default"/>
                      <w:lang w:val="en-US" w:eastAsia="zh-CN"/>
                    </w:rPr>
                    <w:t>NCS250×2</w:t>
                  </w:r>
                </w:p>
              </w:tc>
              <w:tc>
                <w:tcPr>
                  <w:tcW w:w="600" w:type="pct"/>
                  <w:noWrap w:val="0"/>
                  <w:vAlign w:val="center"/>
                </w:tcPr>
                <w:p>
                  <w:pPr>
                    <w:pStyle w:val="17"/>
                    <w:widowControl w:val="0"/>
                    <w:bidi w:val="0"/>
                    <w:rPr>
                      <w:rFonts w:hint="default"/>
                      <w:lang w:val="en-US" w:eastAsia="zh-CN"/>
                    </w:rPr>
                  </w:pPr>
                  <w:r>
                    <w:rPr>
                      <w:rFonts w:hint="default"/>
                      <w:lang w:val="en-US" w:eastAsia="zh-CN"/>
                    </w:rPr>
                    <w:t>/</w:t>
                  </w:r>
                </w:p>
              </w:tc>
              <w:tc>
                <w:tcPr>
                  <w:tcW w:w="712" w:type="pct"/>
                  <w:noWrap w:val="0"/>
                  <w:vAlign w:val="center"/>
                </w:tcPr>
                <w:p>
                  <w:pPr>
                    <w:pStyle w:val="17"/>
                    <w:widowControl w:val="0"/>
                    <w:bidi w:val="0"/>
                    <w:rPr>
                      <w:rFonts w:hint="default"/>
                      <w:lang w:val="en-US" w:eastAsia="zh-CN"/>
                    </w:rPr>
                  </w:pPr>
                  <w:r>
                    <w:rPr>
                      <w:rFonts w:hint="default"/>
                      <w:lang w:val="en-US" w:eastAsia="zh-CN"/>
                    </w:rPr>
                    <w:t>/</w:t>
                  </w:r>
                </w:p>
              </w:tc>
              <w:tc>
                <w:tcPr>
                  <w:tcW w:w="452" w:type="pct"/>
                  <w:noWrap w:val="0"/>
                  <w:vAlign w:val="center"/>
                </w:tcPr>
                <w:p>
                  <w:pPr>
                    <w:pStyle w:val="17"/>
                    <w:widowControl w:val="0"/>
                    <w:bidi w:val="0"/>
                    <w:rPr>
                      <w:rFonts w:hint="default"/>
                      <w:lang w:val="en-US" w:eastAsia="zh-CN"/>
                    </w:rPr>
                  </w:pPr>
                  <w:r>
                    <w:rPr>
                      <w:rFonts w:hint="default"/>
                      <w:lang w:val="en-US" w:eastAsia="zh-CN"/>
                    </w:rPr>
                    <w:t>台</w:t>
                  </w:r>
                </w:p>
              </w:tc>
              <w:tc>
                <w:tcPr>
                  <w:tcW w:w="452" w:type="pct"/>
                  <w:noWrap w:val="0"/>
                  <w:vAlign w:val="center"/>
                </w:tcPr>
                <w:p>
                  <w:pPr>
                    <w:pStyle w:val="17"/>
                    <w:widowControl w:val="0"/>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 w:hRule="atLeast"/>
              </w:trPr>
              <w:tc>
                <w:tcPr>
                  <w:tcW w:w="484" w:type="pct"/>
                  <w:vMerge w:val="continue"/>
                  <w:noWrap w:val="0"/>
                  <w:vAlign w:val="center"/>
                </w:tcPr>
                <w:p>
                  <w:pPr>
                    <w:pStyle w:val="17"/>
                    <w:widowControl w:val="0"/>
                    <w:bidi w:val="0"/>
                    <w:rPr>
                      <w:rFonts w:hint="default"/>
                      <w:lang w:val="en-US" w:eastAsia="zh-CN"/>
                    </w:rPr>
                  </w:pPr>
                </w:p>
              </w:tc>
              <w:tc>
                <w:tcPr>
                  <w:tcW w:w="575" w:type="pct"/>
                  <w:vMerge w:val="continue"/>
                  <w:noWrap w:val="0"/>
                  <w:vAlign w:val="center"/>
                </w:tcPr>
                <w:p>
                  <w:pPr>
                    <w:pStyle w:val="17"/>
                    <w:widowControl w:val="0"/>
                    <w:bidi w:val="0"/>
                    <w:rPr>
                      <w:rFonts w:hint="default"/>
                      <w:lang w:val="en-US" w:eastAsia="zh-CN"/>
                    </w:rPr>
                  </w:pPr>
                </w:p>
              </w:tc>
              <w:tc>
                <w:tcPr>
                  <w:tcW w:w="653" w:type="pct"/>
                  <w:noWrap w:val="0"/>
                  <w:vAlign w:val="center"/>
                </w:tcPr>
                <w:p>
                  <w:pPr>
                    <w:pStyle w:val="17"/>
                    <w:widowControl w:val="0"/>
                    <w:bidi w:val="0"/>
                    <w:rPr>
                      <w:rFonts w:hint="default"/>
                      <w:lang w:val="en-US" w:eastAsia="zh-CN"/>
                    </w:rPr>
                  </w:pPr>
                  <w:r>
                    <w:rPr>
                      <w:rFonts w:hint="default"/>
                      <w:lang w:val="en-US" w:eastAsia="zh-CN"/>
                    </w:rPr>
                    <w:t>除泥器</w:t>
                  </w:r>
                </w:p>
              </w:tc>
              <w:tc>
                <w:tcPr>
                  <w:tcW w:w="1069" w:type="pct"/>
                  <w:noWrap w:val="0"/>
                  <w:vAlign w:val="center"/>
                </w:tcPr>
                <w:p>
                  <w:pPr>
                    <w:pStyle w:val="17"/>
                    <w:widowControl w:val="0"/>
                    <w:bidi w:val="0"/>
                    <w:rPr>
                      <w:rFonts w:hint="default"/>
                      <w:lang w:val="en-US" w:eastAsia="zh-CN"/>
                    </w:rPr>
                  </w:pPr>
                  <w:r>
                    <w:rPr>
                      <w:rFonts w:hint="default"/>
                      <w:lang w:val="en-US" w:eastAsia="zh-CN"/>
                    </w:rPr>
                    <w:t>ZQJ125×8-1.3×0.6</w:t>
                  </w:r>
                </w:p>
              </w:tc>
              <w:tc>
                <w:tcPr>
                  <w:tcW w:w="600" w:type="pct"/>
                  <w:noWrap w:val="0"/>
                  <w:vAlign w:val="center"/>
                </w:tcPr>
                <w:p>
                  <w:pPr>
                    <w:pStyle w:val="17"/>
                    <w:widowControl w:val="0"/>
                    <w:bidi w:val="0"/>
                    <w:rPr>
                      <w:rFonts w:hint="default"/>
                      <w:lang w:val="en-US" w:eastAsia="zh-CN"/>
                    </w:rPr>
                  </w:pPr>
                  <w:r>
                    <w:rPr>
                      <w:rFonts w:hint="default"/>
                      <w:lang w:val="en-US" w:eastAsia="zh-CN"/>
                    </w:rPr>
                    <w:t>/</w:t>
                  </w:r>
                </w:p>
              </w:tc>
              <w:tc>
                <w:tcPr>
                  <w:tcW w:w="712" w:type="pct"/>
                  <w:noWrap w:val="0"/>
                  <w:vAlign w:val="center"/>
                </w:tcPr>
                <w:p>
                  <w:pPr>
                    <w:pStyle w:val="17"/>
                    <w:widowControl w:val="0"/>
                    <w:bidi w:val="0"/>
                    <w:rPr>
                      <w:rFonts w:hint="default"/>
                      <w:lang w:val="en-US" w:eastAsia="zh-CN"/>
                    </w:rPr>
                  </w:pPr>
                  <w:r>
                    <w:rPr>
                      <w:rFonts w:hint="default"/>
                      <w:lang w:val="en-US" w:eastAsia="zh-CN"/>
                    </w:rPr>
                    <w:t>/</w:t>
                  </w:r>
                </w:p>
              </w:tc>
              <w:tc>
                <w:tcPr>
                  <w:tcW w:w="452" w:type="pct"/>
                  <w:noWrap w:val="0"/>
                  <w:vAlign w:val="center"/>
                </w:tcPr>
                <w:p>
                  <w:pPr>
                    <w:pStyle w:val="17"/>
                    <w:widowControl w:val="0"/>
                    <w:bidi w:val="0"/>
                    <w:rPr>
                      <w:rFonts w:hint="default"/>
                      <w:lang w:val="en-US" w:eastAsia="zh-CN"/>
                    </w:rPr>
                  </w:pPr>
                  <w:r>
                    <w:rPr>
                      <w:rFonts w:hint="default"/>
                      <w:lang w:val="en-US" w:eastAsia="zh-CN"/>
                    </w:rPr>
                    <w:t>台</w:t>
                  </w:r>
                </w:p>
              </w:tc>
              <w:tc>
                <w:tcPr>
                  <w:tcW w:w="452" w:type="pct"/>
                  <w:noWrap w:val="0"/>
                  <w:vAlign w:val="center"/>
                </w:tcPr>
                <w:p>
                  <w:pPr>
                    <w:pStyle w:val="17"/>
                    <w:widowControl w:val="0"/>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 w:hRule="atLeast"/>
              </w:trPr>
              <w:tc>
                <w:tcPr>
                  <w:tcW w:w="484" w:type="pct"/>
                  <w:vMerge w:val="continue"/>
                  <w:noWrap w:val="0"/>
                  <w:vAlign w:val="center"/>
                </w:tcPr>
                <w:p>
                  <w:pPr>
                    <w:pStyle w:val="17"/>
                    <w:widowControl w:val="0"/>
                    <w:bidi w:val="0"/>
                    <w:rPr>
                      <w:rFonts w:hint="default"/>
                      <w:lang w:val="en-US" w:eastAsia="zh-CN"/>
                    </w:rPr>
                  </w:pPr>
                </w:p>
              </w:tc>
              <w:tc>
                <w:tcPr>
                  <w:tcW w:w="575" w:type="pct"/>
                  <w:vMerge w:val="continue"/>
                  <w:noWrap w:val="0"/>
                  <w:vAlign w:val="center"/>
                </w:tcPr>
                <w:p>
                  <w:pPr>
                    <w:pStyle w:val="17"/>
                    <w:widowControl w:val="0"/>
                    <w:bidi w:val="0"/>
                    <w:rPr>
                      <w:rFonts w:hint="default"/>
                      <w:lang w:val="en-US" w:eastAsia="zh-CN"/>
                    </w:rPr>
                  </w:pPr>
                </w:p>
              </w:tc>
              <w:tc>
                <w:tcPr>
                  <w:tcW w:w="653" w:type="pct"/>
                  <w:noWrap w:val="0"/>
                  <w:vAlign w:val="center"/>
                </w:tcPr>
                <w:p>
                  <w:pPr>
                    <w:pStyle w:val="17"/>
                    <w:widowControl w:val="0"/>
                    <w:bidi w:val="0"/>
                    <w:rPr>
                      <w:rFonts w:hint="default"/>
                      <w:lang w:val="en-US" w:eastAsia="zh-CN"/>
                    </w:rPr>
                  </w:pPr>
                  <w:r>
                    <w:rPr>
                      <w:rFonts w:hint="default"/>
                      <w:lang w:val="en-US" w:eastAsia="zh-CN"/>
                    </w:rPr>
                    <w:t>离心机</w:t>
                  </w:r>
                </w:p>
              </w:tc>
              <w:tc>
                <w:tcPr>
                  <w:tcW w:w="1069" w:type="pct"/>
                  <w:noWrap w:val="0"/>
                  <w:vAlign w:val="center"/>
                </w:tcPr>
                <w:p>
                  <w:pPr>
                    <w:pStyle w:val="17"/>
                    <w:widowControl w:val="0"/>
                    <w:bidi w:val="0"/>
                    <w:rPr>
                      <w:rFonts w:hint="default"/>
                      <w:lang w:val="en-US" w:eastAsia="zh-CN"/>
                    </w:rPr>
                  </w:pPr>
                  <w:r>
                    <w:rPr>
                      <w:rFonts w:hint="default"/>
                      <w:lang w:val="en-US" w:eastAsia="zh-CN"/>
                    </w:rPr>
                    <w:t>LW450-842N</w:t>
                  </w:r>
                </w:p>
              </w:tc>
              <w:tc>
                <w:tcPr>
                  <w:tcW w:w="600" w:type="pct"/>
                  <w:noWrap w:val="0"/>
                  <w:vAlign w:val="center"/>
                </w:tcPr>
                <w:p>
                  <w:pPr>
                    <w:pStyle w:val="17"/>
                    <w:widowControl w:val="0"/>
                    <w:bidi w:val="0"/>
                    <w:rPr>
                      <w:rFonts w:hint="default"/>
                      <w:lang w:val="en-US" w:eastAsia="zh-CN"/>
                    </w:rPr>
                  </w:pPr>
                  <w:r>
                    <w:rPr>
                      <w:rFonts w:hint="default"/>
                      <w:lang w:val="en-US" w:eastAsia="zh-CN"/>
                    </w:rPr>
                    <w:t>/</w:t>
                  </w:r>
                </w:p>
              </w:tc>
              <w:tc>
                <w:tcPr>
                  <w:tcW w:w="712" w:type="pct"/>
                  <w:noWrap w:val="0"/>
                  <w:vAlign w:val="center"/>
                </w:tcPr>
                <w:p>
                  <w:pPr>
                    <w:pStyle w:val="17"/>
                    <w:widowControl w:val="0"/>
                    <w:bidi w:val="0"/>
                    <w:rPr>
                      <w:rFonts w:hint="default"/>
                      <w:lang w:val="en-US" w:eastAsia="zh-CN"/>
                    </w:rPr>
                  </w:pPr>
                  <w:r>
                    <w:rPr>
                      <w:rFonts w:hint="default"/>
                      <w:lang w:val="en-US" w:eastAsia="zh-CN"/>
                    </w:rPr>
                    <w:t>/</w:t>
                  </w:r>
                </w:p>
              </w:tc>
              <w:tc>
                <w:tcPr>
                  <w:tcW w:w="452" w:type="pct"/>
                  <w:noWrap w:val="0"/>
                  <w:vAlign w:val="center"/>
                </w:tcPr>
                <w:p>
                  <w:pPr>
                    <w:pStyle w:val="17"/>
                    <w:widowControl w:val="0"/>
                    <w:bidi w:val="0"/>
                    <w:rPr>
                      <w:rFonts w:hint="default"/>
                      <w:lang w:val="en-US" w:eastAsia="zh-CN"/>
                    </w:rPr>
                  </w:pPr>
                  <w:r>
                    <w:rPr>
                      <w:rFonts w:hint="default"/>
                      <w:lang w:val="en-US" w:eastAsia="zh-CN"/>
                    </w:rPr>
                    <w:t>台</w:t>
                  </w:r>
                </w:p>
              </w:tc>
              <w:tc>
                <w:tcPr>
                  <w:tcW w:w="452" w:type="pct"/>
                  <w:noWrap w:val="0"/>
                  <w:vAlign w:val="center"/>
                </w:tcPr>
                <w:p>
                  <w:pPr>
                    <w:pStyle w:val="17"/>
                    <w:widowControl w:val="0"/>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 w:hRule="atLeast"/>
              </w:trPr>
              <w:tc>
                <w:tcPr>
                  <w:tcW w:w="484" w:type="pct"/>
                  <w:vMerge w:val="continue"/>
                  <w:noWrap w:val="0"/>
                  <w:vAlign w:val="center"/>
                </w:tcPr>
                <w:p>
                  <w:pPr>
                    <w:pStyle w:val="17"/>
                    <w:widowControl w:val="0"/>
                    <w:bidi w:val="0"/>
                    <w:rPr>
                      <w:rFonts w:hint="default"/>
                      <w:lang w:val="en-US" w:eastAsia="zh-CN"/>
                    </w:rPr>
                  </w:pPr>
                </w:p>
              </w:tc>
              <w:tc>
                <w:tcPr>
                  <w:tcW w:w="575" w:type="pct"/>
                  <w:vMerge w:val="continue"/>
                  <w:noWrap w:val="0"/>
                  <w:vAlign w:val="center"/>
                </w:tcPr>
                <w:p>
                  <w:pPr>
                    <w:pStyle w:val="17"/>
                    <w:widowControl w:val="0"/>
                    <w:bidi w:val="0"/>
                    <w:rPr>
                      <w:rFonts w:hint="default"/>
                      <w:lang w:val="en-US" w:eastAsia="zh-CN"/>
                    </w:rPr>
                  </w:pPr>
                </w:p>
              </w:tc>
              <w:tc>
                <w:tcPr>
                  <w:tcW w:w="653" w:type="pct"/>
                  <w:noWrap w:val="0"/>
                  <w:vAlign w:val="center"/>
                </w:tcPr>
                <w:p>
                  <w:pPr>
                    <w:pStyle w:val="17"/>
                    <w:widowControl w:val="0"/>
                    <w:bidi w:val="0"/>
                    <w:rPr>
                      <w:rFonts w:hint="default"/>
                      <w:lang w:val="en-US" w:eastAsia="zh-CN"/>
                    </w:rPr>
                  </w:pPr>
                  <w:r>
                    <w:rPr>
                      <w:rFonts w:hint="default"/>
                      <w:lang w:val="en-US" w:eastAsia="zh-CN"/>
                    </w:rPr>
                    <w:t>除气器</w:t>
                  </w:r>
                </w:p>
              </w:tc>
              <w:tc>
                <w:tcPr>
                  <w:tcW w:w="1069" w:type="pct"/>
                  <w:noWrap w:val="0"/>
                  <w:vAlign w:val="center"/>
                </w:tcPr>
                <w:p>
                  <w:pPr>
                    <w:pStyle w:val="17"/>
                    <w:widowControl w:val="0"/>
                    <w:bidi w:val="0"/>
                    <w:rPr>
                      <w:rFonts w:hint="default"/>
                      <w:lang w:val="en-US" w:eastAsia="zh-CN"/>
                    </w:rPr>
                  </w:pPr>
                  <w:r>
                    <w:rPr>
                      <w:rFonts w:hint="default"/>
                      <w:lang w:val="en-US" w:eastAsia="zh-CN"/>
                    </w:rPr>
                    <w:t>HZQ1/4</w:t>
                  </w:r>
                </w:p>
              </w:tc>
              <w:tc>
                <w:tcPr>
                  <w:tcW w:w="600" w:type="pct"/>
                  <w:noWrap w:val="0"/>
                  <w:vAlign w:val="center"/>
                </w:tcPr>
                <w:p>
                  <w:pPr>
                    <w:pStyle w:val="17"/>
                    <w:widowControl w:val="0"/>
                    <w:bidi w:val="0"/>
                    <w:rPr>
                      <w:rFonts w:hint="default"/>
                      <w:lang w:val="en-US" w:eastAsia="zh-CN"/>
                    </w:rPr>
                  </w:pPr>
                  <w:r>
                    <w:rPr>
                      <w:rFonts w:hint="default"/>
                      <w:lang w:val="en-US" w:eastAsia="zh-CN"/>
                    </w:rPr>
                    <w:t>/</w:t>
                  </w:r>
                </w:p>
              </w:tc>
              <w:tc>
                <w:tcPr>
                  <w:tcW w:w="712" w:type="pct"/>
                  <w:noWrap w:val="0"/>
                  <w:vAlign w:val="center"/>
                </w:tcPr>
                <w:p>
                  <w:pPr>
                    <w:pStyle w:val="17"/>
                    <w:widowControl w:val="0"/>
                    <w:bidi w:val="0"/>
                    <w:rPr>
                      <w:rFonts w:hint="default"/>
                      <w:lang w:val="en-US" w:eastAsia="zh-CN"/>
                    </w:rPr>
                  </w:pPr>
                  <w:r>
                    <w:rPr>
                      <w:rFonts w:hint="default"/>
                      <w:lang w:val="en-US" w:eastAsia="zh-CN"/>
                    </w:rPr>
                    <w:t>/</w:t>
                  </w:r>
                </w:p>
              </w:tc>
              <w:tc>
                <w:tcPr>
                  <w:tcW w:w="452" w:type="pct"/>
                  <w:noWrap w:val="0"/>
                  <w:vAlign w:val="center"/>
                </w:tcPr>
                <w:p>
                  <w:pPr>
                    <w:pStyle w:val="17"/>
                    <w:widowControl w:val="0"/>
                    <w:bidi w:val="0"/>
                    <w:rPr>
                      <w:rFonts w:hint="default"/>
                      <w:lang w:val="en-US" w:eastAsia="zh-CN"/>
                    </w:rPr>
                  </w:pPr>
                  <w:r>
                    <w:rPr>
                      <w:rFonts w:hint="default"/>
                      <w:lang w:val="en-US" w:eastAsia="zh-CN"/>
                    </w:rPr>
                    <w:t>台</w:t>
                  </w:r>
                </w:p>
              </w:tc>
              <w:tc>
                <w:tcPr>
                  <w:tcW w:w="452" w:type="pct"/>
                  <w:noWrap w:val="0"/>
                  <w:vAlign w:val="center"/>
                </w:tcPr>
                <w:p>
                  <w:pPr>
                    <w:pStyle w:val="17"/>
                    <w:widowControl w:val="0"/>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7" w:hRule="atLeast"/>
              </w:trPr>
              <w:tc>
                <w:tcPr>
                  <w:tcW w:w="484" w:type="pct"/>
                  <w:noWrap w:val="0"/>
                  <w:vAlign w:val="center"/>
                </w:tcPr>
                <w:p>
                  <w:pPr>
                    <w:pStyle w:val="17"/>
                    <w:widowControl w:val="0"/>
                    <w:bidi w:val="0"/>
                    <w:rPr>
                      <w:rFonts w:hint="default"/>
                      <w:lang w:val="en-US" w:eastAsia="zh-CN"/>
                    </w:rPr>
                  </w:pPr>
                  <w:r>
                    <w:rPr>
                      <w:rFonts w:hint="default"/>
                      <w:lang w:val="en-US" w:eastAsia="zh-CN"/>
                    </w:rPr>
                    <w:t>12</w:t>
                  </w:r>
                </w:p>
              </w:tc>
              <w:tc>
                <w:tcPr>
                  <w:tcW w:w="575" w:type="pct"/>
                  <w:noWrap w:val="0"/>
                  <w:vAlign w:val="center"/>
                </w:tcPr>
                <w:p>
                  <w:pPr>
                    <w:pStyle w:val="17"/>
                    <w:widowControl w:val="0"/>
                    <w:bidi w:val="0"/>
                    <w:rPr>
                      <w:rFonts w:hint="default"/>
                      <w:lang w:val="en-US" w:eastAsia="zh-CN"/>
                    </w:rPr>
                  </w:pPr>
                  <w:r>
                    <w:rPr>
                      <w:rFonts w:hint="default"/>
                      <w:lang w:val="en-US" w:eastAsia="zh-CN"/>
                    </w:rPr>
                    <w:t>柴油发电机</w:t>
                  </w:r>
                </w:p>
              </w:tc>
              <w:tc>
                <w:tcPr>
                  <w:tcW w:w="653" w:type="pct"/>
                  <w:noWrap w:val="0"/>
                  <w:vAlign w:val="center"/>
                </w:tcPr>
                <w:p>
                  <w:pPr>
                    <w:pStyle w:val="17"/>
                    <w:widowControl w:val="0"/>
                    <w:bidi w:val="0"/>
                    <w:rPr>
                      <w:rFonts w:hint="default"/>
                      <w:lang w:val="en-US" w:eastAsia="zh-CN"/>
                    </w:rPr>
                  </w:pPr>
                  <w:r>
                    <w:rPr>
                      <w:rFonts w:hint="default"/>
                      <w:lang w:val="en-US" w:eastAsia="zh-CN"/>
                    </w:rPr>
                    <w:t>#1</w:t>
                  </w:r>
                  <w:r>
                    <w:rPr>
                      <w:rFonts w:hint="eastAsia"/>
                      <w:lang w:val="en-US" w:eastAsia="zh-CN"/>
                    </w:rPr>
                    <w:t>—#3</w:t>
                  </w:r>
                </w:p>
              </w:tc>
              <w:tc>
                <w:tcPr>
                  <w:tcW w:w="1069" w:type="pct"/>
                  <w:noWrap w:val="0"/>
                  <w:vAlign w:val="center"/>
                </w:tcPr>
                <w:p>
                  <w:pPr>
                    <w:pStyle w:val="17"/>
                    <w:widowControl w:val="0"/>
                    <w:bidi w:val="0"/>
                    <w:rPr>
                      <w:rFonts w:hint="default"/>
                      <w:lang w:val="en-US" w:eastAsia="zh-CN"/>
                    </w:rPr>
                  </w:pPr>
                  <w:r>
                    <w:rPr>
                      <w:rFonts w:hint="default"/>
                      <w:lang w:val="en-US" w:eastAsia="zh-CN"/>
                    </w:rPr>
                    <w:t>Vovol</w:t>
                  </w:r>
                </w:p>
              </w:tc>
              <w:tc>
                <w:tcPr>
                  <w:tcW w:w="600" w:type="pct"/>
                  <w:noWrap w:val="0"/>
                  <w:vAlign w:val="center"/>
                </w:tcPr>
                <w:p>
                  <w:pPr>
                    <w:pStyle w:val="17"/>
                    <w:widowControl w:val="0"/>
                    <w:bidi w:val="0"/>
                    <w:rPr>
                      <w:rFonts w:hint="default"/>
                      <w:lang w:val="en-US" w:eastAsia="zh-CN"/>
                    </w:rPr>
                  </w:pPr>
                  <w:r>
                    <w:rPr>
                      <w:rFonts w:hint="default"/>
                      <w:lang w:val="en-US" w:eastAsia="zh-CN"/>
                    </w:rPr>
                    <w:t>/</w:t>
                  </w:r>
                </w:p>
              </w:tc>
              <w:tc>
                <w:tcPr>
                  <w:tcW w:w="712" w:type="pct"/>
                  <w:noWrap w:val="0"/>
                  <w:vAlign w:val="center"/>
                </w:tcPr>
                <w:p>
                  <w:pPr>
                    <w:pStyle w:val="17"/>
                    <w:widowControl w:val="0"/>
                    <w:bidi w:val="0"/>
                    <w:rPr>
                      <w:rFonts w:hint="default"/>
                      <w:lang w:val="en-US" w:eastAsia="zh-CN"/>
                    </w:rPr>
                  </w:pPr>
                  <w:r>
                    <w:rPr>
                      <w:rFonts w:hint="default"/>
                      <w:lang w:val="en-US" w:eastAsia="zh-CN"/>
                    </w:rPr>
                    <w:t>400</w:t>
                  </w:r>
                </w:p>
              </w:tc>
              <w:tc>
                <w:tcPr>
                  <w:tcW w:w="452" w:type="pct"/>
                  <w:noWrap w:val="0"/>
                  <w:vAlign w:val="center"/>
                </w:tcPr>
                <w:p>
                  <w:pPr>
                    <w:pStyle w:val="17"/>
                    <w:widowControl w:val="0"/>
                    <w:bidi w:val="0"/>
                    <w:rPr>
                      <w:rFonts w:hint="default"/>
                      <w:lang w:val="en-US" w:eastAsia="zh-CN"/>
                    </w:rPr>
                  </w:pPr>
                  <w:r>
                    <w:rPr>
                      <w:rFonts w:hint="default"/>
                      <w:lang w:val="en-US" w:eastAsia="zh-CN"/>
                    </w:rPr>
                    <w:t>台</w:t>
                  </w:r>
                </w:p>
              </w:tc>
              <w:tc>
                <w:tcPr>
                  <w:tcW w:w="452" w:type="pct"/>
                  <w:noWrap w:val="0"/>
                  <w:vAlign w:val="center"/>
                </w:tcPr>
                <w:p>
                  <w:pPr>
                    <w:pStyle w:val="17"/>
                    <w:widowControl w:val="0"/>
                    <w:bidi w:val="0"/>
                    <w:rPr>
                      <w:rFonts w:hint="default"/>
                      <w:lang w:val="en-US" w:eastAsia="zh-CN"/>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484" w:type="pct"/>
                  <w:noWrap w:val="0"/>
                  <w:vAlign w:val="center"/>
                </w:tcPr>
                <w:p>
                  <w:pPr>
                    <w:pStyle w:val="17"/>
                    <w:widowControl w:val="0"/>
                    <w:bidi w:val="0"/>
                    <w:rPr>
                      <w:rFonts w:hint="default"/>
                      <w:lang w:val="en-US" w:eastAsia="zh-CN"/>
                    </w:rPr>
                  </w:pPr>
                  <w:r>
                    <w:rPr>
                      <w:rFonts w:hint="default"/>
                      <w:lang w:val="en-US" w:eastAsia="zh-CN"/>
                    </w:rPr>
                    <w:t>13</w:t>
                  </w:r>
                </w:p>
              </w:tc>
              <w:tc>
                <w:tcPr>
                  <w:tcW w:w="575" w:type="pct"/>
                  <w:noWrap w:val="0"/>
                  <w:vAlign w:val="center"/>
                </w:tcPr>
                <w:p>
                  <w:pPr>
                    <w:pStyle w:val="17"/>
                    <w:widowControl w:val="0"/>
                    <w:bidi w:val="0"/>
                    <w:rPr>
                      <w:rFonts w:hint="default"/>
                      <w:lang w:val="en-US" w:eastAsia="zh-CN"/>
                    </w:rPr>
                  </w:pPr>
                  <w:r>
                    <w:rPr>
                      <w:rFonts w:hint="default"/>
                      <w:lang w:val="en-US" w:eastAsia="zh-CN"/>
                    </w:rPr>
                    <w:t>净化罐</w:t>
                  </w:r>
                </w:p>
              </w:tc>
              <w:tc>
                <w:tcPr>
                  <w:tcW w:w="653" w:type="pct"/>
                  <w:noWrap w:val="0"/>
                  <w:vAlign w:val="center"/>
                </w:tcPr>
                <w:p>
                  <w:pPr>
                    <w:pStyle w:val="17"/>
                    <w:widowControl w:val="0"/>
                    <w:bidi w:val="0"/>
                    <w:rPr>
                      <w:rFonts w:hint="default"/>
                      <w:lang w:val="en-US" w:eastAsia="zh-CN"/>
                    </w:rPr>
                  </w:pPr>
                  <w:r>
                    <w:rPr>
                      <w:rFonts w:hint="default"/>
                      <w:lang w:val="en-US" w:eastAsia="zh-CN"/>
                    </w:rPr>
                    <w:t>40m</w:t>
                  </w:r>
                  <w:r>
                    <w:rPr>
                      <w:rFonts w:hint="default"/>
                      <w:vertAlign w:val="superscript"/>
                      <w:lang w:val="en-US" w:eastAsia="zh-CN"/>
                    </w:rPr>
                    <w:t>3</w:t>
                  </w:r>
                </w:p>
              </w:tc>
              <w:tc>
                <w:tcPr>
                  <w:tcW w:w="1069" w:type="pct"/>
                  <w:noWrap w:val="0"/>
                  <w:vAlign w:val="center"/>
                </w:tcPr>
                <w:p>
                  <w:pPr>
                    <w:pStyle w:val="17"/>
                    <w:widowControl w:val="0"/>
                    <w:bidi w:val="0"/>
                    <w:rPr>
                      <w:rFonts w:hint="default"/>
                      <w:lang w:val="en-US" w:eastAsia="zh-CN"/>
                    </w:rPr>
                  </w:pPr>
                  <w:r>
                    <w:rPr>
                      <w:rFonts w:hint="default"/>
                      <w:lang w:val="en-US" w:eastAsia="zh-CN"/>
                    </w:rPr>
                    <w:t>/</w:t>
                  </w:r>
                </w:p>
              </w:tc>
              <w:tc>
                <w:tcPr>
                  <w:tcW w:w="600" w:type="pct"/>
                  <w:noWrap w:val="0"/>
                  <w:vAlign w:val="center"/>
                </w:tcPr>
                <w:p>
                  <w:pPr>
                    <w:pStyle w:val="17"/>
                    <w:widowControl w:val="0"/>
                    <w:bidi w:val="0"/>
                    <w:rPr>
                      <w:rFonts w:hint="default"/>
                      <w:lang w:val="en-US" w:eastAsia="zh-CN"/>
                    </w:rPr>
                  </w:pPr>
                  <w:r>
                    <w:rPr>
                      <w:rFonts w:hint="default"/>
                      <w:lang w:val="en-US" w:eastAsia="zh-CN"/>
                    </w:rPr>
                    <w:t>/</w:t>
                  </w:r>
                </w:p>
              </w:tc>
              <w:tc>
                <w:tcPr>
                  <w:tcW w:w="712" w:type="pct"/>
                  <w:noWrap w:val="0"/>
                  <w:vAlign w:val="center"/>
                </w:tcPr>
                <w:p>
                  <w:pPr>
                    <w:pStyle w:val="17"/>
                    <w:widowControl w:val="0"/>
                    <w:bidi w:val="0"/>
                    <w:rPr>
                      <w:rFonts w:hint="default"/>
                      <w:lang w:val="en-US" w:eastAsia="zh-CN"/>
                    </w:rPr>
                  </w:pPr>
                </w:p>
              </w:tc>
              <w:tc>
                <w:tcPr>
                  <w:tcW w:w="452" w:type="pct"/>
                  <w:noWrap w:val="0"/>
                  <w:vAlign w:val="center"/>
                </w:tcPr>
                <w:p>
                  <w:pPr>
                    <w:pStyle w:val="17"/>
                    <w:widowControl w:val="0"/>
                    <w:bidi w:val="0"/>
                    <w:rPr>
                      <w:rFonts w:hint="default"/>
                      <w:lang w:val="en-US" w:eastAsia="zh-CN"/>
                    </w:rPr>
                  </w:pPr>
                  <w:r>
                    <w:rPr>
                      <w:rFonts w:hint="default"/>
                      <w:lang w:val="en-US" w:eastAsia="zh-CN"/>
                    </w:rPr>
                    <w:t>个</w:t>
                  </w:r>
                </w:p>
              </w:tc>
              <w:tc>
                <w:tcPr>
                  <w:tcW w:w="452" w:type="pct"/>
                  <w:noWrap w:val="0"/>
                  <w:vAlign w:val="center"/>
                </w:tcPr>
                <w:p>
                  <w:pPr>
                    <w:pStyle w:val="17"/>
                    <w:widowControl w:val="0"/>
                    <w:bidi w:val="0"/>
                    <w:rPr>
                      <w:rFonts w:hint="default"/>
                      <w:lang w:val="en-US" w:eastAsia="zh-CN"/>
                    </w:rPr>
                  </w:pPr>
                  <w:r>
                    <w:rPr>
                      <w:rFonts w:hint="eastAsia"/>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7" w:hRule="atLeast"/>
              </w:trPr>
              <w:tc>
                <w:tcPr>
                  <w:tcW w:w="484" w:type="pct"/>
                  <w:noWrap w:val="0"/>
                  <w:vAlign w:val="center"/>
                </w:tcPr>
                <w:p>
                  <w:pPr>
                    <w:pStyle w:val="17"/>
                    <w:widowControl w:val="0"/>
                    <w:bidi w:val="0"/>
                    <w:rPr>
                      <w:rFonts w:hint="default"/>
                      <w:lang w:val="en-US" w:eastAsia="zh-CN"/>
                    </w:rPr>
                  </w:pPr>
                  <w:r>
                    <w:rPr>
                      <w:rFonts w:hint="default"/>
                      <w:lang w:val="en-US" w:eastAsia="zh-CN"/>
                    </w:rPr>
                    <w:t>14</w:t>
                  </w:r>
                </w:p>
              </w:tc>
              <w:tc>
                <w:tcPr>
                  <w:tcW w:w="575" w:type="pct"/>
                  <w:noWrap w:val="0"/>
                  <w:vAlign w:val="center"/>
                </w:tcPr>
                <w:p>
                  <w:pPr>
                    <w:pStyle w:val="17"/>
                    <w:widowControl w:val="0"/>
                    <w:bidi w:val="0"/>
                    <w:rPr>
                      <w:rFonts w:hint="default"/>
                      <w:lang w:val="en-US" w:eastAsia="zh-CN"/>
                    </w:rPr>
                  </w:pPr>
                  <w:r>
                    <w:rPr>
                      <w:rFonts w:hint="default"/>
                      <w:lang w:val="en-US" w:eastAsia="zh-CN"/>
                    </w:rPr>
                    <w:t>套装水罐</w:t>
                  </w:r>
                </w:p>
              </w:tc>
              <w:tc>
                <w:tcPr>
                  <w:tcW w:w="653" w:type="pct"/>
                  <w:noWrap w:val="0"/>
                  <w:vAlign w:val="center"/>
                </w:tcPr>
                <w:p>
                  <w:pPr>
                    <w:pStyle w:val="17"/>
                    <w:widowControl w:val="0"/>
                    <w:bidi w:val="0"/>
                    <w:rPr>
                      <w:rFonts w:hint="default"/>
                      <w:lang w:val="en-US" w:eastAsia="zh-CN"/>
                    </w:rPr>
                  </w:pPr>
                  <w:r>
                    <w:rPr>
                      <w:rFonts w:hint="default"/>
                      <w:lang w:val="en-US" w:eastAsia="zh-CN"/>
                    </w:rPr>
                    <w:t>60m</w:t>
                  </w:r>
                  <w:r>
                    <w:rPr>
                      <w:rFonts w:hint="default"/>
                      <w:vertAlign w:val="superscript"/>
                      <w:lang w:val="en-US" w:eastAsia="zh-CN"/>
                    </w:rPr>
                    <w:t>3</w:t>
                  </w:r>
                </w:p>
              </w:tc>
              <w:tc>
                <w:tcPr>
                  <w:tcW w:w="1069" w:type="pct"/>
                  <w:noWrap w:val="0"/>
                  <w:vAlign w:val="center"/>
                </w:tcPr>
                <w:p>
                  <w:pPr>
                    <w:pStyle w:val="17"/>
                    <w:widowControl w:val="0"/>
                    <w:bidi w:val="0"/>
                    <w:rPr>
                      <w:rFonts w:hint="default"/>
                      <w:lang w:val="en-US" w:eastAsia="zh-CN"/>
                    </w:rPr>
                  </w:pPr>
                  <w:r>
                    <w:rPr>
                      <w:rFonts w:hint="default"/>
                      <w:lang w:val="en-US" w:eastAsia="zh-CN"/>
                    </w:rPr>
                    <w:t>/</w:t>
                  </w:r>
                </w:p>
              </w:tc>
              <w:tc>
                <w:tcPr>
                  <w:tcW w:w="600" w:type="pct"/>
                  <w:noWrap w:val="0"/>
                  <w:vAlign w:val="center"/>
                </w:tcPr>
                <w:p>
                  <w:pPr>
                    <w:pStyle w:val="17"/>
                    <w:widowControl w:val="0"/>
                    <w:bidi w:val="0"/>
                    <w:rPr>
                      <w:rFonts w:hint="default"/>
                      <w:lang w:val="en-US" w:eastAsia="zh-CN"/>
                    </w:rPr>
                  </w:pPr>
                  <w:r>
                    <w:rPr>
                      <w:rFonts w:hint="default"/>
                      <w:lang w:val="en-US" w:eastAsia="zh-CN"/>
                    </w:rPr>
                    <w:t>/</w:t>
                  </w:r>
                </w:p>
              </w:tc>
              <w:tc>
                <w:tcPr>
                  <w:tcW w:w="712" w:type="pct"/>
                  <w:noWrap w:val="0"/>
                  <w:vAlign w:val="center"/>
                </w:tcPr>
                <w:p>
                  <w:pPr>
                    <w:pStyle w:val="17"/>
                    <w:widowControl w:val="0"/>
                    <w:bidi w:val="0"/>
                    <w:rPr>
                      <w:rFonts w:hint="default"/>
                      <w:lang w:val="en-US" w:eastAsia="zh-CN"/>
                    </w:rPr>
                  </w:pPr>
                </w:p>
              </w:tc>
              <w:tc>
                <w:tcPr>
                  <w:tcW w:w="452" w:type="pct"/>
                  <w:noWrap w:val="0"/>
                  <w:vAlign w:val="center"/>
                </w:tcPr>
                <w:p>
                  <w:pPr>
                    <w:pStyle w:val="17"/>
                    <w:widowControl w:val="0"/>
                    <w:bidi w:val="0"/>
                    <w:rPr>
                      <w:rFonts w:hint="default"/>
                      <w:lang w:val="en-US" w:eastAsia="zh-CN"/>
                    </w:rPr>
                  </w:pPr>
                  <w:r>
                    <w:rPr>
                      <w:rFonts w:hint="default"/>
                      <w:lang w:val="en-US" w:eastAsia="zh-CN"/>
                    </w:rPr>
                    <w:t>个</w:t>
                  </w:r>
                </w:p>
              </w:tc>
              <w:tc>
                <w:tcPr>
                  <w:tcW w:w="452" w:type="pct"/>
                  <w:noWrap w:val="0"/>
                  <w:vAlign w:val="center"/>
                </w:tcPr>
                <w:p>
                  <w:pPr>
                    <w:pStyle w:val="17"/>
                    <w:widowControl w:val="0"/>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7" w:hRule="atLeast"/>
              </w:trPr>
              <w:tc>
                <w:tcPr>
                  <w:tcW w:w="484" w:type="pct"/>
                  <w:noWrap w:val="0"/>
                  <w:vAlign w:val="center"/>
                </w:tcPr>
                <w:p>
                  <w:pPr>
                    <w:pStyle w:val="17"/>
                    <w:widowControl w:val="0"/>
                    <w:bidi w:val="0"/>
                    <w:rPr>
                      <w:rFonts w:hint="default"/>
                      <w:lang w:val="en-US" w:eastAsia="zh-CN"/>
                    </w:rPr>
                  </w:pPr>
                  <w:r>
                    <w:rPr>
                      <w:rFonts w:hint="default"/>
                      <w:lang w:val="en-US" w:eastAsia="zh-CN"/>
                    </w:rPr>
                    <w:t>15</w:t>
                  </w:r>
                </w:p>
              </w:tc>
              <w:tc>
                <w:tcPr>
                  <w:tcW w:w="575" w:type="pct"/>
                  <w:noWrap w:val="0"/>
                  <w:vAlign w:val="center"/>
                </w:tcPr>
                <w:p>
                  <w:pPr>
                    <w:pStyle w:val="17"/>
                    <w:widowControl w:val="0"/>
                    <w:bidi w:val="0"/>
                    <w:rPr>
                      <w:rFonts w:hint="default"/>
                      <w:lang w:val="en-US" w:eastAsia="zh-CN"/>
                    </w:rPr>
                  </w:pPr>
                  <w:r>
                    <w:rPr>
                      <w:rFonts w:hint="default"/>
                      <w:lang w:val="en-US" w:eastAsia="zh-CN"/>
                    </w:rPr>
                    <w:t>油水罐</w:t>
                  </w:r>
                </w:p>
              </w:tc>
              <w:tc>
                <w:tcPr>
                  <w:tcW w:w="653" w:type="pct"/>
                  <w:noWrap w:val="0"/>
                  <w:vAlign w:val="center"/>
                </w:tcPr>
                <w:p>
                  <w:pPr>
                    <w:pStyle w:val="17"/>
                    <w:widowControl w:val="0"/>
                    <w:bidi w:val="0"/>
                    <w:rPr>
                      <w:rFonts w:hint="default"/>
                      <w:lang w:val="en-US" w:eastAsia="zh-CN"/>
                    </w:rPr>
                  </w:pPr>
                  <w:r>
                    <w:rPr>
                      <w:rFonts w:hint="default"/>
                      <w:lang w:val="en-US" w:eastAsia="zh-CN"/>
                    </w:rPr>
                    <w:t>40m</w:t>
                  </w:r>
                  <w:r>
                    <w:rPr>
                      <w:rFonts w:hint="default"/>
                      <w:vertAlign w:val="superscript"/>
                      <w:lang w:val="en-US" w:eastAsia="zh-CN"/>
                    </w:rPr>
                    <w:t>3</w:t>
                  </w:r>
                </w:p>
              </w:tc>
              <w:tc>
                <w:tcPr>
                  <w:tcW w:w="1069" w:type="pct"/>
                  <w:noWrap w:val="0"/>
                  <w:vAlign w:val="center"/>
                </w:tcPr>
                <w:p>
                  <w:pPr>
                    <w:pStyle w:val="17"/>
                    <w:widowControl w:val="0"/>
                    <w:bidi w:val="0"/>
                    <w:rPr>
                      <w:rFonts w:hint="default"/>
                      <w:lang w:val="en-US" w:eastAsia="zh-CN"/>
                    </w:rPr>
                  </w:pPr>
                  <w:r>
                    <w:rPr>
                      <w:rFonts w:hint="default"/>
                      <w:lang w:val="en-US" w:eastAsia="zh-CN"/>
                    </w:rPr>
                    <w:t>/</w:t>
                  </w:r>
                </w:p>
              </w:tc>
              <w:tc>
                <w:tcPr>
                  <w:tcW w:w="600" w:type="pct"/>
                  <w:noWrap w:val="0"/>
                  <w:vAlign w:val="center"/>
                </w:tcPr>
                <w:p>
                  <w:pPr>
                    <w:pStyle w:val="17"/>
                    <w:widowControl w:val="0"/>
                    <w:bidi w:val="0"/>
                    <w:rPr>
                      <w:rFonts w:hint="default"/>
                      <w:lang w:val="en-US" w:eastAsia="zh-CN"/>
                    </w:rPr>
                  </w:pPr>
                  <w:r>
                    <w:rPr>
                      <w:rFonts w:hint="default"/>
                      <w:lang w:val="en-US" w:eastAsia="zh-CN"/>
                    </w:rPr>
                    <w:t>/</w:t>
                  </w:r>
                </w:p>
              </w:tc>
              <w:tc>
                <w:tcPr>
                  <w:tcW w:w="712" w:type="pct"/>
                  <w:noWrap w:val="0"/>
                  <w:vAlign w:val="center"/>
                </w:tcPr>
                <w:p>
                  <w:pPr>
                    <w:pStyle w:val="17"/>
                    <w:widowControl w:val="0"/>
                    <w:bidi w:val="0"/>
                    <w:rPr>
                      <w:rFonts w:hint="default"/>
                      <w:lang w:val="en-US" w:eastAsia="zh-CN"/>
                    </w:rPr>
                  </w:pPr>
                </w:p>
              </w:tc>
              <w:tc>
                <w:tcPr>
                  <w:tcW w:w="452" w:type="pct"/>
                  <w:noWrap w:val="0"/>
                  <w:vAlign w:val="center"/>
                </w:tcPr>
                <w:p>
                  <w:pPr>
                    <w:pStyle w:val="17"/>
                    <w:widowControl w:val="0"/>
                    <w:bidi w:val="0"/>
                    <w:rPr>
                      <w:rFonts w:hint="default"/>
                      <w:lang w:val="en-US" w:eastAsia="zh-CN"/>
                    </w:rPr>
                  </w:pPr>
                  <w:r>
                    <w:rPr>
                      <w:rFonts w:hint="default"/>
                      <w:lang w:val="en-US" w:eastAsia="zh-CN"/>
                    </w:rPr>
                    <w:t>个</w:t>
                  </w:r>
                </w:p>
              </w:tc>
              <w:tc>
                <w:tcPr>
                  <w:tcW w:w="452" w:type="pct"/>
                  <w:noWrap w:val="0"/>
                  <w:vAlign w:val="center"/>
                </w:tcPr>
                <w:p>
                  <w:pPr>
                    <w:pStyle w:val="17"/>
                    <w:widowControl w:val="0"/>
                    <w:bidi w:val="0"/>
                    <w:rPr>
                      <w:rFonts w:hint="default"/>
                      <w:lang w:val="en-US" w:eastAsia="zh-CN"/>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7" w:hRule="atLeast"/>
              </w:trPr>
              <w:tc>
                <w:tcPr>
                  <w:tcW w:w="484" w:type="pct"/>
                  <w:noWrap w:val="0"/>
                  <w:vAlign w:val="center"/>
                </w:tcPr>
                <w:p>
                  <w:pPr>
                    <w:pStyle w:val="17"/>
                    <w:widowControl w:val="0"/>
                    <w:bidi w:val="0"/>
                    <w:rPr>
                      <w:rFonts w:hint="default"/>
                      <w:lang w:val="en-US" w:eastAsia="zh-CN"/>
                    </w:rPr>
                  </w:pPr>
                  <w:r>
                    <w:rPr>
                      <w:rFonts w:hint="default"/>
                      <w:lang w:val="en-US" w:eastAsia="zh-CN"/>
                    </w:rPr>
                    <w:t>16</w:t>
                  </w:r>
                </w:p>
              </w:tc>
              <w:tc>
                <w:tcPr>
                  <w:tcW w:w="575" w:type="pct"/>
                  <w:noWrap w:val="0"/>
                  <w:vAlign w:val="center"/>
                </w:tcPr>
                <w:p>
                  <w:pPr>
                    <w:pStyle w:val="17"/>
                    <w:widowControl w:val="0"/>
                    <w:bidi w:val="0"/>
                    <w:rPr>
                      <w:rFonts w:hint="default"/>
                      <w:lang w:val="en-US" w:eastAsia="zh-CN"/>
                    </w:rPr>
                  </w:pPr>
                  <w:r>
                    <w:rPr>
                      <w:rFonts w:hint="default"/>
                      <w:lang w:val="en-US" w:eastAsia="zh-CN"/>
                    </w:rPr>
                    <w:t>钻井液不落地设备</w:t>
                  </w:r>
                </w:p>
              </w:tc>
              <w:tc>
                <w:tcPr>
                  <w:tcW w:w="653" w:type="pct"/>
                  <w:noWrap w:val="0"/>
                  <w:vAlign w:val="center"/>
                </w:tcPr>
                <w:p>
                  <w:pPr>
                    <w:pStyle w:val="17"/>
                    <w:widowControl w:val="0"/>
                    <w:bidi w:val="0"/>
                    <w:rPr>
                      <w:rFonts w:hint="default"/>
                      <w:lang w:val="en-US" w:eastAsia="zh-CN"/>
                    </w:rPr>
                  </w:pPr>
                  <w:r>
                    <w:rPr>
                      <w:rFonts w:hint="default"/>
                      <w:lang w:val="en-US" w:eastAsia="zh-CN"/>
                    </w:rPr>
                    <w:t>/</w:t>
                  </w:r>
                </w:p>
              </w:tc>
              <w:tc>
                <w:tcPr>
                  <w:tcW w:w="1069" w:type="pct"/>
                  <w:noWrap w:val="0"/>
                  <w:vAlign w:val="center"/>
                </w:tcPr>
                <w:p>
                  <w:pPr>
                    <w:pStyle w:val="17"/>
                    <w:widowControl w:val="0"/>
                    <w:bidi w:val="0"/>
                    <w:rPr>
                      <w:rFonts w:hint="default"/>
                      <w:lang w:val="en-US" w:eastAsia="zh-CN"/>
                    </w:rPr>
                  </w:pPr>
                  <w:r>
                    <w:rPr>
                      <w:rFonts w:hint="default"/>
                      <w:lang w:val="en-US" w:eastAsia="zh-CN"/>
                    </w:rPr>
                    <w:t>/</w:t>
                  </w:r>
                </w:p>
              </w:tc>
              <w:tc>
                <w:tcPr>
                  <w:tcW w:w="600" w:type="pct"/>
                  <w:noWrap w:val="0"/>
                  <w:vAlign w:val="center"/>
                </w:tcPr>
                <w:p>
                  <w:pPr>
                    <w:pStyle w:val="17"/>
                    <w:widowControl w:val="0"/>
                    <w:bidi w:val="0"/>
                    <w:rPr>
                      <w:rFonts w:hint="default"/>
                      <w:lang w:val="en-US" w:eastAsia="zh-CN"/>
                    </w:rPr>
                  </w:pPr>
                  <w:r>
                    <w:rPr>
                      <w:rFonts w:hint="default"/>
                      <w:lang w:val="en-US" w:eastAsia="zh-CN"/>
                    </w:rPr>
                    <w:t>/</w:t>
                  </w:r>
                </w:p>
              </w:tc>
              <w:tc>
                <w:tcPr>
                  <w:tcW w:w="712" w:type="pct"/>
                  <w:noWrap w:val="0"/>
                  <w:vAlign w:val="center"/>
                </w:tcPr>
                <w:p>
                  <w:pPr>
                    <w:pStyle w:val="17"/>
                    <w:widowControl w:val="0"/>
                    <w:bidi w:val="0"/>
                    <w:rPr>
                      <w:rFonts w:hint="default"/>
                      <w:lang w:val="en-US" w:eastAsia="zh-CN"/>
                    </w:rPr>
                  </w:pPr>
                </w:p>
              </w:tc>
              <w:tc>
                <w:tcPr>
                  <w:tcW w:w="452" w:type="pct"/>
                  <w:noWrap w:val="0"/>
                  <w:vAlign w:val="center"/>
                </w:tcPr>
                <w:p>
                  <w:pPr>
                    <w:pStyle w:val="17"/>
                    <w:widowControl w:val="0"/>
                    <w:bidi w:val="0"/>
                    <w:rPr>
                      <w:rFonts w:hint="default"/>
                      <w:lang w:val="en-US" w:eastAsia="zh-CN"/>
                    </w:rPr>
                  </w:pPr>
                  <w:r>
                    <w:rPr>
                      <w:rFonts w:hint="default"/>
                      <w:lang w:val="en-US" w:eastAsia="zh-CN"/>
                    </w:rPr>
                    <w:t>套</w:t>
                  </w:r>
                </w:p>
              </w:tc>
              <w:tc>
                <w:tcPr>
                  <w:tcW w:w="452" w:type="pct"/>
                  <w:noWrap w:val="0"/>
                  <w:vAlign w:val="center"/>
                </w:tcPr>
                <w:p>
                  <w:pPr>
                    <w:pStyle w:val="17"/>
                    <w:widowControl w:val="0"/>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7" w:hRule="atLeast"/>
              </w:trPr>
              <w:tc>
                <w:tcPr>
                  <w:tcW w:w="484" w:type="pct"/>
                  <w:noWrap w:val="0"/>
                  <w:vAlign w:val="center"/>
                </w:tcPr>
                <w:p>
                  <w:pPr>
                    <w:pStyle w:val="17"/>
                    <w:widowControl w:val="0"/>
                    <w:bidi w:val="0"/>
                    <w:rPr>
                      <w:rFonts w:hint="default"/>
                      <w:lang w:val="en-US" w:eastAsia="zh-CN"/>
                    </w:rPr>
                  </w:pPr>
                  <w:r>
                    <w:rPr>
                      <w:rFonts w:hint="default"/>
                      <w:lang w:val="en-US" w:eastAsia="zh-CN"/>
                    </w:rPr>
                    <w:t>17</w:t>
                  </w:r>
                </w:p>
              </w:tc>
              <w:tc>
                <w:tcPr>
                  <w:tcW w:w="575" w:type="pct"/>
                  <w:noWrap w:val="0"/>
                  <w:vAlign w:val="center"/>
                </w:tcPr>
                <w:p>
                  <w:pPr>
                    <w:pStyle w:val="17"/>
                    <w:widowControl w:val="0"/>
                    <w:bidi w:val="0"/>
                    <w:rPr>
                      <w:rFonts w:hint="default"/>
                      <w:lang w:val="en-US" w:eastAsia="zh-CN"/>
                    </w:rPr>
                  </w:pPr>
                  <w:r>
                    <w:rPr>
                      <w:rFonts w:hint="default"/>
                      <w:lang w:val="en-US" w:eastAsia="zh-CN"/>
                    </w:rPr>
                    <w:t>柴油罐</w:t>
                  </w:r>
                </w:p>
              </w:tc>
              <w:tc>
                <w:tcPr>
                  <w:tcW w:w="653" w:type="pct"/>
                  <w:noWrap w:val="0"/>
                  <w:vAlign w:val="center"/>
                </w:tcPr>
                <w:p>
                  <w:pPr>
                    <w:pStyle w:val="17"/>
                    <w:widowControl w:val="0"/>
                    <w:bidi w:val="0"/>
                    <w:rPr>
                      <w:rFonts w:hint="default"/>
                      <w:lang w:val="en-US" w:eastAsia="zh-CN"/>
                    </w:rPr>
                  </w:pPr>
                  <w:r>
                    <w:rPr>
                      <w:rFonts w:hint="default"/>
                      <w:lang w:val="en-US" w:eastAsia="zh-CN"/>
                    </w:rPr>
                    <w:t>20m</w:t>
                  </w:r>
                  <w:r>
                    <w:rPr>
                      <w:rFonts w:hint="default"/>
                      <w:vertAlign w:val="superscript"/>
                      <w:lang w:val="en-US" w:eastAsia="zh-CN"/>
                    </w:rPr>
                    <w:t>3</w:t>
                  </w:r>
                </w:p>
              </w:tc>
              <w:tc>
                <w:tcPr>
                  <w:tcW w:w="1069" w:type="pct"/>
                  <w:noWrap w:val="0"/>
                  <w:vAlign w:val="center"/>
                </w:tcPr>
                <w:p>
                  <w:pPr>
                    <w:pStyle w:val="17"/>
                    <w:widowControl w:val="0"/>
                    <w:bidi w:val="0"/>
                    <w:rPr>
                      <w:rFonts w:hint="default"/>
                      <w:lang w:val="en-US" w:eastAsia="zh-CN"/>
                    </w:rPr>
                  </w:pPr>
                  <w:r>
                    <w:rPr>
                      <w:rFonts w:hint="default"/>
                      <w:lang w:val="en-US" w:eastAsia="zh-CN"/>
                    </w:rPr>
                    <w:t>/</w:t>
                  </w:r>
                </w:p>
              </w:tc>
              <w:tc>
                <w:tcPr>
                  <w:tcW w:w="600" w:type="pct"/>
                  <w:noWrap w:val="0"/>
                  <w:vAlign w:val="center"/>
                </w:tcPr>
                <w:p>
                  <w:pPr>
                    <w:pStyle w:val="17"/>
                    <w:widowControl w:val="0"/>
                    <w:bidi w:val="0"/>
                    <w:rPr>
                      <w:rFonts w:hint="default"/>
                      <w:lang w:val="en-US" w:eastAsia="zh-CN"/>
                    </w:rPr>
                  </w:pPr>
                  <w:r>
                    <w:rPr>
                      <w:rFonts w:hint="default"/>
                      <w:lang w:val="en-US" w:eastAsia="zh-CN"/>
                    </w:rPr>
                    <w:t>/</w:t>
                  </w:r>
                </w:p>
              </w:tc>
              <w:tc>
                <w:tcPr>
                  <w:tcW w:w="712" w:type="pct"/>
                  <w:noWrap w:val="0"/>
                  <w:vAlign w:val="center"/>
                </w:tcPr>
                <w:p>
                  <w:pPr>
                    <w:pStyle w:val="17"/>
                    <w:widowControl w:val="0"/>
                    <w:bidi w:val="0"/>
                    <w:rPr>
                      <w:rFonts w:hint="default"/>
                      <w:lang w:val="en-US" w:eastAsia="zh-CN"/>
                    </w:rPr>
                  </w:pPr>
                </w:p>
              </w:tc>
              <w:tc>
                <w:tcPr>
                  <w:tcW w:w="452" w:type="pct"/>
                  <w:noWrap w:val="0"/>
                  <w:vAlign w:val="center"/>
                </w:tcPr>
                <w:p>
                  <w:pPr>
                    <w:pStyle w:val="17"/>
                    <w:widowControl w:val="0"/>
                    <w:bidi w:val="0"/>
                    <w:rPr>
                      <w:rFonts w:hint="default"/>
                      <w:lang w:val="en-US" w:eastAsia="zh-CN"/>
                    </w:rPr>
                  </w:pPr>
                  <w:r>
                    <w:rPr>
                      <w:rFonts w:hint="default"/>
                      <w:lang w:val="en-US" w:eastAsia="zh-CN"/>
                    </w:rPr>
                    <w:t>个</w:t>
                  </w:r>
                </w:p>
              </w:tc>
              <w:tc>
                <w:tcPr>
                  <w:tcW w:w="452" w:type="pct"/>
                  <w:noWrap w:val="0"/>
                  <w:vAlign w:val="center"/>
                </w:tcPr>
                <w:p>
                  <w:pPr>
                    <w:pStyle w:val="17"/>
                    <w:widowControl w:val="0"/>
                    <w:bidi w:val="0"/>
                    <w:rPr>
                      <w:rFonts w:hint="default"/>
                      <w:lang w:val="en-US" w:eastAsia="zh-CN"/>
                    </w:rPr>
                  </w:pPr>
                  <w:r>
                    <w:rPr>
                      <w:rFonts w:hint="eastAsia"/>
                      <w:lang w:val="en-US" w:eastAsia="zh-CN"/>
                    </w:rPr>
                    <w:t>1</w:t>
                  </w:r>
                </w:p>
              </w:tc>
            </w:tr>
          </w:tbl>
          <w:p>
            <w:pPr>
              <w:pStyle w:val="4"/>
              <w:bidi w:val="0"/>
              <w:rPr>
                <w:rFonts w:hint="default"/>
                <w:lang w:val="en-US" w:eastAsia="zh-CN"/>
              </w:rPr>
            </w:pPr>
            <w:r>
              <w:rPr>
                <w:rFonts w:hint="eastAsia"/>
                <w:lang w:val="en-US" w:eastAsia="zh-CN"/>
              </w:rPr>
              <w:t>4、试油工程</w:t>
            </w:r>
          </w:p>
          <w:p>
            <w:pPr>
              <w:pStyle w:val="16"/>
              <w:bidi w:val="0"/>
              <w:rPr>
                <w:rFonts w:hint="default" w:eastAsia="宋体"/>
                <w:lang w:val="en-US" w:eastAsia="zh-CN"/>
              </w:rPr>
            </w:pPr>
            <w:r>
              <w:rPr>
                <w:rFonts w:hint="eastAsia"/>
                <w:lang w:val="en-US" w:eastAsia="zh-CN"/>
              </w:rPr>
              <w:t>本项目对完钻后的8口新井进行试油，试油主要包括测井、油气测试、完井等工序组成，试油期单井主要设备见下表。</w:t>
            </w:r>
          </w:p>
          <w:p>
            <w:pPr>
              <w:pStyle w:val="14"/>
              <w:bidi w:val="0"/>
              <w:rPr>
                <w:rFonts w:hint="default"/>
                <w:lang w:val="en-US" w:eastAsia="zh-CN"/>
              </w:rPr>
            </w:pPr>
            <w:r>
              <w:rPr>
                <w:rFonts w:hint="eastAsia"/>
                <w:lang w:val="en-US" w:eastAsia="zh-CN"/>
              </w:rPr>
              <w:t>表2-10   试油期主要设备</w:t>
            </w:r>
          </w:p>
          <w:tbl>
            <w:tblPr>
              <w:tblStyle w:val="1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
              <w:gridCol w:w="1478"/>
              <w:gridCol w:w="2072"/>
              <w:gridCol w:w="1037"/>
              <w:gridCol w:w="1350"/>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noWrap w:val="0"/>
                  <w:vAlign w:val="center"/>
                </w:tcPr>
                <w:p>
                  <w:pPr>
                    <w:pStyle w:val="17"/>
                    <w:widowControl w:val="0"/>
                    <w:bidi w:val="0"/>
                    <w:rPr>
                      <w:rFonts w:hint="default"/>
                      <w:lang w:val="en-US" w:eastAsia="zh-CN"/>
                    </w:rPr>
                  </w:pPr>
                  <w:r>
                    <w:rPr>
                      <w:rFonts w:hint="default"/>
                    </w:rPr>
                    <w:t>序号</w:t>
                  </w:r>
                </w:p>
              </w:tc>
              <w:tc>
                <w:tcPr>
                  <w:tcW w:w="885" w:type="pct"/>
                  <w:noWrap w:val="0"/>
                  <w:vAlign w:val="center"/>
                </w:tcPr>
                <w:p>
                  <w:pPr>
                    <w:pStyle w:val="17"/>
                    <w:widowControl w:val="0"/>
                    <w:bidi w:val="0"/>
                    <w:rPr>
                      <w:rFonts w:hint="default"/>
                      <w:lang w:val="en-US" w:eastAsia="zh-CN"/>
                    </w:rPr>
                  </w:pPr>
                  <w:r>
                    <w:rPr>
                      <w:rFonts w:hint="default"/>
                    </w:rPr>
                    <w:t>设备名称</w:t>
                  </w:r>
                </w:p>
              </w:tc>
              <w:tc>
                <w:tcPr>
                  <w:tcW w:w="1240" w:type="pct"/>
                  <w:noWrap w:val="0"/>
                  <w:vAlign w:val="center"/>
                </w:tcPr>
                <w:p>
                  <w:pPr>
                    <w:pStyle w:val="17"/>
                    <w:widowControl w:val="0"/>
                    <w:bidi w:val="0"/>
                    <w:rPr>
                      <w:rFonts w:hint="default"/>
                      <w:lang w:val="en-US" w:eastAsia="zh-CN"/>
                    </w:rPr>
                  </w:pPr>
                  <w:r>
                    <w:rPr>
                      <w:rFonts w:hint="default"/>
                    </w:rPr>
                    <w:t>型号及规格</w:t>
                  </w:r>
                </w:p>
              </w:tc>
              <w:tc>
                <w:tcPr>
                  <w:tcW w:w="621" w:type="pct"/>
                  <w:noWrap w:val="0"/>
                  <w:vAlign w:val="center"/>
                </w:tcPr>
                <w:p>
                  <w:pPr>
                    <w:pStyle w:val="17"/>
                    <w:widowControl w:val="0"/>
                    <w:bidi w:val="0"/>
                    <w:rPr>
                      <w:rFonts w:hint="default"/>
                      <w:lang w:val="en-US" w:eastAsia="zh-CN"/>
                    </w:rPr>
                  </w:pPr>
                  <w:r>
                    <w:rPr>
                      <w:rFonts w:hint="default"/>
                    </w:rPr>
                    <w:t>单位</w:t>
                  </w:r>
                </w:p>
              </w:tc>
              <w:tc>
                <w:tcPr>
                  <w:tcW w:w="808" w:type="pct"/>
                  <w:noWrap w:val="0"/>
                  <w:vAlign w:val="center"/>
                </w:tcPr>
                <w:p>
                  <w:pPr>
                    <w:pStyle w:val="17"/>
                    <w:widowControl w:val="0"/>
                    <w:bidi w:val="0"/>
                    <w:rPr>
                      <w:rFonts w:hint="eastAsia"/>
                      <w:lang w:val="en-US" w:eastAsia="zh-CN"/>
                    </w:rPr>
                  </w:pPr>
                  <w:r>
                    <w:rPr>
                      <w:rFonts w:hint="eastAsia"/>
                      <w:lang w:val="en-US" w:eastAsia="zh-CN"/>
                    </w:rPr>
                    <w:t>数量</w:t>
                  </w:r>
                </w:p>
              </w:tc>
              <w:tc>
                <w:tcPr>
                  <w:tcW w:w="1068" w:type="pct"/>
                  <w:noWrap w:val="0"/>
                  <w:vAlign w:val="center"/>
                </w:tcPr>
                <w:p>
                  <w:pPr>
                    <w:pStyle w:val="17"/>
                    <w:widowControl w:val="0"/>
                    <w:bidi w:val="0"/>
                    <w:rPr>
                      <w:rFonts w:hint="default"/>
                      <w:lang w:val="en-US" w:eastAsia="zh-CN"/>
                    </w:rPr>
                  </w:pPr>
                  <w:r>
                    <w:rPr>
                      <w:rFonts w:hint="default"/>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noWrap w:val="0"/>
                  <w:vAlign w:val="center"/>
                </w:tcPr>
                <w:p>
                  <w:pPr>
                    <w:pStyle w:val="17"/>
                    <w:widowControl w:val="0"/>
                    <w:bidi w:val="0"/>
                    <w:rPr>
                      <w:rFonts w:hint="default"/>
                      <w:lang w:val="en-US" w:eastAsia="zh-CN"/>
                    </w:rPr>
                  </w:pPr>
                  <w:r>
                    <w:rPr>
                      <w:rFonts w:hint="default"/>
                    </w:rPr>
                    <w:t>1</w:t>
                  </w:r>
                </w:p>
              </w:tc>
              <w:tc>
                <w:tcPr>
                  <w:tcW w:w="885" w:type="pct"/>
                  <w:noWrap w:val="0"/>
                  <w:vAlign w:val="center"/>
                </w:tcPr>
                <w:p>
                  <w:pPr>
                    <w:pStyle w:val="17"/>
                    <w:widowControl w:val="0"/>
                    <w:bidi w:val="0"/>
                    <w:rPr>
                      <w:rFonts w:hint="default"/>
                      <w:lang w:val="en-US" w:eastAsia="zh-CN"/>
                    </w:rPr>
                  </w:pPr>
                  <w:r>
                    <w:rPr>
                      <w:rFonts w:hint="default"/>
                    </w:rPr>
                    <w:t>试油作业机</w:t>
                  </w:r>
                </w:p>
              </w:tc>
              <w:tc>
                <w:tcPr>
                  <w:tcW w:w="1240" w:type="pct"/>
                  <w:noWrap w:val="0"/>
                  <w:vAlign w:val="center"/>
                </w:tcPr>
                <w:p>
                  <w:pPr>
                    <w:pStyle w:val="17"/>
                    <w:widowControl w:val="0"/>
                    <w:bidi w:val="0"/>
                    <w:rPr>
                      <w:rFonts w:hint="default"/>
                      <w:lang w:val="en-US" w:eastAsia="zh-CN"/>
                    </w:rPr>
                  </w:pPr>
                  <w:r>
                    <w:rPr>
                      <w:rFonts w:hint="default"/>
                    </w:rPr>
                    <w:t>110t</w:t>
                  </w:r>
                </w:p>
              </w:tc>
              <w:tc>
                <w:tcPr>
                  <w:tcW w:w="621" w:type="pct"/>
                  <w:noWrap w:val="0"/>
                  <w:vAlign w:val="center"/>
                </w:tcPr>
                <w:p>
                  <w:pPr>
                    <w:pStyle w:val="17"/>
                    <w:widowControl w:val="0"/>
                    <w:bidi w:val="0"/>
                    <w:rPr>
                      <w:rFonts w:hint="default"/>
                      <w:lang w:val="en-US" w:eastAsia="zh-CN"/>
                    </w:rPr>
                  </w:pPr>
                  <w:r>
                    <w:rPr>
                      <w:rFonts w:hint="default"/>
                    </w:rPr>
                    <w:t>部</w:t>
                  </w:r>
                </w:p>
              </w:tc>
              <w:tc>
                <w:tcPr>
                  <w:tcW w:w="808" w:type="pct"/>
                  <w:noWrap w:val="0"/>
                  <w:vAlign w:val="center"/>
                </w:tcPr>
                <w:p>
                  <w:pPr>
                    <w:pStyle w:val="17"/>
                    <w:widowControl w:val="0"/>
                    <w:bidi w:val="0"/>
                    <w:rPr>
                      <w:rFonts w:hint="default"/>
                      <w:lang w:val="en-US" w:eastAsia="zh-CN"/>
                    </w:rPr>
                  </w:pPr>
                  <w:r>
                    <w:rPr>
                      <w:rFonts w:hint="eastAsia"/>
                      <w:lang w:val="en-US" w:eastAsia="zh-CN"/>
                    </w:rPr>
                    <w:t>1</w:t>
                  </w:r>
                </w:p>
              </w:tc>
              <w:tc>
                <w:tcPr>
                  <w:tcW w:w="1068" w:type="pct"/>
                  <w:noWrap w:val="0"/>
                  <w:vAlign w:val="center"/>
                </w:tcPr>
                <w:p>
                  <w:pPr>
                    <w:pStyle w:val="17"/>
                    <w:widowControl w:val="0"/>
                    <w:bidi w:val="0"/>
                    <w:rPr>
                      <w:rFonts w:hint="default"/>
                      <w:lang w:val="en-US" w:eastAsia="zh-CN"/>
                    </w:rPr>
                  </w:pPr>
                  <w:r>
                    <w:rPr>
                      <w:rFonts w:hint="default"/>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noWrap w:val="0"/>
                  <w:vAlign w:val="center"/>
                </w:tcPr>
                <w:p>
                  <w:pPr>
                    <w:pStyle w:val="17"/>
                    <w:widowControl w:val="0"/>
                    <w:bidi w:val="0"/>
                    <w:rPr>
                      <w:rFonts w:hint="default"/>
                      <w:lang w:val="en-US" w:eastAsia="zh-CN"/>
                    </w:rPr>
                  </w:pPr>
                  <w:r>
                    <w:rPr>
                      <w:rFonts w:hint="default"/>
                    </w:rPr>
                    <w:t>2</w:t>
                  </w:r>
                </w:p>
              </w:tc>
              <w:tc>
                <w:tcPr>
                  <w:tcW w:w="885" w:type="pct"/>
                  <w:noWrap w:val="0"/>
                  <w:vAlign w:val="center"/>
                </w:tcPr>
                <w:p>
                  <w:pPr>
                    <w:pStyle w:val="17"/>
                    <w:widowControl w:val="0"/>
                    <w:bidi w:val="0"/>
                    <w:rPr>
                      <w:rFonts w:hint="default"/>
                      <w:lang w:val="en-US" w:eastAsia="zh-CN"/>
                    </w:rPr>
                  </w:pPr>
                  <w:r>
                    <w:rPr>
                      <w:rFonts w:hint="default"/>
                    </w:rPr>
                    <w:t>试油井架</w:t>
                  </w:r>
                </w:p>
              </w:tc>
              <w:tc>
                <w:tcPr>
                  <w:tcW w:w="1240" w:type="pct"/>
                  <w:noWrap w:val="0"/>
                  <w:vAlign w:val="center"/>
                </w:tcPr>
                <w:p>
                  <w:pPr>
                    <w:pStyle w:val="17"/>
                    <w:widowControl w:val="0"/>
                    <w:bidi w:val="0"/>
                    <w:rPr>
                      <w:rFonts w:hint="default"/>
                      <w:lang w:val="en-US" w:eastAsia="zh-CN"/>
                    </w:rPr>
                  </w:pPr>
                  <w:r>
                    <w:rPr>
                      <w:rFonts w:hint="default"/>
                      <w:lang w:eastAsia="zh-CN"/>
                    </w:rPr>
                    <w:t>/</w:t>
                  </w:r>
                </w:p>
              </w:tc>
              <w:tc>
                <w:tcPr>
                  <w:tcW w:w="621" w:type="pct"/>
                  <w:noWrap w:val="0"/>
                  <w:vAlign w:val="center"/>
                </w:tcPr>
                <w:p>
                  <w:pPr>
                    <w:pStyle w:val="17"/>
                    <w:widowControl w:val="0"/>
                    <w:bidi w:val="0"/>
                    <w:rPr>
                      <w:rFonts w:hint="default"/>
                      <w:lang w:val="en-US" w:eastAsia="zh-CN"/>
                    </w:rPr>
                  </w:pPr>
                  <w:r>
                    <w:rPr>
                      <w:rFonts w:hint="default"/>
                    </w:rPr>
                    <w:t>部</w:t>
                  </w:r>
                </w:p>
              </w:tc>
              <w:tc>
                <w:tcPr>
                  <w:tcW w:w="808" w:type="pct"/>
                  <w:noWrap w:val="0"/>
                  <w:vAlign w:val="center"/>
                </w:tcPr>
                <w:p>
                  <w:pPr>
                    <w:pStyle w:val="17"/>
                    <w:widowControl w:val="0"/>
                    <w:bidi w:val="0"/>
                    <w:rPr>
                      <w:rFonts w:hint="default"/>
                      <w:lang w:val="en-US" w:eastAsia="zh-CN"/>
                    </w:rPr>
                  </w:pPr>
                  <w:r>
                    <w:rPr>
                      <w:rFonts w:hint="eastAsia"/>
                      <w:lang w:val="en-US" w:eastAsia="zh-CN"/>
                    </w:rPr>
                    <w:t>1</w:t>
                  </w:r>
                </w:p>
              </w:tc>
              <w:tc>
                <w:tcPr>
                  <w:tcW w:w="1068" w:type="pct"/>
                  <w:noWrap w:val="0"/>
                  <w:vAlign w:val="center"/>
                </w:tcPr>
                <w:p>
                  <w:pPr>
                    <w:pStyle w:val="17"/>
                    <w:widowControl w:val="0"/>
                    <w:bidi w:val="0"/>
                    <w:rPr>
                      <w:rFonts w:hint="default"/>
                      <w:lang w:val="en-US" w:eastAsia="zh-CN"/>
                    </w:rPr>
                  </w:pPr>
                  <w:r>
                    <w:rPr>
                      <w:rFonts w:hint="default"/>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noWrap w:val="0"/>
                  <w:vAlign w:val="center"/>
                </w:tcPr>
                <w:p>
                  <w:pPr>
                    <w:pStyle w:val="17"/>
                    <w:widowControl w:val="0"/>
                    <w:bidi w:val="0"/>
                    <w:rPr>
                      <w:rFonts w:hint="default"/>
                      <w:lang w:val="en-US" w:eastAsia="zh-CN"/>
                    </w:rPr>
                  </w:pPr>
                  <w:r>
                    <w:rPr>
                      <w:rFonts w:hint="default"/>
                    </w:rPr>
                    <w:t>3</w:t>
                  </w:r>
                </w:p>
              </w:tc>
              <w:tc>
                <w:tcPr>
                  <w:tcW w:w="885" w:type="pct"/>
                  <w:noWrap w:val="0"/>
                  <w:vAlign w:val="center"/>
                </w:tcPr>
                <w:p>
                  <w:pPr>
                    <w:pStyle w:val="17"/>
                    <w:widowControl w:val="0"/>
                    <w:bidi w:val="0"/>
                    <w:rPr>
                      <w:rFonts w:hint="default"/>
                      <w:lang w:val="en-US" w:eastAsia="zh-CN"/>
                    </w:rPr>
                  </w:pPr>
                  <w:r>
                    <w:rPr>
                      <w:rFonts w:hint="default"/>
                    </w:rPr>
                    <w:t>液压钳</w:t>
                  </w:r>
                </w:p>
              </w:tc>
              <w:tc>
                <w:tcPr>
                  <w:tcW w:w="1240" w:type="pct"/>
                  <w:noWrap w:val="0"/>
                  <w:vAlign w:val="center"/>
                </w:tcPr>
                <w:p>
                  <w:pPr>
                    <w:pStyle w:val="17"/>
                    <w:widowControl w:val="0"/>
                    <w:bidi w:val="0"/>
                    <w:rPr>
                      <w:rFonts w:hint="default"/>
                      <w:lang w:val="en-US" w:eastAsia="zh-CN"/>
                    </w:rPr>
                  </w:pPr>
                  <w:r>
                    <w:rPr>
                      <w:rFonts w:hint="default"/>
                    </w:rPr>
                    <w:t>600型或300型</w:t>
                  </w:r>
                </w:p>
              </w:tc>
              <w:tc>
                <w:tcPr>
                  <w:tcW w:w="621" w:type="pct"/>
                  <w:noWrap w:val="0"/>
                  <w:vAlign w:val="center"/>
                </w:tcPr>
                <w:p>
                  <w:pPr>
                    <w:pStyle w:val="17"/>
                    <w:widowControl w:val="0"/>
                    <w:bidi w:val="0"/>
                    <w:rPr>
                      <w:rFonts w:hint="default"/>
                      <w:lang w:val="en-US" w:eastAsia="zh-CN"/>
                    </w:rPr>
                  </w:pPr>
                  <w:r>
                    <w:rPr>
                      <w:rFonts w:hint="default"/>
                    </w:rPr>
                    <w:t>台</w:t>
                  </w:r>
                </w:p>
              </w:tc>
              <w:tc>
                <w:tcPr>
                  <w:tcW w:w="808" w:type="pct"/>
                  <w:noWrap w:val="0"/>
                  <w:vAlign w:val="center"/>
                </w:tcPr>
                <w:p>
                  <w:pPr>
                    <w:pStyle w:val="17"/>
                    <w:widowControl w:val="0"/>
                    <w:bidi w:val="0"/>
                    <w:rPr>
                      <w:rFonts w:hint="eastAsia"/>
                      <w:lang w:val="en-US" w:eastAsia="zh-CN"/>
                    </w:rPr>
                  </w:pPr>
                  <w:r>
                    <w:rPr>
                      <w:rFonts w:hint="eastAsia"/>
                      <w:lang w:val="en-US" w:eastAsia="zh-CN"/>
                    </w:rPr>
                    <w:t>1</w:t>
                  </w:r>
                </w:p>
              </w:tc>
              <w:tc>
                <w:tcPr>
                  <w:tcW w:w="1068" w:type="pct"/>
                  <w:noWrap w:val="0"/>
                  <w:vAlign w:val="center"/>
                </w:tcPr>
                <w:p>
                  <w:pPr>
                    <w:pStyle w:val="17"/>
                    <w:widowControl w:val="0"/>
                    <w:bidi w:val="0"/>
                    <w:rPr>
                      <w:rFonts w:hint="default"/>
                      <w:lang w:val="en-US" w:eastAsia="zh-CN"/>
                    </w:rPr>
                  </w:pPr>
                  <w:r>
                    <w:rPr>
                      <w:rFonts w:hint="default"/>
                    </w:rPr>
                    <w:t>足够长的配套管线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noWrap w:val="0"/>
                  <w:vAlign w:val="center"/>
                </w:tcPr>
                <w:p>
                  <w:pPr>
                    <w:pStyle w:val="17"/>
                    <w:widowControl w:val="0"/>
                    <w:bidi w:val="0"/>
                    <w:rPr>
                      <w:rFonts w:hint="default"/>
                      <w:lang w:val="en-US" w:eastAsia="zh-CN"/>
                    </w:rPr>
                  </w:pPr>
                  <w:r>
                    <w:rPr>
                      <w:rFonts w:hint="default"/>
                    </w:rPr>
                    <w:t>4</w:t>
                  </w:r>
                </w:p>
              </w:tc>
              <w:tc>
                <w:tcPr>
                  <w:tcW w:w="885" w:type="pct"/>
                  <w:noWrap w:val="0"/>
                  <w:vAlign w:val="center"/>
                </w:tcPr>
                <w:p>
                  <w:pPr>
                    <w:pStyle w:val="17"/>
                    <w:widowControl w:val="0"/>
                    <w:bidi w:val="0"/>
                    <w:rPr>
                      <w:rFonts w:hint="default"/>
                      <w:lang w:val="en-US" w:eastAsia="zh-CN"/>
                    </w:rPr>
                  </w:pPr>
                  <w:r>
                    <w:rPr>
                      <w:rFonts w:hint="default"/>
                    </w:rPr>
                    <w:t>方罐</w:t>
                  </w:r>
                </w:p>
              </w:tc>
              <w:tc>
                <w:tcPr>
                  <w:tcW w:w="1240" w:type="pct"/>
                  <w:noWrap w:val="0"/>
                  <w:vAlign w:val="center"/>
                </w:tcPr>
                <w:p>
                  <w:pPr>
                    <w:pStyle w:val="17"/>
                    <w:widowControl w:val="0"/>
                    <w:bidi w:val="0"/>
                    <w:rPr>
                      <w:rFonts w:hint="default"/>
                      <w:lang w:val="en-US" w:eastAsia="zh-CN"/>
                    </w:rPr>
                  </w:pPr>
                  <w:r>
                    <w:rPr>
                      <w:rFonts w:hint="default"/>
                    </w:rPr>
                    <w:t>21m</w:t>
                  </w:r>
                  <w:r>
                    <w:rPr>
                      <w:rFonts w:hint="default"/>
                      <w:vertAlign w:val="superscript"/>
                      <w:lang w:val="en-US" w:eastAsia="zh-CN"/>
                    </w:rPr>
                    <w:t>3</w:t>
                  </w:r>
                </w:p>
              </w:tc>
              <w:tc>
                <w:tcPr>
                  <w:tcW w:w="621" w:type="pct"/>
                  <w:noWrap w:val="0"/>
                  <w:vAlign w:val="center"/>
                </w:tcPr>
                <w:p>
                  <w:pPr>
                    <w:pStyle w:val="17"/>
                    <w:widowControl w:val="0"/>
                    <w:bidi w:val="0"/>
                    <w:rPr>
                      <w:rFonts w:hint="default"/>
                      <w:lang w:val="en-US" w:eastAsia="zh-CN"/>
                    </w:rPr>
                  </w:pPr>
                  <w:r>
                    <w:rPr>
                      <w:rFonts w:hint="default"/>
                    </w:rPr>
                    <w:t>个</w:t>
                  </w:r>
                </w:p>
              </w:tc>
              <w:tc>
                <w:tcPr>
                  <w:tcW w:w="808" w:type="pct"/>
                  <w:noWrap w:val="0"/>
                  <w:vAlign w:val="center"/>
                </w:tcPr>
                <w:p>
                  <w:pPr>
                    <w:pStyle w:val="17"/>
                    <w:widowControl w:val="0"/>
                    <w:bidi w:val="0"/>
                    <w:rPr>
                      <w:rFonts w:hint="default"/>
                      <w:lang w:val="en-US" w:eastAsia="zh-CN"/>
                    </w:rPr>
                  </w:pPr>
                  <w:r>
                    <w:rPr>
                      <w:rFonts w:hint="eastAsia"/>
                      <w:lang w:val="en-US" w:eastAsia="zh-CN"/>
                    </w:rPr>
                    <w:t>4</w:t>
                  </w:r>
                </w:p>
              </w:tc>
              <w:tc>
                <w:tcPr>
                  <w:tcW w:w="1068" w:type="pct"/>
                  <w:noWrap w:val="0"/>
                  <w:vAlign w:val="center"/>
                </w:tcPr>
                <w:p>
                  <w:pPr>
                    <w:pStyle w:val="17"/>
                    <w:widowControl w:val="0"/>
                    <w:bidi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noWrap w:val="0"/>
                  <w:vAlign w:val="center"/>
                </w:tcPr>
                <w:p>
                  <w:pPr>
                    <w:pStyle w:val="17"/>
                    <w:widowControl w:val="0"/>
                    <w:bidi w:val="0"/>
                    <w:rPr>
                      <w:rFonts w:hint="default"/>
                      <w:lang w:val="en-US" w:eastAsia="zh-CN"/>
                    </w:rPr>
                  </w:pPr>
                  <w:r>
                    <w:rPr>
                      <w:rFonts w:hint="default"/>
                    </w:rPr>
                    <w:t>5</w:t>
                  </w:r>
                </w:p>
              </w:tc>
              <w:tc>
                <w:tcPr>
                  <w:tcW w:w="885" w:type="pct"/>
                  <w:noWrap w:val="0"/>
                  <w:vAlign w:val="center"/>
                </w:tcPr>
                <w:p>
                  <w:pPr>
                    <w:pStyle w:val="17"/>
                    <w:widowControl w:val="0"/>
                    <w:bidi w:val="0"/>
                    <w:rPr>
                      <w:rFonts w:hint="default"/>
                      <w:lang w:val="en-US" w:eastAsia="zh-CN"/>
                    </w:rPr>
                  </w:pPr>
                  <w:r>
                    <w:rPr>
                      <w:rFonts w:hint="default"/>
                    </w:rPr>
                    <w:t>吊卡</w:t>
                  </w:r>
                </w:p>
              </w:tc>
              <w:tc>
                <w:tcPr>
                  <w:tcW w:w="1240" w:type="pct"/>
                  <w:noWrap w:val="0"/>
                  <w:vAlign w:val="center"/>
                </w:tcPr>
                <w:p>
                  <w:pPr>
                    <w:pStyle w:val="17"/>
                    <w:widowControl w:val="0"/>
                    <w:bidi w:val="0"/>
                    <w:rPr>
                      <w:rFonts w:hint="default"/>
                      <w:lang w:val="en-US" w:eastAsia="zh-CN"/>
                    </w:rPr>
                  </w:pPr>
                  <w:r>
                    <w:rPr>
                      <w:rFonts w:hint="default"/>
                    </w:rPr>
                    <w:t>Φ73.0mm/Φ88.9mm</w:t>
                  </w:r>
                </w:p>
              </w:tc>
              <w:tc>
                <w:tcPr>
                  <w:tcW w:w="621" w:type="pct"/>
                  <w:noWrap w:val="0"/>
                  <w:vAlign w:val="center"/>
                </w:tcPr>
                <w:p>
                  <w:pPr>
                    <w:pStyle w:val="17"/>
                    <w:widowControl w:val="0"/>
                    <w:bidi w:val="0"/>
                    <w:rPr>
                      <w:rFonts w:hint="default"/>
                      <w:lang w:val="en-US" w:eastAsia="zh-CN"/>
                    </w:rPr>
                  </w:pPr>
                  <w:r>
                    <w:rPr>
                      <w:rFonts w:hint="default"/>
                    </w:rPr>
                    <w:t>只</w:t>
                  </w:r>
                </w:p>
              </w:tc>
              <w:tc>
                <w:tcPr>
                  <w:tcW w:w="808" w:type="pct"/>
                  <w:noWrap w:val="0"/>
                  <w:vAlign w:val="center"/>
                </w:tcPr>
                <w:p>
                  <w:pPr>
                    <w:pStyle w:val="17"/>
                    <w:widowControl w:val="0"/>
                    <w:bidi w:val="0"/>
                    <w:rPr>
                      <w:rFonts w:hint="default"/>
                      <w:lang w:val="en-US" w:eastAsia="zh-CN"/>
                    </w:rPr>
                  </w:pPr>
                  <w:r>
                    <w:rPr>
                      <w:rFonts w:hint="eastAsia"/>
                      <w:lang w:val="en-US" w:eastAsia="zh-CN"/>
                    </w:rPr>
                    <w:t>2/2</w:t>
                  </w:r>
                </w:p>
              </w:tc>
              <w:tc>
                <w:tcPr>
                  <w:tcW w:w="1068" w:type="pct"/>
                  <w:noWrap w:val="0"/>
                  <w:vAlign w:val="center"/>
                </w:tcPr>
                <w:p>
                  <w:pPr>
                    <w:pStyle w:val="17"/>
                    <w:widowControl w:val="0"/>
                    <w:bidi w:val="0"/>
                    <w:rPr>
                      <w:rFonts w:hint="default"/>
                      <w:lang w:val="en-US" w:eastAsia="zh-CN"/>
                    </w:rPr>
                  </w:pPr>
                  <w:r>
                    <w:rPr>
                      <w:rFonts w:hint="default"/>
                    </w:rPr>
                    <w:t>50t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noWrap w:val="0"/>
                  <w:vAlign w:val="center"/>
                </w:tcPr>
                <w:p>
                  <w:pPr>
                    <w:pStyle w:val="17"/>
                    <w:widowControl w:val="0"/>
                    <w:bidi w:val="0"/>
                    <w:rPr>
                      <w:rFonts w:hint="default"/>
                      <w:lang w:val="en-US" w:eastAsia="zh-CN"/>
                    </w:rPr>
                  </w:pPr>
                  <w:r>
                    <w:rPr>
                      <w:rFonts w:hint="default"/>
                    </w:rPr>
                    <w:t>6</w:t>
                  </w:r>
                </w:p>
              </w:tc>
              <w:tc>
                <w:tcPr>
                  <w:tcW w:w="885" w:type="pct"/>
                  <w:noWrap w:val="0"/>
                  <w:vAlign w:val="center"/>
                </w:tcPr>
                <w:p>
                  <w:pPr>
                    <w:pStyle w:val="17"/>
                    <w:widowControl w:val="0"/>
                    <w:bidi w:val="0"/>
                    <w:rPr>
                      <w:rFonts w:hint="default"/>
                      <w:lang w:val="en-US" w:eastAsia="zh-CN"/>
                    </w:rPr>
                  </w:pPr>
                  <w:r>
                    <w:rPr>
                      <w:rFonts w:hint="default"/>
                    </w:rPr>
                    <w:t>吊环</w:t>
                  </w:r>
                </w:p>
              </w:tc>
              <w:tc>
                <w:tcPr>
                  <w:tcW w:w="1240" w:type="pct"/>
                  <w:noWrap w:val="0"/>
                  <w:vAlign w:val="center"/>
                </w:tcPr>
                <w:p>
                  <w:pPr>
                    <w:pStyle w:val="17"/>
                    <w:widowControl w:val="0"/>
                    <w:bidi w:val="0"/>
                    <w:rPr>
                      <w:rFonts w:hint="default"/>
                      <w:lang w:val="en-US" w:eastAsia="zh-CN"/>
                    </w:rPr>
                  </w:pPr>
                  <w:r>
                    <w:rPr>
                      <w:rFonts w:hint="default"/>
                    </w:rPr>
                    <w:t>SH-80</w:t>
                  </w:r>
                </w:p>
              </w:tc>
              <w:tc>
                <w:tcPr>
                  <w:tcW w:w="621" w:type="pct"/>
                  <w:noWrap w:val="0"/>
                  <w:vAlign w:val="center"/>
                </w:tcPr>
                <w:p>
                  <w:pPr>
                    <w:pStyle w:val="17"/>
                    <w:widowControl w:val="0"/>
                    <w:bidi w:val="0"/>
                    <w:rPr>
                      <w:rFonts w:hint="default"/>
                      <w:lang w:val="en-US" w:eastAsia="zh-CN"/>
                    </w:rPr>
                  </w:pPr>
                  <w:r>
                    <w:rPr>
                      <w:rFonts w:hint="default"/>
                    </w:rPr>
                    <w:t>副</w:t>
                  </w:r>
                </w:p>
              </w:tc>
              <w:tc>
                <w:tcPr>
                  <w:tcW w:w="808" w:type="pct"/>
                  <w:noWrap w:val="0"/>
                  <w:vAlign w:val="center"/>
                </w:tcPr>
                <w:p>
                  <w:pPr>
                    <w:pStyle w:val="17"/>
                    <w:widowControl w:val="0"/>
                    <w:bidi w:val="0"/>
                    <w:rPr>
                      <w:rFonts w:hint="default"/>
                      <w:lang w:val="en-US" w:eastAsia="zh-CN"/>
                    </w:rPr>
                  </w:pPr>
                  <w:r>
                    <w:rPr>
                      <w:rFonts w:hint="eastAsia"/>
                      <w:lang w:val="en-US" w:eastAsia="zh-CN"/>
                    </w:rPr>
                    <w:t>1</w:t>
                  </w:r>
                </w:p>
              </w:tc>
              <w:tc>
                <w:tcPr>
                  <w:tcW w:w="1068" w:type="pct"/>
                  <w:noWrap w:val="0"/>
                  <w:vAlign w:val="center"/>
                </w:tcPr>
                <w:p>
                  <w:pPr>
                    <w:pStyle w:val="17"/>
                    <w:widowControl w:val="0"/>
                    <w:bidi w:val="0"/>
                    <w:rPr>
                      <w:rFonts w:hint="default"/>
                      <w:lang w:val="en-US" w:eastAsia="zh-CN"/>
                    </w:rPr>
                  </w:pPr>
                  <w:r>
                    <w:rPr>
                      <w:rFonts w:hint="default"/>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noWrap w:val="0"/>
                  <w:vAlign w:val="center"/>
                </w:tcPr>
                <w:p>
                  <w:pPr>
                    <w:pStyle w:val="17"/>
                    <w:widowControl w:val="0"/>
                    <w:bidi w:val="0"/>
                    <w:rPr>
                      <w:rFonts w:hint="default"/>
                      <w:lang w:val="en-US" w:eastAsia="zh-CN"/>
                    </w:rPr>
                  </w:pPr>
                  <w:r>
                    <w:rPr>
                      <w:rFonts w:hint="default"/>
                    </w:rPr>
                    <w:t>7</w:t>
                  </w:r>
                </w:p>
              </w:tc>
              <w:tc>
                <w:tcPr>
                  <w:tcW w:w="885" w:type="pct"/>
                  <w:noWrap w:val="0"/>
                  <w:vAlign w:val="center"/>
                </w:tcPr>
                <w:p>
                  <w:pPr>
                    <w:pStyle w:val="17"/>
                    <w:widowControl w:val="0"/>
                    <w:bidi w:val="0"/>
                    <w:rPr>
                      <w:rFonts w:hint="default"/>
                      <w:lang w:val="en-US" w:eastAsia="zh-CN"/>
                    </w:rPr>
                  </w:pPr>
                  <w:r>
                    <w:rPr>
                      <w:rFonts w:hint="default"/>
                    </w:rPr>
                    <w:t>通管规</w:t>
                  </w:r>
                </w:p>
              </w:tc>
              <w:tc>
                <w:tcPr>
                  <w:tcW w:w="1240" w:type="pct"/>
                  <w:noWrap w:val="0"/>
                  <w:vAlign w:val="center"/>
                </w:tcPr>
                <w:p>
                  <w:pPr>
                    <w:pStyle w:val="17"/>
                    <w:widowControl w:val="0"/>
                    <w:bidi w:val="0"/>
                    <w:rPr>
                      <w:rFonts w:hint="default"/>
                      <w:lang w:val="en-US" w:eastAsia="zh-CN"/>
                    </w:rPr>
                  </w:pPr>
                  <w:r>
                    <w:rPr>
                      <w:rFonts w:hint="default"/>
                    </w:rPr>
                    <w:t>Φ730mm/580mm</w:t>
                  </w:r>
                </w:p>
              </w:tc>
              <w:tc>
                <w:tcPr>
                  <w:tcW w:w="621" w:type="pct"/>
                  <w:noWrap w:val="0"/>
                  <w:vAlign w:val="center"/>
                </w:tcPr>
                <w:p>
                  <w:pPr>
                    <w:pStyle w:val="17"/>
                    <w:widowControl w:val="0"/>
                    <w:bidi w:val="0"/>
                    <w:rPr>
                      <w:rFonts w:hint="default"/>
                      <w:lang w:val="en-US" w:eastAsia="zh-CN"/>
                    </w:rPr>
                  </w:pPr>
                  <w:r>
                    <w:rPr>
                      <w:rFonts w:hint="default"/>
                    </w:rPr>
                    <w:t>个</w:t>
                  </w:r>
                </w:p>
              </w:tc>
              <w:tc>
                <w:tcPr>
                  <w:tcW w:w="808" w:type="pct"/>
                  <w:noWrap w:val="0"/>
                  <w:vAlign w:val="center"/>
                </w:tcPr>
                <w:p>
                  <w:pPr>
                    <w:pStyle w:val="17"/>
                    <w:widowControl w:val="0"/>
                    <w:bidi w:val="0"/>
                    <w:rPr>
                      <w:rFonts w:hint="default"/>
                      <w:lang w:val="en-US" w:eastAsia="zh-CN"/>
                    </w:rPr>
                  </w:pPr>
                  <w:r>
                    <w:rPr>
                      <w:rFonts w:hint="eastAsia"/>
                      <w:lang w:val="en-US" w:eastAsia="zh-CN"/>
                    </w:rPr>
                    <w:t>各2</w:t>
                  </w:r>
                </w:p>
              </w:tc>
              <w:tc>
                <w:tcPr>
                  <w:tcW w:w="1068" w:type="pct"/>
                  <w:noWrap w:val="0"/>
                  <w:vAlign w:val="center"/>
                </w:tcPr>
                <w:p>
                  <w:pPr>
                    <w:pStyle w:val="17"/>
                    <w:widowControl w:val="0"/>
                    <w:bidi w:val="0"/>
                    <w:rPr>
                      <w:rFonts w:hint="default"/>
                      <w:lang w:val="en-US" w:eastAsia="zh-CN"/>
                    </w:rPr>
                  </w:pPr>
                  <w:r>
                    <w:rPr>
                      <w:rFonts w:hint="default"/>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noWrap w:val="0"/>
                  <w:vAlign w:val="center"/>
                </w:tcPr>
                <w:p>
                  <w:pPr>
                    <w:pStyle w:val="17"/>
                    <w:widowControl w:val="0"/>
                    <w:bidi w:val="0"/>
                    <w:rPr>
                      <w:rFonts w:hint="default"/>
                      <w:lang w:val="en-US" w:eastAsia="zh-CN"/>
                    </w:rPr>
                  </w:pPr>
                  <w:r>
                    <w:rPr>
                      <w:rFonts w:hint="default"/>
                    </w:rPr>
                    <w:t>8</w:t>
                  </w:r>
                </w:p>
              </w:tc>
              <w:tc>
                <w:tcPr>
                  <w:tcW w:w="885" w:type="pct"/>
                  <w:noWrap w:val="0"/>
                  <w:vAlign w:val="center"/>
                </w:tcPr>
                <w:p>
                  <w:pPr>
                    <w:pStyle w:val="17"/>
                    <w:widowControl w:val="0"/>
                    <w:bidi w:val="0"/>
                    <w:rPr>
                      <w:rFonts w:hint="default"/>
                      <w:lang w:val="en-US" w:eastAsia="zh-CN"/>
                    </w:rPr>
                  </w:pPr>
                  <w:r>
                    <w:rPr>
                      <w:rFonts w:hint="default"/>
                    </w:rPr>
                    <w:t>提升短节</w:t>
                  </w:r>
                </w:p>
              </w:tc>
              <w:tc>
                <w:tcPr>
                  <w:tcW w:w="1240" w:type="pct"/>
                  <w:noWrap w:val="0"/>
                  <w:vAlign w:val="center"/>
                </w:tcPr>
                <w:p>
                  <w:pPr>
                    <w:pStyle w:val="17"/>
                    <w:widowControl w:val="0"/>
                    <w:bidi w:val="0"/>
                    <w:rPr>
                      <w:rFonts w:hint="default"/>
                      <w:lang w:val="en-US" w:eastAsia="zh-CN"/>
                    </w:rPr>
                  </w:pPr>
                  <w:r>
                    <w:rPr>
                      <w:rFonts w:hint="default"/>
                    </w:rPr>
                    <w:t>Φ88.9mm</w:t>
                  </w:r>
                </w:p>
              </w:tc>
              <w:tc>
                <w:tcPr>
                  <w:tcW w:w="621" w:type="pct"/>
                  <w:noWrap w:val="0"/>
                  <w:vAlign w:val="center"/>
                </w:tcPr>
                <w:p>
                  <w:pPr>
                    <w:pStyle w:val="17"/>
                    <w:widowControl w:val="0"/>
                    <w:bidi w:val="0"/>
                    <w:rPr>
                      <w:rFonts w:hint="default"/>
                      <w:lang w:val="en-US" w:eastAsia="zh-CN"/>
                    </w:rPr>
                  </w:pPr>
                  <w:r>
                    <w:rPr>
                      <w:rFonts w:hint="default"/>
                    </w:rPr>
                    <w:t>套</w:t>
                  </w:r>
                </w:p>
              </w:tc>
              <w:tc>
                <w:tcPr>
                  <w:tcW w:w="808" w:type="pct"/>
                  <w:noWrap w:val="0"/>
                  <w:vAlign w:val="center"/>
                </w:tcPr>
                <w:p>
                  <w:pPr>
                    <w:pStyle w:val="17"/>
                    <w:widowControl w:val="0"/>
                    <w:bidi w:val="0"/>
                    <w:rPr>
                      <w:rFonts w:hint="default"/>
                      <w:lang w:val="en-US" w:eastAsia="zh-CN"/>
                    </w:rPr>
                  </w:pPr>
                  <w:r>
                    <w:rPr>
                      <w:rFonts w:hint="eastAsia"/>
                      <w:lang w:val="en-US" w:eastAsia="zh-CN"/>
                    </w:rPr>
                    <w:t>1</w:t>
                  </w:r>
                </w:p>
              </w:tc>
              <w:tc>
                <w:tcPr>
                  <w:tcW w:w="1068" w:type="pct"/>
                  <w:noWrap w:val="0"/>
                  <w:vAlign w:val="center"/>
                </w:tcPr>
                <w:p>
                  <w:pPr>
                    <w:pStyle w:val="17"/>
                    <w:widowControl w:val="0"/>
                    <w:bidi w:val="0"/>
                    <w:rPr>
                      <w:rFonts w:hint="default"/>
                      <w:lang w:val="en-US" w:eastAsia="zh-CN"/>
                    </w:rPr>
                  </w:pPr>
                  <w:r>
                    <w:rPr>
                      <w:rFonts w:hint="default"/>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noWrap w:val="0"/>
                  <w:vAlign w:val="center"/>
                </w:tcPr>
                <w:p>
                  <w:pPr>
                    <w:pStyle w:val="17"/>
                    <w:widowControl w:val="0"/>
                    <w:bidi w:val="0"/>
                    <w:rPr>
                      <w:rFonts w:hint="default"/>
                      <w:lang w:val="en-US" w:eastAsia="zh-CN"/>
                    </w:rPr>
                  </w:pPr>
                  <w:r>
                    <w:rPr>
                      <w:rFonts w:hint="default"/>
                    </w:rPr>
                    <w:t>9</w:t>
                  </w:r>
                </w:p>
              </w:tc>
              <w:tc>
                <w:tcPr>
                  <w:tcW w:w="885" w:type="pct"/>
                  <w:noWrap w:val="0"/>
                  <w:vAlign w:val="center"/>
                </w:tcPr>
                <w:p>
                  <w:pPr>
                    <w:pStyle w:val="17"/>
                    <w:widowControl w:val="0"/>
                    <w:bidi w:val="0"/>
                    <w:rPr>
                      <w:rFonts w:hint="default"/>
                      <w:lang w:val="en-US" w:eastAsia="zh-CN"/>
                    </w:rPr>
                  </w:pPr>
                  <w:r>
                    <w:rPr>
                      <w:rFonts w:hint="default"/>
                    </w:rPr>
                    <w:t>调整短节</w:t>
                  </w:r>
                </w:p>
              </w:tc>
              <w:tc>
                <w:tcPr>
                  <w:tcW w:w="1240" w:type="pct"/>
                  <w:noWrap w:val="0"/>
                  <w:vAlign w:val="center"/>
                </w:tcPr>
                <w:p>
                  <w:pPr>
                    <w:pStyle w:val="17"/>
                    <w:widowControl w:val="0"/>
                    <w:bidi w:val="0"/>
                    <w:rPr>
                      <w:rFonts w:hint="default"/>
                      <w:lang w:val="en-US" w:eastAsia="zh-CN"/>
                    </w:rPr>
                  </w:pPr>
                  <w:r>
                    <w:rPr>
                      <w:rFonts w:hint="default"/>
                    </w:rPr>
                    <w:t>Φ73.0mm</w:t>
                  </w:r>
                </w:p>
              </w:tc>
              <w:tc>
                <w:tcPr>
                  <w:tcW w:w="621" w:type="pct"/>
                  <w:noWrap w:val="0"/>
                  <w:vAlign w:val="center"/>
                </w:tcPr>
                <w:p>
                  <w:pPr>
                    <w:pStyle w:val="17"/>
                    <w:widowControl w:val="0"/>
                    <w:bidi w:val="0"/>
                    <w:rPr>
                      <w:rFonts w:hint="default"/>
                      <w:lang w:val="en-US" w:eastAsia="zh-CN"/>
                    </w:rPr>
                  </w:pPr>
                  <w:r>
                    <w:rPr>
                      <w:rFonts w:hint="default"/>
                    </w:rPr>
                    <w:t>m</w:t>
                  </w:r>
                </w:p>
              </w:tc>
              <w:tc>
                <w:tcPr>
                  <w:tcW w:w="808" w:type="pct"/>
                  <w:noWrap w:val="0"/>
                  <w:vAlign w:val="center"/>
                </w:tcPr>
                <w:p>
                  <w:pPr>
                    <w:pStyle w:val="17"/>
                    <w:widowControl w:val="0"/>
                    <w:bidi w:val="0"/>
                    <w:rPr>
                      <w:rFonts w:hint="eastAsia"/>
                      <w:lang w:val="en-US" w:eastAsia="zh-CN"/>
                    </w:rPr>
                  </w:pPr>
                  <w:r>
                    <w:rPr>
                      <w:rFonts w:hint="eastAsia"/>
                      <w:lang w:val="en-US" w:eastAsia="zh-CN"/>
                    </w:rPr>
                    <w:t>1</w:t>
                  </w:r>
                </w:p>
              </w:tc>
              <w:tc>
                <w:tcPr>
                  <w:tcW w:w="1068" w:type="pct"/>
                  <w:noWrap w:val="0"/>
                  <w:vAlign w:val="center"/>
                </w:tcPr>
                <w:p>
                  <w:pPr>
                    <w:pStyle w:val="17"/>
                    <w:widowControl w:val="0"/>
                    <w:bidi w:val="0"/>
                    <w:rPr>
                      <w:rFonts w:hint="default"/>
                      <w:lang w:val="en-US" w:eastAsia="zh-CN"/>
                    </w:rPr>
                  </w:pPr>
                  <w:r>
                    <w:rPr>
                      <w:rFonts w:hint="default"/>
                    </w:rPr>
                    <w:t>(0.3m、0.5m、1.0m、1.5m、2.0m)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noWrap w:val="0"/>
                  <w:vAlign w:val="center"/>
                </w:tcPr>
                <w:p>
                  <w:pPr>
                    <w:pStyle w:val="17"/>
                    <w:widowControl w:val="0"/>
                    <w:bidi w:val="0"/>
                    <w:rPr>
                      <w:rFonts w:hint="default"/>
                      <w:lang w:val="en-US" w:eastAsia="zh-CN"/>
                    </w:rPr>
                  </w:pPr>
                  <w:r>
                    <w:rPr>
                      <w:rFonts w:hint="default"/>
                    </w:rPr>
                    <w:t>10</w:t>
                  </w:r>
                </w:p>
              </w:tc>
              <w:tc>
                <w:tcPr>
                  <w:tcW w:w="885" w:type="pct"/>
                  <w:noWrap w:val="0"/>
                  <w:vAlign w:val="center"/>
                </w:tcPr>
                <w:p>
                  <w:pPr>
                    <w:pStyle w:val="17"/>
                    <w:widowControl w:val="0"/>
                    <w:bidi w:val="0"/>
                    <w:rPr>
                      <w:rFonts w:hint="default"/>
                      <w:lang w:val="en-US" w:eastAsia="zh-CN"/>
                    </w:rPr>
                  </w:pPr>
                  <w:r>
                    <w:rPr>
                      <w:rFonts w:hint="default"/>
                    </w:rPr>
                    <w:t>值班房</w:t>
                  </w:r>
                </w:p>
              </w:tc>
              <w:tc>
                <w:tcPr>
                  <w:tcW w:w="1240" w:type="pct"/>
                  <w:noWrap w:val="0"/>
                  <w:vAlign w:val="center"/>
                </w:tcPr>
                <w:p>
                  <w:pPr>
                    <w:pStyle w:val="17"/>
                    <w:widowControl w:val="0"/>
                    <w:bidi w:val="0"/>
                    <w:rPr>
                      <w:rFonts w:hint="default"/>
                      <w:lang w:val="en-US" w:eastAsia="zh-CN"/>
                    </w:rPr>
                  </w:pPr>
                  <w:r>
                    <w:rPr>
                      <w:rFonts w:hint="default"/>
                      <w:lang w:eastAsia="zh-CN"/>
                    </w:rPr>
                    <w:t>/</w:t>
                  </w:r>
                </w:p>
              </w:tc>
              <w:tc>
                <w:tcPr>
                  <w:tcW w:w="621" w:type="pct"/>
                  <w:noWrap w:val="0"/>
                  <w:vAlign w:val="center"/>
                </w:tcPr>
                <w:p>
                  <w:pPr>
                    <w:pStyle w:val="17"/>
                    <w:widowControl w:val="0"/>
                    <w:bidi w:val="0"/>
                    <w:rPr>
                      <w:rFonts w:hint="default"/>
                      <w:lang w:val="en-US" w:eastAsia="zh-CN"/>
                    </w:rPr>
                  </w:pPr>
                  <w:r>
                    <w:rPr>
                      <w:rFonts w:hint="default"/>
                    </w:rPr>
                    <w:t>套</w:t>
                  </w:r>
                </w:p>
              </w:tc>
              <w:tc>
                <w:tcPr>
                  <w:tcW w:w="808" w:type="pct"/>
                  <w:noWrap w:val="0"/>
                  <w:vAlign w:val="center"/>
                </w:tcPr>
                <w:p>
                  <w:pPr>
                    <w:pStyle w:val="17"/>
                    <w:widowControl w:val="0"/>
                    <w:bidi w:val="0"/>
                    <w:rPr>
                      <w:rFonts w:hint="default"/>
                      <w:lang w:val="en-US" w:eastAsia="zh-CN"/>
                    </w:rPr>
                  </w:pPr>
                  <w:r>
                    <w:rPr>
                      <w:rFonts w:hint="eastAsia"/>
                      <w:lang w:val="en-US" w:eastAsia="zh-CN"/>
                    </w:rPr>
                    <w:t>1</w:t>
                  </w:r>
                </w:p>
              </w:tc>
              <w:tc>
                <w:tcPr>
                  <w:tcW w:w="1068" w:type="pct"/>
                  <w:noWrap w:val="0"/>
                  <w:vAlign w:val="center"/>
                </w:tcPr>
                <w:p>
                  <w:pPr>
                    <w:pStyle w:val="17"/>
                    <w:widowControl w:val="0"/>
                    <w:bidi w:val="0"/>
                    <w:rPr>
                      <w:rFonts w:hint="default"/>
                      <w:lang w:val="en-US" w:eastAsia="zh-CN"/>
                    </w:rPr>
                  </w:pPr>
                  <w:r>
                    <w:rPr>
                      <w:rFonts w:hint="default"/>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noWrap w:val="0"/>
                  <w:vAlign w:val="center"/>
                </w:tcPr>
                <w:p>
                  <w:pPr>
                    <w:pStyle w:val="17"/>
                    <w:widowControl w:val="0"/>
                    <w:bidi w:val="0"/>
                    <w:rPr>
                      <w:rFonts w:hint="default"/>
                      <w:lang w:val="en-US" w:eastAsia="zh-CN"/>
                    </w:rPr>
                  </w:pPr>
                  <w:r>
                    <w:rPr>
                      <w:rFonts w:hint="default"/>
                    </w:rPr>
                    <w:t>11</w:t>
                  </w:r>
                </w:p>
              </w:tc>
              <w:tc>
                <w:tcPr>
                  <w:tcW w:w="885" w:type="pct"/>
                  <w:noWrap w:val="0"/>
                  <w:vAlign w:val="center"/>
                </w:tcPr>
                <w:p>
                  <w:pPr>
                    <w:pStyle w:val="17"/>
                    <w:widowControl w:val="0"/>
                    <w:bidi w:val="0"/>
                    <w:rPr>
                      <w:rFonts w:hint="default"/>
                      <w:lang w:val="en-US" w:eastAsia="zh-CN"/>
                    </w:rPr>
                  </w:pPr>
                  <w:r>
                    <w:rPr>
                      <w:rFonts w:hint="default"/>
                    </w:rPr>
                    <w:t>发电房</w:t>
                  </w:r>
                </w:p>
              </w:tc>
              <w:tc>
                <w:tcPr>
                  <w:tcW w:w="1240" w:type="pct"/>
                  <w:noWrap w:val="0"/>
                  <w:vAlign w:val="center"/>
                </w:tcPr>
                <w:p>
                  <w:pPr>
                    <w:pStyle w:val="17"/>
                    <w:widowControl w:val="0"/>
                    <w:bidi w:val="0"/>
                    <w:rPr>
                      <w:rFonts w:hint="default"/>
                      <w:lang w:val="en-US" w:eastAsia="zh-CN"/>
                    </w:rPr>
                  </w:pPr>
                  <w:r>
                    <w:rPr>
                      <w:rFonts w:hint="default"/>
                      <w:lang w:eastAsia="zh-CN"/>
                    </w:rPr>
                    <w:t>/</w:t>
                  </w:r>
                </w:p>
              </w:tc>
              <w:tc>
                <w:tcPr>
                  <w:tcW w:w="621" w:type="pct"/>
                  <w:noWrap w:val="0"/>
                  <w:vAlign w:val="center"/>
                </w:tcPr>
                <w:p>
                  <w:pPr>
                    <w:pStyle w:val="17"/>
                    <w:widowControl w:val="0"/>
                    <w:bidi w:val="0"/>
                    <w:rPr>
                      <w:rFonts w:hint="default"/>
                      <w:lang w:val="en-US" w:eastAsia="zh-CN"/>
                    </w:rPr>
                  </w:pPr>
                  <w:r>
                    <w:rPr>
                      <w:rFonts w:hint="default"/>
                    </w:rPr>
                    <w:t>套</w:t>
                  </w:r>
                </w:p>
              </w:tc>
              <w:tc>
                <w:tcPr>
                  <w:tcW w:w="808" w:type="pct"/>
                  <w:noWrap w:val="0"/>
                  <w:vAlign w:val="center"/>
                </w:tcPr>
                <w:p>
                  <w:pPr>
                    <w:pStyle w:val="17"/>
                    <w:widowControl w:val="0"/>
                    <w:bidi w:val="0"/>
                    <w:rPr>
                      <w:rFonts w:hint="default"/>
                      <w:lang w:val="en-US" w:eastAsia="zh-CN"/>
                    </w:rPr>
                  </w:pPr>
                  <w:r>
                    <w:rPr>
                      <w:rFonts w:hint="eastAsia"/>
                      <w:lang w:val="en-US" w:eastAsia="zh-CN"/>
                    </w:rPr>
                    <w:t>1</w:t>
                  </w:r>
                </w:p>
              </w:tc>
              <w:tc>
                <w:tcPr>
                  <w:tcW w:w="1068" w:type="pct"/>
                  <w:noWrap w:val="0"/>
                  <w:vAlign w:val="center"/>
                </w:tcPr>
                <w:p>
                  <w:pPr>
                    <w:pStyle w:val="17"/>
                    <w:widowControl w:val="0"/>
                    <w:bidi w:val="0"/>
                    <w:rPr>
                      <w:rFonts w:hint="default"/>
                      <w:lang w:val="en-US" w:eastAsia="zh-CN"/>
                    </w:rPr>
                  </w:pPr>
                  <w:r>
                    <w:rPr>
                      <w:rFonts w:hint="default"/>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noWrap w:val="0"/>
                  <w:vAlign w:val="center"/>
                </w:tcPr>
                <w:p>
                  <w:pPr>
                    <w:pStyle w:val="17"/>
                    <w:widowControl w:val="0"/>
                    <w:bidi w:val="0"/>
                    <w:rPr>
                      <w:rFonts w:hint="default"/>
                      <w:lang w:val="en-US" w:eastAsia="zh-CN"/>
                    </w:rPr>
                  </w:pPr>
                  <w:r>
                    <w:rPr>
                      <w:rFonts w:hint="default"/>
                    </w:rPr>
                    <w:t>12</w:t>
                  </w:r>
                </w:p>
              </w:tc>
              <w:tc>
                <w:tcPr>
                  <w:tcW w:w="885" w:type="pct"/>
                  <w:noWrap w:val="0"/>
                  <w:vAlign w:val="center"/>
                </w:tcPr>
                <w:p>
                  <w:pPr>
                    <w:pStyle w:val="17"/>
                    <w:widowControl w:val="0"/>
                    <w:bidi w:val="0"/>
                    <w:rPr>
                      <w:rFonts w:hint="default"/>
                      <w:lang w:val="en-US" w:eastAsia="zh-CN"/>
                    </w:rPr>
                  </w:pPr>
                  <w:r>
                    <w:rPr>
                      <w:rFonts w:hint="default"/>
                    </w:rPr>
                    <w:t>柴油发电机</w:t>
                  </w:r>
                </w:p>
              </w:tc>
              <w:tc>
                <w:tcPr>
                  <w:tcW w:w="1240" w:type="pct"/>
                  <w:noWrap w:val="0"/>
                  <w:vAlign w:val="center"/>
                </w:tcPr>
                <w:p>
                  <w:pPr>
                    <w:pStyle w:val="17"/>
                    <w:widowControl w:val="0"/>
                    <w:bidi w:val="0"/>
                    <w:rPr>
                      <w:rFonts w:hint="default"/>
                      <w:lang w:val="en-US" w:eastAsia="zh-CN"/>
                    </w:rPr>
                  </w:pPr>
                  <w:r>
                    <w:rPr>
                      <w:rFonts w:hint="default"/>
                      <w:lang w:eastAsia="zh-CN"/>
                    </w:rPr>
                    <w:t>/</w:t>
                  </w:r>
                </w:p>
              </w:tc>
              <w:tc>
                <w:tcPr>
                  <w:tcW w:w="621" w:type="pct"/>
                  <w:noWrap w:val="0"/>
                  <w:vAlign w:val="center"/>
                </w:tcPr>
                <w:p>
                  <w:pPr>
                    <w:pStyle w:val="17"/>
                    <w:widowControl w:val="0"/>
                    <w:bidi w:val="0"/>
                    <w:rPr>
                      <w:rFonts w:hint="default"/>
                      <w:lang w:val="en-US" w:eastAsia="zh-CN"/>
                    </w:rPr>
                  </w:pPr>
                  <w:r>
                    <w:rPr>
                      <w:rFonts w:hint="default"/>
                    </w:rPr>
                    <w:t>台</w:t>
                  </w:r>
                </w:p>
              </w:tc>
              <w:tc>
                <w:tcPr>
                  <w:tcW w:w="808" w:type="pct"/>
                  <w:noWrap w:val="0"/>
                  <w:vAlign w:val="center"/>
                </w:tcPr>
                <w:p>
                  <w:pPr>
                    <w:pStyle w:val="17"/>
                    <w:widowControl w:val="0"/>
                    <w:bidi w:val="0"/>
                    <w:rPr>
                      <w:rFonts w:hint="default"/>
                      <w:lang w:val="en-US" w:eastAsia="zh-CN"/>
                    </w:rPr>
                  </w:pPr>
                  <w:r>
                    <w:rPr>
                      <w:rFonts w:hint="eastAsia"/>
                      <w:lang w:val="en-US" w:eastAsia="zh-CN"/>
                    </w:rPr>
                    <w:t>2</w:t>
                  </w:r>
                </w:p>
              </w:tc>
              <w:tc>
                <w:tcPr>
                  <w:tcW w:w="1068" w:type="pct"/>
                  <w:noWrap w:val="0"/>
                  <w:vAlign w:val="center"/>
                </w:tcPr>
                <w:p>
                  <w:pPr>
                    <w:pStyle w:val="17"/>
                    <w:widowControl w:val="0"/>
                    <w:bidi w:val="0"/>
                    <w:rPr>
                      <w:rFonts w:hint="default"/>
                      <w:lang w:val="en-US" w:eastAsia="zh-CN"/>
                    </w:rPr>
                  </w:pPr>
                  <w:r>
                    <w:rPr>
                      <w:rFonts w:hint="default"/>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noWrap w:val="0"/>
                  <w:vAlign w:val="center"/>
                </w:tcPr>
                <w:p>
                  <w:pPr>
                    <w:pStyle w:val="17"/>
                    <w:widowControl w:val="0"/>
                    <w:bidi w:val="0"/>
                    <w:rPr>
                      <w:rFonts w:hint="default"/>
                      <w:lang w:val="en-US" w:eastAsia="zh-CN"/>
                    </w:rPr>
                  </w:pPr>
                  <w:r>
                    <w:rPr>
                      <w:rFonts w:hint="default"/>
                    </w:rPr>
                    <w:t>13</w:t>
                  </w:r>
                </w:p>
              </w:tc>
              <w:tc>
                <w:tcPr>
                  <w:tcW w:w="885" w:type="pct"/>
                  <w:noWrap w:val="0"/>
                  <w:vAlign w:val="center"/>
                </w:tcPr>
                <w:p>
                  <w:pPr>
                    <w:pStyle w:val="17"/>
                    <w:widowControl w:val="0"/>
                    <w:bidi w:val="0"/>
                    <w:rPr>
                      <w:rFonts w:hint="default"/>
                      <w:lang w:val="en-US" w:eastAsia="zh-CN"/>
                    </w:rPr>
                  </w:pPr>
                  <w:r>
                    <w:rPr>
                      <w:rFonts w:hint="default"/>
                    </w:rPr>
                    <w:t>泵车</w:t>
                  </w:r>
                </w:p>
              </w:tc>
              <w:tc>
                <w:tcPr>
                  <w:tcW w:w="1240" w:type="pct"/>
                  <w:noWrap w:val="0"/>
                  <w:vAlign w:val="center"/>
                </w:tcPr>
                <w:p>
                  <w:pPr>
                    <w:pStyle w:val="17"/>
                    <w:widowControl w:val="0"/>
                    <w:bidi w:val="0"/>
                    <w:rPr>
                      <w:rFonts w:hint="default"/>
                      <w:lang w:val="en-US" w:eastAsia="zh-CN"/>
                    </w:rPr>
                  </w:pPr>
                  <w:r>
                    <w:rPr>
                      <w:rFonts w:hint="default"/>
                    </w:rPr>
                    <w:t>700型</w:t>
                  </w:r>
                </w:p>
              </w:tc>
              <w:tc>
                <w:tcPr>
                  <w:tcW w:w="621" w:type="pct"/>
                  <w:noWrap w:val="0"/>
                  <w:vAlign w:val="center"/>
                </w:tcPr>
                <w:p>
                  <w:pPr>
                    <w:pStyle w:val="17"/>
                    <w:widowControl w:val="0"/>
                    <w:bidi w:val="0"/>
                    <w:rPr>
                      <w:rFonts w:hint="default"/>
                      <w:lang w:val="en-US" w:eastAsia="zh-CN"/>
                    </w:rPr>
                  </w:pPr>
                  <w:r>
                    <w:rPr>
                      <w:rFonts w:hint="default"/>
                    </w:rPr>
                    <w:t>台</w:t>
                  </w:r>
                </w:p>
              </w:tc>
              <w:tc>
                <w:tcPr>
                  <w:tcW w:w="808" w:type="pct"/>
                  <w:noWrap w:val="0"/>
                  <w:vAlign w:val="center"/>
                </w:tcPr>
                <w:p>
                  <w:pPr>
                    <w:pStyle w:val="17"/>
                    <w:widowControl w:val="0"/>
                    <w:bidi w:val="0"/>
                    <w:rPr>
                      <w:rFonts w:hint="default"/>
                      <w:lang w:val="en-US" w:eastAsia="zh-CN"/>
                    </w:rPr>
                  </w:pPr>
                  <w:r>
                    <w:rPr>
                      <w:rFonts w:hint="eastAsia"/>
                      <w:lang w:val="en-US" w:eastAsia="zh-CN"/>
                    </w:rPr>
                    <w:t>1</w:t>
                  </w:r>
                </w:p>
              </w:tc>
              <w:tc>
                <w:tcPr>
                  <w:tcW w:w="1068" w:type="pct"/>
                  <w:noWrap w:val="0"/>
                  <w:vAlign w:val="center"/>
                </w:tcPr>
                <w:p>
                  <w:pPr>
                    <w:pStyle w:val="17"/>
                    <w:widowControl w:val="0"/>
                    <w:bidi w:val="0"/>
                    <w:rPr>
                      <w:rFonts w:hint="default"/>
                      <w:lang w:val="en-US" w:eastAsia="zh-CN"/>
                    </w:rPr>
                  </w:pPr>
                  <w:r>
                    <w:rPr>
                      <w:rFonts w:hint="default"/>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noWrap w:val="0"/>
                  <w:vAlign w:val="center"/>
                </w:tcPr>
                <w:p>
                  <w:pPr>
                    <w:pStyle w:val="17"/>
                    <w:widowControl w:val="0"/>
                    <w:bidi w:val="0"/>
                    <w:rPr>
                      <w:rFonts w:hint="default"/>
                      <w:lang w:val="en-US" w:eastAsia="zh-CN"/>
                    </w:rPr>
                  </w:pPr>
                  <w:r>
                    <w:rPr>
                      <w:rFonts w:hint="default"/>
                    </w:rPr>
                    <w:t>14</w:t>
                  </w:r>
                </w:p>
              </w:tc>
              <w:tc>
                <w:tcPr>
                  <w:tcW w:w="885" w:type="pct"/>
                  <w:noWrap w:val="0"/>
                  <w:vAlign w:val="center"/>
                </w:tcPr>
                <w:p>
                  <w:pPr>
                    <w:pStyle w:val="17"/>
                    <w:widowControl w:val="0"/>
                    <w:bidi w:val="0"/>
                    <w:rPr>
                      <w:rFonts w:hint="default"/>
                      <w:lang w:val="en-US" w:eastAsia="zh-CN"/>
                    </w:rPr>
                  </w:pPr>
                  <w:r>
                    <w:rPr>
                      <w:rFonts w:hint="default"/>
                    </w:rPr>
                    <w:t>储油罐</w:t>
                  </w:r>
                </w:p>
              </w:tc>
              <w:tc>
                <w:tcPr>
                  <w:tcW w:w="1240" w:type="pct"/>
                  <w:noWrap w:val="0"/>
                  <w:vAlign w:val="center"/>
                </w:tcPr>
                <w:p>
                  <w:pPr>
                    <w:pStyle w:val="17"/>
                    <w:widowControl w:val="0"/>
                    <w:bidi w:val="0"/>
                    <w:rPr>
                      <w:rFonts w:hint="default"/>
                      <w:lang w:val="en-US" w:eastAsia="zh-CN"/>
                    </w:rPr>
                  </w:pPr>
                  <w:r>
                    <w:rPr>
                      <w:rFonts w:hint="default"/>
                    </w:rPr>
                    <w:t>60m</w:t>
                  </w:r>
                  <w:r>
                    <w:rPr>
                      <w:rFonts w:hint="default"/>
                      <w:vertAlign w:val="superscript"/>
                      <w:lang w:val="en-US" w:eastAsia="zh-CN"/>
                    </w:rPr>
                    <w:t>3</w:t>
                  </w:r>
                </w:p>
              </w:tc>
              <w:tc>
                <w:tcPr>
                  <w:tcW w:w="621" w:type="pct"/>
                  <w:noWrap w:val="0"/>
                  <w:vAlign w:val="center"/>
                </w:tcPr>
                <w:p>
                  <w:pPr>
                    <w:pStyle w:val="17"/>
                    <w:widowControl w:val="0"/>
                    <w:bidi w:val="0"/>
                    <w:rPr>
                      <w:rFonts w:hint="default"/>
                      <w:lang w:val="en-US" w:eastAsia="zh-CN"/>
                    </w:rPr>
                  </w:pPr>
                  <w:r>
                    <w:rPr>
                      <w:rFonts w:hint="default"/>
                    </w:rPr>
                    <w:t>罐</w:t>
                  </w:r>
                </w:p>
              </w:tc>
              <w:tc>
                <w:tcPr>
                  <w:tcW w:w="808" w:type="pct"/>
                  <w:noWrap w:val="0"/>
                  <w:vAlign w:val="center"/>
                </w:tcPr>
                <w:p>
                  <w:pPr>
                    <w:pStyle w:val="17"/>
                    <w:widowControl w:val="0"/>
                    <w:bidi w:val="0"/>
                    <w:rPr>
                      <w:rFonts w:hint="default"/>
                      <w:lang w:val="en-US" w:eastAsia="zh-CN"/>
                    </w:rPr>
                  </w:pPr>
                  <w:r>
                    <w:rPr>
                      <w:rFonts w:hint="eastAsia"/>
                      <w:lang w:val="en-US" w:eastAsia="zh-CN"/>
                    </w:rPr>
                    <w:t>1</w:t>
                  </w:r>
                </w:p>
              </w:tc>
              <w:tc>
                <w:tcPr>
                  <w:tcW w:w="1068" w:type="pct"/>
                  <w:noWrap w:val="0"/>
                  <w:vAlign w:val="center"/>
                </w:tcPr>
                <w:p>
                  <w:pPr>
                    <w:pStyle w:val="17"/>
                    <w:widowControl w:val="0"/>
                    <w:bidi w:val="0"/>
                    <w:rPr>
                      <w:rFonts w:hint="default"/>
                      <w:lang w:val="en-US" w:eastAsia="zh-CN"/>
                    </w:rPr>
                  </w:pPr>
                  <w:r>
                    <w:rPr>
                      <w:rFonts w:hint="default"/>
                      <w:lang w:eastAsia="zh-CN"/>
                    </w:rPr>
                    <w:t>/</w:t>
                  </w:r>
                </w:p>
              </w:tc>
            </w:tr>
          </w:tbl>
          <w:p>
            <w:pPr>
              <w:pStyle w:val="4"/>
              <w:bidi w:val="0"/>
              <w:rPr>
                <w:rFonts w:hint="default"/>
                <w:lang w:val="en-US" w:eastAsia="zh-CN"/>
              </w:rPr>
            </w:pPr>
            <w:r>
              <w:rPr>
                <w:rFonts w:hint="eastAsia"/>
                <w:lang w:val="en-US" w:eastAsia="zh-CN"/>
              </w:rPr>
              <w:t>5、公用工程</w:t>
            </w:r>
          </w:p>
          <w:p>
            <w:pPr>
              <w:pStyle w:val="19"/>
              <w:bidi w:val="0"/>
              <w:rPr>
                <w:rFonts w:hint="default"/>
                <w:lang w:val="en-US" w:eastAsia="zh-CN"/>
              </w:rPr>
            </w:pPr>
            <w:r>
              <w:rPr>
                <w:rFonts w:hint="eastAsia"/>
                <w:lang w:val="en-US" w:eastAsia="zh-CN"/>
              </w:rPr>
              <w:t>5.1给水</w:t>
            </w:r>
          </w:p>
          <w:p>
            <w:pPr>
              <w:pStyle w:val="16"/>
              <w:bidi w:val="0"/>
              <w:rPr>
                <w:rFonts w:hint="default"/>
              </w:rPr>
            </w:pPr>
            <w:r>
              <w:rPr>
                <w:rFonts w:hint="default"/>
              </w:rPr>
              <w:t>本项目在钻井过程中用水主要为钻井液配比用水。根据建设单位提供的资料，钻井期单井泥浆配比用水1000m</w:t>
            </w:r>
            <w:r>
              <w:rPr>
                <w:rFonts w:hint="default"/>
                <w:vertAlign w:val="superscript"/>
              </w:rPr>
              <w:t>3</w:t>
            </w:r>
            <w:r>
              <w:rPr>
                <w:rFonts w:hint="default"/>
              </w:rPr>
              <w:t>/井，本项目</w:t>
            </w:r>
            <w:r>
              <w:rPr>
                <w:rFonts w:hint="eastAsia"/>
                <w:lang w:val="en-US" w:eastAsia="zh-CN"/>
              </w:rPr>
              <w:t>8</w:t>
            </w:r>
            <w:r>
              <w:rPr>
                <w:rFonts w:hint="default"/>
              </w:rPr>
              <w:t>口井，生产用水</w:t>
            </w:r>
            <w:r>
              <w:rPr>
                <w:rFonts w:hint="eastAsia"/>
                <w:lang w:val="en-US" w:eastAsia="zh-CN"/>
              </w:rPr>
              <w:t>8</w:t>
            </w:r>
            <w:r>
              <w:rPr>
                <w:rFonts w:hint="default"/>
              </w:rPr>
              <w:t>000m</w:t>
            </w:r>
            <w:r>
              <w:rPr>
                <w:rFonts w:hint="default"/>
                <w:vertAlign w:val="superscript"/>
              </w:rPr>
              <w:t>3</w:t>
            </w:r>
            <w:r>
              <w:rPr>
                <w:rFonts w:hint="default"/>
              </w:rPr>
              <w:t>。试油期，设</w:t>
            </w:r>
            <w:r>
              <w:rPr>
                <w:rFonts w:hint="eastAsia"/>
                <w:lang w:val="en-US" w:eastAsia="zh-CN"/>
              </w:rPr>
              <w:t>4</w:t>
            </w:r>
            <w:r>
              <w:rPr>
                <w:rFonts w:hint="default"/>
              </w:rPr>
              <w:t>人巡井，不在井场食宿。</w:t>
            </w:r>
          </w:p>
          <w:p>
            <w:pPr>
              <w:pStyle w:val="16"/>
              <w:bidi w:val="0"/>
              <w:rPr>
                <w:rFonts w:hint="default"/>
              </w:rPr>
            </w:pPr>
            <w:r>
              <w:rPr>
                <w:rFonts w:hint="default"/>
              </w:rPr>
              <w:t>钻井期钻井人数30人，单井钻井天数70天，本项目设置</w:t>
            </w:r>
            <w:r>
              <w:rPr>
                <w:rFonts w:hint="eastAsia"/>
                <w:lang w:val="en-US" w:eastAsia="zh-CN"/>
              </w:rPr>
              <w:t>8</w:t>
            </w:r>
            <w:r>
              <w:rPr>
                <w:rFonts w:hint="default"/>
              </w:rPr>
              <w:t>口评价井，按每人每天用水80L计算，钻井期生活用水</w:t>
            </w:r>
            <w:r>
              <w:rPr>
                <w:rFonts w:hint="eastAsia"/>
                <w:lang w:val="en-US" w:eastAsia="zh-CN"/>
              </w:rPr>
              <w:t>1344</w:t>
            </w:r>
            <w:r>
              <w:rPr>
                <w:rFonts w:hint="default"/>
              </w:rPr>
              <w:t>m</w:t>
            </w:r>
            <w:r>
              <w:rPr>
                <w:rFonts w:hint="default"/>
                <w:vertAlign w:val="superscript"/>
              </w:rPr>
              <w:t>3</w:t>
            </w:r>
            <w:r>
              <w:rPr>
                <w:rFonts w:hint="default"/>
              </w:rPr>
              <w:t>/a。本项目用水由罐车就近拉运至井场；因本项目钻井期用水量较小，供水可满足其需求量。</w:t>
            </w:r>
          </w:p>
          <w:p>
            <w:pPr>
              <w:pStyle w:val="19"/>
              <w:bidi w:val="0"/>
              <w:rPr>
                <w:rFonts w:hint="default"/>
                <w:lang w:val="en-US" w:eastAsia="zh-CN"/>
              </w:rPr>
            </w:pPr>
            <w:r>
              <w:rPr>
                <w:rFonts w:hint="eastAsia"/>
                <w:lang w:val="en-US" w:eastAsia="zh-CN"/>
              </w:rPr>
              <w:t>5.2排水</w:t>
            </w:r>
          </w:p>
          <w:p>
            <w:pPr>
              <w:pStyle w:val="16"/>
              <w:bidi w:val="0"/>
              <w:rPr>
                <w:rFonts w:hint="default"/>
              </w:rPr>
            </w:pPr>
            <w:r>
              <w:rPr>
                <w:rFonts w:hint="default"/>
              </w:rPr>
              <w:t>本项目在钻井过程中采用“钻井泥浆不落地技术”，分离出的液相循环使用，无钻井废水产生。本项目废水主要为</w:t>
            </w:r>
            <w:r>
              <w:rPr>
                <w:rFonts w:hint="eastAsia"/>
                <w:lang w:val="en-US" w:eastAsia="zh-CN"/>
              </w:rPr>
              <w:t>钻井期生活污水</w:t>
            </w:r>
            <w:r>
              <w:rPr>
                <w:rFonts w:hint="default"/>
              </w:rPr>
              <w:t>试油期井下作业废水。</w:t>
            </w:r>
          </w:p>
          <w:p>
            <w:pPr>
              <w:pStyle w:val="16"/>
              <w:bidi w:val="0"/>
              <w:rPr>
                <w:rFonts w:hint="default"/>
              </w:rPr>
            </w:pPr>
            <w:r>
              <w:rPr>
                <w:rFonts w:hint="default"/>
              </w:rPr>
              <w:t>本项目施工期生活污水产生量为用水量的80%，预计生活污水产生量为</w:t>
            </w:r>
            <w:r>
              <w:rPr>
                <w:rFonts w:hint="eastAsia"/>
                <w:lang w:val="en-US" w:eastAsia="zh-CN"/>
              </w:rPr>
              <w:t>1075.2</w:t>
            </w:r>
            <w:r>
              <w:rPr>
                <w:rFonts w:hint="default"/>
              </w:rPr>
              <w:t>m</w:t>
            </w:r>
            <w:r>
              <w:rPr>
                <w:rFonts w:hint="default"/>
                <w:vertAlign w:val="superscript"/>
              </w:rPr>
              <w:t>3</w:t>
            </w:r>
            <w:r>
              <w:rPr>
                <w:rFonts w:hint="default"/>
              </w:rPr>
              <w:t>/a。施工期生活营地设置防渗污水收集池，生活污水</w:t>
            </w:r>
            <w:r>
              <w:rPr>
                <w:rFonts w:hint="eastAsia"/>
                <w:highlight w:val="none"/>
                <w:lang w:val="en-US" w:eastAsia="zh-CN"/>
              </w:rPr>
              <w:t>采取</w:t>
            </w:r>
            <w:r>
              <w:rPr>
                <w:rFonts w:hint="eastAsia"/>
                <w:highlight w:val="none"/>
                <w:lang w:eastAsia="zh-CN"/>
              </w:rPr>
              <w:t>密闭式吸污罐车</w:t>
            </w:r>
            <w:r>
              <w:rPr>
                <w:rFonts w:hint="default"/>
              </w:rPr>
              <w:t>定期清运至吉木萨尔县污水处理厂。</w:t>
            </w:r>
          </w:p>
          <w:p>
            <w:pPr>
              <w:pStyle w:val="16"/>
              <w:bidi w:val="0"/>
              <w:rPr>
                <w:rFonts w:hint="default"/>
                <w:color w:val="auto"/>
              </w:rPr>
            </w:pPr>
            <w:r>
              <w:rPr>
                <w:rFonts w:hint="default"/>
              </w:rPr>
              <w:t>试油期间井下作业废水为洗井废水，井下作业废水入罐收集后</w:t>
            </w:r>
            <w:r>
              <w:rPr>
                <w:rFonts w:hint="eastAsia"/>
                <w:highlight w:val="none"/>
                <w:lang w:val="en-US" w:eastAsia="zh-CN"/>
              </w:rPr>
              <w:t>采取</w:t>
            </w:r>
            <w:r>
              <w:rPr>
                <w:rFonts w:hint="eastAsia"/>
                <w:highlight w:val="none"/>
                <w:lang w:eastAsia="zh-CN"/>
              </w:rPr>
              <w:t>密闭式吸污罐</w:t>
            </w:r>
            <w:r>
              <w:rPr>
                <w:rFonts w:hint="eastAsia"/>
                <w:color w:val="auto"/>
                <w:highlight w:val="none"/>
                <w:lang w:eastAsia="zh-CN"/>
              </w:rPr>
              <w:t>车</w:t>
            </w:r>
            <w:r>
              <w:rPr>
                <w:rFonts w:hint="default"/>
                <w:color w:val="auto"/>
              </w:rPr>
              <w:t>拉运至吉祥联合站处理。</w:t>
            </w:r>
          </w:p>
          <w:p>
            <w:pPr>
              <w:pStyle w:val="16"/>
              <w:bidi w:val="0"/>
              <w:rPr>
                <w:rFonts w:hint="default" w:eastAsia="宋体"/>
                <w:color w:val="auto"/>
                <w:lang w:val="en-US" w:eastAsia="zh-CN"/>
              </w:rPr>
            </w:pPr>
            <w:r>
              <w:rPr>
                <w:rFonts w:hint="eastAsia"/>
                <w:color w:val="auto"/>
                <w:lang w:val="en-US" w:eastAsia="zh-CN"/>
              </w:rPr>
              <w:t>项目水平衡图如下：</w:t>
            </w:r>
          </w:p>
          <w:p>
            <w:pPr>
              <w:pStyle w:val="16"/>
              <w:bidi w:val="0"/>
              <w:ind w:left="0" w:leftChars="0" w:firstLine="0" w:firstLineChars="0"/>
              <w:jc w:val="center"/>
              <w:rPr>
                <w:rFonts w:hint="eastAsia" w:eastAsia="宋体"/>
                <w:color w:val="auto"/>
                <w:lang w:eastAsia="zh-CN"/>
              </w:rPr>
            </w:pPr>
            <w:r>
              <w:rPr>
                <w:rFonts w:hint="eastAsia" w:eastAsia="宋体"/>
                <w:color w:val="auto"/>
                <w:lang w:eastAsia="zh-CN"/>
              </w:rPr>
              <w:drawing>
                <wp:inline distT="0" distB="0" distL="114300" distR="114300">
                  <wp:extent cx="5311775" cy="2090420"/>
                  <wp:effectExtent l="0" t="0" r="3175" b="5080"/>
                  <wp:docPr id="2" name="图片 2" descr="项目水平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项目水平衡图"/>
                          <pic:cNvPicPr>
                            <a:picLocks noChangeAspect="1"/>
                          </pic:cNvPicPr>
                        </pic:nvPicPr>
                        <pic:blipFill>
                          <a:blip r:embed="rId14"/>
                          <a:stretch>
                            <a:fillRect/>
                          </a:stretch>
                        </pic:blipFill>
                        <pic:spPr>
                          <a:xfrm>
                            <a:off x="0" y="0"/>
                            <a:ext cx="5311775" cy="2090420"/>
                          </a:xfrm>
                          <a:prstGeom prst="rect">
                            <a:avLst/>
                          </a:prstGeom>
                        </pic:spPr>
                      </pic:pic>
                    </a:graphicData>
                  </a:graphic>
                </wp:inline>
              </w:drawing>
            </w:r>
          </w:p>
          <w:p>
            <w:pPr>
              <w:pStyle w:val="14"/>
              <w:bidi w:val="0"/>
              <w:rPr>
                <w:rFonts w:hint="eastAsia"/>
                <w:color w:val="auto"/>
                <w:lang w:val="en-US" w:eastAsia="zh-CN"/>
              </w:rPr>
            </w:pPr>
            <w:r>
              <w:rPr>
                <w:rFonts w:hint="eastAsia"/>
                <w:color w:val="auto"/>
                <w:lang w:val="en-US" w:eastAsia="zh-CN"/>
              </w:rPr>
              <w:t>图2   本项目水平衡图（m</w:t>
            </w:r>
            <w:r>
              <w:rPr>
                <w:rFonts w:hint="eastAsia"/>
                <w:color w:val="auto"/>
                <w:vertAlign w:val="superscript"/>
                <w:lang w:val="en-US" w:eastAsia="zh-CN"/>
              </w:rPr>
              <w:t>3</w:t>
            </w:r>
            <w:r>
              <w:rPr>
                <w:rFonts w:hint="eastAsia"/>
                <w:color w:val="auto"/>
                <w:lang w:val="en-US" w:eastAsia="zh-CN"/>
              </w:rPr>
              <w:t>/a）</w:t>
            </w:r>
          </w:p>
          <w:p>
            <w:pPr>
              <w:pStyle w:val="14"/>
              <w:bidi w:val="0"/>
              <w:rPr>
                <w:rFonts w:hint="default"/>
                <w:color w:val="auto"/>
                <w:lang w:val="en-US" w:eastAsia="zh-CN"/>
              </w:rPr>
            </w:pPr>
            <w:r>
              <w:rPr>
                <w:rFonts w:hint="eastAsia"/>
                <w:color w:val="auto"/>
                <w:lang w:val="en-US" w:eastAsia="zh-CN"/>
              </w:rPr>
              <w:t>表2-11   项目给排水一览表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230"/>
              <w:gridCol w:w="1170"/>
              <w:gridCol w:w="945"/>
              <w:gridCol w:w="1084"/>
              <w:gridCol w:w="1939"/>
              <w:gridCol w:w="1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60" w:hRule="atLeast"/>
                <w:jc w:val="center"/>
              </w:trPr>
              <w:tc>
                <w:tcPr>
                  <w:tcW w:w="1230" w:type="dxa"/>
                  <w:noWrap w:val="0"/>
                  <w:vAlign w:val="center"/>
                </w:tcPr>
                <w:p>
                  <w:pPr>
                    <w:pStyle w:val="17"/>
                    <w:bidi w:val="0"/>
                    <w:rPr>
                      <w:color w:val="auto"/>
                    </w:rPr>
                  </w:pPr>
                  <w:r>
                    <w:rPr>
                      <w:color w:val="auto"/>
                    </w:rPr>
                    <w:t>用水类别</w:t>
                  </w:r>
                </w:p>
              </w:tc>
              <w:tc>
                <w:tcPr>
                  <w:tcW w:w="1170" w:type="dxa"/>
                  <w:noWrap w:val="0"/>
                  <w:vAlign w:val="center"/>
                </w:tcPr>
                <w:p>
                  <w:pPr>
                    <w:pStyle w:val="17"/>
                    <w:bidi w:val="0"/>
                    <w:rPr>
                      <w:color w:val="auto"/>
                    </w:rPr>
                  </w:pPr>
                  <w:r>
                    <w:rPr>
                      <w:color w:val="auto"/>
                    </w:rPr>
                    <w:t>用水定额</w:t>
                  </w:r>
                </w:p>
              </w:tc>
              <w:tc>
                <w:tcPr>
                  <w:tcW w:w="945" w:type="dxa"/>
                  <w:noWrap w:val="0"/>
                  <w:vAlign w:val="center"/>
                </w:tcPr>
                <w:p>
                  <w:pPr>
                    <w:pStyle w:val="17"/>
                    <w:bidi w:val="0"/>
                    <w:rPr>
                      <w:color w:val="auto"/>
                    </w:rPr>
                  </w:pPr>
                  <w:r>
                    <w:rPr>
                      <w:color w:val="auto"/>
                    </w:rPr>
                    <w:t>用水规模</w:t>
                  </w:r>
                </w:p>
              </w:tc>
              <w:tc>
                <w:tcPr>
                  <w:tcW w:w="1084" w:type="dxa"/>
                  <w:noWrap w:val="0"/>
                  <w:vAlign w:val="center"/>
                </w:tcPr>
                <w:p>
                  <w:pPr>
                    <w:pStyle w:val="17"/>
                    <w:bidi w:val="0"/>
                    <w:rPr>
                      <w:color w:val="auto"/>
                    </w:rPr>
                  </w:pPr>
                  <w:r>
                    <w:rPr>
                      <w:color w:val="auto"/>
                    </w:rPr>
                    <w:t>用水</w:t>
                  </w:r>
                </w:p>
                <w:p>
                  <w:pPr>
                    <w:pStyle w:val="17"/>
                    <w:bidi w:val="0"/>
                    <w:rPr>
                      <w:color w:val="auto"/>
                    </w:rPr>
                  </w:pPr>
                  <w:r>
                    <w:rPr>
                      <w:color w:val="auto"/>
                    </w:rPr>
                    <w:t>时间（</w:t>
                  </w:r>
                  <w:r>
                    <w:rPr>
                      <w:rFonts w:hint="eastAsia"/>
                      <w:color w:val="auto"/>
                    </w:rPr>
                    <w:t>天</w:t>
                  </w:r>
                  <w:r>
                    <w:rPr>
                      <w:color w:val="auto"/>
                    </w:rPr>
                    <w:t>）</w:t>
                  </w:r>
                </w:p>
              </w:tc>
              <w:tc>
                <w:tcPr>
                  <w:tcW w:w="1939" w:type="dxa"/>
                  <w:noWrap w:val="0"/>
                  <w:vAlign w:val="center"/>
                </w:tcPr>
                <w:p>
                  <w:pPr>
                    <w:pStyle w:val="17"/>
                    <w:bidi w:val="0"/>
                    <w:rPr>
                      <w:color w:val="auto"/>
                    </w:rPr>
                  </w:pPr>
                  <w:r>
                    <w:rPr>
                      <w:color w:val="auto"/>
                    </w:rPr>
                    <w:t>用水量</w:t>
                  </w:r>
                </w:p>
              </w:tc>
              <w:tc>
                <w:tcPr>
                  <w:tcW w:w="1938" w:type="dxa"/>
                  <w:noWrap w:val="0"/>
                  <w:vAlign w:val="center"/>
                </w:tcPr>
                <w:p>
                  <w:pPr>
                    <w:pStyle w:val="17"/>
                    <w:bidi w:val="0"/>
                    <w:rPr>
                      <w:color w:val="auto"/>
                    </w:rPr>
                  </w:pPr>
                  <w:r>
                    <w:rPr>
                      <w:color w:val="auto"/>
                    </w:rPr>
                    <w:t>排水量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1230" w:type="dxa"/>
                  <w:noWrap w:val="0"/>
                  <w:vAlign w:val="center"/>
                </w:tcPr>
                <w:p>
                  <w:pPr>
                    <w:pStyle w:val="17"/>
                    <w:bidi w:val="0"/>
                    <w:rPr>
                      <w:color w:val="auto"/>
                    </w:rPr>
                  </w:pPr>
                  <w:r>
                    <w:rPr>
                      <w:color w:val="auto"/>
                    </w:rPr>
                    <w:t>生活用水</w:t>
                  </w:r>
                </w:p>
              </w:tc>
              <w:tc>
                <w:tcPr>
                  <w:tcW w:w="1170" w:type="dxa"/>
                  <w:noWrap w:val="0"/>
                  <w:vAlign w:val="center"/>
                </w:tcPr>
                <w:p>
                  <w:pPr>
                    <w:pStyle w:val="17"/>
                    <w:bidi w:val="0"/>
                    <w:rPr>
                      <w:color w:val="auto"/>
                    </w:rPr>
                  </w:pPr>
                  <w:r>
                    <w:rPr>
                      <w:rFonts w:hint="eastAsia"/>
                      <w:color w:val="auto"/>
                      <w:lang w:val="en-US" w:eastAsia="zh-CN"/>
                    </w:rPr>
                    <w:t>80</w:t>
                  </w:r>
                  <w:r>
                    <w:rPr>
                      <w:color w:val="auto"/>
                    </w:rPr>
                    <w:t>L/人·d</w:t>
                  </w:r>
                </w:p>
              </w:tc>
              <w:tc>
                <w:tcPr>
                  <w:tcW w:w="945" w:type="dxa"/>
                  <w:noWrap w:val="0"/>
                  <w:vAlign w:val="center"/>
                </w:tcPr>
                <w:p>
                  <w:pPr>
                    <w:pStyle w:val="17"/>
                    <w:bidi w:val="0"/>
                    <w:rPr>
                      <w:color w:val="auto"/>
                    </w:rPr>
                  </w:pPr>
                  <w:r>
                    <w:rPr>
                      <w:rFonts w:hint="eastAsia"/>
                      <w:color w:val="auto"/>
                      <w:lang w:val="en-US" w:eastAsia="zh-CN"/>
                    </w:rPr>
                    <w:t>30</w:t>
                  </w:r>
                  <w:r>
                    <w:rPr>
                      <w:color w:val="auto"/>
                    </w:rPr>
                    <w:t>人</w:t>
                  </w:r>
                </w:p>
              </w:tc>
              <w:tc>
                <w:tcPr>
                  <w:tcW w:w="1084" w:type="dxa"/>
                  <w:noWrap w:val="0"/>
                  <w:vAlign w:val="center"/>
                </w:tcPr>
                <w:p>
                  <w:pPr>
                    <w:pStyle w:val="17"/>
                    <w:bidi w:val="0"/>
                    <w:rPr>
                      <w:rFonts w:hint="default" w:eastAsia="宋体"/>
                      <w:color w:val="auto"/>
                      <w:lang w:val="en-US" w:eastAsia="zh-CN"/>
                    </w:rPr>
                  </w:pPr>
                  <w:r>
                    <w:rPr>
                      <w:rFonts w:hint="eastAsia"/>
                      <w:color w:val="auto"/>
                      <w:lang w:val="en-US" w:eastAsia="zh-CN"/>
                    </w:rPr>
                    <w:t>560</w:t>
                  </w:r>
                </w:p>
              </w:tc>
              <w:tc>
                <w:tcPr>
                  <w:tcW w:w="1939" w:type="dxa"/>
                  <w:noWrap w:val="0"/>
                  <w:vAlign w:val="center"/>
                </w:tcPr>
                <w:p>
                  <w:pPr>
                    <w:pStyle w:val="17"/>
                    <w:bidi w:val="0"/>
                    <w:rPr>
                      <w:rFonts w:hint="default" w:eastAsia="宋体"/>
                      <w:color w:val="auto"/>
                      <w:lang w:val="en-US" w:eastAsia="zh-CN"/>
                    </w:rPr>
                  </w:pPr>
                  <w:r>
                    <w:rPr>
                      <w:rFonts w:hint="eastAsia"/>
                      <w:color w:val="auto"/>
                      <w:lang w:val="en-US" w:eastAsia="zh-CN"/>
                    </w:rPr>
                    <w:t>1344</w:t>
                  </w:r>
                  <w:r>
                    <w:rPr>
                      <w:color w:val="auto"/>
                    </w:rPr>
                    <w:t>m</w:t>
                  </w:r>
                  <w:r>
                    <w:rPr>
                      <w:color w:val="auto"/>
                      <w:vertAlign w:val="superscript"/>
                    </w:rPr>
                    <w:t>3</w:t>
                  </w:r>
                  <w:r>
                    <w:rPr>
                      <w:color w:val="auto"/>
                    </w:rPr>
                    <w:t>/a</w:t>
                  </w:r>
                </w:p>
              </w:tc>
              <w:tc>
                <w:tcPr>
                  <w:tcW w:w="1938" w:type="dxa"/>
                  <w:noWrap w:val="0"/>
                  <w:vAlign w:val="center"/>
                </w:tcPr>
                <w:p>
                  <w:pPr>
                    <w:pStyle w:val="17"/>
                    <w:bidi w:val="0"/>
                    <w:rPr>
                      <w:color w:val="auto"/>
                    </w:rPr>
                  </w:pPr>
                  <w:r>
                    <w:rPr>
                      <w:rFonts w:hint="eastAsia"/>
                      <w:color w:val="auto"/>
                      <w:lang w:val="en-US" w:eastAsia="zh-CN"/>
                    </w:rPr>
                    <w:t>1075.2</w:t>
                  </w:r>
                  <w:r>
                    <w:rPr>
                      <w:color w:val="auto"/>
                    </w:rPr>
                    <w:t>m</w:t>
                  </w:r>
                  <w:r>
                    <w:rPr>
                      <w:color w:val="auto"/>
                      <w:vertAlign w:val="superscript"/>
                    </w:rPr>
                    <w:t>3</w:t>
                  </w:r>
                  <w:r>
                    <w:rPr>
                      <w:color w:val="auto"/>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1230" w:type="dxa"/>
                  <w:noWrap w:val="0"/>
                  <w:vAlign w:val="center"/>
                </w:tcPr>
                <w:p>
                  <w:pPr>
                    <w:pStyle w:val="17"/>
                    <w:bidi w:val="0"/>
                    <w:rPr>
                      <w:rFonts w:hint="eastAsia"/>
                      <w:color w:val="auto"/>
                    </w:rPr>
                  </w:pPr>
                  <w:r>
                    <w:rPr>
                      <w:rFonts w:hint="eastAsia"/>
                      <w:color w:val="auto"/>
                    </w:rPr>
                    <w:t>生产用水</w:t>
                  </w:r>
                </w:p>
              </w:tc>
              <w:tc>
                <w:tcPr>
                  <w:tcW w:w="1170" w:type="dxa"/>
                  <w:noWrap w:val="0"/>
                  <w:vAlign w:val="center"/>
                </w:tcPr>
                <w:p>
                  <w:pPr>
                    <w:pStyle w:val="17"/>
                    <w:bidi w:val="0"/>
                    <w:rPr>
                      <w:rFonts w:hint="eastAsia" w:eastAsia="宋体"/>
                      <w:color w:val="auto"/>
                      <w:lang w:eastAsia="zh-CN"/>
                    </w:rPr>
                  </w:pPr>
                  <w:r>
                    <w:rPr>
                      <w:rFonts w:hint="eastAsia"/>
                      <w:color w:val="auto"/>
                      <w:lang w:val="en-US" w:eastAsia="zh-CN"/>
                    </w:rPr>
                    <w:t>1000</w:t>
                  </w:r>
                  <w:r>
                    <w:rPr>
                      <w:rFonts w:hint="default"/>
                      <w:color w:val="auto"/>
                    </w:rPr>
                    <w:t>m</w:t>
                  </w:r>
                  <w:r>
                    <w:rPr>
                      <w:rFonts w:hint="default"/>
                      <w:color w:val="auto"/>
                      <w:vertAlign w:val="superscript"/>
                    </w:rPr>
                    <w:t>3</w:t>
                  </w:r>
                  <w:r>
                    <w:rPr>
                      <w:color w:val="auto"/>
                    </w:rPr>
                    <w:t>/</w:t>
                  </w:r>
                  <w:r>
                    <w:rPr>
                      <w:rFonts w:hint="eastAsia"/>
                      <w:color w:val="auto"/>
                      <w:lang w:val="en-US" w:eastAsia="zh-CN"/>
                    </w:rPr>
                    <w:t>井</w:t>
                  </w:r>
                </w:p>
              </w:tc>
              <w:tc>
                <w:tcPr>
                  <w:tcW w:w="945" w:type="dxa"/>
                  <w:noWrap w:val="0"/>
                  <w:vAlign w:val="center"/>
                </w:tcPr>
                <w:p>
                  <w:pPr>
                    <w:pStyle w:val="17"/>
                    <w:bidi w:val="0"/>
                    <w:rPr>
                      <w:rFonts w:hint="default" w:eastAsia="宋体"/>
                      <w:color w:val="auto"/>
                      <w:lang w:val="en-US" w:eastAsia="zh-CN"/>
                    </w:rPr>
                  </w:pPr>
                  <w:r>
                    <w:rPr>
                      <w:rFonts w:hint="eastAsia"/>
                      <w:color w:val="auto"/>
                      <w:lang w:val="en-US" w:eastAsia="zh-CN"/>
                    </w:rPr>
                    <w:t>8口井</w:t>
                  </w:r>
                </w:p>
              </w:tc>
              <w:tc>
                <w:tcPr>
                  <w:tcW w:w="1084" w:type="dxa"/>
                  <w:noWrap w:val="0"/>
                  <w:vAlign w:val="center"/>
                </w:tcPr>
                <w:p>
                  <w:pPr>
                    <w:pStyle w:val="17"/>
                    <w:bidi w:val="0"/>
                    <w:rPr>
                      <w:rFonts w:hint="eastAsia" w:eastAsia="宋体"/>
                      <w:color w:val="auto"/>
                      <w:lang w:eastAsia="zh-CN"/>
                    </w:rPr>
                  </w:pPr>
                  <w:r>
                    <w:rPr>
                      <w:rFonts w:hint="eastAsia"/>
                      <w:color w:val="auto"/>
                      <w:lang w:val="en-US" w:eastAsia="zh-CN"/>
                    </w:rPr>
                    <w:t>/</w:t>
                  </w:r>
                </w:p>
              </w:tc>
              <w:tc>
                <w:tcPr>
                  <w:tcW w:w="1939" w:type="dxa"/>
                  <w:noWrap w:val="0"/>
                  <w:vAlign w:val="center"/>
                </w:tcPr>
                <w:p>
                  <w:pPr>
                    <w:pStyle w:val="17"/>
                    <w:bidi w:val="0"/>
                    <w:rPr>
                      <w:color w:val="auto"/>
                    </w:rPr>
                  </w:pPr>
                  <w:r>
                    <w:rPr>
                      <w:rFonts w:hint="eastAsia"/>
                      <w:color w:val="auto"/>
                      <w:lang w:val="en-US" w:eastAsia="zh-CN"/>
                    </w:rPr>
                    <w:t>8000</w:t>
                  </w:r>
                  <w:r>
                    <w:rPr>
                      <w:rFonts w:hint="default"/>
                      <w:color w:val="auto"/>
                    </w:rPr>
                    <w:t>m</w:t>
                  </w:r>
                  <w:r>
                    <w:rPr>
                      <w:rFonts w:hint="default"/>
                      <w:color w:val="auto"/>
                      <w:vertAlign w:val="superscript"/>
                    </w:rPr>
                    <w:t>3</w:t>
                  </w:r>
                </w:p>
              </w:tc>
              <w:tc>
                <w:tcPr>
                  <w:tcW w:w="1938" w:type="dxa"/>
                  <w:noWrap w:val="0"/>
                  <w:vAlign w:val="center"/>
                </w:tcPr>
                <w:p>
                  <w:pPr>
                    <w:pStyle w:val="17"/>
                    <w:bidi w:val="0"/>
                    <w:rPr>
                      <w:rFonts w:hint="eastAsia" w:eastAsia="宋体"/>
                      <w:color w:val="auto"/>
                      <w:lang w:eastAsia="zh-CN"/>
                    </w:rPr>
                  </w:pPr>
                  <w:r>
                    <w:rPr>
                      <w:rFonts w:hint="eastAsia"/>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1230" w:type="dxa"/>
                  <w:noWrap w:val="0"/>
                  <w:vAlign w:val="center"/>
                </w:tcPr>
                <w:p>
                  <w:pPr>
                    <w:pStyle w:val="17"/>
                    <w:bidi w:val="0"/>
                    <w:rPr>
                      <w:color w:val="auto"/>
                    </w:rPr>
                  </w:pPr>
                  <w:r>
                    <w:rPr>
                      <w:color w:val="auto"/>
                    </w:rPr>
                    <w:t>合计</w:t>
                  </w:r>
                </w:p>
              </w:tc>
              <w:tc>
                <w:tcPr>
                  <w:tcW w:w="3199" w:type="dxa"/>
                  <w:gridSpan w:val="3"/>
                  <w:noWrap w:val="0"/>
                  <w:vAlign w:val="center"/>
                </w:tcPr>
                <w:p>
                  <w:pPr>
                    <w:pStyle w:val="17"/>
                    <w:bidi w:val="0"/>
                    <w:rPr>
                      <w:color w:val="auto"/>
                    </w:rPr>
                  </w:pPr>
                  <w:r>
                    <w:rPr>
                      <w:color w:val="auto"/>
                    </w:rPr>
                    <w:t>--</w:t>
                  </w:r>
                </w:p>
              </w:tc>
              <w:tc>
                <w:tcPr>
                  <w:tcW w:w="1939" w:type="dxa"/>
                  <w:noWrap w:val="0"/>
                  <w:vAlign w:val="center"/>
                </w:tcPr>
                <w:p>
                  <w:pPr>
                    <w:pStyle w:val="17"/>
                    <w:bidi w:val="0"/>
                    <w:rPr>
                      <w:rFonts w:hint="default" w:eastAsia="宋体"/>
                      <w:color w:val="auto"/>
                      <w:lang w:val="en-US" w:eastAsia="zh-CN"/>
                    </w:rPr>
                  </w:pPr>
                  <w:r>
                    <w:rPr>
                      <w:rFonts w:hint="eastAsia"/>
                      <w:color w:val="auto"/>
                      <w:lang w:val="en-US" w:eastAsia="zh-CN"/>
                    </w:rPr>
                    <w:t>9344</w:t>
                  </w:r>
                  <w:r>
                    <w:rPr>
                      <w:rFonts w:hint="default"/>
                      <w:color w:val="auto"/>
                    </w:rPr>
                    <w:t>m</w:t>
                  </w:r>
                  <w:r>
                    <w:rPr>
                      <w:rFonts w:hint="default"/>
                      <w:color w:val="auto"/>
                      <w:vertAlign w:val="superscript"/>
                    </w:rPr>
                    <w:t>3</w:t>
                  </w:r>
                </w:p>
              </w:tc>
              <w:tc>
                <w:tcPr>
                  <w:tcW w:w="1938" w:type="dxa"/>
                  <w:noWrap w:val="0"/>
                  <w:vAlign w:val="center"/>
                </w:tcPr>
                <w:p>
                  <w:pPr>
                    <w:pStyle w:val="17"/>
                    <w:bidi w:val="0"/>
                    <w:rPr>
                      <w:color w:val="auto"/>
                    </w:rPr>
                  </w:pPr>
                  <w:r>
                    <w:rPr>
                      <w:rFonts w:hint="eastAsia"/>
                      <w:color w:val="auto"/>
                      <w:lang w:val="en-US" w:eastAsia="zh-CN"/>
                    </w:rPr>
                    <w:t>1075.2</w:t>
                  </w:r>
                  <w:r>
                    <w:rPr>
                      <w:color w:val="auto"/>
                    </w:rPr>
                    <w:t>m</w:t>
                  </w:r>
                  <w:r>
                    <w:rPr>
                      <w:color w:val="auto"/>
                      <w:vertAlign w:val="superscript"/>
                    </w:rPr>
                    <w:t>3</w:t>
                  </w:r>
                  <w:r>
                    <w:rPr>
                      <w:color w:val="auto"/>
                    </w:rPr>
                    <w:t>/a</w:t>
                  </w:r>
                </w:p>
              </w:tc>
            </w:tr>
          </w:tbl>
          <w:p>
            <w:pPr>
              <w:pStyle w:val="19"/>
              <w:bidi w:val="0"/>
              <w:rPr>
                <w:rFonts w:hint="default"/>
                <w:highlight w:val="none"/>
              </w:rPr>
            </w:pPr>
            <w:r>
              <w:rPr>
                <w:rFonts w:hint="eastAsia"/>
                <w:lang w:val="en-US" w:eastAsia="zh-CN"/>
              </w:rPr>
              <w:t>5.3</w:t>
            </w:r>
            <w:r>
              <w:rPr>
                <w:rFonts w:hint="default"/>
              </w:rPr>
              <w:t>供暖</w:t>
            </w:r>
          </w:p>
          <w:p>
            <w:pPr>
              <w:pStyle w:val="16"/>
              <w:bidi w:val="0"/>
              <w:rPr>
                <w:rFonts w:hint="default"/>
                <w:highlight w:val="none"/>
              </w:rPr>
            </w:pPr>
            <w:r>
              <w:rPr>
                <w:rFonts w:hint="default"/>
                <w:highlight w:val="none"/>
              </w:rPr>
              <w:t>本项目钻井期不在冬季，无需供暖。</w:t>
            </w:r>
          </w:p>
          <w:p>
            <w:pPr>
              <w:pStyle w:val="19"/>
              <w:bidi w:val="0"/>
              <w:rPr>
                <w:rFonts w:hint="default"/>
                <w:highlight w:val="none"/>
              </w:rPr>
            </w:pPr>
            <w:r>
              <w:rPr>
                <w:rFonts w:hint="eastAsia"/>
                <w:highlight w:val="none"/>
                <w:lang w:val="en-US" w:eastAsia="zh-CN"/>
              </w:rPr>
              <w:t>5.4</w:t>
            </w:r>
            <w:r>
              <w:rPr>
                <w:rFonts w:hint="default"/>
                <w:highlight w:val="none"/>
              </w:rPr>
              <w:t>供电</w:t>
            </w:r>
          </w:p>
          <w:p>
            <w:pPr>
              <w:pStyle w:val="16"/>
              <w:bidi w:val="0"/>
              <w:rPr>
                <w:rFonts w:hint="default"/>
                <w:color w:val="FF0000"/>
                <w:highlight w:val="none"/>
              </w:rPr>
            </w:pPr>
            <w:r>
              <w:rPr>
                <w:rFonts w:hint="default"/>
                <w:highlight w:val="none"/>
              </w:rPr>
              <w:t>钻井作业过程中</w:t>
            </w:r>
            <w:r>
              <w:rPr>
                <w:rFonts w:hint="default"/>
                <w:color w:val="auto"/>
                <w:highlight w:val="none"/>
              </w:rPr>
              <w:t>需要使用柴油机和柴油发电机，要消耗一定量的柴油(均为符合国家标准的合格柴油)。每井钻井队配备钻井柴油机3台(2用1备)，柴油发电机2台(1用1备)；电力供应有充分保障。</w:t>
            </w:r>
          </w:p>
          <w:p>
            <w:pPr>
              <w:pStyle w:val="4"/>
              <w:bidi w:val="0"/>
              <w:rPr>
                <w:rFonts w:hint="default"/>
                <w:highlight w:val="none"/>
              </w:rPr>
            </w:pPr>
            <w:r>
              <w:rPr>
                <w:rFonts w:hint="eastAsia"/>
                <w:highlight w:val="none"/>
                <w:lang w:val="en-US" w:eastAsia="zh-CN"/>
              </w:rPr>
              <w:t>6</w:t>
            </w:r>
            <w:r>
              <w:rPr>
                <w:rFonts w:hint="default"/>
                <w:highlight w:val="none"/>
              </w:rPr>
              <w:t>、依托工程</w:t>
            </w:r>
          </w:p>
          <w:p>
            <w:pPr>
              <w:pStyle w:val="19"/>
              <w:bidi w:val="0"/>
              <w:rPr>
                <w:rFonts w:hint="default"/>
              </w:rPr>
            </w:pPr>
            <w:r>
              <w:rPr>
                <w:rFonts w:hint="eastAsia"/>
                <w:lang w:val="en-US" w:eastAsia="zh-CN"/>
              </w:rPr>
              <w:t>6</w:t>
            </w:r>
            <w:r>
              <w:rPr>
                <w:rFonts w:hint="default"/>
              </w:rPr>
              <w:t>.1吉祥联合站</w:t>
            </w:r>
          </w:p>
          <w:p>
            <w:pPr>
              <w:pStyle w:val="16"/>
              <w:bidi w:val="0"/>
              <w:rPr>
                <w:rFonts w:hint="default"/>
              </w:rPr>
            </w:pPr>
            <w:r>
              <w:rPr>
                <w:rFonts w:hint="default"/>
              </w:rPr>
              <w:t>（1）吉祥联合站环保手续</w:t>
            </w:r>
          </w:p>
          <w:p>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hint="default"/>
              </w:rPr>
            </w:pPr>
            <w:r>
              <w:rPr>
                <w:rFonts w:hint="default" w:ascii="Times New Roman" w:hAnsi="Times New Roman" w:eastAsia="宋体" w:cs="Times New Roman"/>
                <w:color w:val="auto"/>
                <w:spacing w:val="1"/>
                <w:sz w:val="24"/>
                <w:szCs w:val="24"/>
              </w:rPr>
              <w:t>新疆油田公司于</w:t>
            </w:r>
            <w:r>
              <w:rPr>
                <w:rFonts w:hint="default" w:ascii="Times New Roman" w:hAnsi="Times New Roman" w:eastAsia="Times New Roman" w:cs="Times New Roman"/>
                <w:color w:val="auto"/>
                <w:spacing w:val="1"/>
                <w:sz w:val="24"/>
                <w:szCs w:val="24"/>
              </w:rPr>
              <w:t>2014</w:t>
            </w:r>
            <w:r>
              <w:rPr>
                <w:rFonts w:hint="default" w:ascii="Times New Roman" w:hAnsi="Times New Roman" w:eastAsia="宋体" w:cs="Times New Roman"/>
                <w:color w:val="auto"/>
                <w:spacing w:val="1"/>
                <w:sz w:val="24"/>
                <w:szCs w:val="24"/>
              </w:rPr>
              <w:t>年</w:t>
            </w:r>
            <w:r>
              <w:rPr>
                <w:rFonts w:hint="default" w:ascii="Times New Roman" w:hAnsi="Times New Roman" w:eastAsia="Times New Roman" w:cs="Times New Roman"/>
                <w:color w:val="auto"/>
                <w:spacing w:val="1"/>
                <w:sz w:val="24"/>
                <w:szCs w:val="24"/>
              </w:rPr>
              <w:t>1</w:t>
            </w:r>
            <w:r>
              <w:rPr>
                <w:rFonts w:hint="default" w:ascii="Times New Roman" w:hAnsi="Times New Roman" w:eastAsia="宋体" w:cs="Times New Roman"/>
                <w:color w:val="auto"/>
                <w:spacing w:val="1"/>
                <w:sz w:val="24"/>
                <w:szCs w:val="24"/>
              </w:rPr>
              <w:t>月</w:t>
            </w:r>
            <w:r>
              <w:rPr>
                <w:rFonts w:hint="default" w:ascii="Times New Roman" w:hAnsi="Times New Roman" w:eastAsia="Times New Roman" w:cs="Times New Roman"/>
                <w:color w:val="auto"/>
                <w:spacing w:val="1"/>
                <w:sz w:val="24"/>
                <w:szCs w:val="24"/>
              </w:rPr>
              <w:t>2</w:t>
            </w:r>
            <w:r>
              <w:rPr>
                <w:rFonts w:hint="default" w:ascii="Times New Roman" w:hAnsi="Times New Roman" w:eastAsia="Times New Roman" w:cs="Times New Roman"/>
                <w:color w:val="auto"/>
                <w:sz w:val="24"/>
                <w:szCs w:val="24"/>
              </w:rPr>
              <w:t>9</w:t>
            </w:r>
            <w:r>
              <w:rPr>
                <w:rFonts w:hint="default" w:ascii="Times New Roman" w:hAnsi="Times New Roman" w:eastAsia="宋体" w:cs="Times New Roman"/>
                <w:color w:val="auto"/>
                <w:sz w:val="24"/>
                <w:szCs w:val="24"/>
              </w:rPr>
              <w:t>日取得《吉</w:t>
            </w:r>
            <w:r>
              <w:rPr>
                <w:rFonts w:hint="default" w:ascii="Times New Roman" w:hAnsi="Times New Roman" w:eastAsia="Times New Roman" w:cs="Times New Roman"/>
                <w:color w:val="auto"/>
                <w:sz w:val="24"/>
                <w:szCs w:val="24"/>
              </w:rPr>
              <w:t>7</w:t>
            </w:r>
            <w:r>
              <w:rPr>
                <w:rFonts w:hint="default" w:ascii="Times New Roman" w:hAnsi="Times New Roman" w:eastAsia="宋体" w:cs="Times New Roman"/>
                <w:color w:val="auto"/>
                <w:sz w:val="24"/>
                <w:szCs w:val="24"/>
              </w:rPr>
              <w:t>井区吉</w:t>
            </w:r>
            <w:r>
              <w:rPr>
                <w:rFonts w:hint="default" w:ascii="Times New Roman" w:hAnsi="Times New Roman" w:eastAsia="Times New Roman" w:cs="Times New Roman"/>
                <w:color w:val="auto"/>
                <w:sz w:val="24"/>
                <w:szCs w:val="24"/>
              </w:rPr>
              <w:t>006</w:t>
            </w:r>
            <w:r>
              <w:rPr>
                <w:rFonts w:hint="default" w:ascii="Times New Roman" w:hAnsi="Times New Roman" w:eastAsia="宋体" w:cs="Times New Roman"/>
                <w:color w:val="auto"/>
                <w:sz w:val="24"/>
                <w:szCs w:val="24"/>
              </w:rPr>
              <w:t>井断块梧桐沟组油</w:t>
            </w:r>
            <w:r>
              <w:rPr>
                <w:rFonts w:hint="default" w:ascii="Times New Roman" w:hAnsi="Times New Roman" w:eastAsia="宋体" w:cs="Times New Roman"/>
                <w:color w:val="auto"/>
                <w:spacing w:val="5"/>
                <w:sz w:val="24"/>
                <w:szCs w:val="24"/>
              </w:rPr>
              <w:t>藏建设工程环境影响报告书》批复(新环函</w:t>
            </w:r>
            <w:r>
              <w:rPr>
                <w:rFonts w:hint="default" w:ascii="Times New Roman" w:hAnsi="Times New Roman" w:eastAsia="Times New Roman" w:cs="Times New Roman"/>
                <w:color w:val="auto"/>
                <w:spacing w:val="5"/>
                <w:sz w:val="24"/>
                <w:szCs w:val="24"/>
              </w:rPr>
              <w:t>[2014]134</w:t>
            </w:r>
            <w:r>
              <w:rPr>
                <w:rFonts w:hint="default" w:ascii="Times New Roman" w:hAnsi="Times New Roman" w:eastAsia="宋体" w:cs="Times New Roman"/>
                <w:color w:val="auto"/>
                <w:spacing w:val="5"/>
                <w:sz w:val="24"/>
                <w:szCs w:val="24"/>
              </w:rPr>
              <w:t>号)，该项目在吉7井区新建1座拉油注水站</w:t>
            </w:r>
            <w:r>
              <w:rPr>
                <w:rFonts w:hint="default" w:ascii="Times New Roman" w:hAnsi="Times New Roman" w:eastAsia="宋体" w:cs="Times New Roman"/>
                <w:color w:val="auto"/>
                <w:spacing w:val="3"/>
                <w:sz w:val="24"/>
                <w:szCs w:val="24"/>
              </w:rPr>
              <w:t>。</w:t>
            </w:r>
            <w:r>
              <w:rPr>
                <w:rFonts w:hint="default" w:ascii="Times New Roman" w:hAnsi="Times New Roman" w:eastAsia="Times New Roman" w:cs="Times New Roman"/>
                <w:color w:val="auto"/>
                <w:spacing w:val="3"/>
                <w:sz w:val="24"/>
                <w:szCs w:val="24"/>
              </w:rPr>
              <w:t>2014</w:t>
            </w:r>
            <w:r>
              <w:rPr>
                <w:rFonts w:hint="default" w:ascii="Times New Roman" w:hAnsi="Times New Roman" w:eastAsia="宋体" w:cs="Times New Roman"/>
                <w:color w:val="auto"/>
                <w:spacing w:val="3"/>
                <w:sz w:val="24"/>
                <w:szCs w:val="24"/>
              </w:rPr>
              <w:t>年</w:t>
            </w:r>
            <w:r>
              <w:rPr>
                <w:rFonts w:hint="default" w:ascii="Times New Roman" w:hAnsi="Times New Roman" w:eastAsia="Times New Roman" w:cs="Times New Roman"/>
                <w:color w:val="auto"/>
                <w:spacing w:val="3"/>
                <w:sz w:val="24"/>
                <w:szCs w:val="24"/>
              </w:rPr>
              <w:t>7</w:t>
            </w:r>
            <w:r>
              <w:rPr>
                <w:rFonts w:hint="default" w:ascii="Times New Roman" w:hAnsi="Times New Roman" w:eastAsia="宋体" w:cs="Times New Roman"/>
                <w:color w:val="auto"/>
                <w:spacing w:val="3"/>
                <w:sz w:val="24"/>
                <w:szCs w:val="24"/>
              </w:rPr>
              <w:t>月</w:t>
            </w:r>
            <w:r>
              <w:rPr>
                <w:rFonts w:hint="default" w:ascii="Times New Roman" w:hAnsi="Times New Roman" w:eastAsia="Times New Roman" w:cs="Times New Roman"/>
                <w:color w:val="auto"/>
                <w:spacing w:val="3"/>
                <w:sz w:val="24"/>
                <w:szCs w:val="24"/>
              </w:rPr>
              <w:t>23</w:t>
            </w:r>
            <w:r>
              <w:rPr>
                <w:rFonts w:hint="default" w:ascii="Times New Roman" w:hAnsi="Times New Roman" w:eastAsia="宋体" w:cs="Times New Roman"/>
                <w:color w:val="auto"/>
                <w:spacing w:val="3"/>
                <w:sz w:val="24"/>
                <w:szCs w:val="24"/>
              </w:rPr>
              <w:t>日，新疆油田公司取得《昌吉油田吉</w:t>
            </w:r>
            <w:r>
              <w:rPr>
                <w:rFonts w:hint="default" w:ascii="Times New Roman" w:hAnsi="Times New Roman" w:eastAsia="Times New Roman" w:cs="Times New Roman"/>
                <w:color w:val="auto"/>
                <w:spacing w:val="14"/>
                <w:sz w:val="24"/>
                <w:szCs w:val="24"/>
              </w:rPr>
              <w:t>7</w:t>
            </w:r>
            <w:r>
              <w:rPr>
                <w:rFonts w:hint="default" w:ascii="Times New Roman" w:hAnsi="Times New Roman" w:eastAsia="宋体" w:cs="Times New Roman"/>
                <w:color w:val="auto"/>
                <w:spacing w:val="7"/>
                <w:sz w:val="24"/>
                <w:szCs w:val="24"/>
              </w:rPr>
              <w:t>井区梧桐沟组中深层稠油油藏常规水驱开发建设项目环境影响报告书》批复(新</w:t>
            </w:r>
            <w:r>
              <w:rPr>
                <w:rFonts w:hint="default" w:ascii="Times New Roman" w:hAnsi="Times New Roman" w:eastAsia="宋体" w:cs="Times New Roman"/>
                <w:color w:val="auto"/>
                <w:spacing w:val="8"/>
                <w:sz w:val="24"/>
                <w:szCs w:val="24"/>
              </w:rPr>
              <w:t>环函</w:t>
            </w:r>
            <w:r>
              <w:rPr>
                <w:rFonts w:hint="default" w:ascii="Times New Roman" w:hAnsi="Times New Roman" w:eastAsia="Times New Roman" w:cs="Times New Roman"/>
                <w:color w:val="auto"/>
                <w:spacing w:val="8"/>
                <w:sz w:val="24"/>
                <w:szCs w:val="24"/>
              </w:rPr>
              <w:t>[2014</w:t>
            </w:r>
            <w:r>
              <w:rPr>
                <w:rFonts w:hint="default" w:ascii="Times New Roman" w:hAnsi="Times New Roman" w:eastAsia="Times New Roman" w:cs="Times New Roman"/>
                <w:color w:val="auto"/>
                <w:spacing w:val="5"/>
                <w:sz w:val="24"/>
                <w:szCs w:val="24"/>
              </w:rPr>
              <w:t>]</w:t>
            </w:r>
            <w:r>
              <w:rPr>
                <w:rFonts w:hint="default" w:ascii="Times New Roman" w:hAnsi="Times New Roman" w:eastAsia="Times New Roman" w:cs="Times New Roman"/>
                <w:color w:val="auto"/>
                <w:spacing w:val="4"/>
                <w:sz w:val="24"/>
                <w:szCs w:val="24"/>
              </w:rPr>
              <w:t>918</w:t>
            </w:r>
            <w:r>
              <w:rPr>
                <w:rFonts w:hint="default" w:ascii="Times New Roman" w:hAnsi="Times New Roman" w:eastAsia="宋体" w:cs="Times New Roman"/>
                <w:color w:val="auto"/>
                <w:spacing w:val="4"/>
                <w:sz w:val="24"/>
                <w:szCs w:val="24"/>
              </w:rPr>
              <w:t>号)，该</w:t>
            </w:r>
            <w:r>
              <w:rPr>
                <w:rFonts w:hint="eastAsia" w:cs="Times New Roman"/>
                <w:color w:val="auto"/>
                <w:spacing w:val="4"/>
                <w:sz w:val="24"/>
                <w:szCs w:val="24"/>
                <w:lang w:val="en-US" w:eastAsia="zh-CN"/>
              </w:rPr>
              <w:t>项目</w:t>
            </w:r>
            <w:r>
              <w:rPr>
                <w:rFonts w:hint="default" w:ascii="Times New Roman" w:hAnsi="Times New Roman" w:eastAsia="宋体" w:cs="Times New Roman"/>
                <w:color w:val="auto"/>
                <w:spacing w:val="4"/>
                <w:sz w:val="24"/>
                <w:szCs w:val="24"/>
              </w:rPr>
              <w:t>对</w:t>
            </w:r>
            <w:r>
              <w:rPr>
                <w:rFonts w:hint="eastAsia" w:cs="Times New Roman"/>
                <w:color w:val="auto"/>
                <w:spacing w:val="4"/>
                <w:sz w:val="24"/>
                <w:szCs w:val="24"/>
                <w:lang w:val="en-US" w:eastAsia="zh-CN"/>
              </w:rPr>
              <w:t>已建</w:t>
            </w:r>
            <w:r>
              <w:rPr>
                <w:rFonts w:hint="default" w:ascii="Times New Roman" w:hAnsi="Times New Roman" w:eastAsia="宋体" w:cs="Times New Roman"/>
                <w:color w:val="auto"/>
                <w:spacing w:val="4"/>
                <w:sz w:val="24"/>
                <w:szCs w:val="24"/>
              </w:rPr>
              <w:t>吉</w:t>
            </w:r>
            <w:r>
              <w:rPr>
                <w:rFonts w:hint="default" w:ascii="Times New Roman" w:hAnsi="Times New Roman" w:eastAsia="Times New Roman" w:cs="Times New Roman"/>
                <w:color w:val="auto"/>
                <w:spacing w:val="4"/>
                <w:sz w:val="24"/>
                <w:szCs w:val="24"/>
              </w:rPr>
              <w:t>7</w:t>
            </w:r>
            <w:r>
              <w:rPr>
                <w:rFonts w:hint="default" w:ascii="Times New Roman" w:hAnsi="Times New Roman" w:eastAsia="宋体" w:cs="Times New Roman"/>
                <w:color w:val="auto"/>
                <w:spacing w:val="4"/>
                <w:sz w:val="24"/>
                <w:szCs w:val="24"/>
              </w:rPr>
              <w:t>集中拉油注水站进行扩建。</w:t>
            </w:r>
            <w:r>
              <w:rPr>
                <w:rFonts w:hint="default" w:ascii="Times New Roman" w:hAnsi="Times New Roman" w:eastAsia="Times New Roman" w:cs="Times New Roman"/>
                <w:color w:val="auto"/>
                <w:spacing w:val="4"/>
                <w:sz w:val="24"/>
                <w:szCs w:val="24"/>
              </w:rPr>
              <w:t>2018</w:t>
            </w:r>
            <w:r>
              <w:rPr>
                <w:rFonts w:hint="default" w:ascii="Times New Roman" w:hAnsi="Times New Roman" w:eastAsia="宋体" w:cs="Times New Roman"/>
                <w:color w:val="auto"/>
                <w:spacing w:val="4"/>
                <w:sz w:val="24"/>
                <w:szCs w:val="24"/>
              </w:rPr>
              <w:t>年</w:t>
            </w:r>
            <w:r>
              <w:rPr>
                <w:rFonts w:hint="default" w:ascii="Times New Roman" w:hAnsi="Times New Roman" w:eastAsia="Times New Roman" w:cs="Times New Roman"/>
                <w:color w:val="auto"/>
                <w:spacing w:val="4"/>
                <w:sz w:val="24"/>
                <w:szCs w:val="24"/>
              </w:rPr>
              <w:t>8</w:t>
            </w:r>
            <w:r>
              <w:rPr>
                <w:rFonts w:hint="default" w:ascii="Times New Roman" w:hAnsi="Times New Roman" w:eastAsia="宋体" w:cs="Times New Roman"/>
                <w:color w:val="auto"/>
                <w:spacing w:val="4"/>
                <w:sz w:val="24"/>
                <w:szCs w:val="24"/>
              </w:rPr>
              <w:t>月</w:t>
            </w:r>
            <w:r>
              <w:rPr>
                <w:rFonts w:hint="default" w:ascii="Times New Roman" w:hAnsi="Times New Roman" w:eastAsia="Times New Roman" w:cs="Times New Roman"/>
                <w:color w:val="auto"/>
                <w:spacing w:val="8"/>
                <w:sz w:val="24"/>
                <w:szCs w:val="24"/>
              </w:rPr>
              <w:t>19</w:t>
            </w:r>
            <w:r>
              <w:rPr>
                <w:rFonts w:hint="default" w:ascii="Times New Roman" w:hAnsi="Times New Roman" w:eastAsia="宋体" w:cs="Times New Roman"/>
                <w:color w:val="auto"/>
                <w:spacing w:val="8"/>
                <w:sz w:val="24"/>
                <w:szCs w:val="24"/>
              </w:rPr>
              <w:t>日吉</w:t>
            </w:r>
            <w:r>
              <w:rPr>
                <w:rFonts w:hint="default" w:ascii="Times New Roman" w:hAnsi="Times New Roman" w:eastAsia="Times New Roman" w:cs="Times New Roman"/>
                <w:color w:val="auto"/>
                <w:spacing w:val="4"/>
                <w:sz w:val="24"/>
                <w:szCs w:val="24"/>
              </w:rPr>
              <w:t>7</w:t>
            </w:r>
            <w:r>
              <w:rPr>
                <w:rFonts w:hint="default" w:ascii="Times New Roman" w:hAnsi="Times New Roman" w:eastAsia="宋体" w:cs="Times New Roman"/>
                <w:color w:val="auto"/>
                <w:spacing w:val="4"/>
                <w:sz w:val="24"/>
                <w:szCs w:val="24"/>
              </w:rPr>
              <w:t>集中拉油站通过自主验收，该站污水处理规模为</w:t>
            </w:r>
            <w:r>
              <w:rPr>
                <w:rFonts w:hint="default" w:ascii="Times New Roman" w:hAnsi="Times New Roman" w:eastAsia="Times New Roman" w:cs="Times New Roman"/>
                <w:color w:val="auto"/>
                <w:spacing w:val="4"/>
                <w:sz w:val="24"/>
                <w:szCs w:val="24"/>
              </w:rPr>
              <w:t>1800</w:t>
            </w:r>
            <w:r>
              <w:rPr>
                <w:rFonts w:hint="default" w:ascii="Times New Roman" w:hAnsi="Times New Roman" w:eastAsia="Times New Roman" w:cs="Times New Roman"/>
                <w:color w:val="auto"/>
                <w:sz w:val="24"/>
                <w:szCs w:val="24"/>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Times New Roman" w:cs="Times New Roman"/>
                <w:color w:val="auto"/>
                <w:spacing w:val="4"/>
                <w:sz w:val="24"/>
                <w:szCs w:val="24"/>
              </w:rPr>
              <w:t>/</w:t>
            </w:r>
            <w:r>
              <w:rPr>
                <w:rFonts w:hint="default" w:ascii="Times New Roman" w:hAnsi="Times New Roman" w:eastAsia="Times New Roman" w:cs="Times New Roman"/>
                <w:color w:val="auto"/>
                <w:sz w:val="24"/>
                <w:szCs w:val="24"/>
              </w:rPr>
              <w:t>d</w:t>
            </w:r>
            <w:r>
              <w:rPr>
                <w:rFonts w:hint="default" w:ascii="Times New Roman" w:hAnsi="Times New Roman" w:eastAsia="宋体" w:cs="Times New Roman"/>
                <w:color w:val="auto"/>
                <w:spacing w:val="4"/>
                <w:sz w:val="24"/>
                <w:szCs w:val="24"/>
              </w:rPr>
              <w:t>。</w:t>
            </w:r>
          </w:p>
          <w:p>
            <w:pPr>
              <w:pStyle w:val="16"/>
              <w:bidi w:val="0"/>
              <w:rPr>
                <w:rFonts w:hint="default"/>
              </w:rPr>
            </w:pPr>
            <w:r>
              <w:rPr>
                <w:rFonts w:hint="default"/>
              </w:rPr>
              <w:t>2018年12月24日，昌吉州生态环境局出具环评批复(昌州环评[2018]76号)，将吉7井区集中拉油注水站改扩建为原油处理联合站，并更名为吉祥联合站。2019年11月14日通过自主验收。</w:t>
            </w:r>
          </w:p>
          <w:p>
            <w:pPr>
              <w:pStyle w:val="16"/>
              <w:bidi w:val="0"/>
              <w:rPr>
                <w:rFonts w:hint="default"/>
              </w:rPr>
            </w:pPr>
            <w:r>
              <w:rPr>
                <w:rFonts w:hint="default"/>
              </w:rPr>
              <w:t>（2）吉祥联合站概况</w:t>
            </w:r>
          </w:p>
          <w:p>
            <w:pPr>
              <w:pStyle w:val="16"/>
              <w:bidi w:val="0"/>
              <w:rPr>
                <w:rFonts w:hint="default"/>
              </w:rPr>
            </w:pPr>
            <w:r>
              <w:rPr>
                <w:rFonts w:hint="default"/>
              </w:rPr>
              <w:t>本项目井下作业废水依托吉祥联合站污水处理系统。</w:t>
            </w:r>
          </w:p>
          <w:p>
            <w:pPr>
              <w:pStyle w:val="16"/>
              <w:bidi w:val="0"/>
              <w:rPr>
                <w:rFonts w:hint="default"/>
              </w:rPr>
            </w:pPr>
            <w:r>
              <w:rPr>
                <w:rFonts w:hint="default"/>
              </w:rPr>
              <w:t>吉祥联合站主要处理工艺有原油处理、伴生气处理、废水处理及注水，各系统处理规模分别为45×10</w:t>
            </w:r>
            <w:r>
              <w:rPr>
                <w:rFonts w:hint="default"/>
                <w:vertAlign w:val="superscript"/>
              </w:rPr>
              <w:t>4</w:t>
            </w:r>
            <w:r>
              <w:rPr>
                <w:rFonts w:hint="default"/>
              </w:rPr>
              <w:t>t/a、2.5×10</w:t>
            </w:r>
            <w:r>
              <w:rPr>
                <w:rFonts w:hint="default"/>
                <w:vertAlign w:val="superscript"/>
              </w:rPr>
              <w:t>4</w:t>
            </w:r>
            <w:r>
              <w:rPr>
                <w:rFonts w:hint="default"/>
              </w:rPr>
              <w:t>m</w:t>
            </w:r>
            <w:r>
              <w:rPr>
                <w:rFonts w:hint="default"/>
                <w:vertAlign w:val="superscript"/>
              </w:rPr>
              <w:t>3</w:t>
            </w:r>
            <w:r>
              <w:rPr>
                <w:rFonts w:hint="default"/>
              </w:rPr>
              <w:t>/d、1800m</w:t>
            </w:r>
            <w:r>
              <w:rPr>
                <w:rFonts w:hint="default"/>
                <w:vertAlign w:val="superscript"/>
              </w:rPr>
              <w:t>3</w:t>
            </w:r>
            <w:r>
              <w:rPr>
                <w:rFonts w:hint="default"/>
              </w:rPr>
              <w:t>/d和2592m</w:t>
            </w:r>
            <w:r>
              <w:rPr>
                <w:rFonts w:hint="default"/>
                <w:vertAlign w:val="superscript"/>
              </w:rPr>
              <w:t>3</w:t>
            </w:r>
            <w:r>
              <w:rPr>
                <w:rFonts w:hint="default"/>
              </w:rPr>
              <w:t>/d。原油处理工艺：油区来液首先进入气液两相分离器，分离出的伴生气经除油、过滤、加热后作为站内燃料气气源为相变加热炉供气；分离出的含水原油进入相变炉的油-汽换热器与蒸汽换热，出口油温升至70℃。换热后的原油进入沉降罐内，沉降12h后，底水自压进入储水罐，一部分经掺水泵回掺至采油井口，另一部分去污水处理系统。沉降脱水后的低含水原油自压进入站内拉油罐，最终通过装车泵装车输送至北三台油库。</w:t>
            </w:r>
          </w:p>
          <w:p>
            <w:pPr>
              <w:pStyle w:val="16"/>
              <w:bidi w:val="0"/>
              <w:rPr>
                <w:rFonts w:hint="default"/>
              </w:rPr>
            </w:pPr>
            <w:r>
              <w:rPr>
                <w:rFonts w:hint="default"/>
              </w:rPr>
              <w:t>伴生气处理工艺：集中拉油注水站生产分离来气进入到精细分离器，分离出因集输温降析出的液烃和杂质，然后去电加热器，加热到40℃左右，保证去相变加热炉及采暖炉作为燃料气使用时无游离水和液烃析出。精细分离器分离出的液烃进入到集中拉油注水站排污系统。</w:t>
            </w:r>
          </w:p>
          <w:p>
            <w:pPr>
              <w:pStyle w:val="16"/>
              <w:bidi w:val="0"/>
              <w:rPr>
                <w:rFonts w:hint="default"/>
              </w:rPr>
            </w:pPr>
            <w:r>
              <w:rPr>
                <w:rFonts w:hint="default"/>
              </w:rPr>
              <w:t>废水处理工艺：污水进入调储罐，串联运行，实现对污水处理系统来水的水质水量调节和初步除油功能，经重力沉降除油物理过程，调储罐出水含油≤150mg/L、悬浮物≤150mg/L，经污水反应提升泵提升进入聚结除油装置(包括2座卧式微涡旋絮凝反应沉降罐及配套管汇)，同时投加药剂，在装置进水管线上加入净水剂、在装置内加入助凝剂，在污水反应提升泵进口加助沉剂。随后处理污水进入多介质过滤器、纤维束过滤器，最终到达净化水罐，由喂水泵打入注水系统。污水处理后达到《碎屑岩油藏注水水质指标技术要求及分析方法》(SY/T5329-20</w:t>
            </w:r>
            <w:r>
              <w:rPr>
                <w:rFonts w:hint="eastAsia"/>
                <w:lang w:val="en-US" w:eastAsia="zh-CN"/>
              </w:rPr>
              <w:t>2</w:t>
            </w:r>
            <w:r>
              <w:rPr>
                <w:rFonts w:hint="default"/>
              </w:rPr>
              <w:t>2)中标准限值要求后回注。</w:t>
            </w:r>
          </w:p>
          <w:p>
            <w:pPr>
              <w:pStyle w:val="16"/>
              <w:bidi w:val="0"/>
              <w:ind w:left="0" w:leftChars="0" w:firstLine="0" w:firstLineChars="0"/>
              <w:jc w:val="center"/>
              <w:rPr>
                <w:rFonts w:hint="default"/>
              </w:rPr>
            </w:pPr>
            <w:r>
              <w:drawing>
                <wp:inline distT="0" distB="0" distL="114300" distR="114300">
                  <wp:extent cx="4940300" cy="1607185"/>
                  <wp:effectExtent l="0" t="0" r="12700" b="1206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5"/>
                          <a:stretch>
                            <a:fillRect/>
                          </a:stretch>
                        </pic:blipFill>
                        <pic:spPr>
                          <a:xfrm>
                            <a:off x="0" y="0"/>
                            <a:ext cx="4940300" cy="1607185"/>
                          </a:xfrm>
                          <a:prstGeom prst="rect">
                            <a:avLst/>
                          </a:prstGeom>
                          <a:noFill/>
                          <a:ln>
                            <a:noFill/>
                          </a:ln>
                        </pic:spPr>
                      </pic:pic>
                    </a:graphicData>
                  </a:graphic>
                </wp:inline>
              </w:drawing>
            </w:r>
          </w:p>
          <w:p>
            <w:pPr>
              <w:pStyle w:val="14"/>
              <w:bidi w:val="0"/>
              <w:rPr>
                <w:rFonts w:hint="default"/>
              </w:rPr>
            </w:pPr>
            <w:r>
              <w:rPr>
                <w:rFonts w:hint="default"/>
              </w:rPr>
              <w:t>图</w:t>
            </w:r>
            <w:r>
              <w:rPr>
                <w:rFonts w:hint="eastAsia"/>
                <w:lang w:val="en-US" w:eastAsia="zh-CN"/>
              </w:rPr>
              <w:t>3</w:t>
            </w:r>
            <w:r>
              <w:rPr>
                <w:rFonts w:hint="default"/>
              </w:rPr>
              <w:t xml:space="preserve">  吉祥联合站工艺流程图</w:t>
            </w:r>
          </w:p>
          <w:p>
            <w:pPr>
              <w:pStyle w:val="16"/>
              <w:bidi w:val="0"/>
              <w:rPr>
                <w:rFonts w:hint="default"/>
              </w:rPr>
            </w:pPr>
            <w:r>
              <w:rPr>
                <w:rFonts w:hint="default"/>
              </w:rPr>
              <w:t>（3）依托可行性</w:t>
            </w:r>
          </w:p>
          <w:p>
            <w:pPr>
              <w:pStyle w:val="16"/>
              <w:bidi w:val="0"/>
              <w:rPr>
                <w:rFonts w:hint="default"/>
              </w:rPr>
            </w:pPr>
            <w:r>
              <w:rPr>
                <w:rFonts w:hint="default"/>
              </w:rPr>
              <w:t>根据《新疆准葛尔盆地准东地区油气勘查区块内部流转协议》，吐哈油田分公司在准东流转区块内所产油、气、水统一进入新疆油田公司处理系统。吉祥联合站目前实际处理原油量43.8×10</w:t>
            </w:r>
            <w:r>
              <w:rPr>
                <w:rFonts w:hint="default"/>
                <w:vertAlign w:val="superscript"/>
              </w:rPr>
              <w:t>4</w:t>
            </w:r>
            <w:r>
              <w:rPr>
                <w:rFonts w:hint="default"/>
              </w:rPr>
              <w:t>t/a，废水处理量1500m</w:t>
            </w:r>
            <w:r>
              <w:rPr>
                <w:rFonts w:hint="default"/>
                <w:vertAlign w:val="superscript"/>
              </w:rPr>
              <w:t>3</w:t>
            </w:r>
            <w:r>
              <w:rPr>
                <w:rFonts w:hint="default"/>
              </w:rPr>
              <w:t>/d，剩余处理能力可以满足本工程需求。本工程井下作业废液采用专用废液收集罐收集后运至吉祥联合站处理。</w:t>
            </w:r>
          </w:p>
          <w:p>
            <w:pPr>
              <w:pStyle w:val="19"/>
              <w:bidi w:val="0"/>
              <w:rPr>
                <w:rFonts w:hint="default"/>
                <w:color w:val="auto"/>
              </w:rPr>
            </w:pPr>
            <w:r>
              <w:rPr>
                <w:rFonts w:hint="default"/>
              </w:rPr>
              <w:t>6.2吉</w:t>
            </w:r>
            <w:r>
              <w:rPr>
                <w:rFonts w:hint="default"/>
                <w:color w:val="auto"/>
              </w:rPr>
              <w:t>木萨尔县污水处理厂</w:t>
            </w:r>
          </w:p>
          <w:p>
            <w:pPr>
              <w:pStyle w:val="16"/>
              <w:bidi w:val="0"/>
              <w:rPr>
                <w:rFonts w:hint="default"/>
                <w:color w:val="auto"/>
              </w:rPr>
            </w:pPr>
            <w:r>
              <w:rPr>
                <w:rFonts w:hint="default"/>
                <w:color w:val="auto"/>
              </w:rPr>
              <w:t>本项目生活污水经收集后由钻井技术服务公司拉运至吉木萨尔县污水处理厂。吉木萨尔县污水处理厂工程位于吉木萨尔县城东北15km处（张家庄子村北500m），距本项目约2</w:t>
            </w:r>
            <w:r>
              <w:rPr>
                <w:rFonts w:hint="eastAsia"/>
                <w:color w:val="auto"/>
                <w:lang w:val="en-US" w:eastAsia="zh-CN"/>
              </w:rPr>
              <w:t>0</w:t>
            </w:r>
            <w:r>
              <w:rPr>
                <w:rFonts w:hint="default"/>
                <w:color w:val="auto"/>
              </w:rPr>
              <w:t>km。设计规模为处理污水量3万m</w:t>
            </w:r>
            <w:r>
              <w:rPr>
                <w:rFonts w:hint="default"/>
                <w:color w:val="auto"/>
                <w:vertAlign w:val="superscript"/>
              </w:rPr>
              <w:t>3</w:t>
            </w:r>
            <w:r>
              <w:rPr>
                <w:rFonts w:hint="default"/>
                <w:color w:val="auto"/>
              </w:rPr>
              <w:t>/d处理设施，实际建设规模为处理污水量1万m</w:t>
            </w:r>
            <w:r>
              <w:rPr>
                <w:rFonts w:hint="default"/>
                <w:color w:val="auto"/>
                <w:vertAlign w:val="superscript"/>
              </w:rPr>
              <w:t>3</w:t>
            </w:r>
            <w:r>
              <w:rPr>
                <w:rFonts w:hint="default"/>
                <w:color w:val="auto"/>
              </w:rPr>
              <w:t>/d。污水处理工艺采用“强化脱氮改良A2/O+絮凝沉淀滤布滤池工艺”，污泥处理工艺采用带式压榨脱水一体机浓缩脱水，消毒工艺采用紫外线消毒。工程于2015年6月动工开建，2017年10月初建成，2017年10月16日进入试运行。项目处理能力1万m</w:t>
            </w:r>
            <w:r>
              <w:rPr>
                <w:rFonts w:hint="default"/>
                <w:color w:val="auto"/>
                <w:vertAlign w:val="superscript"/>
              </w:rPr>
              <w:t>3</w:t>
            </w:r>
            <w:r>
              <w:rPr>
                <w:rFonts w:hint="default"/>
                <w:color w:val="auto"/>
              </w:rPr>
              <w:t>/d，目前试运行中实际处理量在0.6~0.7万m</w:t>
            </w:r>
            <w:r>
              <w:rPr>
                <w:rFonts w:hint="default"/>
                <w:color w:val="auto"/>
                <w:vertAlign w:val="superscript"/>
              </w:rPr>
              <w:t>3</w:t>
            </w:r>
            <w:r>
              <w:rPr>
                <w:rFonts w:hint="default"/>
                <w:color w:val="auto"/>
              </w:rPr>
              <w:t>/d。尾水输入北部荒漠地带做生态林用水。吉木萨尔县污水处理厂由新疆绿格洁瑞环境检测技术有限公司进行验收，验收监测期间，尾水排放浓度符合《城镇污水处理厂污染物排放标准》（GB18918-2002）中的一级A标准的要求。</w:t>
            </w:r>
          </w:p>
          <w:p>
            <w:pPr>
              <w:pStyle w:val="16"/>
              <w:bidi w:val="0"/>
              <w:rPr>
                <w:rFonts w:hint="default"/>
                <w:color w:val="auto"/>
              </w:rPr>
            </w:pPr>
            <w:r>
              <w:rPr>
                <w:rFonts w:hint="default"/>
                <w:color w:val="auto"/>
              </w:rPr>
              <w:t>本项目施工期生活污水量</w:t>
            </w:r>
            <w:r>
              <w:rPr>
                <w:rFonts w:hint="eastAsia"/>
                <w:color w:val="auto"/>
                <w:lang w:val="en-US" w:eastAsia="zh-CN"/>
              </w:rPr>
              <w:t>1075.2</w:t>
            </w:r>
            <w:r>
              <w:rPr>
                <w:color w:val="auto"/>
              </w:rPr>
              <w:t>m</w:t>
            </w:r>
            <w:r>
              <w:rPr>
                <w:color w:val="auto"/>
                <w:vertAlign w:val="superscript"/>
              </w:rPr>
              <w:t>3</w:t>
            </w:r>
            <w:r>
              <w:rPr>
                <w:color w:val="auto"/>
              </w:rPr>
              <w:t>/a</w:t>
            </w:r>
            <w:r>
              <w:rPr>
                <w:rFonts w:hint="default"/>
                <w:color w:val="auto"/>
              </w:rPr>
              <w:t>，吉木萨尔县污水处理厂剩余处理能力0.3~0.4万m</w:t>
            </w:r>
            <w:r>
              <w:rPr>
                <w:rFonts w:hint="default"/>
                <w:color w:val="auto"/>
                <w:vertAlign w:val="superscript"/>
              </w:rPr>
              <w:t>3</w:t>
            </w:r>
            <w:r>
              <w:rPr>
                <w:rFonts w:hint="default"/>
                <w:color w:val="auto"/>
              </w:rPr>
              <w:t>/d，可以满足本工程施工期生活污水处理需求。</w:t>
            </w:r>
          </w:p>
          <w:p>
            <w:pPr>
              <w:pStyle w:val="19"/>
              <w:bidi w:val="0"/>
              <w:rPr>
                <w:rFonts w:hint="default"/>
                <w:lang w:val="en-US" w:eastAsia="zh-CN"/>
              </w:rPr>
            </w:pPr>
            <w:r>
              <w:rPr>
                <w:rFonts w:hint="eastAsia"/>
                <w:lang w:val="en-US" w:eastAsia="zh-CN"/>
              </w:rPr>
              <w:t>6.3克拉玛依金鑫油田环保工程有限公司</w:t>
            </w:r>
          </w:p>
          <w:p>
            <w:pPr>
              <w:pStyle w:val="16"/>
              <w:bidi w:val="0"/>
              <w:rPr>
                <w:rFonts w:hint="default"/>
              </w:rPr>
            </w:pPr>
            <w:r>
              <w:rPr>
                <w:rFonts w:hint="default"/>
              </w:rPr>
              <w:t>（1）克拉玛依金鑫油田环保工程有限公司环保手续</w:t>
            </w:r>
          </w:p>
          <w:p>
            <w:pPr>
              <w:pStyle w:val="16"/>
              <w:bidi w:val="0"/>
              <w:rPr>
                <w:rFonts w:hint="default"/>
              </w:rPr>
            </w:pPr>
            <w:r>
              <w:rPr>
                <w:rFonts w:hint="default"/>
              </w:rPr>
              <w:t>克拉玛依金鑫油田环保工程有限公司于2016年8月31日取得原新疆维吾尔自治区环境保护厅出具的《关于克拉玛依金鑫油田环保工程有限公司8万吨/年热脱附法处理含油岩屑（污泥）项目环境影响报告书的批复》（新环函[2016]1268号）。2019年11月，新疆维吾尔自治区生态环境厅出具了竣工环境保护验收的公示。2022年5月12日，新疆维吾尔自治区生态环境厅颁发了危险废物经营许可证（编号：6502030052），有效期限：2021年8月6日至2026年8月5日。</w:t>
            </w:r>
          </w:p>
          <w:p>
            <w:pPr>
              <w:pStyle w:val="16"/>
              <w:bidi w:val="0"/>
              <w:rPr>
                <w:rFonts w:hint="default"/>
              </w:rPr>
            </w:pPr>
            <w:r>
              <w:rPr>
                <w:rFonts w:hint="default"/>
              </w:rPr>
              <w:t>（2）克拉玛依金鑫油田环保工程有限公司概况</w:t>
            </w:r>
          </w:p>
          <w:p>
            <w:pPr>
              <w:pStyle w:val="16"/>
              <w:bidi w:val="0"/>
              <w:rPr>
                <w:rFonts w:hint="default"/>
              </w:rPr>
            </w:pPr>
            <w:r>
              <w:rPr>
                <w:rFonts w:hint="default"/>
              </w:rPr>
              <w:t>克拉玛依金鑫油田环保工程有限公司设置1条年处理8万吨含油岩屑（污泥）撬装生产线。设备采用国内成套设备供应商提供的间接热脱附（OSTDS）技术设备，该技术属于热解析处理技术，主要是通过加热蒸发的物理过程实现油与固体的分离，其技术原理见下图。</w:t>
            </w:r>
          </w:p>
          <w:p>
            <w:pPr>
              <w:pStyle w:val="16"/>
              <w:bidi w:val="0"/>
              <w:rPr>
                <w:rFonts w:hint="default"/>
              </w:rPr>
            </w:pPr>
            <w:r>
              <w:drawing>
                <wp:inline distT="0" distB="0" distL="114300" distR="114300">
                  <wp:extent cx="4650105" cy="2061845"/>
                  <wp:effectExtent l="0" t="0" r="17145"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4650105" cy="2061845"/>
                          </a:xfrm>
                          <a:prstGeom prst="rect">
                            <a:avLst/>
                          </a:prstGeom>
                          <a:noFill/>
                          <a:ln>
                            <a:noFill/>
                          </a:ln>
                        </pic:spPr>
                      </pic:pic>
                    </a:graphicData>
                  </a:graphic>
                </wp:inline>
              </w:drawing>
            </w:r>
          </w:p>
          <w:p>
            <w:pPr>
              <w:pStyle w:val="14"/>
              <w:bidi w:val="0"/>
              <w:rPr>
                <w:rFonts w:hint="eastAsia"/>
                <w:lang w:val="en-US" w:eastAsia="zh-CN"/>
              </w:rPr>
            </w:pPr>
            <w:r>
              <w:rPr>
                <w:rFonts w:hint="eastAsia"/>
                <w:lang w:val="en-US" w:eastAsia="zh-CN"/>
              </w:rPr>
              <w:t xml:space="preserve">图4   </w:t>
            </w:r>
            <w:r>
              <w:rPr>
                <w:rFonts w:hint="default"/>
              </w:rPr>
              <w:t>克拉玛依金鑫油田环保工程有限公司技术原理</w:t>
            </w:r>
            <w:r>
              <w:rPr>
                <w:rFonts w:hint="eastAsia"/>
                <w:lang w:val="en-US" w:eastAsia="zh-CN"/>
              </w:rPr>
              <w:t>图</w:t>
            </w:r>
          </w:p>
          <w:p>
            <w:pPr>
              <w:pStyle w:val="16"/>
              <w:bidi w:val="0"/>
              <w:rPr>
                <w:rFonts w:hint="default"/>
              </w:rPr>
            </w:pPr>
            <w:r>
              <w:rPr>
                <w:rFonts w:hint="default"/>
              </w:rPr>
              <w:t>（3）依托可行性分析</w:t>
            </w:r>
          </w:p>
          <w:p>
            <w:pPr>
              <w:pStyle w:val="16"/>
              <w:bidi w:val="0"/>
              <w:rPr>
                <w:rFonts w:hint="default"/>
              </w:rPr>
            </w:pPr>
            <w:r>
              <w:rPr>
                <w:rFonts w:hint="default"/>
              </w:rPr>
              <w:t>废弃油基泥浆及油基岩屑产生与处置的责任主体单位为</w:t>
            </w:r>
            <w:r>
              <w:rPr>
                <w:rFonts w:hint="eastAsia"/>
                <w:lang w:val="en-US" w:eastAsia="zh-CN"/>
              </w:rPr>
              <w:t>建设</w:t>
            </w:r>
            <w:r>
              <w:rPr>
                <w:rFonts w:hint="eastAsia"/>
              </w:rPr>
              <w:t>单位</w:t>
            </w:r>
            <w:r>
              <w:rPr>
                <w:rFonts w:hint="default"/>
              </w:rPr>
              <w:t>负责监管。油基泥浆同岩屑一起进入泥浆不落地系统固液分离后，液相循环使用，固相按照危险废物进行管理（危废编号为HW08，废物代码为071-002-08），委托有危险废物处置资质的单位（克拉玛依金鑫油田环保工程有限公司）进行妥善处理，处置协议见附件。克拉玛依金鑫油田环保工程有限公司设计处理规模8万吨/年，2023年准东采油管理区2023年预计产生废弃油基泥浆</w:t>
            </w:r>
            <w:r>
              <w:rPr>
                <w:rFonts w:hint="default"/>
                <w:color w:val="auto"/>
              </w:rPr>
              <w:t>及岩屑等危</w:t>
            </w:r>
            <w:r>
              <w:rPr>
                <w:rFonts w:hint="default"/>
                <w:color w:val="auto"/>
                <w:highlight w:val="none"/>
              </w:rPr>
              <w:t>险废物35000吨，本工程油基岩屑产生量</w:t>
            </w:r>
            <w:r>
              <w:rPr>
                <w:rFonts w:hint="eastAsia"/>
                <w:color w:val="auto"/>
                <w:highlight w:val="none"/>
                <w:lang w:val="en-US" w:eastAsia="zh-CN"/>
              </w:rPr>
              <w:t>8809t</w:t>
            </w:r>
            <w:r>
              <w:rPr>
                <w:rFonts w:hint="default"/>
                <w:color w:val="auto"/>
                <w:highlight w:val="none"/>
              </w:rPr>
              <w:t>，废弃油基泥浆</w:t>
            </w:r>
            <w:r>
              <w:rPr>
                <w:rFonts w:hint="eastAsia"/>
                <w:color w:val="auto"/>
                <w:highlight w:val="none"/>
                <w:lang w:val="en-US" w:eastAsia="zh-CN"/>
              </w:rPr>
              <w:t>75.3</w:t>
            </w:r>
            <w:r>
              <w:rPr>
                <w:rFonts w:hint="default"/>
                <w:color w:val="auto"/>
                <w:highlight w:val="none"/>
              </w:rPr>
              <w:t>m</w:t>
            </w:r>
            <w:r>
              <w:rPr>
                <w:rFonts w:hint="default"/>
                <w:color w:val="auto"/>
                <w:highlight w:val="none"/>
                <w:vertAlign w:val="superscript"/>
              </w:rPr>
              <w:t>3</w:t>
            </w:r>
            <w:r>
              <w:rPr>
                <w:rFonts w:hint="default"/>
                <w:color w:val="auto"/>
                <w:highlight w:val="none"/>
              </w:rPr>
              <w:t>。因此，本</w:t>
            </w:r>
            <w:r>
              <w:rPr>
                <w:rFonts w:hint="default"/>
                <w:highlight w:val="none"/>
              </w:rPr>
              <w:t>项目废</w:t>
            </w:r>
            <w:r>
              <w:rPr>
                <w:rFonts w:hint="default"/>
              </w:rPr>
              <w:t>弃油基泥浆和油基岩屑依托可行。</w:t>
            </w:r>
          </w:p>
          <w:p>
            <w:pPr>
              <w:pStyle w:val="19"/>
              <w:bidi w:val="0"/>
              <w:rPr>
                <w:rFonts w:hint="default"/>
                <w:lang w:val="en-US"/>
              </w:rPr>
            </w:pPr>
            <w:r>
              <w:rPr>
                <w:rFonts w:hint="eastAsia"/>
                <w:lang w:val="en-US" w:eastAsia="zh-CN"/>
              </w:rPr>
              <w:t>6.4吉木萨尔县垃圾填埋场</w:t>
            </w:r>
          </w:p>
          <w:p>
            <w:pPr>
              <w:pStyle w:val="16"/>
              <w:bidi w:val="0"/>
              <w:rPr>
                <w:rFonts w:hint="default"/>
                <w:color w:val="auto"/>
              </w:rPr>
            </w:pPr>
            <w:r>
              <w:rPr>
                <w:rFonts w:hint="default"/>
              </w:rPr>
              <w:t>吉木萨尔县生活垃圾填埋场位于吉木萨尔县城西北约9.5km处，乌奇公路北约7km处，吉木萨尔县至三台镇乡道北约2km</w:t>
            </w:r>
            <w:r>
              <w:rPr>
                <w:rFonts w:hint="default"/>
                <w:color w:val="auto"/>
              </w:rPr>
              <w:t>处</w:t>
            </w:r>
            <w:r>
              <w:rPr>
                <w:rFonts w:hint="eastAsia"/>
                <w:color w:val="auto"/>
                <w:lang w:eastAsia="zh-CN"/>
              </w:rPr>
              <w:t>。</w:t>
            </w:r>
            <w:r>
              <w:rPr>
                <w:rFonts w:hint="default"/>
                <w:color w:val="auto"/>
              </w:rPr>
              <w:t>吉木萨尔县生活垃圾填埋场</w:t>
            </w:r>
            <w:r>
              <w:rPr>
                <w:rFonts w:hint="eastAsia"/>
                <w:color w:val="auto"/>
                <w:lang w:val="en-US" w:eastAsia="zh-CN"/>
              </w:rPr>
              <w:t>与本项目相距19km。</w:t>
            </w:r>
            <w:r>
              <w:rPr>
                <w:rFonts w:hint="default"/>
                <w:color w:val="auto"/>
              </w:rPr>
              <w:t>2010年5月吉木萨尔县建设局委</w:t>
            </w:r>
            <w:r>
              <w:rPr>
                <w:rFonts w:hint="default"/>
              </w:rPr>
              <w:t>托自治区环境保护技术咨询中心编制《吉木萨尔县生活垃圾处理工程环境影响报告书》，2010年8月11日，新疆维吾尔自治区环境保护厅出具《关于吉木萨尔县生活垃圾处理工程环境影响报告书的批复》(新环函评价20101452号)垃圾填埋场工程于2014年11月建成后正式投入使用。2015年9月29日昌吉回族自治州环境保护局(现昌吉回族自治州生态环境局)以昌州环函(2015)358号文对该项目</w:t>
            </w:r>
            <w:r>
              <w:rPr>
                <w:rFonts w:hint="default"/>
                <w:color w:val="auto"/>
              </w:rPr>
              <w:t>作出竣工环境保护意见，同意通过竣工环境保护验收。该填埋场生活垃圾清运处理量100t/d。有效库容63万m</w:t>
            </w:r>
            <w:r>
              <w:rPr>
                <w:rFonts w:hint="default"/>
                <w:color w:val="auto"/>
                <w:vertAlign w:val="superscript"/>
              </w:rPr>
              <w:t>3</w:t>
            </w:r>
            <w:r>
              <w:rPr>
                <w:rFonts w:hint="default"/>
                <w:color w:val="auto"/>
              </w:rPr>
              <w:t>，服务年限11年，处理工艺为卫生填埋。</w:t>
            </w:r>
          </w:p>
          <w:p>
            <w:pPr>
              <w:pStyle w:val="16"/>
              <w:bidi w:val="0"/>
              <w:rPr>
                <w:rFonts w:hint="default" w:ascii="Times New Roman" w:hAnsi="Times New Roman" w:cs="Times New Roman"/>
                <w:sz w:val="21"/>
              </w:rPr>
            </w:pPr>
            <w:r>
              <w:rPr>
                <w:rFonts w:hint="default"/>
                <w:color w:val="auto"/>
              </w:rPr>
              <w:t>本项目施工期生活垃圾产生</w:t>
            </w:r>
            <w:r>
              <w:rPr>
                <w:rFonts w:hint="default"/>
                <w:color w:val="auto"/>
                <w:highlight w:val="none"/>
              </w:rPr>
              <w:t>量</w:t>
            </w:r>
            <w:r>
              <w:rPr>
                <w:rFonts w:hint="eastAsia"/>
                <w:color w:val="auto"/>
                <w:highlight w:val="none"/>
                <w:lang w:val="en-US" w:eastAsia="zh-CN"/>
              </w:rPr>
              <w:t>13.4</w:t>
            </w:r>
            <w:r>
              <w:rPr>
                <w:rFonts w:hint="default"/>
                <w:color w:val="auto"/>
                <w:highlight w:val="none"/>
              </w:rPr>
              <w:t>t，占填</w:t>
            </w:r>
            <w:r>
              <w:rPr>
                <w:rFonts w:hint="default"/>
                <w:color w:val="auto"/>
              </w:rPr>
              <w:t>埋场</w:t>
            </w:r>
            <w:r>
              <w:rPr>
                <w:rFonts w:hint="default"/>
              </w:rPr>
              <w:t>填埋量比例极小，吉木萨尔县生活垃圾填埋场可以满足本工程施工期生活垃圾填埋需求。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23" w:hRule="atLeast"/>
        </w:trPr>
        <w:tc>
          <w:tcPr>
            <w:tcW w:w="718"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cs="Times New Roman"/>
                <w:spacing w:val="5"/>
                <w:position w:val="4"/>
                <w:sz w:val="24"/>
                <w:szCs w:val="24"/>
                <w:lang w:val="en-US" w:eastAsia="zh-CN"/>
              </w:rPr>
            </w:pPr>
            <w:r>
              <w:rPr>
                <w:rFonts w:hint="default" w:cs="Times New Roman"/>
                <w:spacing w:val="5"/>
                <w:position w:val="4"/>
                <w:sz w:val="24"/>
                <w:szCs w:val="24"/>
                <w:lang w:val="en-US" w:eastAsia="zh-CN"/>
              </w:rPr>
              <w:t>总平面及现场布置</w:t>
            </w:r>
          </w:p>
        </w:tc>
        <w:tc>
          <w:tcPr>
            <w:tcW w:w="8376" w:type="dxa"/>
            <w:tcBorders>
              <w:right w:val="single" w:color="000000" w:sz="6" w:space="0"/>
            </w:tcBorders>
            <w:vAlign w:val="center"/>
          </w:tcPr>
          <w:p>
            <w:pPr>
              <w:pStyle w:val="4"/>
              <w:bidi w:val="0"/>
            </w:pPr>
            <w:r>
              <w:rPr>
                <w:rFonts w:hint="eastAsia"/>
              </w:rPr>
              <w:t>1、钻井期井场平面布置</w:t>
            </w:r>
          </w:p>
          <w:p>
            <w:pPr>
              <w:pStyle w:val="16"/>
              <w:bidi w:val="0"/>
              <w:rPr>
                <w:rFonts w:hint="eastAsia"/>
              </w:rPr>
            </w:pPr>
            <w:r>
              <w:rPr>
                <w:rFonts w:hint="eastAsia"/>
              </w:rPr>
              <w:t>井场平面布置如图</w:t>
            </w:r>
            <w:r>
              <w:rPr>
                <w:rFonts w:hint="eastAsia"/>
                <w:lang w:val="en-US" w:eastAsia="zh-CN"/>
              </w:rPr>
              <w:t>5</w:t>
            </w:r>
            <w:r>
              <w:rPr>
                <w:rFonts w:hint="eastAsia"/>
              </w:rPr>
              <w:t>所示。</w:t>
            </w:r>
          </w:p>
          <w:p>
            <w:pPr>
              <w:keepNext w:val="0"/>
              <w:keepLines w:val="0"/>
              <w:pageBreakBefore w:val="0"/>
              <w:widowControl/>
              <w:kinsoku w:val="0"/>
              <w:wordWrap/>
              <w:overflowPunct/>
              <w:topLinePunct w:val="0"/>
              <w:autoSpaceDE w:val="0"/>
              <w:autoSpaceDN w:val="0"/>
              <w:bidi w:val="0"/>
              <w:adjustRightInd/>
              <w:snapToGrid/>
              <w:ind w:left="0"/>
              <w:jc w:val="center"/>
              <w:textAlignment w:val="baseline"/>
            </w:pPr>
            <w:r>
              <w:drawing>
                <wp:inline distT="0" distB="0" distL="114300" distR="114300">
                  <wp:extent cx="4359910" cy="2451100"/>
                  <wp:effectExtent l="0" t="0" r="2540" b="635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7"/>
                          <a:stretch>
                            <a:fillRect/>
                          </a:stretch>
                        </pic:blipFill>
                        <pic:spPr>
                          <a:xfrm>
                            <a:off x="0" y="0"/>
                            <a:ext cx="4359910" cy="2451100"/>
                          </a:xfrm>
                          <a:prstGeom prst="rect">
                            <a:avLst/>
                          </a:prstGeom>
                          <a:noFill/>
                          <a:ln>
                            <a:noFill/>
                          </a:ln>
                        </pic:spPr>
                      </pic:pic>
                    </a:graphicData>
                  </a:graphic>
                </wp:inline>
              </w:drawing>
            </w:r>
          </w:p>
          <w:p>
            <w:pPr>
              <w:pStyle w:val="14"/>
              <w:bidi w:val="0"/>
              <w:rPr>
                <w:rFonts w:hint="default"/>
                <w:lang w:val="en-US" w:eastAsia="zh-CN"/>
              </w:rPr>
            </w:pPr>
            <w:r>
              <w:rPr>
                <w:rFonts w:hint="eastAsia"/>
                <w:lang w:val="en-US" w:eastAsia="zh-CN"/>
              </w:rPr>
              <w:t>图5   钻井井场平面布置示意图</w:t>
            </w:r>
          </w:p>
          <w:p>
            <w:pPr>
              <w:pStyle w:val="4"/>
              <w:bidi w:val="0"/>
            </w:pPr>
            <w:r>
              <w:rPr>
                <w:rFonts w:hint="eastAsia"/>
              </w:rPr>
              <w:t>2、试油期井场平面布置</w:t>
            </w:r>
          </w:p>
          <w:p>
            <w:pPr>
              <w:ind w:firstLine="480"/>
              <w:rPr>
                <w:rFonts w:hint="eastAsia"/>
              </w:rPr>
            </w:pPr>
            <w:r>
              <w:rPr>
                <w:rFonts w:hint="eastAsia"/>
              </w:rPr>
              <w:t>试油期井场布置井口方罐、发电机房、值班房、消防沙箱等设施并设置紧急集合点，平面布置见图</w:t>
            </w:r>
            <w:r>
              <w:rPr>
                <w:rFonts w:hint="eastAsia"/>
                <w:lang w:val="en-US" w:eastAsia="zh-CN"/>
              </w:rPr>
              <w:t>6</w:t>
            </w:r>
            <w:r>
              <w:rPr>
                <w:rFonts w:hint="eastAsia"/>
              </w:rPr>
              <w:t>。</w:t>
            </w:r>
          </w:p>
          <w:p>
            <w:pPr>
              <w:keepNext w:val="0"/>
              <w:keepLines w:val="0"/>
              <w:pageBreakBefore w:val="0"/>
              <w:widowControl/>
              <w:kinsoku w:val="0"/>
              <w:wordWrap/>
              <w:overflowPunct/>
              <w:topLinePunct w:val="0"/>
              <w:autoSpaceDE w:val="0"/>
              <w:autoSpaceDN w:val="0"/>
              <w:bidi w:val="0"/>
              <w:adjustRightInd/>
              <w:snapToGrid/>
              <w:ind w:left="0"/>
              <w:jc w:val="center"/>
              <w:textAlignment w:val="baseline"/>
              <w:rPr>
                <w:rFonts w:hint="eastAsia"/>
                <w:color w:val="auto"/>
              </w:rPr>
            </w:pPr>
            <w:r>
              <w:rPr>
                <w:color w:val="auto"/>
              </w:rPr>
              <w:drawing>
                <wp:inline distT="0" distB="0" distL="114300" distR="114300">
                  <wp:extent cx="3465195" cy="2566670"/>
                  <wp:effectExtent l="0" t="0" r="1905" b="508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8"/>
                          <a:stretch>
                            <a:fillRect/>
                          </a:stretch>
                        </pic:blipFill>
                        <pic:spPr>
                          <a:xfrm>
                            <a:off x="0" y="0"/>
                            <a:ext cx="3465195" cy="2566670"/>
                          </a:xfrm>
                          <a:prstGeom prst="rect">
                            <a:avLst/>
                          </a:prstGeom>
                          <a:noFill/>
                          <a:ln>
                            <a:noFill/>
                          </a:ln>
                        </pic:spPr>
                      </pic:pic>
                    </a:graphicData>
                  </a:graphic>
                </wp:inline>
              </w:drawing>
            </w:r>
          </w:p>
          <w:p>
            <w:pPr>
              <w:pStyle w:val="14"/>
              <w:bidi w:val="0"/>
              <w:jc w:val="center"/>
              <w:rPr>
                <w:rFonts w:hint="eastAsia"/>
                <w:color w:val="auto"/>
                <w:lang w:val="en-US" w:eastAsia="zh-CN"/>
              </w:rPr>
            </w:pPr>
            <w:r>
              <w:rPr>
                <w:rFonts w:hint="eastAsia"/>
                <w:color w:val="auto"/>
                <w:lang w:val="en-US" w:eastAsia="zh-CN"/>
              </w:rPr>
              <w:t>图6   油气测试井场平面布置图示意图</w:t>
            </w:r>
          </w:p>
          <w:p>
            <w:pPr>
              <w:pStyle w:val="4"/>
              <w:bidi w:val="0"/>
              <w:rPr>
                <w:rFonts w:hint="eastAsia"/>
                <w:color w:val="auto"/>
              </w:rPr>
            </w:pPr>
            <w:r>
              <w:rPr>
                <w:rFonts w:hint="eastAsia"/>
                <w:color w:val="auto"/>
                <w:lang w:val="en-US" w:eastAsia="zh-CN"/>
              </w:rPr>
              <w:t>3</w:t>
            </w:r>
            <w:r>
              <w:rPr>
                <w:rFonts w:hint="default"/>
                <w:color w:val="auto"/>
              </w:rPr>
              <w:t>、</w:t>
            </w:r>
            <w:r>
              <w:rPr>
                <w:rFonts w:hint="eastAsia"/>
                <w:color w:val="auto"/>
              </w:rPr>
              <w:t>土石方平衡</w:t>
            </w:r>
          </w:p>
          <w:p>
            <w:pPr>
              <w:pStyle w:val="16"/>
              <w:bidi w:val="0"/>
              <w:rPr>
                <w:rFonts w:hint="eastAsia"/>
                <w:color w:val="auto"/>
              </w:rPr>
            </w:pPr>
            <w:r>
              <w:rPr>
                <w:rFonts w:hint="eastAsia"/>
                <w:color w:val="auto"/>
              </w:rPr>
              <w:t>项目土石方平衡见下表。</w:t>
            </w:r>
          </w:p>
          <w:p>
            <w:pPr>
              <w:pStyle w:val="14"/>
              <w:bidi w:val="0"/>
              <w:rPr>
                <w:rFonts w:hint="eastAsia" w:eastAsia="宋体"/>
                <w:color w:val="auto"/>
                <w:lang w:val="en-US" w:eastAsia="zh-CN"/>
              </w:rPr>
            </w:pPr>
            <w:r>
              <w:rPr>
                <w:rFonts w:hint="default"/>
                <w:color w:val="auto"/>
              </w:rPr>
              <w:t>表</w:t>
            </w:r>
            <w:r>
              <w:rPr>
                <w:rFonts w:hint="eastAsia"/>
                <w:color w:val="auto"/>
                <w:lang w:val="en-US" w:eastAsia="zh-CN"/>
              </w:rPr>
              <w:t xml:space="preserve">2-12 </w:t>
            </w:r>
            <w:r>
              <w:rPr>
                <w:rFonts w:hint="default"/>
                <w:color w:val="auto"/>
              </w:rPr>
              <w:t xml:space="preserve">  土石方平衡</w:t>
            </w:r>
            <w:r>
              <w:rPr>
                <w:rFonts w:hint="eastAsia"/>
                <w:color w:val="auto"/>
                <w:lang w:val="en-US" w:eastAsia="zh-CN"/>
              </w:rPr>
              <w:t>一览表</w:t>
            </w:r>
          </w:p>
          <w:tbl>
            <w:tblPr>
              <w:tblStyle w:val="1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1569"/>
              <w:gridCol w:w="1890"/>
              <w:gridCol w:w="1567"/>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pct"/>
                  <w:vMerge w:val="restart"/>
                  <w:vAlign w:val="center"/>
                </w:tcPr>
                <w:p>
                  <w:pPr>
                    <w:pStyle w:val="17"/>
                    <w:widowControl w:val="0"/>
                    <w:bidi w:val="0"/>
                    <w:rPr>
                      <w:rFonts w:hint="eastAsia"/>
                      <w:color w:val="auto"/>
                      <w:lang w:val="en-US" w:eastAsia="zh-CN"/>
                    </w:rPr>
                  </w:pPr>
                  <w:r>
                    <w:rPr>
                      <w:rFonts w:hint="default"/>
                      <w:color w:val="auto"/>
                    </w:rPr>
                    <w:t>挖方</w:t>
                  </w:r>
                  <w:r>
                    <w:rPr>
                      <w:rFonts w:hint="eastAsia"/>
                      <w:color w:val="auto"/>
                      <w:lang w:val="en-US" w:eastAsia="zh-CN"/>
                    </w:rPr>
                    <w:t>（m</w:t>
                  </w:r>
                  <w:r>
                    <w:rPr>
                      <w:rFonts w:hint="eastAsia"/>
                      <w:color w:val="auto"/>
                      <w:vertAlign w:val="superscript"/>
                      <w:lang w:val="en-US" w:eastAsia="zh-CN"/>
                    </w:rPr>
                    <w:t>3</w:t>
                  </w:r>
                  <w:r>
                    <w:rPr>
                      <w:rFonts w:hint="eastAsia"/>
                      <w:color w:val="auto"/>
                      <w:lang w:val="en-US" w:eastAsia="zh-CN"/>
                    </w:rPr>
                    <w:t>）</w:t>
                  </w:r>
                </w:p>
              </w:tc>
              <w:tc>
                <w:tcPr>
                  <w:tcW w:w="939" w:type="pct"/>
                  <w:vMerge w:val="restart"/>
                  <w:vAlign w:val="center"/>
                </w:tcPr>
                <w:p>
                  <w:pPr>
                    <w:pStyle w:val="17"/>
                    <w:widowControl w:val="0"/>
                    <w:bidi w:val="0"/>
                    <w:rPr>
                      <w:rFonts w:hint="eastAsia"/>
                      <w:color w:val="auto"/>
                      <w:lang w:val="en-US" w:eastAsia="zh-CN"/>
                    </w:rPr>
                  </w:pPr>
                  <w:r>
                    <w:rPr>
                      <w:rFonts w:hint="default"/>
                      <w:color w:val="auto"/>
                    </w:rPr>
                    <w:t>填方</w:t>
                  </w:r>
                  <w:r>
                    <w:rPr>
                      <w:rFonts w:hint="eastAsia"/>
                      <w:color w:val="auto"/>
                      <w:lang w:val="en-US" w:eastAsia="zh-CN"/>
                    </w:rPr>
                    <w:t>（m</w:t>
                  </w:r>
                  <w:r>
                    <w:rPr>
                      <w:rFonts w:hint="eastAsia"/>
                      <w:color w:val="auto"/>
                      <w:vertAlign w:val="superscript"/>
                      <w:lang w:val="en-US" w:eastAsia="zh-CN"/>
                    </w:rPr>
                    <w:t>3</w:t>
                  </w:r>
                  <w:r>
                    <w:rPr>
                      <w:rFonts w:hint="eastAsia"/>
                      <w:color w:val="auto"/>
                      <w:lang w:val="en-US" w:eastAsia="zh-CN"/>
                    </w:rPr>
                    <w:t>）</w:t>
                  </w:r>
                </w:p>
              </w:tc>
              <w:tc>
                <w:tcPr>
                  <w:tcW w:w="1131" w:type="pct"/>
                  <w:vMerge w:val="restart"/>
                  <w:vAlign w:val="center"/>
                </w:tcPr>
                <w:p>
                  <w:pPr>
                    <w:pStyle w:val="17"/>
                    <w:widowControl w:val="0"/>
                    <w:bidi w:val="0"/>
                    <w:rPr>
                      <w:rFonts w:hint="default" w:eastAsia="宋体"/>
                      <w:color w:val="auto"/>
                      <w:lang w:val="en-US" w:eastAsia="zh-CN"/>
                    </w:rPr>
                  </w:pPr>
                  <w:r>
                    <w:rPr>
                      <w:rFonts w:hint="default"/>
                      <w:color w:val="auto"/>
                    </w:rPr>
                    <w:t>借方（</w:t>
                  </w:r>
                  <w:r>
                    <w:rPr>
                      <w:rFonts w:hint="eastAsia"/>
                      <w:color w:val="auto"/>
                      <w:lang w:val="en-US" w:eastAsia="zh-CN"/>
                    </w:rPr>
                    <w:t>本项目岩屑量</w:t>
                  </w:r>
                  <w:r>
                    <w:rPr>
                      <w:rFonts w:hint="default"/>
                      <w:color w:val="auto"/>
                    </w:rPr>
                    <w:t>）</w:t>
                  </w:r>
                  <w:r>
                    <w:rPr>
                      <w:rFonts w:hint="eastAsia"/>
                      <w:color w:val="auto"/>
                      <w:lang w:val="en-US" w:eastAsia="zh-CN"/>
                    </w:rPr>
                    <w:t>m</w:t>
                  </w:r>
                  <w:r>
                    <w:rPr>
                      <w:rFonts w:hint="eastAsia"/>
                      <w:color w:val="auto"/>
                      <w:vertAlign w:val="superscript"/>
                      <w:lang w:val="en-US" w:eastAsia="zh-CN"/>
                    </w:rPr>
                    <w:t>3</w:t>
                  </w:r>
                </w:p>
              </w:tc>
              <w:tc>
                <w:tcPr>
                  <w:tcW w:w="1964" w:type="pct"/>
                  <w:gridSpan w:val="2"/>
                  <w:vAlign w:val="center"/>
                </w:tcPr>
                <w:p>
                  <w:pPr>
                    <w:pStyle w:val="17"/>
                    <w:widowControl w:val="0"/>
                    <w:bidi w:val="0"/>
                    <w:rPr>
                      <w:rFonts w:hint="eastAsia"/>
                      <w:color w:val="auto"/>
                      <w:lang w:val="en-US" w:eastAsia="zh-CN"/>
                    </w:rPr>
                  </w:pPr>
                  <w:r>
                    <w:rPr>
                      <w:rFonts w:hint="default"/>
                      <w:color w:val="auto"/>
                    </w:rPr>
                    <w:t>弃方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4" w:type="pct"/>
                  <w:vMerge w:val="continue"/>
                  <w:vAlign w:val="center"/>
                </w:tcPr>
                <w:p>
                  <w:pPr>
                    <w:pStyle w:val="17"/>
                    <w:widowControl w:val="0"/>
                    <w:bidi w:val="0"/>
                    <w:rPr>
                      <w:rFonts w:hint="eastAsia"/>
                      <w:color w:val="auto"/>
                      <w:lang w:val="en-US" w:eastAsia="zh-CN"/>
                    </w:rPr>
                  </w:pPr>
                </w:p>
              </w:tc>
              <w:tc>
                <w:tcPr>
                  <w:tcW w:w="939" w:type="pct"/>
                  <w:vMerge w:val="continue"/>
                  <w:vAlign w:val="center"/>
                </w:tcPr>
                <w:p>
                  <w:pPr>
                    <w:pStyle w:val="17"/>
                    <w:widowControl w:val="0"/>
                    <w:bidi w:val="0"/>
                    <w:rPr>
                      <w:rFonts w:hint="eastAsia"/>
                      <w:color w:val="auto"/>
                      <w:lang w:val="en-US" w:eastAsia="zh-CN"/>
                    </w:rPr>
                  </w:pPr>
                </w:p>
              </w:tc>
              <w:tc>
                <w:tcPr>
                  <w:tcW w:w="1131" w:type="pct"/>
                  <w:vMerge w:val="continue"/>
                  <w:vAlign w:val="center"/>
                </w:tcPr>
                <w:p>
                  <w:pPr>
                    <w:pStyle w:val="17"/>
                    <w:widowControl w:val="0"/>
                    <w:bidi w:val="0"/>
                    <w:rPr>
                      <w:rFonts w:hint="eastAsia"/>
                      <w:color w:val="auto"/>
                      <w:lang w:val="en-US" w:eastAsia="zh-CN"/>
                    </w:rPr>
                  </w:pPr>
                </w:p>
              </w:tc>
              <w:tc>
                <w:tcPr>
                  <w:tcW w:w="938" w:type="pct"/>
                  <w:vAlign w:val="center"/>
                </w:tcPr>
                <w:p>
                  <w:pPr>
                    <w:pStyle w:val="17"/>
                    <w:widowControl w:val="0"/>
                    <w:bidi w:val="0"/>
                    <w:rPr>
                      <w:rFonts w:hint="eastAsia"/>
                      <w:color w:val="auto"/>
                      <w:lang w:val="en-US" w:eastAsia="zh-CN"/>
                    </w:rPr>
                  </w:pPr>
                  <w:r>
                    <w:rPr>
                      <w:rFonts w:hint="default"/>
                      <w:color w:val="auto"/>
                    </w:rPr>
                    <w:t>数量</w:t>
                  </w:r>
                </w:p>
              </w:tc>
              <w:tc>
                <w:tcPr>
                  <w:tcW w:w="1025" w:type="pct"/>
                  <w:vAlign w:val="center"/>
                </w:tcPr>
                <w:p>
                  <w:pPr>
                    <w:pStyle w:val="17"/>
                    <w:widowControl w:val="0"/>
                    <w:bidi w:val="0"/>
                    <w:rPr>
                      <w:rFonts w:hint="eastAsia"/>
                      <w:color w:val="auto"/>
                      <w:lang w:val="en-US" w:eastAsia="zh-CN"/>
                    </w:rPr>
                  </w:pPr>
                  <w:r>
                    <w:rPr>
                      <w:rFonts w:hint="default"/>
                      <w:color w:val="auto"/>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pct"/>
                  <w:vAlign w:val="center"/>
                </w:tcPr>
                <w:p>
                  <w:pPr>
                    <w:pStyle w:val="17"/>
                    <w:widowControl w:val="0"/>
                    <w:bidi w:val="0"/>
                    <w:rPr>
                      <w:rFonts w:hint="default"/>
                      <w:color w:val="auto"/>
                      <w:lang w:val="en-US" w:eastAsia="zh-CN"/>
                    </w:rPr>
                  </w:pPr>
                  <w:r>
                    <w:rPr>
                      <w:rFonts w:hint="eastAsia"/>
                      <w:color w:val="auto"/>
                      <w:lang w:val="en-US" w:eastAsia="zh-CN"/>
                    </w:rPr>
                    <w:t>4762</w:t>
                  </w:r>
                </w:p>
              </w:tc>
              <w:tc>
                <w:tcPr>
                  <w:tcW w:w="939" w:type="pct"/>
                  <w:vAlign w:val="center"/>
                </w:tcPr>
                <w:p>
                  <w:pPr>
                    <w:pStyle w:val="17"/>
                    <w:widowControl w:val="0"/>
                    <w:bidi w:val="0"/>
                    <w:rPr>
                      <w:rFonts w:hint="default"/>
                      <w:color w:val="auto"/>
                      <w:lang w:val="en-US" w:eastAsia="zh-CN"/>
                    </w:rPr>
                  </w:pPr>
                  <w:r>
                    <w:rPr>
                      <w:rFonts w:hint="eastAsia"/>
                      <w:color w:val="auto"/>
                      <w:lang w:val="en-US" w:eastAsia="zh-CN"/>
                    </w:rPr>
                    <w:t>320</w:t>
                  </w:r>
                </w:p>
              </w:tc>
              <w:tc>
                <w:tcPr>
                  <w:tcW w:w="1131" w:type="pct"/>
                  <w:vAlign w:val="center"/>
                </w:tcPr>
                <w:p>
                  <w:pPr>
                    <w:pStyle w:val="17"/>
                    <w:widowControl w:val="0"/>
                    <w:bidi w:val="0"/>
                    <w:rPr>
                      <w:rFonts w:hint="default"/>
                      <w:color w:val="auto"/>
                      <w:lang w:val="en-US" w:eastAsia="zh-CN"/>
                    </w:rPr>
                  </w:pPr>
                  <w:r>
                    <w:rPr>
                      <w:rFonts w:hint="eastAsia"/>
                      <w:color w:val="auto"/>
                      <w:lang w:val="en-US" w:eastAsia="zh-CN"/>
                    </w:rPr>
                    <w:t>4440</w:t>
                  </w:r>
                </w:p>
              </w:tc>
              <w:tc>
                <w:tcPr>
                  <w:tcW w:w="938" w:type="pct"/>
                  <w:vAlign w:val="center"/>
                </w:tcPr>
                <w:p>
                  <w:pPr>
                    <w:pStyle w:val="17"/>
                    <w:widowControl w:val="0"/>
                    <w:bidi w:val="0"/>
                    <w:rPr>
                      <w:rFonts w:hint="eastAsia"/>
                      <w:color w:val="auto"/>
                      <w:lang w:val="en-US" w:eastAsia="zh-CN"/>
                    </w:rPr>
                  </w:pPr>
                  <w:r>
                    <w:rPr>
                      <w:rFonts w:hint="eastAsia"/>
                      <w:color w:val="auto"/>
                      <w:lang w:val="en-US" w:eastAsia="zh-CN"/>
                    </w:rPr>
                    <w:t>0</w:t>
                  </w:r>
                </w:p>
              </w:tc>
              <w:tc>
                <w:tcPr>
                  <w:tcW w:w="1025" w:type="pct"/>
                  <w:vAlign w:val="center"/>
                </w:tcPr>
                <w:p>
                  <w:pPr>
                    <w:pStyle w:val="17"/>
                    <w:widowControl w:val="0"/>
                    <w:bidi w:val="0"/>
                    <w:rPr>
                      <w:rFonts w:hint="eastAsia"/>
                      <w:color w:val="auto"/>
                      <w:lang w:val="en-US" w:eastAsia="zh-CN"/>
                    </w:rPr>
                  </w:pPr>
                  <w:r>
                    <w:rPr>
                      <w:rFonts w:hint="eastAsia"/>
                      <w:color w:val="auto"/>
                      <w:lang w:val="en-US" w:eastAsia="zh-CN"/>
                    </w:rPr>
                    <w:t>/</w:t>
                  </w:r>
                </w:p>
              </w:tc>
            </w:tr>
          </w:tbl>
          <w:p>
            <w:pPr>
              <w:keepNext w:val="0"/>
              <w:keepLines w:val="0"/>
              <w:pageBreakBefore w:val="0"/>
              <w:widowControl/>
              <w:kinsoku w:val="0"/>
              <w:wordWrap/>
              <w:overflowPunct/>
              <w:topLinePunct w:val="0"/>
              <w:autoSpaceDE w:val="0"/>
              <w:autoSpaceDN w:val="0"/>
              <w:bidi w:val="0"/>
              <w:adjustRightInd/>
              <w:snapToGrid/>
              <w:ind w:left="0"/>
              <w:jc w:val="both"/>
              <w:textAlignment w:val="baseline"/>
              <w:rPr>
                <w:rFonts w:hint="default"/>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23" w:hRule="atLeast"/>
        </w:trPr>
        <w:tc>
          <w:tcPr>
            <w:tcW w:w="718"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cs="Times New Roman"/>
                <w:spacing w:val="5"/>
                <w:position w:val="4"/>
                <w:sz w:val="24"/>
                <w:szCs w:val="24"/>
                <w:lang w:val="en-US" w:eastAsia="zh-CN"/>
              </w:rPr>
            </w:pPr>
            <w:r>
              <w:rPr>
                <w:rFonts w:hint="default" w:cs="Times New Roman"/>
                <w:spacing w:val="5"/>
                <w:position w:val="4"/>
                <w:sz w:val="24"/>
                <w:szCs w:val="24"/>
                <w:lang w:val="en-US" w:eastAsia="zh-CN"/>
              </w:rPr>
              <w:t>施工方案</w:t>
            </w:r>
          </w:p>
        </w:tc>
        <w:tc>
          <w:tcPr>
            <w:tcW w:w="8376" w:type="dxa"/>
            <w:tcBorders>
              <w:right w:val="single" w:color="000000" w:sz="6" w:space="0"/>
            </w:tcBorders>
            <w:vAlign w:val="center"/>
          </w:tcPr>
          <w:p>
            <w:pPr>
              <w:spacing w:line="360" w:lineRule="auto"/>
              <w:ind w:firstLine="480"/>
              <w:rPr>
                <w:color w:val="auto"/>
                <w:lang w:bidi="ar"/>
              </w:rPr>
            </w:pPr>
            <w:r>
              <w:rPr>
                <w:rFonts w:hint="eastAsia"/>
                <w:color w:val="auto"/>
                <w:lang w:bidi="ar"/>
              </w:rPr>
              <w:t>本次勘探目的是探明区域含油气性质和储层分布，扩大勘探成果，施工时序依次为钻井、试油、完井三部分。</w:t>
            </w:r>
          </w:p>
          <w:p>
            <w:pPr>
              <w:pStyle w:val="4"/>
              <w:bidi w:val="0"/>
              <w:rPr>
                <w:rFonts w:hint="eastAsia"/>
                <w:lang w:val="en-US" w:eastAsia="zh-CN"/>
              </w:rPr>
            </w:pPr>
            <w:r>
              <w:rPr>
                <w:rFonts w:hint="eastAsia"/>
                <w:lang w:val="en-US" w:eastAsia="zh-CN"/>
              </w:rPr>
              <w:t>1、</w:t>
            </w:r>
            <w:r>
              <w:rPr>
                <w:rFonts w:hint="eastAsia"/>
              </w:rPr>
              <w:t>钻井</w:t>
            </w:r>
            <w:r>
              <w:rPr>
                <w:rFonts w:hint="eastAsia"/>
                <w:lang w:val="en-US" w:eastAsia="zh-CN"/>
              </w:rPr>
              <w:t>工艺流程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钻井工艺流程及产污位置见图</w:t>
            </w:r>
            <w:r>
              <w:rPr>
                <w:rFonts w:hint="eastAsia" w:cs="Times New Roman"/>
                <w:color w:val="000000"/>
                <w:kern w:val="0"/>
                <w:sz w:val="24"/>
                <w:szCs w:val="24"/>
                <w:lang w:val="en-US" w:eastAsia="zh-CN" w:bidi="ar"/>
              </w:rPr>
              <w:t>7</w:t>
            </w:r>
            <w:r>
              <w:rPr>
                <w:rFonts w:hint="default" w:ascii="Times New Roman" w:hAnsi="Times New Roman" w:eastAsia="宋体" w:cs="Times New Roman"/>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宋体" w:hAnsi="宋体" w:eastAsia="宋体" w:cs="宋体"/>
                <w:b/>
                <w:bCs/>
                <w:color w:val="000000"/>
                <w:kern w:val="0"/>
                <w:sz w:val="21"/>
                <w:szCs w:val="21"/>
                <w:lang w:val="en-US" w:eastAsia="zh-CN" w:bidi="ar"/>
              </w:rPr>
              <w:drawing>
                <wp:inline distT="0" distB="0" distL="114300" distR="114300">
                  <wp:extent cx="5003800" cy="2033905"/>
                  <wp:effectExtent l="0" t="0" r="6350" b="444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9"/>
                          <a:srcRect b="14309"/>
                          <a:stretch>
                            <a:fillRect/>
                          </a:stretch>
                        </pic:blipFill>
                        <pic:spPr>
                          <a:xfrm>
                            <a:off x="0" y="0"/>
                            <a:ext cx="5003800" cy="2033905"/>
                          </a:xfrm>
                          <a:prstGeom prst="rect">
                            <a:avLst/>
                          </a:prstGeom>
                          <a:noFill/>
                          <a:ln>
                            <a:noFill/>
                          </a:ln>
                        </pic:spPr>
                      </pic:pic>
                    </a:graphicData>
                  </a:graphic>
                </wp:inline>
              </w:drawing>
            </w:r>
          </w:p>
          <w:p>
            <w:pPr>
              <w:keepNext w:val="0"/>
              <w:keepLines w:val="0"/>
              <w:widowControl/>
              <w:suppressLineNumbers w:val="0"/>
              <w:spacing w:line="360" w:lineRule="auto"/>
              <w:jc w:val="center"/>
              <w:rPr>
                <w:rFonts w:hint="default"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图</w:t>
            </w:r>
            <w:r>
              <w:rPr>
                <w:rFonts w:hint="eastAsia" w:ascii="宋体" w:hAnsi="宋体" w:cs="宋体"/>
                <w:b/>
                <w:bCs/>
                <w:color w:val="000000"/>
                <w:kern w:val="0"/>
                <w:sz w:val="21"/>
                <w:szCs w:val="21"/>
                <w:lang w:val="en-US" w:eastAsia="zh-CN" w:bidi="ar"/>
              </w:rPr>
              <w:t>7</w:t>
            </w:r>
            <w:r>
              <w:rPr>
                <w:rFonts w:hint="eastAsia" w:ascii="宋体" w:hAnsi="宋体" w:eastAsia="宋体" w:cs="宋体"/>
                <w:b/>
                <w:bCs/>
                <w:color w:val="000000"/>
                <w:kern w:val="0"/>
                <w:sz w:val="21"/>
                <w:szCs w:val="21"/>
                <w:lang w:val="en-US" w:eastAsia="zh-CN" w:bidi="ar"/>
              </w:rPr>
              <w:t xml:space="preserve"> </w:t>
            </w:r>
            <w:r>
              <w:rPr>
                <w:rFonts w:hint="eastAsia" w:ascii="宋体" w:hAnsi="宋体" w:cs="宋体"/>
                <w:b/>
                <w:bCs/>
                <w:color w:val="000000"/>
                <w:kern w:val="0"/>
                <w:sz w:val="21"/>
                <w:szCs w:val="21"/>
                <w:lang w:val="en-US" w:eastAsia="zh-CN" w:bidi="ar"/>
              </w:rPr>
              <w:t xml:space="preserve">  </w:t>
            </w:r>
            <w:r>
              <w:rPr>
                <w:rFonts w:hint="eastAsia" w:ascii="宋体" w:hAnsi="宋体" w:eastAsia="宋体" w:cs="宋体"/>
                <w:b/>
                <w:bCs/>
                <w:color w:val="000000"/>
                <w:kern w:val="0"/>
                <w:sz w:val="21"/>
                <w:szCs w:val="21"/>
                <w:lang w:val="en-US" w:eastAsia="zh-CN" w:bidi="ar"/>
              </w:rPr>
              <w:t>钻井工艺流程及产污节点图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default" w:ascii="Times New Roman" w:hAnsi="Times New Roman" w:eastAsia="宋体" w:cs="Times New Roman"/>
                <w:color w:val="000000"/>
                <w:kern w:val="0"/>
                <w:sz w:val="24"/>
                <w:szCs w:val="24"/>
                <w:lang w:val="en-US" w:eastAsia="zh-CN" w:bidi="ar"/>
              </w:rPr>
              <w:t>钻井工程包括：钻前作业、设备</w:t>
            </w:r>
            <w:r>
              <w:rPr>
                <w:rFonts w:hint="eastAsia" w:ascii="宋体" w:hAnsi="宋体" w:eastAsia="宋体" w:cs="宋体"/>
                <w:color w:val="000000"/>
                <w:kern w:val="0"/>
                <w:sz w:val="24"/>
                <w:szCs w:val="24"/>
                <w:lang w:val="en-US" w:eastAsia="zh-CN" w:bidi="ar"/>
              </w:rPr>
              <w:t>进场，钻井施工、试油作业、地貌恢复。</w:t>
            </w:r>
          </w:p>
          <w:p>
            <w:pPr>
              <w:pStyle w:val="19"/>
              <w:bidi w:val="0"/>
              <w:rPr>
                <w:rFonts w:hint="default"/>
              </w:rPr>
            </w:pPr>
            <w:r>
              <w:rPr>
                <w:rFonts w:hint="default"/>
                <w:lang w:val="en-US" w:eastAsia="zh-CN"/>
              </w:rPr>
              <w:t>1.1钻前作业</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（1）钻前整理场地，并保证全套钻井设备达到相关的安装标准。</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（2）在钻机安装的过程中，注意保护井口设备。</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（3）要求天车、转盘、井口三点成一条铅垂线，误差小于10mm；确保在施工过程中不偏磨井口套管及井控设备。</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（4）设备运转正常，安全装置灵活好用。各种仪器仪表准确灵敏好用。</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（5）地面高压管线用清水按标准试压。</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（6）钻具在入井前必须用通径规通径。</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（7）对所有的下井钻具进行外观检查和超声波探伤，准确丈量钻具，钻具记录上注明内外径、扣型，特殊工具要画草图。</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（8）修建进场道路。</w:t>
            </w:r>
          </w:p>
          <w:p>
            <w:pPr>
              <w:pStyle w:val="19"/>
              <w:bidi w:val="0"/>
              <w:rPr>
                <w:rFonts w:hint="default"/>
                <w:lang w:val="en-US" w:eastAsia="zh-CN"/>
              </w:rPr>
            </w:pPr>
            <w:r>
              <w:rPr>
                <w:rFonts w:hint="default"/>
                <w:lang w:val="en-US" w:eastAsia="zh-CN"/>
              </w:rPr>
              <w:t>1.2钻井施工</w:t>
            </w:r>
          </w:p>
          <w:p>
            <w:pPr>
              <w:pStyle w:val="16"/>
              <w:bidi w:val="0"/>
              <w:rPr>
                <w:rFonts w:hint="default"/>
              </w:rPr>
            </w:pPr>
            <w:r>
              <w:rPr>
                <w:rFonts w:hint="default"/>
                <w:lang w:val="en-US" w:eastAsia="zh-CN"/>
              </w:rPr>
              <w:t>钻井是采用旋转的钻头给所钻的地层一定的压力，使钻头的牙齿嵌入地层，然后旋转钻头，利用旋转钻头的扭矩来切削地层，并用循环的钻井液将钻屑带出井眼，以保证持续钻井。钻井施工作业流程及排污节点见</w:t>
            </w:r>
            <w:r>
              <w:rPr>
                <w:rFonts w:hint="eastAsia"/>
                <w:lang w:val="en-US" w:eastAsia="zh-CN"/>
              </w:rPr>
              <w:t>下图</w:t>
            </w:r>
            <w:r>
              <w:rPr>
                <w:rFonts w:hint="default"/>
                <w:lang w:val="en-US" w:eastAsia="zh-CN"/>
              </w:rPr>
              <w:t>。</w:t>
            </w:r>
          </w:p>
          <w:p>
            <w:pPr>
              <w:keepNext w:val="0"/>
              <w:keepLines w:val="0"/>
              <w:pageBreakBefore w:val="0"/>
              <w:widowControl/>
              <w:kinsoku w:val="0"/>
              <w:wordWrap/>
              <w:overflowPunct/>
              <w:topLinePunct w:val="0"/>
              <w:autoSpaceDE w:val="0"/>
              <w:autoSpaceDN w:val="0"/>
              <w:bidi w:val="0"/>
              <w:adjustRightInd/>
              <w:snapToGrid/>
              <w:ind w:left="0"/>
              <w:jc w:val="center"/>
              <w:textAlignment w:val="baseline"/>
              <w:rPr>
                <w:rFonts w:hint="eastAsia"/>
                <w:color w:val="FF0000"/>
              </w:rPr>
            </w:pPr>
            <w:r>
              <w:drawing>
                <wp:inline distT="0" distB="0" distL="114300" distR="114300">
                  <wp:extent cx="4060825" cy="3087370"/>
                  <wp:effectExtent l="0" t="0" r="15875" b="1778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20"/>
                          <a:stretch>
                            <a:fillRect/>
                          </a:stretch>
                        </pic:blipFill>
                        <pic:spPr>
                          <a:xfrm>
                            <a:off x="0" y="0"/>
                            <a:ext cx="4060825" cy="3087370"/>
                          </a:xfrm>
                          <a:prstGeom prst="rect">
                            <a:avLst/>
                          </a:prstGeom>
                          <a:noFill/>
                          <a:ln>
                            <a:noFill/>
                          </a:ln>
                        </pic:spPr>
                      </pic:pic>
                    </a:graphicData>
                  </a:graphic>
                </wp:inline>
              </w:drawing>
            </w:r>
          </w:p>
          <w:p>
            <w:pPr>
              <w:keepNext w:val="0"/>
              <w:keepLines w:val="0"/>
              <w:widowControl/>
              <w:suppressLineNumbers w:val="0"/>
              <w:spacing w:line="360" w:lineRule="auto"/>
              <w:jc w:val="center"/>
              <w:rPr>
                <w:rFonts w:hint="default"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图</w:t>
            </w:r>
            <w:r>
              <w:rPr>
                <w:rFonts w:hint="eastAsia" w:ascii="宋体" w:hAnsi="宋体" w:cs="宋体"/>
                <w:b/>
                <w:bCs/>
                <w:color w:val="000000"/>
                <w:kern w:val="0"/>
                <w:sz w:val="21"/>
                <w:szCs w:val="21"/>
                <w:lang w:val="en-US" w:eastAsia="zh-CN" w:bidi="ar"/>
              </w:rPr>
              <w:t xml:space="preserve">8  </w:t>
            </w:r>
            <w:r>
              <w:rPr>
                <w:rFonts w:hint="eastAsia" w:ascii="宋体" w:hAnsi="宋体" w:eastAsia="宋体" w:cs="宋体"/>
                <w:b/>
                <w:bCs/>
                <w:color w:val="000000"/>
                <w:kern w:val="0"/>
                <w:sz w:val="21"/>
                <w:szCs w:val="21"/>
                <w:lang w:val="en-US" w:eastAsia="zh-CN" w:bidi="ar"/>
              </w:rPr>
              <w:t xml:space="preserve"> 钻井</w:t>
            </w:r>
            <w:r>
              <w:rPr>
                <w:rFonts w:hint="eastAsia" w:ascii="宋体" w:hAnsi="宋体" w:cs="宋体"/>
                <w:b/>
                <w:bCs/>
                <w:color w:val="000000"/>
                <w:kern w:val="0"/>
                <w:sz w:val="21"/>
                <w:szCs w:val="21"/>
                <w:lang w:val="en-US" w:eastAsia="zh-CN" w:bidi="ar"/>
              </w:rPr>
              <w:t>施工作业</w:t>
            </w:r>
            <w:r>
              <w:rPr>
                <w:rFonts w:hint="eastAsia" w:ascii="宋体" w:hAnsi="宋体" w:eastAsia="宋体" w:cs="宋体"/>
                <w:b/>
                <w:bCs/>
                <w:color w:val="000000"/>
                <w:kern w:val="0"/>
                <w:sz w:val="21"/>
                <w:szCs w:val="21"/>
                <w:lang w:val="en-US" w:eastAsia="zh-CN" w:bidi="ar"/>
              </w:rPr>
              <w:t>流程及产污节点图</w:t>
            </w:r>
          </w:p>
          <w:p>
            <w:pPr>
              <w:pStyle w:val="16"/>
              <w:bidi w:val="0"/>
              <w:rPr>
                <w:rFonts w:hint="eastAsia"/>
                <w:lang w:val="en-US" w:eastAsia="zh-CN"/>
              </w:rPr>
            </w:pPr>
            <w:r>
              <w:rPr>
                <w:rFonts w:hint="eastAsia"/>
                <w:lang w:val="en-US" w:eastAsia="zh-CN"/>
              </w:rPr>
              <w:t>钻井时井筒排出的钻井泥浆及岩屑进入泥浆不落地循环系统，该系统设置振动筛、除砂器、除泥器、离心机四级处理，经四级处理后，岩屑与钻井液完全分离，钻井液返回井筒，岩屑排至岩屑储罐暂存。</w:t>
            </w:r>
          </w:p>
          <w:p>
            <w:pPr>
              <w:pStyle w:val="16"/>
              <w:bidi w:val="0"/>
            </w:pPr>
            <w:r>
              <w:rPr>
                <w:rFonts w:hint="eastAsia"/>
                <w:lang w:val="en-US" w:eastAsia="zh-CN"/>
              </w:rPr>
              <w:t>钻井过程中使用水基钻井液和油基钻井液，钻井泥浆及岩屑使用井场不落地系统进行处理。工艺流程如下：</w:t>
            </w:r>
          </w:p>
          <w:p>
            <w:pPr>
              <w:pStyle w:val="16"/>
              <w:bidi w:val="0"/>
            </w:pPr>
            <w:r>
              <w:rPr>
                <w:rFonts w:hint="eastAsia"/>
                <w:lang w:val="en-US" w:eastAsia="zh-CN"/>
              </w:rPr>
              <w:t>（</w:t>
            </w:r>
            <w:r>
              <w:rPr>
                <w:rFonts w:hint="default"/>
                <w:lang w:val="en-US" w:eastAsia="zh-CN"/>
              </w:rPr>
              <w:t>1</w:t>
            </w:r>
            <w:r>
              <w:rPr>
                <w:rFonts w:hint="eastAsia"/>
                <w:lang w:val="en-US" w:eastAsia="zh-CN"/>
              </w:rPr>
              <w:t>）钻井井口产生的钻井泥浆、岩屑混合物经振动筛、除砂器、除泥器、离心机四级实现初步分离，分离出的液相进入废水收集罐，用于钻井液配制，分离出的混合物进入收集箱待进一步处理。</w:t>
            </w:r>
          </w:p>
          <w:p>
            <w:pPr>
              <w:pStyle w:val="16"/>
              <w:bidi w:val="0"/>
            </w:pPr>
            <w:r>
              <w:rPr>
                <w:rFonts w:hint="eastAsia"/>
                <w:lang w:val="en-US" w:eastAsia="zh-CN"/>
              </w:rPr>
              <w:t>（</w:t>
            </w:r>
            <w:r>
              <w:rPr>
                <w:rFonts w:hint="default"/>
                <w:lang w:val="en-US" w:eastAsia="zh-CN"/>
              </w:rPr>
              <w:t>2</w:t>
            </w:r>
            <w:r>
              <w:rPr>
                <w:rFonts w:hint="eastAsia"/>
                <w:lang w:val="en-US" w:eastAsia="zh-CN"/>
              </w:rPr>
              <w:t>）收集箱中的混合物经不落地系统进一步固液分离，进入岩屑储罐暂存，钻井一开采用水基钻井液，二开采用油基钻井液；分离出的液相回用于钻井，水基岩屑实现无害化处置，油基钻井岩屑和废弃油基钻井泥浆委托有资质的单位进行处置。</w:t>
            </w:r>
          </w:p>
          <w:p>
            <w:pPr>
              <w:pStyle w:val="16"/>
              <w:bidi w:val="0"/>
              <w:rPr>
                <w:rFonts w:hint="eastAsia"/>
                <w:lang w:val="en-US" w:eastAsia="zh-CN"/>
              </w:rPr>
            </w:pPr>
            <w:r>
              <w:rPr>
                <w:rFonts w:hint="eastAsia"/>
                <w:lang w:val="en-US" w:eastAsia="zh-CN"/>
              </w:rPr>
              <w:t>（</w:t>
            </w:r>
            <w:r>
              <w:rPr>
                <w:rFonts w:hint="default"/>
                <w:lang w:val="en-US" w:eastAsia="zh-CN"/>
              </w:rPr>
              <w:t>3</w:t>
            </w:r>
            <w:r>
              <w:rPr>
                <w:rFonts w:hint="eastAsia"/>
                <w:lang w:val="en-US" w:eastAsia="zh-CN"/>
              </w:rPr>
              <w:t>）钻井结束后剩余钻井泥浆由钻井队回收，送至下个井场循环利用，不外排；防渗膜由钻井队回收利用。</w:t>
            </w:r>
            <w:r>
              <w:drawing>
                <wp:inline distT="0" distB="0" distL="114300" distR="114300">
                  <wp:extent cx="5102860" cy="3362960"/>
                  <wp:effectExtent l="0" t="0" r="254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a:stretch>
                            <a:fillRect/>
                          </a:stretch>
                        </pic:blipFill>
                        <pic:spPr>
                          <a:xfrm>
                            <a:off x="0" y="0"/>
                            <a:ext cx="5102860" cy="3362960"/>
                          </a:xfrm>
                          <a:prstGeom prst="rect">
                            <a:avLst/>
                          </a:prstGeom>
                          <a:noFill/>
                          <a:ln>
                            <a:noFill/>
                          </a:ln>
                        </pic:spPr>
                      </pic:pic>
                    </a:graphicData>
                  </a:graphic>
                </wp:inline>
              </w:drawing>
            </w:r>
          </w:p>
          <w:p>
            <w:pPr>
              <w:keepNext w:val="0"/>
              <w:keepLines w:val="0"/>
              <w:widowControl/>
              <w:suppressLineNumbers w:val="0"/>
              <w:spacing w:line="360" w:lineRule="auto"/>
              <w:jc w:val="center"/>
              <w:rPr>
                <w:rFonts w:hint="default"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图</w:t>
            </w:r>
            <w:r>
              <w:rPr>
                <w:rFonts w:hint="eastAsia" w:ascii="宋体" w:hAnsi="宋体" w:cs="宋体"/>
                <w:b/>
                <w:bCs/>
                <w:color w:val="000000"/>
                <w:kern w:val="0"/>
                <w:sz w:val="21"/>
                <w:szCs w:val="21"/>
                <w:lang w:val="en-US" w:eastAsia="zh-CN" w:bidi="ar"/>
              </w:rPr>
              <w:t xml:space="preserve">9  </w:t>
            </w:r>
            <w:r>
              <w:rPr>
                <w:rFonts w:hint="eastAsia" w:ascii="宋体" w:hAnsi="宋体" w:eastAsia="宋体" w:cs="宋体"/>
                <w:b/>
                <w:bCs/>
                <w:color w:val="000000"/>
                <w:kern w:val="0"/>
                <w:sz w:val="21"/>
                <w:szCs w:val="21"/>
                <w:lang w:val="en-US" w:eastAsia="zh-CN" w:bidi="ar"/>
              </w:rPr>
              <w:t xml:space="preserve"> </w:t>
            </w:r>
            <w:r>
              <w:rPr>
                <w:rFonts w:hint="eastAsia" w:ascii="宋体" w:hAnsi="宋体" w:cs="宋体"/>
                <w:b/>
                <w:bCs/>
                <w:color w:val="000000"/>
                <w:kern w:val="0"/>
                <w:sz w:val="21"/>
                <w:szCs w:val="21"/>
                <w:lang w:val="en-US" w:eastAsia="zh-CN" w:bidi="ar"/>
              </w:rPr>
              <w:t>钻井泥浆不落地装置示意图</w:t>
            </w:r>
          </w:p>
          <w:p>
            <w:pPr>
              <w:pStyle w:val="19"/>
              <w:bidi w:val="0"/>
              <w:rPr>
                <w:rFonts w:hint="default"/>
                <w:lang w:val="en-US" w:eastAsia="zh-CN"/>
              </w:rPr>
            </w:pPr>
            <w:r>
              <w:rPr>
                <w:rFonts w:hint="eastAsia"/>
                <w:lang w:val="en-US" w:eastAsia="zh-CN"/>
              </w:rPr>
              <w:t>1.3固井作业</w:t>
            </w:r>
          </w:p>
          <w:p>
            <w:pPr>
              <w:pStyle w:val="16"/>
              <w:bidi w:val="0"/>
            </w:pPr>
            <w:r>
              <w:rPr>
                <w:rFonts w:hint="eastAsia"/>
                <w:lang w:val="en-US" w:eastAsia="zh-CN"/>
              </w:rPr>
              <w:t>固井是在已钻成的井眼内下入套管，然后在套管与井壁之间环空内注入水泥浆将套管和地层固结在一起的工艺过程，可防止复杂情况以保证安全继续钻进下一段井眼或保证顺利开采生产层中的油、气。</w:t>
            </w:r>
          </w:p>
          <w:p>
            <w:pPr>
              <w:pStyle w:val="16"/>
              <w:bidi w:val="0"/>
            </w:pPr>
            <w:r>
              <w:rPr>
                <w:rFonts w:hint="eastAsia"/>
                <w:lang w:val="en-US" w:eastAsia="zh-CN"/>
              </w:rPr>
              <w:t>固井工程包括下套管和注水泥两个过程。下套管就是在已经钻成的井眼中按规定深度下入一定直径、由某种或几种不同钢级及壁厚的套管组成的套管柱。注水泥就是在地面上将水泥浆通过套管柱注入到井眼与套管柱之间的环形空间中的过程。固井的主要目的是封隔疏松的易塌、易漏地层；封隔油、气、水层，防止互相窜漏。固井作业的主要设备有水泥搅拌机、下灰罐车、混合漏斗和其他附属设备等。</w:t>
            </w:r>
          </w:p>
          <w:p>
            <w:pPr>
              <w:pStyle w:val="16"/>
              <w:bidi w:val="0"/>
              <w:rPr>
                <w:rFonts w:hint="default"/>
                <w:lang w:val="en-US" w:eastAsia="zh-CN"/>
              </w:rPr>
            </w:pPr>
            <w:r>
              <w:rPr>
                <w:rFonts w:hint="eastAsia"/>
                <w:lang w:val="en-US" w:eastAsia="zh-CN"/>
              </w:rPr>
              <w:t>另外，现场施工前根据实际情况要作水泥浆配方及性能复核试验，同时，如果是钻进中井漏严重，则应考虑采用双凝水泥浆体系固井，从而提高固井质量，防止因为井漏事故造成地下水环境污染。</w:t>
            </w:r>
          </w:p>
          <w:p>
            <w:pPr>
              <w:pStyle w:val="4"/>
              <w:bidi w:val="0"/>
            </w:pPr>
            <w:r>
              <w:rPr>
                <w:rFonts w:hint="default"/>
                <w:lang w:val="en-US" w:eastAsia="zh-CN"/>
              </w:rPr>
              <w:t>2、</w:t>
            </w:r>
            <w:r>
              <w:rPr>
                <w:rFonts w:hint="eastAsia"/>
                <w:lang w:val="en-US" w:eastAsia="zh-CN"/>
              </w:rPr>
              <w:t>试油作业</w:t>
            </w:r>
          </w:p>
          <w:p>
            <w:pPr>
              <w:pStyle w:val="16"/>
              <w:bidi w:val="0"/>
            </w:pPr>
            <w:r>
              <w:rPr>
                <w:rFonts w:hint="eastAsia"/>
                <w:lang w:val="en-US" w:eastAsia="zh-CN"/>
              </w:rPr>
              <w:t>试油就是利用专用的设备和方法，对通过地震勘察、钻井录井、测井等间接手段初步确定的可能含油（气）层位进行直接的测试，并取得目的层的产能、压力、温度、油气水性质以及地质资料的工艺过程。试油作业流程见图10。</w:t>
            </w:r>
          </w:p>
          <w:p>
            <w:pPr>
              <w:keepNext w:val="0"/>
              <w:keepLines w:val="0"/>
              <w:widowControl/>
              <w:suppressLineNumbers w:val="0"/>
              <w:spacing w:line="360" w:lineRule="auto"/>
              <w:jc w:val="center"/>
              <w:rPr>
                <w:rStyle w:val="20"/>
                <w:rFonts w:hint="eastAsia"/>
                <w:lang w:val="en-US" w:eastAsia="zh-CN"/>
              </w:rPr>
            </w:pPr>
            <w:r>
              <w:rPr>
                <w:rStyle w:val="20"/>
                <w:rFonts w:hint="eastAsia"/>
                <w:lang w:val="en-US" w:eastAsia="zh-CN"/>
              </w:rPr>
              <w:drawing>
                <wp:inline distT="0" distB="0" distL="114300" distR="114300">
                  <wp:extent cx="4775200" cy="2530475"/>
                  <wp:effectExtent l="0" t="0" r="6350" b="317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22"/>
                          <a:srcRect b="7088"/>
                          <a:stretch>
                            <a:fillRect/>
                          </a:stretch>
                        </pic:blipFill>
                        <pic:spPr>
                          <a:xfrm>
                            <a:off x="0" y="0"/>
                            <a:ext cx="4775200" cy="2530475"/>
                          </a:xfrm>
                          <a:prstGeom prst="rect">
                            <a:avLst/>
                          </a:prstGeom>
                          <a:noFill/>
                          <a:ln>
                            <a:noFill/>
                          </a:ln>
                        </pic:spPr>
                      </pic:pic>
                    </a:graphicData>
                  </a:graphic>
                </wp:inline>
              </w:drawing>
            </w:r>
          </w:p>
          <w:p>
            <w:pPr>
              <w:pStyle w:val="14"/>
              <w:bidi w:val="0"/>
              <w:rPr>
                <w:rFonts w:hint="default"/>
                <w:lang w:val="en-US" w:eastAsia="zh-CN"/>
              </w:rPr>
            </w:pPr>
            <w:r>
              <w:rPr>
                <w:rFonts w:hint="eastAsia"/>
                <w:lang w:val="en-US" w:eastAsia="zh-CN"/>
              </w:rPr>
              <w:t>图10   试油作业流程及产污节点图</w:t>
            </w:r>
          </w:p>
          <w:p>
            <w:pPr>
              <w:pStyle w:val="4"/>
              <w:bidi w:val="0"/>
            </w:pPr>
            <w:r>
              <w:rPr>
                <w:rFonts w:hint="default"/>
                <w:lang w:val="en-US" w:eastAsia="zh-CN"/>
              </w:rPr>
              <w:t>3、</w:t>
            </w:r>
            <w:r>
              <w:rPr>
                <w:rFonts w:hint="eastAsia"/>
                <w:lang w:val="en-US" w:eastAsia="zh-CN"/>
              </w:rPr>
              <w:t>钻后工程</w:t>
            </w:r>
          </w:p>
          <w:p>
            <w:pPr>
              <w:pStyle w:val="16"/>
              <w:bidi w:val="0"/>
              <w:rPr>
                <w:rFonts w:hint="default"/>
              </w:rPr>
            </w:pPr>
            <w:r>
              <w:rPr>
                <w:rFonts w:hint="eastAsia"/>
                <w:lang w:val="en-US" w:eastAsia="zh-CN"/>
              </w:rPr>
              <w:t>测试完井后。要换装井口装置，有油时井口需换装采油树，其余设施将拆除、搬迁，钻井液材料全部进行回收，井场无遗留，钻井过程中产生的各类废物进行清理，并进行产能建设工程的环境影响评价，若该井无开采价值，则将井口用水泥封固，预计</w:t>
            </w:r>
            <w:r>
              <w:rPr>
                <w:rFonts w:hint="default"/>
                <w:lang w:val="en-US" w:eastAsia="zh-CN"/>
              </w:rPr>
              <w:t>2</w:t>
            </w:r>
            <w:r>
              <w:rPr>
                <w:rFonts w:hint="eastAsia"/>
                <w:lang w:val="en-US" w:eastAsia="zh-CN"/>
              </w:rPr>
              <w:t>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52" w:hRule="atLeast"/>
        </w:trPr>
        <w:tc>
          <w:tcPr>
            <w:tcW w:w="718"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cs="Times New Roman"/>
                <w:spacing w:val="5"/>
                <w:position w:val="4"/>
                <w:sz w:val="24"/>
                <w:szCs w:val="24"/>
                <w:lang w:val="en-US" w:eastAsia="zh-CN"/>
              </w:rPr>
            </w:pPr>
            <w:r>
              <w:rPr>
                <w:rFonts w:hint="default" w:cs="Times New Roman"/>
                <w:spacing w:val="5"/>
                <w:position w:val="4"/>
                <w:sz w:val="24"/>
                <w:szCs w:val="24"/>
                <w:lang w:val="en-US" w:eastAsia="zh-CN"/>
              </w:rPr>
              <w:t>其他</w:t>
            </w:r>
          </w:p>
        </w:tc>
        <w:tc>
          <w:tcPr>
            <w:tcW w:w="8376" w:type="dxa"/>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ind w:left="0"/>
              <w:jc w:val="center"/>
              <w:textAlignment w:val="baseline"/>
              <w:rPr>
                <w:rFonts w:hint="eastAsia" w:ascii="Times New Roman" w:hAnsi="Times New Roman" w:eastAsia="宋体" w:cs="Times New Roman"/>
                <w:sz w:val="21"/>
                <w:lang w:val="en-US" w:eastAsia="zh-CN"/>
              </w:rPr>
            </w:pPr>
            <w:r>
              <w:rPr>
                <w:rFonts w:hint="eastAsia" w:cs="Times New Roman"/>
                <w:sz w:val="21"/>
                <w:lang w:val="en-US" w:eastAsia="zh-CN"/>
              </w:rPr>
              <w:t>无</w:t>
            </w:r>
          </w:p>
        </w:tc>
      </w:tr>
    </w:tbl>
    <w:p>
      <w:pPr>
        <w:rPr>
          <w:rFonts w:hint="default" w:ascii="Times New Roman" w:hAnsi="Times New Roman" w:cs="Times New Roman"/>
          <w:sz w:val="21"/>
        </w:rPr>
      </w:pPr>
    </w:p>
    <w:p>
      <w:pPr>
        <w:rPr>
          <w:rFonts w:hint="default" w:ascii="Times New Roman" w:hAnsi="Times New Roman" w:cs="Times New Roman"/>
        </w:rPr>
        <w:sectPr>
          <w:footerReference r:id="rId7" w:type="default"/>
          <w:pgSz w:w="11906" w:h="16839"/>
          <w:pgMar w:top="1431" w:right="1398" w:bottom="1185" w:left="1398" w:header="0" w:footer="918" w:gutter="0"/>
          <w:pgNumType w:fmt="decimal"/>
          <w:cols w:space="720" w:num="1"/>
        </w:sectPr>
      </w:pPr>
    </w:p>
    <w:p>
      <w:pPr>
        <w:pStyle w:val="3"/>
        <w:bidi w:val="0"/>
        <w:rPr>
          <w:rFonts w:hint="default"/>
        </w:rPr>
      </w:pPr>
      <w:r>
        <w:rPr>
          <w:rFonts w:hint="default"/>
        </w:rPr>
        <w:t>三、生态环境现状、保护目标及评价标准</w:t>
      </w:r>
    </w:p>
    <w:p>
      <w:pPr>
        <w:spacing w:line="38" w:lineRule="auto"/>
        <w:rPr>
          <w:rFonts w:hint="default" w:ascii="Times New Roman" w:hAnsi="Times New Roman" w:cs="Times New Roman"/>
          <w:sz w:val="2"/>
        </w:rPr>
      </w:pPr>
    </w:p>
    <w:tbl>
      <w:tblPr>
        <w:tblStyle w:val="15"/>
        <w:tblW w:w="916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3"/>
        <w:gridCol w:w="81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30" w:hRule="atLeast"/>
        </w:trPr>
        <w:tc>
          <w:tcPr>
            <w:tcW w:w="1033" w:type="dxa"/>
            <w:tcBorders>
              <w:left w:val="single" w:color="000000" w:sz="6" w:space="0"/>
            </w:tcBorders>
            <w:vAlign w:val="center"/>
          </w:tcPr>
          <w:p>
            <w:pPr>
              <w:bidi w:val="0"/>
              <w:jc w:val="center"/>
              <w:rPr>
                <w:rFonts w:hint="default"/>
              </w:rPr>
            </w:pPr>
            <w:r>
              <w:rPr>
                <w:rFonts w:hint="default"/>
              </w:rPr>
              <w:t>生态环境现状</w:t>
            </w:r>
          </w:p>
        </w:tc>
        <w:tc>
          <w:tcPr>
            <w:tcW w:w="8128" w:type="dxa"/>
            <w:tcBorders>
              <w:right w:val="single" w:color="000000" w:sz="6" w:space="0"/>
            </w:tcBorders>
            <w:vAlign w:val="center"/>
          </w:tcPr>
          <w:p>
            <w:pPr>
              <w:pStyle w:val="4"/>
              <w:bidi w:val="0"/>
            </w:pPr>
            <w:r>
              <w:rPr>
                <w:rFonts w:hint="eastAsia"/>
              </w:rPr>
              <w:t>1、新疆维吾尔自治区主体功能区规划</w:t>
            </w:r>
          </w:p>
          <w:p>
            <w:pPr>
              <w:pStyle w:val="16"/>
              <w:bidi w:val="0"/>
              <w:rPr>
                <w:rFonts w:hint="eastAsia"/>
                <w:color w:val="auto"/>
              </w:rPr>
            </w:pPr>
            <w:r>
              <w:rPr>
                <w:rFonts w:hint="eastAsia"/>
                <w:color w:val="auto"/>
              </w:rPr>
              <w:t>对照《新疆维吾尔自治区主体功能区规划》的划分，本项目位于吉木萨尔县境内，所在区域属于限值开发区域（国家级农产品主产区），为天山北坡主产区。这些农产品主产区县市的城区或城关镇及其境内的重要工业园区是国家级重点开发区域，但这些县市以享受国家农产品主产区的政策为主。</w:t>
            </w:r>
          </w:p>
          <w:p>
            <w:pPr>
              <w:pStyle w:val="16"/>
              <w:bidi w:val="0"/>
              <w:rPr>
                <w:rFonts w:hint="eastAsia"/>
                <w:color w:val="auto"/>
              </w:rPr>
            </w:pPr>
            <w:r>
              <w:rPr>
                <w:rFonts w:hint="eastAsia"/>
                <w:color w:val="auto"/>
              </w:rPr>
              <w:t>其功能定位是：保障农牧产品供给安全的重要区域，农牧民安居乐业的美好家园，社会主义新农村建设的示范区。</w:t>
            </w:r>
          </w:p>
          <w:p>
            <w:pPr>
              <w:pStyle w:val="16"/>
              <w:bidi w:val="0"/>
              <w:rPr>
                <w:rFonts w:hint="eastAsia"/>
                <w:color w:val="auto"/>
              </w:rPr>
            </w:pPr>
            <w:r>
              <w:rPr>
                <w:rFonts w:hint="eastAsia"/>
                <w:color w:val="auto"/>
              </w:rPr>
              <w:t>其开发管制原则：要求位于农产品主产区的点状能源和矿产资源基地建设，必须进行生态环境影响评估，并尽可能减少对生态空间与农业空间的占用，同步修复生态环境。其中，在水资源严重短缺、环境容量很小、生态十分脆弱、地震和地质灾害频发的地区，要严格控制能源和矿产资源开发。</w:t>
            </w:r>
          </w:p>
          <w:p>
            <w:pPr>
              <w:pStyle w:val="16"/>
              <w:bidi w:val="0"/>
              <w:rPr>
                <w:color w:val="auto"/>
              </w:rPr>
            </w:pPr>
            <w:r>
              <w:rPr>
                <w:rFonts w:hint="eastAsia"/>
                <w:color w:val="auto"/>
              </w:rPr>
              <w:t>本项目为石油开采项目，不在主体功能区划中确定的国家和自治区层面的禁止开发区域内，所进行的石油天然气勘探活动符合“全国重要的能源基地”定位。项目所在区域不在生态红线区内，所占土地类型为耕地，不占用林地、水库水域、河流水面、湖泊水面等。为了实现区域的生态功能，项目对开发活动严格控制，尽可能减少对生态系统的干扰；在项目实施过程中需要积极采取生态补偿措施，加强对荒漠生态功能区保护和恢复，高度注意保护荒漠植被，保护野生动物，保护地貌，维护自然生态环境，积极落实本次环评提出的各项生态环境保护措施。</w:t>
            </w:r>
          </w:p>
          <w:p>
            <w:pPr>
              <w:pStyle w:val="4"/>
              <w:bidi w:val="0"/>
            </w:pPr>
            <w:r>
              <w:rPr>
                <w:rFonts w:hint="eastAsia"/>
              </w:rPr>
              <w:t>2、生态功能区划</w:t>
            </w:r>
          </w:p>
          <w:p>
            <w:pPr>
              <w:pStyle w:val="16"/>
              <w:shd w:val="clear"/>
              <w:bidi w:val="0"/>
              <w:rPr>
                <w:color w:val="auto"/>
                <w:highlight w:val="none"/>
              </w:rPr>
            </w:pPr>
            <w:r>
              <w:rPr>
                <w:rFonts w:hint="eastAsia"/>
                <w:color w:val="auto"/>
                <w:highlight w:val="none"/>
              </w:rPr>
              <w:t>根</w:t>
            </w:r>
            <w:r>
              <w:rPr>
                <w:rFonts w:hint="eastAsia"/>
                <w:color w:val="auto"/>
                <w:highlight w:val="none"/>
                <w:shd w:val="clear"/>
              </w:rPr>
              <w:t>据《新疆生态功能区划简表》，项目所属生态功能区的主要生态服务功能、主要生态环境问题、主要保护目标和主要发展方向等内容详见</w:t>
            </w:r>
            <w:r>
              <w:rPr>
                <w:rFonts w:hint="eastAsia"/>
                <w:color w:val="auto"/>
                <w:highlight w:val="none"/>
                <w:shd w:val="clear"/>
                <w:lang w:val="en-US" w:eastAsia="zh-CN"/>
              </w:rPr>
              <w:t>下表</w:t>
            </w:r>
            <w:r>
              <w:rPr>
                <w:color w:val="auto"/>
                <w:highlight w:val="none"/>
                <w:shd w:val="clear"/>
              </w:rPr>
              <w:t>，</w:t>
            </w:r>
            <w:r>
              <w:rPr>
                <w:rFonts w:hint="eastAsia"/>
                <w:color w:val="auto"/>
                <w:highlight w:val="none"/>
                <w:shd w:val="clear"/>
              </w:rPr>
              <w:t>生态功能区划图详见附图</w:t>
            </w:r>
            <w:r>
              <w:rPr>
                <w:rFonts w:hint="default"/>
                <w:color w:val="auto"/>
                <w:highlight w:val="none"/>
                <w:shd w:val="clear"/>
                <w:lang w:eastAsia="zh-CN"/>
              </w:rPr>
              <w:t>4</w:t>
            </w:r>
            <w:r>
              <w:rPr>
                <w:color w:val="auto"/>
                <w:highlight w:val="none"/>
              </w:rPr>
              <w:t>。</w:t>
            </w:r>
          </w:p>
          <w:p>
            <w:pPr>
              <w:pStyle w:val="14"/>
              <w:shd w:val="clear"/>
              <w:bidi w:val="0"/>
              <w:rPr>
                <w:color w:val="auto"/>
                <w:highlight w:val="none"/>
              </w:rPr>
            </w:pPr>
            <w:bookmarkStart w:id="1" w:name="_Ref107504039"/>
            <w:r>
              <w:rPr>
                <w:rFonts w:hint="eastAsia"/>
                <w:color w:val="auto"/>
                <w:highlight w:val="none"/>
              </w:rPr>
              <w:t>表</w:t>
            </w:r>
            <w:bookmarkEnd w:id="1"/>
            <w:r>
              <w:rPr>
                <w:rFonts w:hint="eastAsia"/>
                <w:color w:val="auto"/>
                <w:highlight w:val="none"/>
                <w:lang w:val="en-US" w:eastAsia="zh-CN"/>
              </w:rPr>
              <w:t>3-1</w:t>
            </w:r>
            <w:r>
              <w:rPr>
                <w:rFonts w:hint="eastAsia"/>
                <w:color w:val="auto"/>
                <w:highlight w:val="none"/>
              </w:rPr>
              <w:t xml:space="preserve"> </w:t>
            </w:r>
            <w:r>
              <w:rPr>
                <w:color w:val="auto"/>
                <w:highlight w:val="none"/>
              </w:rPr>
              <w:t xml:space="preserve">  </w:t>
            </w:r>
            <w:r>
              <w:rPr>
                <w:rFonts w:hint="eastAsia"/>
                <w:color w:val="auto"/>
                <w:highlight w:val="none"/>
              </w:rPr>
              <w:t>生态功能区划简表</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597"/>
              <w:gridCol w:w="58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pct"/>
                  <w:vMerge w:val="restart"/>
                  <w:vAlign w:val="center"/>
                </w:tcPr>
                <w:p>
                  <w:pPr>
                    <w:spacing w:before="0" w:after="0" w:line="240" w:lineRule="auto"/>
                    <w:ind w:right="0"/>
                    <w:jc w:val="center"/>
                    <w:rPr>
                      <w:rFonts w:ascii="宋体" w:hAnsi="宋体" w:cs="宋体"/>
                      <w:sz w:val="21"/>
                      <w:szCs w:val="24"/>
                      <w:highlight w:val="none"/>
                    </w:rPr>
                  </w:pPr>
                  <w:bookmarkStart w:id="2" w:name="_Hlk129623465"/>
                  <w:r>
                    <w:rPr>
                      <w:rFonts w:hint="eastAsia" w:ascii="宋体" w:hAnsi="宋体" w:cs="宋体"/>
                      <w:sz w:val="21"/>
                      <w:szCs w:val="24"/>
                      <w:highlight w:val="none"/>
                    </w:rPr>
                    <w:t>生态功能分区单元</w:t>
                  </w:r>
                </w:p>
              </w:tc>
              <w:tc>
                <w:tcPr>
                  <w:tcW w:w="984" w:type="pct"/>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生态区</w:t>
                  </w:r>
                </w:p>
              </w:tc>
              <w:tc>
                <w:tcPr>
                  <w:tcW w:w="3576" w:type="pct"/>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Ⅱ 准噶尔盆地温性荒漠与绿洲农业生态区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pct"/>
                  <w:vMerge w:val="continue"/>
                  <w:vAlign w:val="center"/>
                </w:tcPr>
                <w:p>
                  <w:pPr>
                    <w:spacing w:before="0" w:after="0" w:line="240" w:lineRule="auto"/>
                    <w:ind w:right="0"/>
                    <w:jc w:val="center"/>
                    <w:rPr>
                      <w:rFonts w:ascii="宋体" w:hAnsi="宋体" w:cs="宋体"/>
                      <w:sz w:val="21"/>
                      <w:szCs w:val="24"/>
                      <w:highlight w:val="none"/>
                    </w:rPr>
                  </w:pPr>
                </w:p>
              </w:tc>
              <w:tc>
                <w:tcPr>
                  <w:tcW w:w="984" w:type="pct"/>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生态亚区</w:t>
                  </w:r>
                </w:p>
              </w:tc>
              <w:tc>
                <w:tcPr>
                  <w:tcW w:w="3576" w:type="pct"/>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Ⅱ</w:t>
                  </w:r>
                  <w:r>
                    <w:rPr>
                      <w:rFonts w:hint="eastAsia" w:ascii="宋体" w:hAnsi="宋体" w:cs="宋体"/>
                      <w:sz w:val="21"/>
                      <w:szCs w:val="24"/>
                      <w:highlight w:val="none"/>
                      <w:vertAlign w:val="subscript"/>
                      <w:lang w:val="en-US" w:eastAsia="zh-CN"/>
                    </w:rPr>
                    <w:t>5</w:t>
                  </w:r>
                  <w:r>
                    <w:rPr>
                      <w:rFonts w:hint="eastAsia" w:ascii="宋体" w:hAnsi="宋体" w:cs="宋体"/>
                      <w:sz w:val="21"/>
                      <w:szCs w:val="24"/>
                      <w:highlight w:val="none"/>
                    </w:rPr>
                    <w:t>准噶尔盆地南部荒漠绿洲农业生态亚区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pct"/>
                  <w:vMerge w:val="continue"/>
                  <w:vAlign w:val="center"/>
                </w:tcPr>
                <w:p>
                  <w:pPr>
                    <w:spacing w:before="0" w:after="0" w:line="240" w:lineRule="auto"/>
                    <w:ind w:right="0"/>
                    <w:jc w:val="center"/>
                    <w:rPr>
                      <w:rFonts w:ascii="宋体" w:hAnsi="宋体" w:cs="宋体"/>
                      <w:sz w:val="21"/>
                      <w:szCs w:val="24"/>
                      <w:highlight w:val="none"/>
                    </w:rPr>
                  </w:pPr>
                </w:p>
              </w:tc>
              <w:tc>
                <w:tcPr>
                  <w:tcW w:w="984" w:type="pct"/>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生态功能区</w:t>
                  </w:r>
                </w:p>
              </w:tc>
              <w:tc>
                <w:tcPr>
                  <w:tcW w:w="3576" w:type="pct"/>
                  <w:vAlign w:val="center"/>
                </w:tcPr>
                <w:p>
                  <w:pPr>
                    <w:spacing w:before="0" w:after="0" w:line="240" w:lineRule="auto"/>
                    <w:ind w:right="0"/>
                    <w:jc w:val="center"/>
                    <w:rPr>
                      <w:rFonts w:ascii="宋体" w:hAnsi="宋体" w:cs="宋体"/>
                      <w:sz w:val="21"/>
                      <w:szCs w:val="24"/>
                      <w:highlight w:val="none"/>
                    </w:rPr>
                  </w:pPr>
                  <w:r>
                    <w:rPr>
                      <w:rFonts w:ascii="宋体" w:hAnsi="宋体" w:cs="宋体"/>
                      <w:sz w:val="21"/>
                      <w:szCs w:val="24"/>
                      <w:highlight w:val="none"/>
                    </w:rPr>
                    <w:t>2</w:t>
                  </w:r>
                  <w:r>
                    <w:rPr>
                      <w:rFonts w:hint="eastAsia" w:ascii="宋体" w:hAnsi="宋体" w:cs="宋体"/>
                      <w:sz w:val="21"/>
                      <w:szCs w:val="24"/>
                      <w:highlight w:val="none"/>
                      <w:lang w:val="en-US" w:eastAsia="zh-CN"/>
                    </w:rPr>
                    <w:t>8</w:t>
                  </w:r>
                  <w:r>
                    <w:rPr>
                      <w:rFonts w:ascii="宋体" w:hAnsi="宋体" w:cs="宋体"/>
                      <w:sz w:val="21"/>
                      <w:szCs w:val="24"/>
                      <w:highlight w:val="none"/>
                    </w:rPr>
                    <w:t>.</w:t>
                  </w:r>
                  <w:r>
                    <w:rPr>
                      <w:rFonts w:hint="eastAsia" w:ascii="宋体" w:hAnsi="宋体" w:cs="宋体"/>
                      <w:sz w:val="21"/>
                      <w:szCs w:val="24"/>
                      <w:highlight w:val="none"/>
                      <w:lang w:val="en-US" w:eastAsia="zh-CN"/>
                    </w:rPr>
                    <w:t>阜康</w:t>
                  </w:r>
                  <w:r>
                    <w:rPr>
                      <w:rFonts w:hint="eastAsia" w:ascii="宋体" w:hAnsi="宋体" w:cs="宋体"/>
                      <w:sz w:val="21"/>
                      <w:szCs w:val="24"/>
                      <w:highlight w:val="none"/>
                    </w:rPr>
                    <w:t>一木垒绿洲农业、荒漠草地保护生态功能区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3" w:type="pct"/>
                  <w:gridSpan w:val="2"/>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主要生态服务功能</w:t>
                  </w:r>
                </w:p>
              </w:tc>
              <w:tc>
                <w:tcPr>
                  <w:tcW w:w="3576" w:type="pct"/>
                  <w:vAlign w:val="center"/>
                </w:tcPr>
                <w:p>
                  <w:pPr>
                    <w:spacing w:before="0" w:after="0" w:line="240" w:lineRule="auto"/>
                    <w:ind w:right="0"/>
                    <w:jc w:val="center"/>
                    <w:rPr>
                      <w:rFonts w:hint="default" w:ascii="宋体" w:hAnsi="宋体" w:eastAsia="宋体" w:cs="宋体"/>
                      <w:sz w:val="21"/>
                      <w:szCs w:val="24"/>
                      <w:highlight w:val="none"/>
                      <w:lang w:val="en-US" w:eastAsia="zh-CN"/>
                    </w:rPr>
                  </w:pPr>
                  <w:r>
                    <w:rPr>
                      <w:rFonts w:hint="eastAsia" w:ascii="宋体" w:hAnsi="宋体" w:cs="宋体"/>
                      <w:sz w:val="21"/>
                      <w:szCs w:val="24"/>
                      <w:highlight w:val="none"/>
                      <w:lang w:val="en-US" w:eastAsia="zh-CN"/>
                    </w:rPr>
                    <w:t>农牧业产品生产、人居环境、荒漠化控制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3" w:type="pct"/>
                  <w:gridSpan w:val="2"/>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主要生态环境问题</w:t>
                  </w:r>
                </w:p>
              </w:tc>
              <w:tc>
                <w:tcPr>
                  <w:tcW w:w="3576" w:type="pct"/>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地下水超采、荒漠植被退化、沙漠化威胁、局部土壤盐溃化、河流萎缩、</w:t>
                  </w:r>
                  <w:r>
                    <w:rPr>
                      <w:rFonts w:hint="eastAsia" w:ascii="宋体" w:hAnsi="宋体" w:cs="宋体"/>
                      <w:sz w:val="21"/>
                      <w:szCs w:val="24"/>
                      <w:highlight w:val="none"/>
                      <w:lang w:val="en-US" w:eastAsia="zh-CN"/>
                    </w:rPr>
                    <w:t>滥</w:t>
                  </w:r>
                  <w:r>
                    <w:rPr>
                      <w:rFonts w:hint="eastAsia" w:ascii="宋体" w:hAnsi="宋体" w:cs="宋体"/>
                      <w:sz w:val="21"/>
                      <w:szCs w:val="24"/>
                      <w:highlight w:val="none"/>
                    </w:rPr>
                    <w:t>开荒地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3" w:type="pct"/>
                  <w:gridSpan w:val="2"/>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主要生态敏感因子、敏感程度</w:t>
                  </w:r>
                </w:p>
              </w:tc>
              <w:tc>
                <w:tcPr>
                  <w:tcW w:w="3576" w:type="pct"/>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生物多样性和生境中度敏感，土壤侵蚀轻度敏感、不敏感，土地沙漠化、土壤盐渍化不敏感，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3" w:type="pct"/>
                  <w:gridSpan w:val="2"/>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主要保护目标</w:t>
                  </w:r>
                </w:p>
              </w:tc>
              <w:tc>
                <w:tcPr>
                  <w:tcW w:w="3576" w:type="pct"/>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保护基本农田、保护荒漠植被、保护土壤环境质量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3" w:type="pct"/>
                  <w:gridSpan w:val="2"/>
                  <w:vAlign w:val="center"/>
                </w:tcPr>
                <w:p>
                  <w:pPr>
                    <w:spacing w:before="0" w:after="0" w:line="240" w:lineRule="auto"/>
                    <w:ind w:right="0"/>
                    <w:jc w:val="center"/>
                    <w:rPr>
                      <w:rFonts w:ascii="宋体" w:hAnsi="宋体" w:cs="宋体"/>
                      <w:color w:val="auto"/>
                      <w:sz w:val="21"/>
                      <w:szCs w:val="24"/>
                      <w:highlight w:val="none"/>
                    </w:rPr>
                  </w:pPr>
                  <w:r>
                    <w:rPr>
                      <w:rFonts w:hint="eastAsia" w:ascii="宋体" w:hAnsi="宋体" w:cs="宋体"/>
                      <w:color w:val="auto"/>
                      <w:sz w:val="21"/>
                      <w:szCs w:val="24"/>
                      <w:highlight w:val="none"/>
                    </w:rPr>
                    <w:t>主要保护措施</w:t>
                  </w:r>
                </w:p>
              </w:tc>
              <w:tc>
                <w:tcPr>
                  <w:tcW w:w="3576" w:type="pct"/>
                  <w:vAlign w:val="center"/>
                </w:tcPr>
                <w:p>
                  <w:pPr>
                    <w:spacing w:before="0" w:after="0" w:line="240" w:lineRule="auto"/>
                    <w:ind w:right="0"/>
                    <w:jc w:val="center"/>
                    <w:rPr>
                      <w:rFonts w:ascii="宋体" w:hAnsi="宋体" w:cs="宋体"/>
                      <w:color w:val="auto"/>
                      <w:sz w:val="21"/>
                      <w:szCs w:val="24"/>
                      <w:highlight w:val="none"/>
                    </w:rPr>
                  </w:pPr>
                  <w:r>
                    <w:rPr>
                      <w:rFonts w:hint="eastAsia" w:ascii="宋体" w:hAnsi="宋体" w:cs="宋体"/>
                      <w:color w:val="auto"/>
                      <w:sz w:val="21"/>
                      <w:szCs w:val="24"/>
                      <w:highlight w:val="none"/>
                    </w:rPr>
                    <w:t>节水灌溉、草场休牧、对前山坡耕地和北部沙化土地实施退耕还林(草)，在水源无保障、植被稀少、生态脆弱地带禁止开荒、加强农田投入品的使用管理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3" w:type="pct"/>
                  <w:gridSpan w:val="2"/>
                  <w:vAlign w:val="center"/>
                </w:tcPr>
                <w:p>
                  <w:pPr>
                    <w:spacing w:before="0" w:after="0" w:line="240" w:lineRule="auto"/>
                    <w:ind w:right="0"/>
                    <w:jc w:val="center"/>
                    <w:rPr>
                      <w:rFonts w:ascii="宋体" w:hAnsi="宋体" w:cs="宋体"/>
                      <w:color w:val="auto"/>
                      <w:sz w:val="21"/>
                      <w:szCs w:val="24"/>
                      <w:highlight w:val="none"/>
                    </w:rPr>
                  </w:pPr>
                  <w:r>
                    <w:rPr>
                      <w:rFonts w:hint="eastAsia" w:ascii="宋体" w:hAnsi="宋体" w:cs="宋体"/>
                      <w:color w:val="auto"/>
                      <w:sz w:val="21"/>
                      <w:szCs w:val="24"/>
                      <w:highlight w:val="none"/>
                    </w:rPr>
                    <w:t>主要发展方向</w:t>
                  </w:r>
                </w:p>
              </w:tc>
              <w:tc>
                <w:tcPr>
                  <w:tcW w:w="3576" w:type="pct"/>
                  <w:vAlign w:val="center"/>
                </w:tcPr>
                <w:p>
                  <w:pPr>
                    <w:spacing w:before="0" w:after="0" w:line="240" w:lineRule="auto"/>
                    <w:ind w:right="0"/>
                    <w:jc w:val="center"/>
                    <w:rPr>
                      <w:rFonts w:ascii="宋体" w:hAnsi="宋体" w:cs="宋体"/>
                      <w:color w:val="auto"/>
                      <w:sz w:val="21"/>
                      <w:szCs w:val="24"/>
                      <w:highlight w:val="none"/>
                    </w:rPr>
                  </w:pPr>
                  <w:r>
                    <w:rPr>
                      <w:rFonts w:hint="eastAsia" w:ascii="宋体" w:hAnsi="宋体" w:cs="宋体"/>
                      <w:color w:val="auto"/>
                      <w:sz w:val="21"/>
                      <w:szCs w:val="24"/>
                      <w:highlight w:val="none"/>
                    </w:rPr>
                    <w:t>农牧结合，发展优质、高效特色农业</w:t>
                  </w:r>
                </w:p>
              </w:tc>
            </w:tr>
          </w:tbl>
          <w:p>
            <w:pPr>
              <w:pStyle w:val="4"/>
              <w:bidi w:val="0"/>
              <w:rPr>
                <w:color w:val="auto"/>
              </w:rPr>
            </w:pPr>
            <w:r>
              <w:rPr>
                <w:rFonts w:hint="eastAsia"/>
                <w:color w:val="auto"/>
              </w:rPr>
              <w:t>3、生态环境现状</w:t>
            </w:r>
          </w:p>
          <w:p>
            <w:pPr>
              <w:pStyle w:val="19"/>
              <w:bidi w:val="0"/>
              <w:rPr>
                <w:color w:val="auto"/>
              </w:rPr>
            </w:pPr>
            <w:r>
              <w:rPr>
                <w:rFonts w:hint="eastAsia"/>
                <w:color w:val="auto"/>
                <w:lang w:val="en-US" w:eastAsia="zh-CN"/>
              </w:rPr>
              <w:t>3.1</w:t>
            </w:r>
            <w:r>
              <w:rPr>
                <w:rFonts w:hint="eastAsia"/>
                <w:color w:val="auto"/>
              </w:rPr>
              <w:t>植被现状</w:t>
            </w:r>
          </w:p>
          <w:p>
            <w:pPr>
              <w:pStyle w:val="16"/>
              <w:bidi w:val="0"/>
              <w:rPr>
                <w:rFonts w:hint="eastAsia"/>
                <w:color w:val="auto"/>
                <w:highlight w:val="none"/>
                <w:lang w:val="en-US" w:eastAsia="zh-CN"/>
              </w:rPr>
            </w:pPr>
            <w:bookmarkStart w:id="3" w:name="_Hlk129705076"/>
            <w:r>
              <w:rPr>
                <w:rFonts w:hint="eastAsia"/>
                <w:color w:val="auto"/>
                <w:highlight w:val="none"/>
              </w:rPr>
              <w:t>根据现场调查及查阅相关资料，</w:t>
            </w:r>
            <w:r>
              <w:rPr>
                <w:rFonts w:hint="eastAsia"/>
                <w:color w:val="auto"/>
                <w:highlight w:val="none"/>
                <w:lang w:val="en-US" w:eastAsia="zh-CN"/>
              </w:rPr>
              <w:t>本项目周围有耕地</w:t>
            </w:r>
            <w:r>
              <w:rPr>
                <w:rFonts w:hint="eastAsia" w:cs="Times New Roman"/>
                <w:color w:val="auto"/>
                <w:spacing w:val="8"/>
                <w:sz w:val="24"/>
                <w:szCs w:val="24"/>
                <w:lang w:val="en-US" w:eastAsia="zh-CN"/>
              </w:rPr>
              <w:t>。</w:t>
            </w:r>
            <w:r>
              <w:rPr>
                <w:rFonts w:hint="eastAsia"/>
                <w:color w:val="auto"/>
                <w:highlight w:val="none"/>
                <w:lang w:val="en-US" w:eastAsia="zh-CN"/>
              </w:rPr>
              <w:t>耕种期主要植被为耕地内人工种植的农作物，上一轮耕种期种植的农作物为一年生经济作物——棉花，目前不属于耕种期，现状无植被分布。项目植被类型图见附图</w:t>
            </w:r>
            <w:r>
              <w:rPr>
                <w:rFonts w:hint="default"/>
                <w:color w:val="auto"/>
                <w:highlight w:val="none"/>
                <w:lang w:eastAsia="zh-CN"/>
              </w:rPr>
              <w:t>5</w:t>
            </w:r>
            <w:r>
              <w:rPr>
                <w:rFonts w:hint="eastAsia"/>
                <w:color w:val="auto"/>
                <w:highlight w:val="none"/>
                <w:lang w:val="en-US" w:eastAsia="zh-CN"/>
              </w:rPr>
              <w:t>。</w:t>
            </w:r>
          </w:p>
          <w:p>
            <w:pPr>
              <w:pStyle w:val="14"/>
              <w:bidi w:val="0"/>
              <w:rPr>
                <w:color w:val="auto"/>
              </w:rPr>
            </w:pPr>
            <w:r>
              <w:rPr>
                <w:color w:val="auto"/>
              </w:rPr>
              <w:t>表</w:t>
            </w:r>
            <w:r>
              <w:rPr>
                <w:rFonts w:hint="eastAsia"/>
                <w:color w:val="auto"/>
                <w:lang w:val="en-US" w:eastAsia="zh-CN"/>
              </w:rPr>
              <w:t>3-2</w:t>
            </w:r>
            <w:r>
              <w:rPr>
                <w:color w:val="auto"/>
              </w:rPr>
              <w:t xml:space="preserve">  </w:t>
            </w:r>
            <w:r>
              <w:rPr>
                <w:rFonts w:hint="eastAsia"/>
                <w:color w:val="auto"/>
              </w:rPr>
              <w:t>评价</w:t>
            </w:r>
            <w:r>
              <w:rPr>
                <w:color w:val="auto"/>
              </w:rPr>
              <w:t>区常见植物物种名录</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93"/>
              <w:gridCol w:w="1733"/>
              <w:gridCol w:w="2581"/>
              <w:gridCol w:w="1647"/>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restart"/>
                  <w:vAlign w:val="center"/>
                </w:tcPr>
                <w:p>
                  <w:pPr>
                    <w:pStyle w:val="17"/>
                    <w:bidi w:val="0"/>
                    <w:rPr>
                      <w:color w:val="auto"/>
                    </w:rPr>
                  </w:pPr>
                  <w:r>
                    <w:rPr>
                      <w:rFonts w:hint="eastAsia"/>
                      <w:color w:val="auto"/>
                    </w:rPr>
                    <w:t>序</w:t>
                  </w:r>
                  <w:r>
                    <w:rPr>
                      <w:color w:val="auto"/>
                    </w:rPr>
                    <w:t>号</w:t>
                  </w:r>
                </w:p>
              </w:tc>
              <w:tc>
                <w:tcPr>
                  <w:tcW w:w="1069" w:type="pct"/>
                  <w:vMerge w:val="restart"/>
                  <w:vAlign w:val="center"/>
                </w:tcPr>
                <w:p>
                  <w:pPr>
                    <w:pStyle w:val="17"/>
                    <w:bidi w:val="0"/>
                    <w:rPr>
                      <w:color w:val="auto"/>
                    </w:rPr>
                  </w:pPr>
                  <w:r>
                    <w:rPr>
                      <w:color w:val="auto"/>
                    </w:rPr>
                    <w:t>中文名</w:t>
                  </w:r>
                </w:p>
              </w:tc>
              <w:tc>
                <w:tcPr>
                  <w:tcW w:w="1592" w:type="pct"/>
                  <w:vMerge w:val="restart"/>
                  <w:vAlign w:val="center"/>
                </w:tcPr>
                <w:p>
                  <w:pPr>
                    <w:pStyle w:val="17"/>
                    <w:bidi w:val="0"/>
                    <w:rPr>
                      <w:color w:val="auto"/>
                    </w:rPr>
                  </w:pPr>
                  <w:r>
                    <w:rPr>
                      <w:color w:val="auto"/>
                    </w:rPr>
                    <w:t>拉丁学名</w:t>
                  </w:r>
                </w:p>
              </w:tc>
              <w:tc>
                <w:tcPr>
                  <w:tcW w:w="2033" w:type="pct"/>
                  <w:gridSpan w:val="2"/>
                  <w:vAlign w:val="center"/>
                </w:tcPr>
                <w:p>
                  <w:pPr>
                    <w:pStyle w:val="17"/>
                    <w:bidi w:val="0"/>
                    <w:rPr>
                      <w:color w:val="auto"/>
                    </w:rPr>
                  </w:pPr>
                  <w:r>
                    <w:rPr>
                      <w:color w:val="auto"/>
                    </w:rPr>
                    <w:t>科属特征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continue"/>
                  <w:vAlign w:val="center"/>
                </w:tcPr>
                <w:p>
                  <w:pPr>
                    <w:pStyle w:val="17"/>
                    <w:bidi w:val="0"/>
                    <w:rPr>
                      <w:color w:val="auto"/>
                    </w:rPr>
                  </w:pPr>
                </w:p>
              </w:tc>
              <w:tc>
                <w:tcPr>
                  <w:tcW w:w="1069" w:type="pct"/>
                  <w:vMerge w:val="continue"/>
                  <w:vAlign w:val="center"/>
                </w:tcPr>
                <w:p>
                  <w:pPr>
                    <w:pStyle w:val="17"/>
                    <w:bidi w:val="0"/>
                    <w:rPr>
                      <w:color w:val="auto"/>
                    </w:rPr>
                  </w:pPr>
                </w:p>
              </w:tc>
              <w:tc>
                <w:tcPr>
                  <w:tcW w:w="1592" w:type="pct"/>
                  <w:vMerge w:val="continue"/>
                  <w:vAlign w:val="center"/>
                </w:tcPr>
                <w:p>
                  <w:pPr>
                    <w:pStyle w:val="17"/>
                    <w:bidi w:val="0"/>
                    <w:rPr>
                      <w:color w:val="auto"/>
                    </w:rPr>
                  </w:pPr>
                </w:p>
              </w:tc>
              <w:tc>
                <w:tcPr>
                  <w:tcW w:w="1016" w:type="pct"/>
                  <w:vAlign w:val="center"/>
                </w:tcPr>
                <w:p>
                  <w:pPr>
                    <w:pStyle w:val="17"/>
                    <w:bidi w:val="0"/>
                    <w:rPr>
                      <w:color w:val="auto"/>
                    </w:rPr>
                  </w:pPr>
                  <w:r>
                    <w:rPr>
                      <w:color w:val="auto"/>
                    </w:rPr>
                    <w:t>科</w:t>
                  </w:r>
                </w:p>
              </w:tc>
              <w:tc>
                <w:tcPr>
                  <w:tcW w:w="1017" w:type="pct"/>
                  <w:vAlign w:val="center"/>
                </w:tcPr>
                <w:p>
                  <w:pPr>
                    <w:pStyle w:val="17"/>
                    <w:bidi w:val="0"/>
                    <w:rPr>
                      <w:color w:val="auto"/>
                    </w:rPr>
                  </w:pPr>
                  <w:r>
                    <w:rPr>
                      <w:color w:val="auto"/>
                    </w:rPr>
                    <w:t>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4" w:type="pct"/>
                  <w:vAlign w:val="center"/>
                </w:tcPr>
                <w:p>
                  <w:pPr>
                    <w:pStyle w:val="17"/>
                    <w:bidi w:val="0"/>
                    <w:rPr>
                      <w:rFonts w:hint="eastAsia" w:eastAsia="宋体"/>
                      <w:color w:val="auto"/>
                      <w:lang w:val="en-US" w:eastAsia="zh-CN"/>
                    </w:rPr>
                  </w:pPr>
                  <w:r>
                    <w:rPr>
                      <w:rFonts w:hint="eastAsia"/>
                      <w:color w:val="auto"/>
                      <w:lang w:val="en-US" w:eastAsia="zh-CN"/>
                    </w:rPr>
                    <w:t>1</w:t>
                  </w:r>
                </w:p>
              </w:tc>
              <w:tc>
                <w:tcPr>
                  <w:tcW w:w="1069" w:type="pct"/>
                  <w:vAlign w:val="center"/>
                </w:tcPr>
                <w:p>
                  <w:pPr>
                    <w:pStyle w:val="17"/>
                    <w:bidi w:val="0"/>
                    <w:rPr>
                      <w:color w:val="auto"/>
                    </w:rPr>
                  </w:pPr>
                  <w:r>
                    <w:rPr>
                      <w:color w:val="auto"/>
                    </w:rPr>
                    <w:t>盐生假木贼</w:t>
                  </w:r>
                </w:p>
              </w:tc>
              <w:tc>
                <w:tcPr>
                  <w:tcW w:w="1592" w:type="pct"/>
                  <w:vAlign w:val="center"/>
                </w:tcPr>
                <w:p>
                  <w:pPr>
                    <w:pStyle w:val="17"/>
                    <w:bidi w:val="0"/>
                    <w:rPr>
                      <w:color w:val="auto"/>
                    </w:rPr>
                  </w:pPr>
                  <w:r>
                    <w:rPr>
                      <w:color w:val="auto"/>
                    </w:rPr>
                    <w:t>Anabasis salsa</w:t>
                  </w:r>
                </w:p>
              </w:tc>
              <w:tc>
                <w:tcPr>
                  <w:tcW w:w="1016" w:type="pct"/>
                  <w:vAlign w:val="center"/>
                </w:tcPr>
                <w:p>
                  <w:pPr>
                    <w:pStyle w:val="17"/>
                    <w:bidi w:val="0"/>
                    <w:rPr>
                      <w:color w:val="auto"/>
                    </w:rPr>
                  </w:pPr>
                  <w:r>
                    <w:rPr>
                      <w:color w:val="auto"/>
                    </w:rPr>
                    <w:t>藜科</w:t>
                  </w:r>
                </w:p>
              </w:tc>
              <w:tc>
                <w:tcPr>
                  <w:tcW w:w="1017" w:type="pct"/>
                  <w:vAlign w:val="center"/>
                </w:tcPr>
                <w:p>
                  <w:pPr>
                    <w:pStyle w:val="17"/>
                    <w:bidi w:val="0"/>
                    <w:rPr>
                      <w:color w:val="auto"/>
                    </w:rPr>
                  </w:pPr>
                  <w:r>
                    <w:rPr>
                      <w:color w:val="auto"/>
                    </w:rPr>
                    <w:t>假木贼属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4" w:type="pct"/>
                  <w:vAlign w:val="center"/>
                </w:tcPr>
                <w:p>
                  <w:pPr>
                    <w:pStyle w:val="17"/>
                    <w:bidi w:val="0"/>
                    <w:rPr>
                      <w:rFonts w:hint="eastAsia" w:eastAsia="宋体"/>
                      <w:color w:val="auto"/>
                      <w:lang w:val="en-US" w:eastAsia="zh-CN"/>
                    </w:rPr>
                  </w:pPr>
                  <w:r>
                    <w:rPr>
                      <w:rFonts w:hint="eastAsia"/>
                      <w:color w:val="auto"/>
                      <w:lang w:val="en-US" w:eastAsia="zh-CN"/>
                    </w:rPr>
                    <w:t>2</w:t>
                  </w:r>
                </w:p>
              </w:tc>
              <w:tc>
                <w:tcPr>
                  <w:tcW w:w="1069" w:type="pct"/>
                  <w:vAlign w:val="center"/>
                </w:tcPr>
                <w:p>
                  <w:pPr>
                    <w:pStyle w:val="17"/>
                    <w:bidi w:val="0"/>
                    <w:rPr>
                      <w:color w:val="auto"/>
                    </w:rPr>
                  </w:pPr>
                  <w:r>
                    <w:rPr>
                      <w:color w:val="auto"/>
                    </w:rPr>
                    <w:t>多枝柽柳</w:t>
                  </w:r>
                </w:p>
              </w:tc>
              <w:tc>
                <w:tcPr>
                  <w:tcW w:w="1592" w:type="pct"/>
                  <w:vAlign w:val="center"/>
                </w:tcPr>
                <w:p>
                  <w:pPr>
                    <w:pStyle w:val="17"/>
                    <w:bidi w:val="0"/>
                    <w:rPr>
                      <w:color w:val="auto"/>
                    </w:rPr>
                  </w:pPr>
                  <w:r>
                    <w:rPr>
                      <w:color w:val="auto"/>
                    </w:rPr>
                    <w:t>Tamarix ramosissima</w:t>
                  </w:r>
                </w:p>
              </w:tc>
              <w:tc>
                <w:tcPr>
                  <w:tcW w:w="1016" w:type="pct"/>
                  <w:vAlign w:val="center"/>
                </w:tcPr>
                <w:p>
                  <w:pPr>
                    <w:pStyle w:val="17"/>
                    <w:bidi w:val="0"/>
                    <w:rPr>
                      <w:color w:val="auto"/>
                    </w:rPr>
                  </w:pPr>
                  <w:r>
                    <w:rPr>
                      <w:color w:val="auto"/>
                    </w:rPr>
                    <w:t>柽柳科</w:t>
                  </w:r>
                </w:p>
              </w:tc>
              <w:tc>
                <w:tcPr>
                  <w:tcW w:w="1017" w:type="pct"/>
                  <w:vAlign w:val="center"/>
                </w:tcPr>
                <w:p>
                  <w:pPr>
                    <w:pStyle w:val="17"/>
                    <w:bidi w:val="0"/>
                    <w:rPr>
                      <w:color w:val="auto"/>
                    </w:rPr>
                  </w:pPr>
                  <w:r>
                    <w:rPr>
                      <w:color w:val="auto"/>
                    </w:rPr>
                    <w:t>柽柳属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4" w:type="pct"/>
                  <w:vAlign w:val="center"/>
                </w:tcPr>
                <w:p>
                  <w:pPr>
                    <w:pStyle w:val="17"/>
                    <w:bidi w:val="0"/>
                    <w:rPr>
                      <w:rFonts w:hint="eastAsia" w:eastAsia="宋体"/>
                      <w:color w:val="auto"/>
                      <w:lang w:val="en-US" w:eastAsia="zh-CN"/>
                    </w:rPr>
                  </w:pPr>
                  <w:r>
                    <w:rPr>
                      <w:rFonts w:hint="eastAsia"/>
                      <w:color w:val="auto"/>
                      <w:lang w:val="en-US" w:eastAsia="zh-CN"/>
                    </w:rPr>
                    <w:t>3</w:t>
                  </w:r>
                </w:p>
              </w:tc>
              <w:tc>
                <w:tcPr>
                  <w:tcW w:w="1069" w:type="pct"/>
                  <w:vAlign w:val="center"/>
                </w:tcPr>
                <w:p>
                  <w:pPr>
                    <w:pStyle w:val="17"/>
                    <w:bidi w:val="0"/>
                    <w:rPr>
                      <w:color w:val="auto"/>
                    </w:rPr>
                  </w:pPr>
                  <w:r>
                    <w:rPr>
                      <w:color w:val="auto"/>
                    </w:rPr>
                    <w:t>骆驼刺</w:t>
                  </w:r>
                </w:p>
              </w:tc>
              <w:tc>
                <w:tcPr>
                  <w:tcW w:w="1592" w:type="pct"/>
                  <w:vAlign w:val="center"/>
                </w:tcPr>
                <w:p>
                  <w:pPr>
                    <w:pStyle w:val="17"/>
                    <w:bidi w:val="0"/>
                    <w:rPr>
                      <w:color w:val="auto"/>
                    </w:rPr>
                  </w:pPr>
                  <w:r>
                    <w:rPr>
                      <w:color w:val="auto"/>
                    </w:rPr>
                    <w:t>Alhagi sparsifolia</w:t>
                  </w:r>
                </w:p>
              </w:tc>
              <w:tc>
                <w:tcPr>
                  <w:tcW w:w="1016" w:type="pct"/>
                  <w:vAlign w:val="center"/>
                </w:tcPr>
                <w:p>
                  <w:pPr>
                    <w:pStyle w:val="17"/>
                    <w:bidi w:val="0"/>
                    <w:rPr>
                      <w:color w:val="auto"/>
                    </w:rPr>
                  </w:pPr>
                  <w:r>
                    <w:rPr>
                      <w:color w:val="auto"/>
                    </w:rPr>
                    <w:t>豆科</w:t>
                  </w:r>
                </w:p>
              </w:tc>
              <w:tc>
                <w:tcPr>
                  <w:tcW w:w="1017" w:type="pct"/>
                  <w:vAlign w:val="center"/>
                </w:tcPr>
                <w:p>
                  <w:pPr>
                    <w:pStyle w:val="17"/>
                    <w:bidi w:val="0"/>
                    <w:rPr>
                      <w:color w:val="auto"/>
                    </w:rPr>
                  </w:pPr>
                  <w:r>
                    <w:rPr>
                      <w:color w:val="auto"/>
                    </w:rPr>
                    <w:t>骆驼刺属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4" w:type="pct"/>
                  <w:vAlign w:val="center"/>
                </w:tcPr>
                <w:p>
                  <w:pPr>
                    <w:pStyle w:val="17"/>
                    <w:bidi w:val="0"/>
                    <w:rPr>
                      <w:rFonts w:hint="eastAsia" w:eastAsia="宋体"/>
                      <w:color w:val="auto"/>
                      <w:lang w:val="en-US" w:eastAsia="zh-CN"/>
                    </w:rPr>
                  </w:pPr>
                  <w:r>
                    <w:rPr>
                      <w:rFonts w:hint="eastAsia"/>
                      <w:color w:val="auto"/>
                      <w:lang w:val="en-US" w:eastAsia="zh-CN"/>
                    </w:rPr>
                    <w:t>4</w:t>
                  </w:r>
                </w:p>
              </w:tc>
              <w:tc>
                <w:tcPr>
                  <w:tcW w:w="1069" w:type="pct"/>
                  <w:vAlign w:val="center"/>
                </w:tcPr>
                <w:p>
                  <w:pPr>
                    <w:pStyle w:val="17"/>
                    <w:bidi w:val="0"/>
                    <w:rPr>
                      <w:color w:val="auto"/>
                    </w:rPr>
                  </w:pPr>
                  <w:r>
                    <w:rPr>
                      <w:color w:val="auto"/>
                    </w:rPr>
                    <w:t>角果藜</w:t>
                  </w:r>
                </w:p>
              </w:tc>
              <w:tc>
                <w:tcPr>
                  <w:tcW w:w="1592" w:type="pct"/>
                  <w:vAlign w:val="center"/>
                </w:tcPr>
                <w:p>
                  <w:pPr>
                    <w:pStyle w:val="17"/>
                    <w:bidi w:val="0"/>
                    <w:rPr>
                      <w:color w:val="auto"/>
                    </w:rPr>
                  </w:pPr>
                  <w:r>
                    <w:rPr>
                      <w:color w:val="auto"/>
                    </w:rPr>
                    <w:t>Ceratocarpus arenarius</w:t>
                  </w:r>
                </w:p>
              </w:tc>
              <w:tc>
                <w:tcPr>
                  <w:tcW w:w="1016" w:type="pct"/>
                  <w:vAlign w:val="center"/>
                </w:tcPr>
                <w:p>
                  <w:pPr>
                    <w:pStyle w:val="17"/>
                    <w:bidi w:val="0"/>
                    <w:rPr>
                      <w:color w:val="auto"/>
                    </w:rPr>
                  </w:pPr>
                  <w:r>
                    <w:rPr>
                      <w:color w:val="auto"/>
                    </w:rPr>
                    <w:t>藜科</w:t>
                  </w:r>
                </w:p>
              </w:tc>
              <w:tc>
                <w:tcPr>
                  <w:tcW w:w="1017" w:type="pct"/>
                  <w:vAlign w:val="center"/>
                </w:tcPr>
                <w:p>
                  <w:pPr>
                    <w:pStyle w:val="17"/>
                    <w:bidi w:val="0"/>
                    <w:rPr>
                      <w:color w:val="auto"/>
                    </w:rPr>
                  </w:pPr>
                  <w:r>
                    <w:rPr>
                      <w:color w:val="auto"/>
                    </w:rPr>
                    <w:t>角果藜属</w:t>
                  </w:r>
                </w:p>
              </w:tc>
            </w:tr>
            <w:bookmarkEnd w:id="3"/>
          </w:tbl>
          <w:p>
            <w:pPr>
              <w:pStyle w:val="19"/>
              <w:bidi w:val="0"/>
              <w:rPr>
                <w:color w:val="auto"/>
              </w:rPr>
            </w:pPr>
            <w:bookmarkStart w:id="4" w:name="_Hlk129620361"/>
            <w:r>
              <w:rPr>
                <w:rFonts w:hint="eastAsia"/>
                <w:color w:val="auto"/>
                <w:lang w:val="en-US" w:eastAsia="zh-CN"/>
              </w:rPr>
              <w:t>3.2</w:t>
            </w:r>
            <w:r>
              <w:rPr>
                <w:rFonts w:hint="eastAsia"/>
                <w:color w:val="auto"/>
              </w:rPr>
              <w:t>野生动物现状</w:t>
            </w:r>
          </w:p>
          <w:bookmarkEnd w:id="4"/>
          <w:p>
            <w:pPr>
              <w:pStyle w:val="16"/>
              <w:bidi w:val="0"/>
              <w:rPr>
                <w:color w:val="auto"/>
              </w:rPr>
            </w:pPr>
            <w:r>
              <w:rPr>
                <w:color w:val="auto"/>
                <w:highlight w:val="none"/>
              </w:rPr>
              <w:t>按中国动物地理区划的分</w:t>
            </w:r>
            <w:r>
              <w:rPr>
                <w:color w:val="auto"/>
              </w:rPr>
              <w:t>级标准，项目所在区域属古北界、中亚亚界、蒙新区、西部荒漠亚区、准噶尔盆地小区。因该区域地处准噶尔盆地东</w:t>
            </w:r>
            <w:r>
              <w:rPr>
                <w:rFonts w:hint="eastAsia"/>
                <w:color w:val="auto"/>
              </w:rPr>
              <w:t>南</w:t>
            </w:r>
            <w:r>
              <w:rPr>
                <w:color w:val="auto"/>
              </w:rPr>
              <w:t>缘，气候干燥，野生动物的栖息生境极为单一。本项目区域常见啮齿类、爬行类、鸟类等动物，未发现《国家重点保护野生动物名录》（2021）及《新疆国家重点保护野生动物名录》（2021）中重点保护野生动物。区域主要野生动物种类及分布情况见下表。</w:t>
            </w:r>
          </w:p>
          <w:p>
            <w:pPr>
              <w:pStyle w:val="14"/>
              <w:bidi w:val="0"/>
              <w:rPr>
                <w:color w:val="auto"/>
              </w:rPr>
            </w:pPr>
            <w:r>
              <w:rPr>
                <w:color w:val="auto"/>
              </w:rPr>
              <w:t>表</w:t>
            </w:r>
            <w:r>
              <w:rPr>
                <w:rFonts w:hint="eastAsia"/>
                <w:color w:val="auto"/>
                <w:lang w:val="en-US" w:eastAsia="zh-CN"/>
              </w:rPr>
              <w:t>3-3</w:t>
            </w:r>
            <w:r>
              <w:rPr>
                <w:color w:val="auto"/>
              </w:rPr>
              <w:t xml:space="preserve">   评价区域内主要野生动物及分布情况一览表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14"/>
              <w:gridCol w:w="1472"/>
              <w:gridCol w:w="3089"/>
              <w:gridCol w:w="1321"/>
              <w:gridCol w:w="141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jc w:val="center"/>
              </w:trPr>
              <w:tc>
                <w:tcPr>
                  <w:tcW w:w="1409" w:type="pct"/>
                  <w:gridSpan w:val="2"/>
                  <w:vMerge w:val="restart"/>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中名</w:t>
                  </w:r>
                </w:p>
              </w:tc>
              <w:tc>
                <w:tcPr>
                  <w:tcW w:w="1904" w:type="pct"/>
                  <w:vMerge w:val="restart"/>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学名</w:t>
                  </w:r>
                </w:p>
              </w:tc>
              <w:tc>
                <w:tcPr>
                  <w:tcW w:w="1685" w:type="pct"/>
                  <w:gridSpan w:val="2"/>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分布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jc w:val="center"/>
              </w:trPr>
              <w:tc>
                <w:tcPr>
                  <w:tcW w:w="1409" w:type="pct"/>
                  <w:gridSpan w:val="2"/>
                  <w:vMerge w:val="continue"/>
                  <w:vAlign w:val="center"/>
                </w:tcPr>
                <w:p>
                  <w:pPr>
                    <w:adjustRightInd w:val="0"/>
                    <w:spacing w:before="0" w:after="0" w:line="276" w:lineRule="auto"/>
                    <w:ind w:right="0"/>
                    <w:rPr>
                      <w:rFonts w:ascii="宋体" w:hAnsi="宋体" w:cs="宋体"/>
                      <w:color w:val="auto"/>
                      <w:sz w:val="21"/>
                      <w:szCs w:val="21"/>
                    </w:rPr>
                  </w:pPr>
                </w:p>
              </w:tc>
              <w:tc>
                <w:tcPr>
                  <w:tcW w:w="1904" w:type="pct"/>
                  <w:vMerge w:val="continue"/>
                  <w:vAlign w:val="center"/>
                </w:tcPr>
                <w:p>
                  <w:pPr>
                    <w:adjustRightInd w:val="0"/>
                    <w:spacing w:before="0" w:after="0" w:line="276" w:lineRule="auto"/>
                    <w:ind w:right="0"/>
                    <w:rPr>
                      <w:rFonts w:ascii="宋体" w:hAnsi="宋体" w:cs="宋体"/>
                      <w:color w:val="auto"/>
                      <w:sz w:val="21"/>
                      <w:szCs w:val="21"/>
                    </w:rPr>
                  </w:pPr>
                </w:p>
              </w:tc>
              <w:tc>
                <w:tcPr>
                  <w:tcW w:w="814" w:type="pct"/>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多见种</w:t>
                  </w:r>
                </w:p>
              </w:tc>
              <w:tc>
                <w:tcPr>
                  <w:tcW w:w="871" w:type="pct"/>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少见种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jc w:val="center"/>
              </w:trPr>
              <w:tc>
                <w:tcPr>
                  <w:tcW w:w="5000" w:type="pct"/>
                  <w:gridSpan w:val="5"/>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爬行类（含两栖类）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02" w:type="pct"/>
                  <w:vAlign w:val="center"/>
                </w:tcPr>
                <w:p>
                  <w:pPr>
                    <w:adjustRightInd w:val="0"/>
                    <w:spacing w:before="0" w:after="0" w:line="276" w:lineRule="auto"/>
                    <w:ind w:right="0"/>
                    <w:jc w:val="center"/>
                    <w:rPr>
                      <w:rFonts w:ascii="宋体" w:hAnsi="宋体" w:cs="宋体"/>
                      <w:color w:val="auto"/>
                      <w:sz w:val="21"/>
                      <w:szCs w:val="21"/>
                    </w:rPr>
                  </w:pPr>
                  <w:r>
                    <w:rPr>
                      <w:rFonts w:hint="eastAsia" w:ascii="宋体" w:hAnsi="宋体" w:cs="宋体"/>
                      <w:color w:val="auto"/>
                      <w:sz w:val="21"/>
                      <w:szCs w:val="21"/>
                    </w:rPr>
                    <w:t>1</w:t>
                  </w:r>
                </w:p>
              </w:tc>
              <w:tc>
                <w:tcPr>
                  <w:tcW w:w="907" w:type="pct"/>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变色沙蜥</w:t>
                  </w:r>
                </w:p>
              </w:tc>
              <w:tc>
                <w:tcPr>
                  <w:tcW w:w="1904" w:type="pct"/>
                  <w:vAlign w:val="center"/>
                </w:tcPr>
                <w:p>
                  <w:pPr>
                    <w:adjustRightInd w:val="0"/>
                    <w:spacing w:before="0" w:after="0" w:line="276" w:lineRule="auto"/>
                    <w:ind w:right="0"/>
                    <w:jc w:val="center"/>
                    <w:rPr>
                      <w:rFonts w:ascii="宋体" w:hAnsi="宋体"/>
                      <w:i/>
                      <w:iCs/>
                      <w:color w:val="auto"/>
                      <w:sz w:val="21"/>
                      <w:szCs w:val="21"/>
                    </w:rPr>
                  </w:pPr>
                  <w:r>
                    <w:rPr>
                      <w:rFonts w:ascii="宋体" w:hAnsi="宋体"/>
                      <w:i/>
                      <w:iCs/>
                      <w:color w:val="auto"/>
                      <w:sz w:val="21"/>
                      <w:szCs w:val="21"/>
                    </w:rPr>
                    <w:t>Phrynocephalus Versicolor</w:t>
                  </w:r>
                </w:p>
              </w:tc>
              <w:tc>
                <w:tcPr>
                  <w:tcW w:w="814" w:type="pct"/>
                  <w:vAlign w:val="center"/>
                </w:tcPr>
                <w:p>
                  <w:pPr>
                    <w:adjustRightInd w:val="0"/>
                    <w:spacing w:before="0" w:after="0" w:line="276" w:lineRule="auto"/>
                    <w:ind w:right="0"/>
                    <w:jc w:val="center"/>
                    <w:rPr>
                      <w:rFonts w:ascii="宋体" w:hAnsi="宋体" w:cs="宋体"/>
                      <w:color w:val="auto"/>
                      <w:sz w:val="21"/>
                      <w:szCs w:val="21"/>
                    </w:rPr>
                  </w:pPr>
                </w:p>
              </w:tc>
              <w:tc>
                <w:tcPr>
                  <w:tcW w:w="871" w:type="pct"/>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02" w:type="pct"/>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2</w:t>
                  </w:r>
                </w:p>
              </w:tc>
              <w:tc>
                <w:tcPr>
                  <w:tcW w:w="907" w:type="pct"/>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快步麻蜥</w:t>
                  </w:r>
                </w:p>
              </w:tc>
              <w:tc>
                <w:tcPr>
                  <w:tcW w:w="1904" w:type="pct"/>
                  <w:vAlign w:val="center"/>
                </w:tcPr>
                <w:p>
                  <w:pPr>
                    <w:adjustRightInd w:val="0"/>
                    <w:spacing w:before="0" w:after="0" w:line="276" w:lineRule="auto"/>
                    <w:ind w:right="0"/>
                    <w:jc w:val="center"/>
                    <w:rPr>
                      <w:rFonts w:ascii="宋体" w:hAnsi="宋体"/>
                      <w:i/>
                      <w:iCs/>
                      <w:color w:val="auto"/>
                      <w:sz w:val="21"/>
                      <w:szCs w:val="21"/>
                    </w:rPr>
                  </w:pPr>
                  <w:r>
                    <w:rPr>
                      <w:rFonts w:ascii="宋体" w:hAnsi="宋体"/>
                      <w:i/>
                      <w:iCs/>
                      <w:color w:val="auto"/>
                      <w:sz w:val="21"/>
                      <w:szCs w:val="21"/>
                    </w:rPr>
                    <w:t>Eryx tataricus</w:t>
                  </w:r>
                </w:p>
              </w:tc>
              <w:tc>
                <w:tcPr>
                  <w:tcW w:w="814" w:type="pct"/>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w:t>
                  </w:r>
                </w:p>
              </w:tc>
              <w:tc>
                <w:tcPr>
                  <w:tcW w:w="871" w:type="pct"/>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000" w:type="pct"/>
                  <w:gridSpan w:val="5"/>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啮齿类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02" w:type="pct"/>
                  <w:vAlign w:val="center"/>
                </w:tcPr>
                <w:p>
                  <w:pPr>
                    <w:adjustRightInd w:val="0"/>
                    <w:spacing w:before="0" w:after="0" w:line="276" w:lineRule="auto"/>
                    <w:ind w:right="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3</w:t>
                  </w:r>
                </w:p>
              </w:tc>
              <w:tc>
                <w:tcPr>
                  <w:tcW w:w="907" w:type="pct"/>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小五趾跳鼠</w:t>
                  </w:r>
                </w:p>
              </w:tc>
              <w:tc>
                <w:tcPr>
                  <w:tcW w:w="1904" w:type="pct"/>
                  <w:vAlign w:val="center"/>
                </w:tcPr>
                <w:p>
                  <w:pPr>
                    <w:adjustRightInd w:val="0"/>
                    <w:spacing w:before="0" w:after="0" w:line="276" w:lineRule="auto"/>
                    <w:ind w:right="0"/>
                    <w:jc w:val="center"/>
                    <w:rPr>
                      <w:rFonts w:ascii="宋体" w:hAnsi="宋体"/>
                      <w:i/>
                      <w:iCs/>
                      <w:color w:val="auto"/>
                      <w:sz w:val="21"/>
                      <w:szCs w:val="21"/>
                    </w:rPr>
                  </w:pPr>
                  <w:r>
                    <w:rPr>
                      <w:rFonts w:ascii="宋体" w:hAnsi="宋体"/>
                      <w:i/>
                      <w:iCs/>
                      <w:color w:val="auto"/>
                      <w:sz w:val="21"/>
                      <w:szCs w:val="21"/>
                    </w:rPr>
                    <w:t>Allactage elater</w:t>
                  </w:r>
                </w:p>
              </w:tc>
              <w:tc>
                <w:tcPr>
                  <w:tcW w:w="814" w:type="pct"/>
                  <w:vAlign w:val="center"/>
                </w:tcPr>
                <w:p>
                  <w:pPr>
                    <w:adjustRightInd w:val="0"/>
                    <w:spacing w:before="0" w:after="0" w:line="276" w:lineRule="auto"/>
                    <w:ind w:right="0"/>
                    <w:jc w:val="center"/>
                    <w:rPr>
                      <w:rFonts w:ascii="宋体" w:hAnsi="宋体" w:cs="宋体"/>
                      <w:color w:val="auto"/>
                      <w:sz w:val="21"/>
                      <w:szCs w:val="21"/>
                    </w:rPr>
                  </w:pPr>
                </w:p>
              </w:tc>
              <w:tc>
                <w:tcPr>
                  <w:tcW w:w="871" w:type="pct"/>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02" w:type="pct"/>
                  <w:vAlign w:val="center"/>
                </w:tcPr>
                <w:p>
                  <w:pPr>
                    <w:adjustRightInd w:val="0"/>
                    <w:spacing w:before="0" w:after="0" w:line="276" w:lineRule="auto"/>
                    <w:ind w:right="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4</w:t>
                  </w:r>
                </w:p>
              </w:tc>
              <w:tc>
                <w:tcPr>
                  <w:tcW w:w="907" w:type="pct"/>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大沙鼠</w:t>
                  </w:r>
                </w:p>
              </w:tc>
              <w:tc>
                <w:tcPr>
                  <w:tcW w:w="1904" w:type="pct"/>
                  <w:vAlign w:val="center"/>
                </w:tcPr>
                <w:p>
                  <w:pPr>
                    <w:adjustRightInd w:val="0"/>
                    <w:spacing w:before="0" w:after="0" w:line="276" w:lineRule="auto"/>
                    <w:ind w:right="0"/>
                    <w:jc w:val="center"/>
                    <w:rPr>
                      <w:rFonts w:ascii="宋体" w:hAnsi="宋体"/>
                      <w:i/>
                      <w:iCs/>
                      <w:color w:val="auto"/>
                      <w:sz w:val="21"/>
                      <w:szCs w:val="21"/>
                    </w:rPr>
                  </w:pPr>
                  <w:r>
                    <w:rPr>
                      <w:rFonts w:ascii="宋体" w:hAnsi="宋体"/>
                      <w:i/>
                      <w:iCs/>
                      <w:color w:val="auto"/>
                      <w:sz w:val="21"/>
                      <w:szCs w:val="21"/>
                    </w:rPr>
                    <w:t>Rhombomys opimus</w:t>
                  </w:r>
                </w:p>
              </w:tc>
              <w:tc>
                <w:tcPr>
                  <w:tcW w:w="814" w:type="pct"/>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w:t>
                  </w:r>
                </w:p>
              </w:tc>
              <w:tc>
                <w:tcPr>
                  <w:tcW w:w="871" w:type="pct"/>
                  <w:vAlign w:val="center"/>
                </w:tcPr>
                <w:p>
                  <w:pPr>
                    <w:adjustRightInd w:val="0"/>
                    <w:spacing w:before="0" w:after="0" w:line="276" w:lineRule="auto"/>
                    <w:ind w:right="0"/>
                    <w:jc w:val="center"/>
                    <w:rPr>
                      <w:rFonts w:ascii="宋体" w:hAnsi="宋体" w:cs="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02" w:type="pct"/>
                  <w:vAlign w:val="center"/>
                </w:tcPr>
                <w:p>
                  <w:pPr>
                    <w:adjustRightInd w:val="0"/>
                    <w:spacing w:before="0" w:after="0" w:line="276" w:lineRule="auto"/>
                    <w:ind w:right="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5</w:t>
                  </w:r>
                </w:p>
              </w:tc>
              <w:tc>
                <w:tcPr>
                  <w:tcW w:w="907" w:type="pct"/>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子午沙鼠</w:t>
                  </w:r>
                </w:p>
              </w:tc>
              <w:tc>
                <w:tcPr>
                  <w:tcW w:w="1904" w:type="pct"/>
                  <w:vAlign w:val="center"/>
                </w:tcPr>
                <w:p>
                  <w:pPr>
                    <w:adjustRightInd w:val="0"/>
                    <w:spacing w:before="0" w:after="0" w:line="276" w:lineRule="auto"/>
                    <w:ind w:right="0"/>
                    <w:jc w:val="center"/>
                    <w:rPr>
                      <w:rFonts w:ascii="宋体" w:hAnsi="宋体"/>
                      <w:i/>
                      <w:iCs/>
                      <w:color w:val="auto"/>
                      <w:sz w:val="21"/>
                      <w:szCs w:val="21"/>
                    </w:rPr>
                  </w:pPr>
                  <w:r>
                    <w:rPr>
                      <w:rFonts w:ascii="宋体" w:hAnsi="宋体"/>
                      <w:i/>
                      <w:iCs/>
                      <w:color w:val="auto"/>
                      <w:sz w:val="21"/>
                      <w:szCs w:val="21"/>
                    </w:rPr>
                    <w:t>Meriones meridianus</w:t>
                  </w:r>
                </w:p>
              </w:tc>
              <w:tc>
                <w:tcPr>
                  <w:tcW w:w="814" w:type="pct"/>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w:t>
                  </w:r>
                </w:p>
              </w:tc>
              <w:tc>
                <w:tcPr>
                  <w:tcW w:w="871" w:type="pct"/>
                  <w:vAlign w:val="center"/>
                </w:tcPr>
                <w:p>
                  <w:pPr>
                    <w:adjustRightInd w:val="0"/>
                    <w:spacing w:before="0" w:after="0" w:line="276" w:lineRule="auto"/>
                    <w:ind w:right="0"/>
                    <w:jc w:val="center"/>
                    <w:rPr>
                      <w:rFonts w:ascii="宋体" w:hAnsi="宋体" w:cs="宋体"/>
                      <w:color w:val="auto"/>
                      <w:sz w:val="21"/>
                      <w:szCs w:val="21"/>
                    </w:rPr>
                  </w:pPr>
                </w:p>
              </w:tc>
            </w:tr>
          </w:tbl>
          <w:p>
            <w:pPr>
              <w:spacing w:before="0" w:after="0" w:line="240" w:lineRule="auto"/>
              <w:ind w:right="0"/>
              <w:rPr>
                <w:rFonts w:ascii="宋体" w:hAnsi="宋体" w:cs="宋体"/>
                <w:color w:val="auto"/>
                <w:sz w:val="21"/>
                <w:szCs w:val="21"/>
              </w:rPr>
            </w:pPr>
            <w:r>
              <w:rPr>
                <w:color w:val="auto"/>
                <w:sz w:val="21"/>
                <w:szCs w:val="21"/>
              </w:rPr>
              <w:t>注：++多见，+少见，—偶见</w:t>
            </w:r>
          </w:p>
          <w:bookmarkEnd w:id="2"/>
          <w:p>
            <w:pPr>
              <w:pStyle w:val="19"/>
              <w:bidi w:val="0"/>
              <w:rPr>
                <w:color w:val="auto"/>
              </w:rPr>
            </w:pPr>
            <w:r>
              <w:rPr>
                <w:rFonts w:hint="eastAsia"/>
                <w:color w:val="auto"/>
                <w:lang w:val="en-US" w:eastAsia="zh-CN"/>
              </w:rPr>
              <w:t>3.3</w:t>
            </w:r>
            <w:r>
              <w:rPr>
                <w:rFonts w:hint="eastAsia"/>
                <w:color w:val="auto"/>
              </w:rPr>
              <w:t>土地利用类型</w:t>
            </w:r>
          </w:p>
          <w:p>
            <w:pPr>
              <w:pStyle w:val="16"/>
              <w:bidi w:val="0"/>
              <w:rPr>
                <w:rFonts w:hint="default" w:eastAsia="宋体"/>
                <w:color w:val="auto"/>
                <w:lang w:val="en-US" w:eastAsia="zh-CN"/>
              </w:rPr>
            </w:pPr>
            <w:r>
              <w:rPr>
                <w:rFonts w:hint="eastAsia"/>
                <w:color w:val="auto"/>
              </w:rPr>
              <w:t>项目临时占地范围内的土地利用类型为</w:t>
            </w:r>
            <w:r>
              <w:rPr>
                <w:rFonts w:hint="eastAsia"/>
                <w:color w:val="auto"/>
                <w:lang w:val="en-US" w:eastAsia="zh-CN"/>
              </w:rPr>
              <w:t>耕地中的旱地</w:t>
            </w:r>
            <w:r>
              <w:rPr>
                <w:rFonts w:hint="eastAsia"/>
                <w:color w:val="auto"/>
              </w:rPr>
              <w:t>，</w:t>
            </w:r>
            <w:r>
              <w:rPr>
                <w:rFonts w:hint="eastAsia"/>
                <w:color w:val="auto"/>
                <w:lang w:val="en-US" w:eastAsia="zh-CN"/>
              </w:rPr>
              <w:t>非</w:t>
            </w:r>
            <w:r>
              <w:rPr>
                <w:rFonts w:hint="eastAsia"/>
                <w:color w:val="auto"/>
              </w:rPr>
              <w:t>基本农田</w:t>
            </w:r>
            <w:r>
              <w:rPr>
                <w:rFonts w:hint="eastAsia"/>
                <w:color w:val="auto"/>
                <w:lang w:eastAsia="zh-CN"/>
              </w:rPr>
              <w:t>。</w:t>
            </w:r>
            <w:r>
              <w:rPr>
                <w:rFonts w:hint="eastAsia"/>
                <w:color w:val="auto"/>
                <w:lang w:val="en-US" w:eastAsia="zh-CN"/>
              </w:rPr>
              <w:t>项目土地利用现状图见附图6。项目土壤类型图见附图7。</w:t>
            </w:r>
          </w:p>
          <w:p>
            <w:pPr>
              <w:pStyle w:val="19"/>
              <w:bidi w:val="0"/>
              <w:rPr>
                <w:color w:val="auto"/>
              </w:rPr>
            </w:pPr>
            <w:r>
              <w:rPr>
                <w:rFonts w:hint="eastAsia"/>
                <w:color w:val="auto"/>
                <w:lang w:val="en-US" w:eastAsia="zh-CN"/>
              </w:rPr>
              <w:t>3.4</w:t>
            </w:r>
            <w:r>
              <w:rPr>
                <w:rFonts w:hint="eastAsia"/>
                <w:color w:val="auto"/>
              </w:rPr>
              <w:t>土地沙化现状</w:t>
            </w:r>
          </w:p>
          <w:p>
            <w:pPr>
              <w:pStyle w:val="16"/>
              <w:bidi w:val="0"/>
              <w:rPr>
                <w:color w:val="auto"/>
              </w:rPr>
            </w:pPr>
            <w:bookmarkStart w:id="5" w:name="_Hlk129688692"/>
            <w:r>
              <w:rPr>
                <w:color w:val="auto"/>
              </w:rPr>
              <w:t>根据《新疆维吾尔自治区第五次沙化监</w:t>
            </w:r>
            <w:r>
              <w:rPr>
                <w:color w:val="auto"/>
                <w:highlight w:val="none"/>
              </w:rPr>
              <w:t>测沙化土地分布图》（2015年）可知，项目区属于</w:t>
            </w:r>
            <w:r>
              <w:rPr>
                <w:rFonts w:hint="eastAsia"/>
                <w:color w:val="auto"/>
                <w:highlight w:val="none"/>
              </w:rPr>
              <w:t>非沙化土地</w:t>
            </w:r>
            <w:r>
              <w:rPr>
                <w:color w:val="auto"/>
                <w:highlight w:val="none"/>
              </w:rPr>
              <w:t>。</w:t>
            </w:r>
          </w:p>
          <w:bookmarkEnd w:id="5"/>
          <w:p>
            <w:pPr>
              <w:pStyle w:val="19"/>
              <w:bidi w:val="0"/>
              <w:rPr>
                <w:color w:val="auto"/>
              </w:rPr>
            </w:pPr>
            <w:r>
              <w:rPr>
                <w:rFonts w:hint="eastAsia"/>
                <w:color w:val="auto"/>
                <w:lang w:val="en-US" w:eastAsia="zh-CN"/>
              </w:rPr>
              <w:t>3.5</w:t>
            </w:r>
            <w:r>
              <w:rPr>
                <w:rFonts w:hint="eastAsia"/>
                <w:color w:val="auto"/>
              </w:rPr>
              <w:t>水土流失现状</w:t>
            </w:r>
          </w:p>
          <w:p>
            <w:pPr>
              <w:pStyle w:val="16"/>
              <w:bidi w:val="0"/>
              <w:rPr>
                <w:rFonts w:hint="default"/>
              </w:rPr>
            </w:pPr>
            <w:r>
              <w:rPr>
                <w:rFonts w:hint="default"/>
              </w:rPr>
              <w:t>（1）生态功能区划</w:t>
            </w:r>
          </w:p>
          <w:p>
            <w:pPr>
              <w:pStyle w:val="16"/>
              <w:bidi w:val="0"/>
              <w:rPr>
                <w:rFonts w:hint="default"/>
              </w:rPr>
            </w:pPr>
            <w:r>
              <w:rPr>
                <w:rFonts w:hint="default"/>
              </w:rPr>
              <w:t>根据《新疆生态功能区划》，本项目所在区域属于Ⅱ准噶尔盆地温性荒漠与绿洲农业生态区-Ⅱ5准噶尔盆地南部荒漠绿洲农业生态亚区-28.阜康、木垒绿洲农业、荒漠草地生态功能区。</w:t>
            </w:r>
          </w:p>
          <w:p>
            <w:pPr>
              <w:pStyle w:val="16"/>
              <w:bidi w:val="0"/>
              <w:rPr>
                <w:rFonts w:hint="default"/>
              </w:rPr>
            </w:pPr>
            <w:r>
              <w:rPr>
                <w:rFonts w:hint="default"/>
              </w:rPr>
              <w:t>（2）水土流失区划</w:t>
            </w:r>
          </w:p>
          <w:p>
            <w:pPr>
              <w:pStyle w:val="16"/>
              <w:bidi w:val="0"/>
            </w:pPr>
            <w:r>
              <w:rPr>
                <w:rFonts w:hint="eastAsia"/>
              </w:rPr>
              <w:t>①根据</w:t>
            </w:r>
            <w:r>
              <w:t>《关于划分国家级水土流失重点防治区的公告》</w:t>
            </w:r>
            <w:r>
              <w:rPr>
                <w:rFonts w:hint="eastAsia"/>
              </w:rPr>
              <w:t>、</w:t>
            </w:r>
            <w:r>
              <w:t>《全国水土保持规划国家级水土流失重点预防区和重点治理区复核划分成果》</w:t>
            </w:r>
            <w:r>
              <w:rPr>
                <w:rFonts w:hint="eastAsia"/>
              </w:rPr>
              <w:t>，项目区属于</w:t>
            </w:r>
            <w:r>
              <w:rPr>
                <w:rFonts w:hint="eastAsia"/>
                <w:lang w:eastAsia="zh-CN"/>
              </w:rPr>
              <w:t>“</w:t>
            </w:r>
            <w:r>
              <w:rPr>
                <w:rFonts w:hint="eastAsia"/>
                <w:lang w:val="en-US" w:eastAsia="zh-CN"/>
              </w:rPr>
              <w:t>天山北坡</w:t>
            </w:r>
            <w:r>
              <w:t>国家级水土流失重点预防区</w:t>
            </w:r>
            <w:r>
              <w:rPr>
                <w:rFonts w:hint="eastAsia"/>
                <w:lang w:eastAsia="zh-CN"/>
              </w:rPr>
              <w:t>”</w:t>
            </w:r>
            <w:r>
              <w:rPr>
                <w:rFonts w:hint="eastAsia"/>
              </w:rPr>
              <w:t>。</w:t>
            </w:r>
          </w:p>
          <w:p>
            <w:pPr>
              <w:pStyle w:val="14"/>
              <w:bidi w:val="0"/>
            </w:pPr>
            <w:r>
              <w:rPr>
                <w:rFonts w:hint="eastAsia"/>
              </w:rPr>
              <w:t>表</w:t>
            </w:r>
            <w:r>
              <w:rPr>
                <w:rFonts w:hint="eastAsia"/>
                <w:lang w:val="en-US" w:eastAsia="zh-CN"/>
              </w:rPr>
              <w:t>3-4</w:t>
            </w:r>
            <w:r>
              <w:t xml:space="preserve">  </w:t>
            </w:r>
            <w:r>
              <w:rPr>
                <w:rFonts w:hint="eastAsia"/>
              </w:rPr>
              <w:t>项目区域在国家级水土流失区划中情况</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1"/>
              <w:gridCol w:w="2785"/>
              <w:gridCol w:w="3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247" w:type="pct"/>
                  <w:vAlign w:val="center"/>
                </w:tcPr>
                <w:p>
                  <w:pPr>
                    <w:pStyle w:val="17"/>
                    <w:bidi w:val="0"/>
                    <w:rPr>
                      <w:b/>
                      <w:bCs/>
                    </w:rPr>
                  </w:pPr>
                  <w:r>
                    <w:rPr>
                      <w:rFonts w:hint="eastAsia"/>
                      <w:b/>
                      <w:bCs/>
                    </w:rPr>
                    <w:t>涉及水土流失区划的行政区域</w:t>
                  </w:r>
                </w:p>
              </w:tc>
              <w:tc>
                <w:tcPr>
                  <w:tcW w:w="1718" w:type="pct"/>
                  <w:vAlign w:val="center"/>
                </w:tcPr>
                <w:p>
                  <w:pPr>
                    <w:pStyle w:val="17"/>
                    <w:bidi w:val="0"/>
                    <w:rPr>
                      <w:b/>
                      <w:bCs/>
                    </w:rPr>
                  </w:pPr>
                  <w:r>
                    <w:rPr>
                      <w:rFonts w:hint="eastAsia"/>
                      <w:b/>
                      <w:bCs/>
                    </w:rPr>
                    <w:t>大类</w:t>
                  </w:r>
                </w:p>
              </w:tc>
              <w:tc>
                <w:tcPr>
                  <w:tcW w:w="2034" w:type="pct"/>
                  <w:vAlign w:val="center"/>
                </w:tcPr>
                <w:p>
                  <w:pPr>
                    <w:pStyle w:val="17"/>
                    <w:bidi w:val="0"/>
                    <w:rPr>
                      <w:b/>
                      <w:bCs/>
                    </w:rPr>
                  </w:pPr>
                  <w:r>
                    <w:rPr>
                      <w:rFonts w:hint="eastAsia"/>
                      <w:b/>
                      <w:bCs/>
                    </w:rPr>
                    <w:t>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7" w:type="pct"/>
                  <w:vAlign w:val="center"/>
                </w:tcPr>
                <w:p>
                  <w:pPr>
                    <w:pStyle w:val="17"/>
                    <w:bidi w:val="0"/>
                  </w:pPr>
                  <w:r>
                    <w:rPr>
                      <w:rFonts w:hint="eastAsia"/>
                    </w:rPr>
                    <w:t>吉木萨尔县</w:t>
                  </w:r>
                </w:p>
              </w:tc>
              <w:tc>
                <w:tcPr>
                  <w:tcW w:w="1718" w:type="pct"/>
                  <w:vAlign w:val="center"/>
                </w:tcPr>
                <w:p>
                  <w:pPr>
                    <w:pStyle w:val="17"/>
                    <w:bidi w:val="0"/>
                  </w:pPr>
                  <w:r>
                    <w:rPr>
                      <w:rFonts w:hint="eastAsia"/>
                    </w:rPr>
                    <w:t>国家级水土流失重点预防区</w:t>
                  </w:r>
                </w:p>
              </w:tc>
              <w:tc>
                <w:tcPr>
                  <w:tcW w:w="2034" w:type="pct"/>
                  <w:vAlign w:val="center"/>
                </w:tcPr>
                <w:p>
                  <w:pPr>
                    <w:pStyle w:val="17"/>
                    <w:bidi w:val="0"/>
                  </w:pPr>
                  <w:r>
                    <w:rPr>
                      <w:rFonts w:hint="eastAsia"/>
                    </w:rPr>
                    <w:t>天山北坡国家级水土流失重点预防区</w:t>
                  </w:r>
                </w:p>
              </w:tc>
            </w:tr>
          </w:tbl>
          <w:p>
            <w:pPr>
              <w:ind w:firstLine="480"/>
              <w:rPr>
                <w:rFonts w:ascii="Times New Roman" w:hAnsi="Times New Roman"/>
                <w:snapToGrid w:val="0"/>
                <w:color w:val="000000"/>
                <w:kern w:val="0"/>
              </w:rPr>
            </w:pPr>
            <w:r>
              <w:rPr>
                <w:rFonts w:hint="eastAsia" w:ascii="Times New Roman" w:hAnsi="Times New Roman"/>
                <w:color w:val="000000"/>
              </w:rPr>
              <w:t>②根据《</w:t>
            </w:r>
            <w:r>
              <w:rPr>
                <w:rFonts w:hint="eastAsia" w:ascii="宋体" w:hAnsi="宋体" w:eastAsia="宋体" w:cs="宋体"/>
                <w:color w:val="000000"/>
              </w:rPr>
              <w:t>新疆维吾尔自治区</w:t>
            </w:r>
            <w:r>
              <w:rPr>
                <w:rFonts w:ascii="Times New Roman" w:hAnsi="Times New Roman"/>
                <w:color w:val="000000"/>
              </w:rPr>
              <w:t>级水土流失两区复核划分成果的通知</w:t>
            </w:r>
            <w:r>
              <w:rPr>
                <w:rFonts w:hint="eastAsia" w:ascii="Times New Roman" w:hAnsi="Times New Roman"/>
                <w:color w:val="000000"/>
              </w:rPr>
              <w:t>》（</w:t>
            </w:r>
            <w:r>
              <w:rPr>
                <w:rFonts w:hint="eastAsia" w:ascii="宋体" w:hAnsi="宋体" w:eastAsia="宋体" w:cs="宋体"/>
                <w:color w:val="000000"/>
              </w:rPr>
              <w:t>新水水保</w:t>
            </w:r>
            <w:r>
              <w:rPr>
                <w:rFonts w:ascii="Times New Roman" w:hAnsi="Times New Roman"/>
                <w:color w:val="000000"/>
              </w:rPr>
              <w:t>[2019]4</w:t>
            </w:r>
            <w:r>
              <w:rPr>
                <w:rFonts w:hint="eastAsia" w:ascii="宋体" w:hAnsi="宋体" w:eastAsia="宋体" w:cs="宋体"/>
                <w:color w:val="000000"/>
              </w:rPr>
              <w:t>号</w:t>
            </w:r>
            <w:r>
              <w:rPr>
                <w:rFonts w:hint="eastAsia" w:ascii="Times New Roman" w:hAnsi="Times New Roman"/>
                <w:color w:val="000000"/>
              </w:rPr>
              <w:t>），项目区属于</w:t>
            </w:r>
            <w:r>
              <w:rPr>
                <w:rFonts w:hint="eastAsia" w:ascii="Times New Roman" w:hAnsi="Times New Roman" w:eastAsia="宋体"/>
                <w:color w:val="000000"/>
                <w:lang w:eastAsia="zh-CN"/>
              </w:rPr>
              <w:t>“</w:t>
            </w:r>
            <w:r>
              <w:rPr>
                <w:rFonts w:ascii="Times New Roman" w:hAnsi="Times New Roman"/>
                <w:color w:val="000000"/>
              </w:rPr>
              <w:t>自治区级水土流失重点治理区</w:t>
            </w:r>
            <w:r>
              <w:rPr>
                <w:rFonts w:hint="eastAsia" w:ascii="Times New Roman" w:hAnsi="Times New Roman" w:eastAsia="宋体"/>
                <w:color w:val="000000"/>
                <w:lang w:eastAsia="zh-CN"/>
              </w:rPr>
              <w:t>”</w:t>
            </w:r>
            <w:r>
              <w:rPr>
                <w:rFonts w:hint="eastAsia" w:ascii="Times New Roman" w:hAnsi="Times New Roman"/>
                <w:snapToGrid w:val="0"/>
                <w:color w:val="000000"/>
                <w:kern w:val="0"/>
              </w:rPr>
              <w:t>。</w:t>
            </w:r>
          </w:p>
          <w:p>
            <w:pPr>
              <w:pStyle w:val="14"/>
              <w:bidi w:val="0"/>
            </w:pPr>
            <w:r>
              <w:rPr>
                <w:rFonts w:hint="eastAsia"/>
              </w:rPr>
              <w:t>表</w:t>
            </w:r>
            <w:r>
              <w:rPr>
                <w:rFonts w:hint="eastAsia"/>
                <w:lang w:val="en-US" w:eastAsia="zh-CN"/>
              </w:rPr>
              <w:t>3-5</w:t>
            </w:r>
            <w:r>
              <w:t xml:space="preserve">  </w:t>
            </w:r>
            <w:r>
              <w:rPr>
                <w:rFonts w:hint="eastAsia"/>
              </w:rPr>
              <w:t>项目区域在自治区级水土流失区划中情况</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2659"/>
              <w:gridCol w:w="1899"/>
              <w:gridCol w:w="2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66" w:type="pct"/>
                  <w:vAlign w:val="center"/>
                </w:tcPr>
                <w:p>
                  <w:pPr>
                    <w:pStyle w:val="17"/>
                    <w:bidi w:val="0"/>
                    <w:rPr>
                      <w:b/>
                      <w:bCs/>
                    </w:rPr>
                  </w:pPr>
                  <w:r>
                    <w:rPr>
                      <w:rFonts w:hint="eastAsia"/>
                      <w:b/>
                      <w:bCs/>
                    </w:rPr>
                    <w:t>片区</w:t>
                  </w:r>
                </w:p>
              </w:tc>
              <w:tc>
                <w:tcPr>
                  <w:tcW w:w="1640" w:type="pct"/>
                  <w:vAlign w:val="center"/>
                </w:tcPr>
                <w:p>
                  <w:pPr>
                    <w:pStyle w:val="17"/>
                    <w:bidi w:val="0"/>
                    <w:rPr>
                      <w:b/>
                      <w:bCs/>
                    </w:rPr>
                  </w:pPr>
                  <w:r>
                    <w:rPr>
                      <w:rFonts w:hint="eastAsia"/>
                      <w:b/>
                      <w:bCs/>
                    </w:rPr>
                    <w:t>涉及水土流失区划的行政区域</w:t>
                  </w:r>
                </w:p>
              </w:tc>
              <w:tc>
                <w:tcPr>
                  <w:tcW w:w="1171" w:type="pct"/>
                  <w:vAlign w:val="center"/>
                </w:tcPr>
                <w:p>
                  <w:pPr>
                    <w:pStyle w:val="17"/>
                    <w:bidi w:val="0"/>
                    <w:rPr>
                      <w:b/>
                      <w:bCs/>
                    </w:rPr>
                  </w:pPr>
                  <w:r>
                    <w:rPr>
                      <w:rFonts w:hint="eastAsia"/>
                      <w:b/>
                      <w:bCs/>
                    </w:rPr>
                    <w:t>大类</w:t>
                  </w:r>
                </w:p>
              </w:tc>
              <w:tc>
                <w:tcPr>
                  <w:tcW w:w="1721" w:type="pct"/>
                  <w:vAlign w:val="center"/>
                </w:tcPr>
                <w:p>
                  <w:pPr>
                    <w:pStyle w:val="17"/>
                    <w:bidi w:val="0"/>
                    <w:rPr>
                      <w:b/>
                      <w:bCs/>
                    </w:rPr>
                  </w:pPr>
                  <w:r>
                    <w:rPr>
                      <w:rFonts w:hint="eastAsia"/>
                      <w:b/>
                      <w:bCs/>
                    </w:rPr>
                    <w:t>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Align w:val="center"/>
                </w:tcPr>
                <w:p>
                  <w:pPr>
                    <w:pStyle w:val="17"/>
                    <w:bidi w:val="0"/>
                  </w:pPr>
                  <w:r>
                    <w:rPr>
                      <w:rFonts w:hint="eastAsia"/>
                    </w:rPr>
                    <w:t>东部</w:t>
                  </w:r>
                </w:p>
              </w:tc>
              <w:tc>
                <w:tcPr>
                  <w:tcW w:w="1640" w:type="pct"/>
                  <w:vAlign w:val="center"/>
                </w:tcPr>
                <w:p>
                  <w:pPr>
                    <w:pStyle w:val="17"/>
                    <w:bidi w:val="0"/>
                  </w:pPr>
                  <w:r>
                    <w:rPr>
                      <w:rFonts w:hint="eastAsia"/>
                    </w:rPr>
                    <w:t>吉木萨尔县</w:t>
                  </w:r>
                </w:p>
              </w:tc>
              <w:tc>
                <w:tcPr>
                  <w:tcW w:w="1171" w:type="pct"/>
                  <w:vAlign w:val="center"/>
                </w:tcPr>
                <w:p>
                  <w:pPr>
                    <w:pStyle w:val="17"/>
                    <w:bidi w:val="0"/>
                  </w:pPr>
                  <w:r>
                    <w:rPr>
                      <w:rFonts w:hint="eastAsia"/>
                    </w:rPr>
                    <w:t>自治区级水土流失重点治理区</w:t>
                  </w:r>
                </w:p>
              </w:tc>
              <w:tc>
                <w:tcPr>
                  <w:tcW w:w="1721" w:type="pct"/>
                  <w:vAlign w:val="center"/>
                </w:tcPr>
                <w:p>
                  <w:pPr>
                    <w:pStyle w:val="17"/>
                    <w:bidi w:val="0"/>
                  </w:pPr>
                  <w:bookmarkStart w:id="6" w:name="_Hlk104985060"/>
                  <w:r>
                    <w:rPr>
                      <w:rFonts w:hint="eastAsia"/>
                    </w:rPr>
                    <w:t>Ⅱ</w:t>
                  </w:r>
                  <w:r>
                    <w:t>2</w:t>
                  </w:r>
                  <w:r>
                    <w:rPr>
                      <w:rFonts w:hint="eastAsia"/>
                    </w:rPr>
                    <w:t>天山北坡诸小河流域重点治理区</w:t>
                  </w:r>
                  <w:bookmarkEnd w:id="6"/>
                </w:p>
              </w:tc>
            </w:tr>
          </w:tbl>
          <w:p>
            <w:pPr>
              <w:pStyle w:val="4"/>
              <w:bidi w:val="0"/>
              <w:rPr>
                <w:rFonts w:hint="default"/>
                <w:lang w:val="en-US"/>
              </w:rPr>
            </w:pPr>
            <w:r>
              <w:rPr>
                <w:rFonts w:hint="default"/>
              </w:rPr>
              <w:t>4、</w:t>
            </w:r>
            <w:r>
              <w:rPr>
                <w:rFonts w:hint="eastAsia"/>
                <w:lang w:val="en-US" w:eastAsia="zh-CN"/>
              </w:rPr>
              <w:t>环境空气质量现状调查及评价</w:t>
            </w:r>
          </w:p>
          <w:p>
            <w:pPr>
              <w:pStyle w:val="19"/>
              <w:bidi w:val="0"/>
              <w:rPr>
                <w:rFonts w:hint="default"/>
                <w:lang w:val="en-US" w:eastAsia="zh-CN"/>
              </w:rPr>
            </w:pPr>
            <w:r>
              <w:rPr>
                <w:rFonts w:hint="eastAsia"/>
                <w:lang w:val="en-US" w:eastAsia="zh-CN"/>
              </w:rPr>
              <w:t>4.1数据来源</w:t>
            </w:r>
          </w:p>
          <w:p>
            <w:pPr>
              <w:pStyle w:val="16"/>
              <w:bidi w:val="0"/>
              <w:rPr>
                <w:rFonts w:hint="default"/>
              </w:rPr>
            </w:pPr>
            <w:r>
              <w:rPr>
                <w:rFonts w:hint="default"/>
              </w:rPr>
              <w:t>根据《环境影响评价技术导则  大气环境》(HJ2.2-2018)对环境质量现状数据的要求，本项目基本污染物环境质量现状评价采用环境空气质量模型空气质量数据，作为本项目环境空气现状评价基本污染物SO</w:t>
            </w:r>
            <w:r>
              <w:rPr>
                <w:rFonts w:hint="default"/>
                <w:vertAlign w:val="subscript"/>
              </w:rPr>
              <w:t>2</w:t>
            </w:r>
            <w:r>
              <w:rPr>
                <w:rFonts w:hint="default"/>
              </w:rPr>
              <w:t>、NO</w:t>
            </w:r>
            <w:r>
              <w:rPr>
                <w:rFonts w:hint="default"/>
                <w:vertAlign w:val="subscript"/>
              </w:rPr>
              <w:t>2</w:t>
            </w:r>
            <w:r>
              <w:rPr>
                <w:rFonts w:hint="default"/>
              </w:rPr>
              <w:t>、PM</w:t>
            </w:r>
            <w:r>
              <w:rPr>
                <w:rFonts w:hint="default"/>
                <w:vertAlign w:val="subscript"/>
              </w:rPr>
              <w:t>10</w:t>
            </w:r>
            <w:r>
              <w:rPr>
                <w:rFonts w:hint="default"/>
              </w:rPr>
              <w:t>、PM</w:t>
            </w:r>
            <w:r>
              <w:rPr>
                <w:rFonts w:hint="default"/>
                <w:vertAlign w:val="subscript"/>
              </w:rPr>
              <w:t>2.5</w:t>
            </w:r>
            <w:r>
              <w:rPr>
                <w:rFonts w:hint="default"/>
              </w:rPr>
              <w:t>、CO和O</w:t>
            </w:r>
            <w:r>
              <w:rPr>
                <w:rFonts w:hint="default"/>
                <w:vertAlign w:val="subscript"/>
              </w:rPr>
              <w:t>3</w:t>
            </w:r>
            <w:r>
              <w:rPr>
                <w:rFonts w:hint="default"/>
              </w:rPr>
              <w:t>的数据来源。</w:t>
            </w:r>
          </w:p>
          <w:p>
            <w:pPr>
              <w:pStyle w:val="19"/>
              <w:bidi w:val="0"/>
              <w:rPr>
                <w:rFonts w:hint="default"/>
              </w:rPr>
            </w:pPr>
            <w:r>
              <w:rPr>
                <w:rFonts w:hint="eastAsia"/>
                <w:lang w:val="en-US" w:eastAsia="zh-CN"/>
              </w:rPr>
              <w:t>4</w:t>
            </w:r>
            <w:r>
              <w:rPr>
                <w:rFonts w:hint="default"/>
              </w:rPr>
              <w:t>.2评价标准</w:t>
            </w:r>
          </w:p>
          <w:p>
            <w:pPr>
              <w:pStyle w:val="16"/>
              <w:bidi w:val="0"/>
              <w:rPr>
                <w:rFonts w:hint="default"/>
              </w:rPr>
            </w:pPr>
            <w:r>
              <w:rPr>
                <w:rFonts w:hint="default"/>
              </w:rPr>
              <w:t>基本污染物SO</w:t>
            </w:r>
            <w:r>
              <w:rPr>
                <w:rFonts w:hint="default"/>
                <w:vertAlign w:val="subscript"/>
              </w:rPr>
              <w:t>2</w:t>
            </w:r>
            <w:r>
              <w:rPr>
                <w:rFonts w:hint="default"/>
              </w:rPr>
              <w:t>、NO</w:t>
            </w:r>
            <w:r>
              <w:rPr>
                <w:rFonts w:hint="default"/>
                <w:vertAlign w:val="subscript"/>
              </w:rPr>
              <w:t>2</w:t>
            </w:r>
            <w:r>
              <w:rPr>
                <w:rFonts w:hint="default"/>
              </w:rPr>
              <w:t>、PM</w:t>
            </w:r>
            <w:r>
              <w:rPr>
                <w:rFonts w:hint="default"/>
                <w:vertAlign w:val="subscript"/>
              </w:rPr>
              <w:t>10</w:t>
            </w:r>
            <w:r>
              <w:rPr>
                <w:rFonts w:hint="default"/>
              </w:rPr>
              <w:t>、PM</w:t>
            </w:r>
            <w:r>
              <w:rPr>
                <w:rFonts w:hint="default"/>
                <w:vertAlign w:val="subscript"/>
              </w:rPr>
              <w:t>2.5</w:t>
            </w:r>
            <w:r>
              <w:rPr>
                <w:rFonts w:hint="default"/>
              </w:rPr>
              <w:t>、CO和O</w:t>
            </w:r>
            <w:r>
              <w:rPr>
                <w:rFonts w:hint="default"/>
                <w:vertAlign w:val="subscript"/>
              </w:rPr>
              <w:t>3</w:t>
            </w:r>
            <w:r>
              <w:rPr>
                <w:rFonts w:hint="default"/>
              </w:rPr>
              <w:t>执行《环境空气质量标准》(GB3095-2012)中的二级标准。</w:t>
            </w:r>
          </w:p>
          <w:p>
            <w:pPr>
              <w:pStyle w:val="19"/>
              <w:bidi w:val="0"/>
              <w:rPr>
                <w:rFonts w:hint="default"/>
              </w:rPr>
            </w:pPr>
            <w:r>
              <w:rPr>
                <w:rFonts w:hint="eastAsia"/>
                <w:lang w:val="en-US" w:eastAsia="zh-CN"/>
              </w:rPr>
              <w:t>4</w:t>
            </w:r>
            <w:r>
              <w:rPr>
                <w:rFonts w:hint="default"/>
              </w:rPr>
              <w:t>.3评价方法评价方法</w:t>
            </w:r>
          </w:p>
          <w:p>
            <w:pPr>
              <w:pStyle w:val="16"/>
              <w:bidi w:val="0"/>
              <w:rPr>
                <w:rFonts w:hint="default"/>
              </w:rPr>
            </w:pPr>
            <w:r>
              <w:rPr>
                <w:rFonts w:hint="default"/>
              </w:rPr>
              <w:t>基本污染物按照《环境空气质量评价技术规范（试行）》(HJ663-2013)中各评价项目的年评价指标进行判定年评价指标中的年均浓度和相应百分位数24h平均或8h平均质量浓度满足GB3095中浓度限值要求的即为达标。对于超标的污染物计算其超标倍数和超标率。</w:t>
            </w:r>
          </w:p>
          <w:p>
            <w:pPr>
              <w:pStyle w:val="19"/>
              <w:bidi w:val="0"/>
              <w:rPr>
                <w:rFonts w:hint="default"/>
              </w:rPr>
            </w:pPr>
            <w:r>
              <w:rPr>
                <w:rFonts w:hint="eastAsia"/>
                <w:lang w:val="en-US" w:eastAsia="zh-CN"/>
              </w:rPr>
              <w:t>4</w:t>
            </w:r>
            <w:r>
              <w:rPr>
                <w:rFonts w:hint="default"/>
              </w:rPr>
              <w:t>.4空气质量达标区判定</w:t>
            </w:r>
          </w:p>
          <w:p>
            <w:pPr>
              <w:pStyle w:val="16"/>
              <w:bidi w:val="0"/>
            </w:pPr>
            <w:bookmarkStart w:id="7" w:name="_Hlk42245051"/>
            <w:r>
              <w:t>根据吉木萨尔县环境空气质量监测202</w:t>
            </w:r>
            <w:r>
              <w:rPr>
                <w:rFonts w:hint="eastAsia"/>
                <w:lang w:val="en-US" w:eastAsia="zh-CN"/>
              </w:rPr>
              <w:t>2</w:t>
            </w:r>
            <w:r>
              <w:t>年环境质量数据，PM</w:t>
            </w:r>
            <w:r>
              <w:rPr>
                <w:vertAlign w:val="subscript"/>
              </w:rPr>
              <w:t>2.5</w:t>
            </w:r>
            <w:r>
              <w:rPr>
                <w:rFonts w:hint="eastAsia"/>
              </w:rPr>
              <w:t>、</w:t>
            </w:r>
            <w:r>
              <w:t>PM</w:t>
            </w:r>
            <w:r>
              <w:rPr>
                <w:vertAlign w:val="subscript"/>
              </w:rPr>
              <w:t>10</w:t>
            </w:r>
            <w:r>
              <w:t>年均值不满足《环境空气质量标准》（GB3095-2012）二级标准，故</w:t>
            </w:r>
            <w:r>
              <w:rPr>
                <w:rFonts w:hint="eastAsia"/>
              </w:rPr>
              <w:t>项目</w:t>
            </w:r>
            <w:r>
              <w:t>所在区域为不达标区。</w:t>
            </w:r>
          </w:p>
          <w:p>
            <w:pPr>
              <w:pStyle w:val="14"/>
              <w:bidi w:val="0"/>
            </w:pPr>
            <w:r>
              <w:t>表3</w:t>
            </w:r>
            <w:r>
              <w:rPr>
                <w:rFonts w:hint="eastAsia"/>
                <w:lang w:val="en-US" w:eastAsia="zh-CN"/>
              </w:rPr>
              <w:t>-6</w:t>
            </w:r>
            <w:r>
              <w:t xml:space="preserve">  基本污染物环境质量现状</w:t>
            </w:r>
          </w:p>
          <w:tbl>
            <w:tblPr>
              <w:tblStyle w:val="11"/>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1009"/>
              <w:gridCol w:w="2660"/>
              <w:gridCol w:w="1183"/>
              <w:gridCol w:w="1183"/>
              <w:gridCol w:w="1183"/>
              <w:gridCol w:w="88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tblHeader/>
                <w:jc w:val="center"/>
              </w:trPr>
              <w:tc>
                <w:tcPr>
                  <w:tcW w:w="623" w:type="pct"/>
                  <w:vAlign w:val="center"/>
                </w:tcPr>
                <w:p>
                  <w:pPr>
                    <w:pStyle w:val="17"/>
                    <w:bidi w:val="0"/>
                  </w:pPr>
                  <w:r>
                    <w:t>污染物</w:t>
                  </w:r>
                </w:p>
              </w:tc>
              <w:tc>
                <w:tcPr>
                  <w:tcW w:w="1641" w:type="pct"/>
                  <w:vAlign w:val="center"/>
                </w:tcPr>
                <w:p>
                  <w:pPr>
                    <w:pStyle w:val="17"/>
                    <w:bidi w:val="0"/>
                  </w:pPr>
                  <w:r>
                    <w:t>评价指标</w:t>
                  </w:r>
                </w:p>
              </w:tc>
              <w:tc>
                <w:tcPr>
                  <w:tcW w:w="729" w:type="pct"/>
                  <w:vAlign w:val="center"/>
                </w:tcPr>
                <w:p>
                  <w:pPr>
                    <w:pStyle w:val="17"/>
                    <w:bidi w:val="0"/>
                  </w:pPr>
                  <w:r>
                    <w:t>现状浓度（</w:t>
                  </w:r>
                  <w:r>
                    <w:rPr/>
                    <w:sym w:font="Symbol" w:char="F06D"/>
                  </w:r>
                  <w:r>
                    <w:t>g/m</w:t>
                  </w:r>
                  <w:r>
                    <w:rPr>
                      <w:vertAlign w:val="superscript"/>
                    </w:rPr>
                    <w:t>3</w:t>
                  </w:r>
                  <w:r>
                    <w:t>）</w:t>
                  </w:r>
                </w:p>
              </w:tc>
              <w:tc>
                <w:tcPr>
                  <w:tcW w:w="729" w:type="pct"/>
                  <w:vAlign w:val="center"/>
                </w:tcPr>
                <w:p>
                  <w:pPr>
                    <w:pStyle w:val="17"/>
                    <w:bidi w:val="0"/>
                  </w:pPr>
                  <w:r>
                    <w:t>标准值（</w:t>
                  </w:r>
                  <w:r>
                    <w:rPr/>
                    <w:sym w:font="Symbol" w:char="F06D"/>
                  </w:r>
                  <w:r>
                    <w:t>g/m</w:t>
                  </w:r>
                  <w:r>
                    <w:rPr>
                      <w:vertAlign w:val="superscript"/>
                    </w:rPr>
                    <w:t>3</w:t>
                  </w:r>
                  <w:r>
                    <w:t>）</w:t>
                  </w:r>
                </w:p>
              </w:tc>
              <w:tc>
                <w:tcPr>
                  <w:tcW w:w="729" w:type="pct"/>
                  <w:tcBorders>
                    <w:bottom w:val="single" w:color="auto" w:sz="4" w:space="0"/>
                  </w:tcBorders>
                  <w:vAlign w:val="center"/>
                </w:tcPr>
                <w:p>
                  <w:pPr>
                    <w:pStyle w:val="17"/>
                    <w:bidi w:val="0"/>
                  </w:pPr>
                  <w:r>
                    <w:t>占标率</w:t>
                  </w:r>
                </w:p>
                <w:p>
                  <w:pPr>
                    <w:pStyle w:val="17"/>
                    <w:bidi w:val="0"/>
                  </w:pPr>
                  <w:r>
                    <w:rPr>
                      <w:rFonts w:hint="eastAsia"/>
                    </w:rPr>
                    <w:t>（</w:t>
                  </w:r>
                  <w:r>
                    <w:t>%</w:t>
                  </w:r>
                  <w:r>
                    <w:rPr>
                      <w:rFonts w:hint="eastAsia"/>
                    </w:rPr>
                    <w:t>）</w:t>
                  </w:r>
                </w:p>
              </w:tc>
              <w:tc>
                <w:tcPr>
                  <w:tcW w:w="548" w:type="pct"/>
                  <w:vAlign w:val="center"/>
                </w:tcPr>
                <w:p>
                  <w:pPr>
                    <w:pStyle w:val="17"/>
                    <w:bidi w:val="0"/>
                  </w:pPr>
                  <w:r>
                    <w:t>达标</w:t>
                  </w:r>
                </w:p>
                <w:p>
                  <w:pPr>
                    <w:pStyle w:val="17"/>
                    <w:bidi w:val="0"/>
                  </w:pPr>
                  <w:r>
                    <w:t>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623" w:type="pct"/>
                  <w:shd w:val="clear" w:color="auto" w:fill="auto"/>
                  <w:vAlign w:val="center"/>
                </w:tcPr>
                <w:p>
                  <w:pPr>
                    <w:pStyle w:val="17"/>
                    <w:bidi w:val="0"/>
                  </w:pPr>
                  <w:r>
                    <w:t>SO</w:t>
                  </w:r>
                  <w:r>
                    <w:rPr>
                      <w:vertAlign w:val="subscript"/>
                    </w:rPr>
                    <w:t>2</w:t>
                  </w:r>
                </w:p>
              </w:tc>
              <w:tc>
                <w:tcPr>
                  <w:tcW w:w="1641" w:type="pct"/>
                  <w:shd w:val="clear" w:color="auto" w:fill="auto"/>
                  <w:vAlign w:val="center"/>
                </w:tcPr>
                <w:p>
                  <w:pPr>
                    <w:pStyle w:val="17"/>
                    <w:bidi w:val="0"/>
                  </w:pPr>
                  <w:r>
                    <w:t>年平均质量浓度</w:t>
                  </w:r>
                </w:p>
              </w:tc>
              <w:tc>
                <w:tcPr>
                  <w:tcW w:w="729" w:type="pct"/>
                  <w:shd w:val="clear" w:color="auto" w:fill="auto"/>
                  <w:vAlign w:val="center"/>
                </w:tcPr>
                <w:p>
                  <w:pPr>
                    <w:pStyle w:val="17"/>
                    <w:bidi w:val="0"/>
                  </w:pPr>
                  <w:r>
                    <w:rPr>
                      <w:rFonts w:hint="eastAsia"/>
                    </w:rPr>
                    <w:t>7</w:t>
                  </w:r>
                </w:p>
              </w:tc>
              <w:tc>
                <w:tcPr>
                  <w:tcW w:w="729" w:type="pct"/>
                  <w:tcBorders>
                    <w:right w:val="single" w:color="auto" w:sz="4" w:space="0"/>
                  </w:tcBorders>
                  <w:shd w:val="clear" w:color="auto" w:fill="auto"/>
                  <w:vAlign w:val="center"/>
                </w:tcPr>
                <w:p>
                  <w:pPr>
                    <w:pStyle w:val="17"/>
                    <w:bidi w:val="0"/>
                  </w:pPr>
                  <w:r>
                    <w:t>60</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
                    <w:bidi w:val="0"/>
                    <w:rPr>
                      <w:rFonts w:hint="default"/>
                      <w:lang w:val="en-US" w:eastAsia="zh-CN"/>
                    </w:rPr>
                  </w:pPr>
                  <w:r>
                    <w:rPr>
                      <w:rFonts w:hint="eastAsia"/>
                      <w:lang w:val="en-US" w:eastAsia="zh-CN"/>
                    </w:rPr>
                    <w:t>11.7</w:t>
                  </w:r>
                </w:p>
              </w:tc>
              <w:tc>
                <w:tcPr>
                  <w:tcW w:w="548" w:type="pct"/>
                  <w:tcBorders>
                    <w:left w:val="single" w:color="auto" w:sz="4" w:space="0"/>
                  </w:tcBorders>
                  <w:shd w:val="clear" w:color="auto" w:fill="auto"/>
                  <w:vAlign w:val="center"/>
                </w:tcPr>
                <w:p>
                  <w:pPr>
                    <w:pStyle w:val="17"/>
                    <w:bidi w:val="0"/>
                  </w:pPr>
                  <w: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623" w:type="pct"/>
                  <w:shd w:val="clear" w:color="auto" w:fill="auto"/>
                  <w:vAlign w:val="center"/>
                </w:tcPr>
                <w:p>
                  <w:pPr>
                    <w:pStyle w:val="17"/>
                    <w:bidi w:val="0"/>
                  </w:pPr>
                  <w:r>
                    <w:t>NO</w:t>
                  </w:r>
                  <w:r>
                    <w:rPr>
                      <w:vertAlign w:val="subscript"/>
                    </w:rPr>
                    <w:t>2</w:t>
                  </w:r>
                </w:p>
              </w:tc>
              <w:tc>
                <w:tcPr>
                  <w:tcW w:w="1641" w:type="pct"/>
                  <w:shd w:val="clear" w:color="auto" w:fill="auto"/>
                  <w:vAlign w:val="center"/>
                </w:tcPr>
                <w:p>
                  <w:pPr>
                    <w:pStyle w:val="17"/>
                    <w:bidi w:val="0"/>
                  </w:pPr>
                  <w:r>
                    <w:t>年平均质量浓度</w:t>
                  </w:r>
                </w:p>
              </w:tc>
              <w:tc>
                <w:tcPr>
                  <w:tcW w:w="729" w:type="pct"/>
                  <w:shd w:val="clear" w:color="auto" w:fill="auto"/>
                  <w:vAlign w:val="center"/>
                </w:tcPr>
                <w:p>
                  <w:pPr>
                    <w:pStyle w:val="17"/>
                    <w:bidi w:val="0"/>
                    <w:rPr>
                      <w:rFonts w:hint="default"/>
                      <w:lang w:val="en-US" w:eastAsia="zh-CN"/>
                    </w:rPr>
                  </w:pPr>
                  <w:r>
                    <w:rPr>
                      <w:rFonts w:hint="eastAsia"/>
                      <w:lang w:val="en-US" w:eastAsia="zh-CN"/>
                    </w:rPr>
                    <w:t>32</w:t>
                  </w:r>
                </w:p>
              </w:tc>
              <w:tc>
                <w:tcPr>
                  <w:tcW w:w="729" w:type="pct"/>
                  <w:tcBorders>
                    <w:right w:val="single" w:color="auto" w:sz="4" w:space="0"/>
                  </w:tcBorders>
                  <w:shd w:val="clear" w:color="auto" w:fill="auto"/>
                  <w:vAlign w:val="center"/>
                </w:tcPr>
                <w:p>
                  <w:pPr>
                    <w:pStyle w:val="17"/>
                    <w:bidi w:val="0"/>
                  </w:pPr>
                  <w:r>
                    <w:t>40</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
                    <w:bidi w:val="0"/>
                    <w:rPr>
                      <w:rFonts w:hint="default"/>
                      <w:lang w:val="en-US" w:eastAsia="zh-CN"/>
                    </w:rPr>
                  </w:pPr>
                  <w:r>
                    <w:rPr>
                      <w:rFonts w:hint="eastAsia"/>
                      <w:lang w:val="en-US" w:eastAsia="zh-CN"/>
                    </w:rPr>
                    <w:t>80</w:t>
                  </w:r>
                </w:p>
              </w:tc>
              <w:tc>
                <w:tcPr>
                  <w:tcW w:w="548" w:type="pct"/>
                  <w:tcBorders>
                    <w:left w:val="single" w:color="auto" w:sz="4" w:space="0"/>
                  </w:tcBorders>
                  <w:shd w:val="clear" w:color="auto" w:fill="auto"/>
                  <w:vAlign w:val="center"/>
                </w:tcPr>
                <w:p>
                  <w:pPr>
                    <w:pStyle w:val="17"/>
                    <w:bidi w:val="0"/>
                  </w:pPr>
                  <w: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623" w:type="pct"/>
                  <w:shd w:val="clear" w:color="auto" w:fill="auto"/>
                  <w:vAlign w:val="center"/>
                </w:tcPr>
                <w:p>
                  <w:pPr>
                    <w:pStyle w:val="17"/>
                    <w:bidi w:val="0"/>
                  </w:pPr>
                  <w:r>
                    <w:t>PM</w:t>
                  </w:r>
                  <w:r>
                    <w:rPr>
                      <w:vertAlign w:val="subscript"/>
                    </w:rPr>
                    <w:t>10</w:t>
                  </w:r>
                </w:p>
              </w:tc>
              <w:tc>
                <w:tcPr>
                  <w:tcW w:w="1641" w:type="pct"/>
                  <w:shd w:val="clear" w:color="auto" w:fill="auto"/>
                  <w:vAlign w:val="center"/>
                </w:tcPr>
                <w:p>
                  <w:pPr>
                    <w:pStyle w:val="17"/>
                    <w:bidi w:val="0"/>
                  </w:pPr>
                  <w:r>
                    <w:t>年平均质量浓度</w:t>
                  </w:r>
                </w:p>
              </w:tc>
              <w:tc>
                <w:tcPr>
                  <w:tcW w:w="729" w:type="pct"/>
                  <w:shd w:val="clear" w:color="auto" w:fill="auto"/>
                  <w:vAlign w:val="center"/>
                </w:tcPr>
                <w:p>
                  <w:pPr>
                    <w:pStyle w:val="17"/>
                    <w:bidi w:val="0"/>
                    <w:rPr>
                      <w:rFonts w:hint="default"/>
                      <w:lang w:val="en-US" w:eastAsia="zh-CN"/>
                    </w:rPr>
                  </w:pPr>
                  <w:r>
                    <w:rPr>
                      <w:rFonts w:hint="eastAsia"/>
                      <w:lang w:val="en-US" w:eastAsia="zh-CN"/>
                    </w:rPr>
                    <w:t>81</w:t>
                  </w:r>
                </w:p>
              </w:tc>
              <w:tc>
                <w:tcPr>
                  <w:tcW w:w="729" w:type="pct"/>
                  <w:tcBorders>
                    <w:right w:val="single" w:color="auto" w:sz="4" w:space="0"/>
                  </w:tcBorders>
                  <w:shd w:val="clear" w:color="auto" w:fill="auto"/>
                  <w:vAlign w:val="center"/>
                </w:tcPr>
                <w:p>
                  <w:pPr>
                    <w:pStyle w:val="17"/>
                    <w:bidi w:val="0"/>
                  </w:pPr>
                  <w:r>
                    <w:t>70</w:t>
                  </w:r>
                </w:p>
              </w:tc>
              <w:tc>
                <w:tcPr>
                  <w:tcW w:w="729"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7"/>
                    <w:bidi w:val="0"/>
                    <w:rPr>
                      <w:rFonts w:hint="default"/>
                      <w:lang w:val="en-US" w:eastAsia="zh-CN"/>
                    </w:rPr>
                  </w:pPr>
                  <w:r>
                    <w:rPr>
                      <w:rFonts w:hint="eastAsia"/>
                      <w:lang w:val="en-US" w:eastAsia="zh-CN"/>
                    </w:rPr>
                    <w:t>115.7</w:t>
                  </w:r>
                </w:p>
              </w:tc>
              <w:tc>
                <w:tcPr>
                  <w:tcW w:w="548" w:type="pct"/>
                  <w:tcBorders>
                    <w:left w:val="single" w:color="auto" w:sz="4" w:space="0"/>
                  </w:tcBorders>
                  <w:shd w:val="clear" w:color="auto" w:fill="D8D8D8" w:themeFill="background1" w:themeFillShade="D9"/>
                  <w:vAlign w:val="center"/>
                </w:tcPr>
                <w:p>
                  <w:pPr>
                    <w:pStyle w:val="17"/>
                    <w:bidi w:val="0"/>
                  </w:pPr>
                  <w:r>
                    <w:t>超标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623" w:type="pct"/>
                  <w:shd w:val="clear" w:color="auto" w:fill="auto"/>
                  <w:vAlign w:val="center"/>
                </w:tcPr>
                <w:p>
                  <w:pPr>
                    <w:pStyle w:val="17"/>
                    <w:bidi w:val="0"/>
                  </w:pPr>
                  <w:r>
                    <w:t>PM</w:t>
                  </w:r>
                  <w:r>
                    <w:rPr>
                      <w:vertAlign w:val="subscript"/>
                    </w:rPr>
                    <w:t>2.5</w:t>
                  </w:r>
                </w:p>
              </w:tc>
              <w:tc>
                <w:tcPr>
                  <w:tcW w:w="1641" w:type="pct"/>
                  <w:shd w:val="clear" w:color="auto" w:fill="auto"/>
                  <w:vAlign w:val="center"/>
                </w:tcPr>
                <w:p>
                  <w:pPr>
                    <w:pStyle w:val="17"/>
                    <w:bidi w:val="0"/>
                  </w:pPr>
                  <w:r>
                    <w:t>年平均质量浓度</w:t>
                  </w:r>
                </w:p>
              </w:tc>
              <w:tc>
                <w:tcPr>
                  <w:tcW w:w="729" w:type="pct"/>
                  <w:shd w:val="clear" w:color="auto" w:fill="auto"/>
                  <w:vAlign w:val="center"/>
                </w:tcPr>
                <w:p>
                  <w:pPr>
                    <w:pStyle w:val="17"/>
                    <w:bidi w:val="0"/>
                    <w:rPr>
                      <w:rFonts w:hint="default"/>
                      <w:lang w:val="en-US" w:eastAsia="zh-CN"/>
                    </w:rPr>
                  </w:pPr>
                  <w:r>
                    <w:rPr>
                      <w:rFonts w:hint="eastAsia"/>
                      <w:lang w:val="en-US" w:eastAsia="zh-CN"/>
                    </w:rPr>
                    <w:t>50</w:t>
                  </w:r>
                </w:p>
              </w:tc>
              <w:tc>
                <w:tcPr>
                  <w:tcW w:w="729" w:type="pct"/>
                  <w:tcBorders>
                    <w:right w:val="single" w:color="auto" w:sz="4" w:space="0"/>
                  </w:tcBorders>
                  <w:shd w:val="clear" w:color="auto" w:fill="auto"/>
                  <w:vAlign w:val="center"/>
                </w:tcPr>
                <w:p>
                  <w:pPr>
                    <w:pStyle w:val="17"/>
                    <w:bidi w:val="0"/>
                  </w:pPr>
                  <w:r>
                    <w:t>35</w:t>
                  </w:r>
                </w:p>
              </w:tc>
              <w:tc>
                <w:tcPr>
                  <w:tcW w:w="729"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7"/>
                    <w:bidi w:val="0"/>
                    <w:rPr>
                      <w:rFonts w:hint="default"/>
                      <w:lang w:val="en-US" w:eastAsia="zh-CN"/>
                    </w:rPr>
                  </w:pPr>
                  <w:r>
                    <w:rPr>
                      <w:rFonts w:hint="eastAsia"/>
                      <w:lang w:val="en-US" w:eastAsia="zh-CN"/>
                    </w:rPr>
                    <w:t>142.9</w:t>
                  </w:r>
                </w:p>
              </w:tc>
              <w:tc>
                <w:tcPr>
                  <w:tcW w:w="548" w:type="pct"/>
                  <w:tcBorders>
                    <w:left w:val="single" w:color="auto" w:sz="4" w:space="0"/>
                  </w:tcBorders>
                  <w:shd w:val="clear" w:color="auto" w:fill="D8D8D8" w:themeFill="background1" w:themeFillShade="D9"/>
                  <w:vAlign w:val="center"/>
                </w:tcPr>
                <w:p>
                  <w:pPr>
                    <w:pStyle w:val="17"/>
                    <w:bidi w:val="0"/>
                  </w:pPr>
                  <w:r>
                    <w:t>超标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623" w:type="pct"/>
                  <w:shd w:val="clear" w:color="auto" w:fill="auto"/>
                  <w:vAlign w:val="center"/>
                </w:tcPr>
                <w:p>
                  <w:pPr>
                    <w:pStyle w:val="17"/>
                    <w:bidi w:val="0"/>
                  </w:pPr>
                  <w:r>
                    <w:t>CO</w:t>
                  </w:r>
                </w:p>
              </w:tc>
              <w:tc>
                <w:tcPr>
                  <w:tcW w:w="1641" w:type="pct"/>
                  <w:shd w:val="clear" w:color="auto" w:fill="auto"/>
                  <w:vAlign w:val="center"/>
                </w:tcPr>
                <w:p>
                  <w:pPr>
                    <w:pStyle w:val="17"/>
                    <w:bidi w:val="0"/>
                  </w:pPr>
                  <w:r>
                    <w:t>24小时平均第95百分位数</w:t>
                  </w:r>
                </w:p>
              </w:tc>
              <w:tc>
                <w:tcPr>
                  <w:tcW w:w="729" w:type="pct"/>
                  <w:shd w:val="clear" w:color="auto" w:fill="auto"/>
                  <w:vAlign w:val="center"/>
                </w:tcPr>
                <w:p>
                  <w:pPr>
                    <w:pStyle w:val="17"/>
                    <w:bidi w:val="0"/>
                  </w:pPr>
                  <w:r>
                    <w:rPr>
                      <w:rFonts w:hint="eastAsia"/>
                      <w:lang w:val="en-US" w:eastAsia="zh-CN"/>
                    </w:rPr>
                    <w:t>2.3</w:t>
                  </w:r>
                  <w:r>
                    <w:t>mg/m</w:t>
                  </w:r>
                  <w:r>
                    <w:rPr>
                      <w:vertAlign w:val="superscript"/>
                    </w:rPr>
                    <w:t>3</w:t>
                  </w:r>
                </w:p>
              </w:tc>
              <w:tc>
                <w:tcPr>
                  <w:tcW w:w="729" w:type="pct"/>
                  <w:tcBorders>
                    <w:right w:val="single" w:color="auto" w:sz="4" w:space="0"/>
                  </w:tcBorders>
                  <w:shd w:val="clear" w:color="auto" w:fill="auto"/>
                  <w:vAlign w:val="center"/>
                </w:tcPr>
                <w:p>
                  <w:pPr>
                    <w:pStyle w:val="17"/>
                    <w:bidi w:val="0"/>
                  </w:pPr>
                  <w:r>
                    <w:t>4mg/m</w:t>
                  </w:r>
                  <w:r>
                    <w:rPr>
                      <w:vertAlign w:val="superscript"/>
                    </w:rPr>
                    <w:t>3</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
                    <w:bidi w:val="0"/>
                    <w:rPr>
                      <w:rFonts w:hint="default"/>
                      <w:lang w:val="en-US" w:eastAsia="zh-CN"/>
                    </w:rPr>
                  </w:pPr>
                  <w:r>
                    <w:rPr>
                      <w:rFonts w:hint="eastAsia"/>
                      <w:lang w:val="en-US" w:eastAsia="zh-CN"/>
                    </w:rPr>
                    <w:t>57.5</w:t>
                  </w:r>
                </w:p>
              </w:tc>
              <w:tc>
                <w:tcPr>
                  <w:tcW w:w="548" w:type="pct"/>
                  <w:tcBorders>
                    <w:left w:val="single" w:color="auto" w:sz="4" w:space="0"/>
                  </w:tcBorders>
                  <w:shd w:val="clear" w:color="auto" w:fill="auto"/>
                  <w:vAlign w:val="center"/>
                </w:tcPr>
                <w:p>
                  <w:pPr>
                    <w:pStyle w:val="17"/>
                    <w:bidi w:val="0"/>
                  </w:pPr>
                  <w: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623" w:type="pct"/>
                  <w:shd w:val="clear" w:color="auto" w:fill="auto"/>
                  <w:vAlign w:val="center"/>
                </w:tcPr>
                <w:p>
                  <w:pPr>
                    <w:pStyle w:val="17"/>
                    <w:bidi w:val="0"/>
                  </w:pPr>
                  <w:r>
                    <w:t>O</w:t>
                  </w:r>
                  <w:r>
                    <w:rPr>
                      <w:vertAlign w:val="subscript"/>
                    </w:rPr>
                    <w:t>3</w:t>
                  </w:r>
                </w:p>
              </w:tc>
              <w:tc>
                <w:tcPr>
                  <w:tcW w:w="1641" w:type="pct"/>
                  <w:shd w:val="clear" w:color="auto" w:fill="auto"/>
                  <w:vAlign w:val="center"/>
                </w:tcPr>
                <w:p>
                  <w:pPr>
                    <w:pStyle w:val="17"/>
                    <w:bidi w:val="0"/>
                  </w:pPr>
                  <w:r>
                    <w:t>最大8小时平均第90百分位数</w:t>
                  </w:r>
                </w:p>
              </w:tc>
              <w:tc>
                <w:tcPr>
                  <w:tcW w:w="729" w:type="pct"/>
                  <w:shd w:val="clear" w:color="auto" w:fill="auto"/>
                  <w:vAlign w:val="center"/>
                </w:tcPr>
                <w:p>
                  <w:pPr>
                    <w:pStyle w:val="17"/>
                    <w:bidi w:val="0"/>
                    <w:rPr>
                      <w:rFonts w:hint="default"/>
                      <w:lang w:val="en-US" w:eastAsia="zh-CN"/>
                    </w:rPr>
                  </w:pPr>
                  <w:r>
                    <w:rPr>
                      <w:rFonts w:hint="eastAsia"/>
                      <w:lang w:val="en-US" w:eastAsia="zh-CN"/>
                    </w:rPr>
                    <w:t>133</w:t>
                  </w:r>
                </w:p>
              </w:tc>
              <w:tc>
                <w:tcPr>
                  <w:tcW w:w="729" w:type="pct"/>
                  <w:tcBorders>
                    <w:right w:val="single" w:color="auto" w:sz="4" w:space="0"/>
                  </w:tcBorders>
                  <w:shd w:val="clear" w:color="auto" w:fill="auto"/>
                  <w:vAlign w:val="center"/>
                </w:tcPr>
                <w:p>
                  <w:pPr>
                    <w:pStyle w:val="17"/>
                    <w:bidi w:val="0"/>
                  </w:pPr>
                  <w:r>
                    <w:t>160</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
                    <w:bidi w:val="0"/>
                    <w:rPr>
                      <w:rFonts w:hint="default"/>
                      <w:lang w:val="en-US" w:eastAsia="zh-CN"/>
                    </w:rPr>
                  </w:pPr>
                  <w:r>
                    <w:rPr>
                      <w:rFonts w:hint="eastAsia"/>
                      <w:lang w:val="en-US" w:eastAsia="zh-CN"/>
                    </w:rPr>
                    <w:t>83.1</w:t>
                  </w:r>
                </w:p>
              </w:tc>
              <w:tc>
                <w:tcPr>
                  <w:tcW w:w="548" w:type="pct"/>
                  <w:tcBorders>
                    <w:left w:val="single" w:color="auto" w:sz="4" w:space="0"/>
                  </w:tcBorders>
                  <w:shd w:val="clear" w:color="auto" w:fill="auto"/>
                  <w:vAlign w:val="center"/>
                </w:tcPr>
                <w:p>
                  <w:pPr>
                    <w:pStyle w:val="17"/>
                    <w:bidi w:val="0"/>
                    <w:rPr>
                      <w:rFonts w:hint="eastAsia"/>
                      <w:lang w:eastAsia="zh-CN"/>
                    </w:rPr>
                  </w:pPr>
                  <w:r>
                    <w:rPr>
                      <w:rFonts w:hint="eastAsia"/>
                      <w:lang w:val="en-US" w:eastAsia="zh-CN"/>
                    </w:rPr>
                    <w:t>达标</w:t>
                  </w:r>
                </w:p>
              </w:tc>
            </w:tr>
            <w:bookmarkEnd w:id="7"/>
          </w:tbl>
          <w:p>
            <w:pPr>
              <w:pStyle w:val="16"/>
              <w:bidi w:val="0"/>
            </w:pPr>
            <w:r>
              <w:rPr>
                <w:rFonts w:hint="eastAsia"/>
              </w:rPr>
              <w:t>项目所在区域</w:t>
            </w:r>
            <w:r>
              <w:t>PM</w:t>
            </w:r>
            <w:r>
              <w:rPr>
                <w:vertAlign w:val="subscript"/>
              </w:rPr>
              <w:t>2.5</w:t>
            </w:r>
            <w:r>
              <w:rPr>
                <w:rFonts w:hint="eastAsia"/>
              </w:rPr>
              <w:t>、</w:t>
            </w:r>
            <w:r>
              <w:t>PM</w:t>
            </w:r>
            <w:r>
              <w:rPr>
                <w:vertAlign w:val="subscript"/>
              </w:rPr>
              <w:t>10</w:t>
            </w:r>
            <w:r>
              <w:rPr>
                <w:rFonts w:hint="eastAsia"/>
              </w:rPr>
              <w:t>年平均浓度有超标现象，</w:t>
            </w:r>
            <w:r>
              <w:t>PM</w:t>
            </w:r>
            <w:r>
              <w:rPr>
                <w:vertAlign w:val="subscript"/>
              </w:rPr>
              <w:t>2.5</w:t>
            </w:r>
            <w:r>
              <w:rPr>
                <w:rFonts w:hint="eastAsia"/>
              </w:rPr>
              <w:t>、</w:t>
            </w:r>
            <w:r>
              <w:t>PM</w:t>
            </w:r>
            <w:r>
              <w:rPr>
                <w:vertAlign w:val="subscript"/>
              </w:rPr>
              <w:t>10</w:t>
            </w:r>
            <w:r>
              <w:rPr>
                <w:rFonts w:hint="eastAsia"/>
              </w:rPr>
              <w:t>年平均占标率为</w:t>
            </w:r>
            <w:r>
              <w:rPr>
                <w:rFonts w:hint="eastAsia"/>
                <w:lang w:val="en-US" w:eastAsia="zh-CN"/>
              </w:rPr>
              <w:t>115.7</w:t>
            </w:r>
            <w:r>
              <w:t>%</w:t>
            </w:r>
            <w:r>
              <w:rPr>
                <w:rFonts w:hint="eastAsia"/>
              </w:rPr>
              <w:t>和</w:t>
            </w:r>
            <w:r>
              <w:rPr>
                <w:rFonts w:hint="eastAsia"/>
                <w:lang w:val="en-US" w:eastAsia="zh-CN"/>
              </w:rPr>
              <w:t>142.9</w:t>
            </w:r>
            <w:r>
              <w:t>%</w:t>
            </w:r>
            <w:r>
              <w:rPr>
                <w:rFonts w:hint="eastAsia"/>
              </w:rPr>
              <w:t>，年均值超标倍数为</w:t>
            </w:r>
            <w:r>
              <w:t>0.</w:t>
            </w:r>
            <w:r>
              <w:rPr>
                <w:rFonts w:hint="eastAsia"/>
                <w:lang w:val="en-US" w:eastAsia="zh-CN"/>
              </w:rPr>
              <w:t>157</w:t>
            </w:r>
            <w:r>
              <w:rPr>
                <w:rFonts w:hint="eastAsia"/>
              </w:rPr>
              <w:t>和</w:t>
            </w:r>
            <w:r>
              <w:rPr>
                <w:rFonts w:hint="eastAsia"/>
                <w:lang w:val="en-US" w:eastAsia="zh-CN"/>
              </w:rPr>
              <w:t>0.429</w:t>
            </w:r>
            <w:r>
              <w:rPr>
                <w:rFonts w:hint="eastAsia"/>
              </w:rPr>
              <w:t>。超标原因主要与当地</w:t>
            </w:r>
            <w:r>
              <w:rPr>
                <w:rFonts w:hint="eastAsia"/>
                <w:lang w:val="en-US" w:eastAsia="zh-CN"/>
              </w:rPr>
              <w:t>风沙</w:t>
            </w:r>
            <w:r>
              <w:rPr>
                <w:rFonts w:hint="eastAsia"/>
              </w:rPr>
              <w:t>有一定关系。</w:t>
            </w:r>
          </w:p>
          <w:p>
            <w:pPr>
              <w:pStyle w:val="16"/>
              <w:bidi w:val="0"/>
              <w:rPr>
                <w:rFonts w:hint="eastAsia"/>
              </w:rPr>
            </w:pPr>
            <w:r>
              <w:rPr>
                <w:rFonts w:hint="eastAsia"/>
              </w:rPr>
              <w:t>为切实做好吉木萨尔县环境保护工作，进一步改善环境空气质量，吉木萨尔县人民政府先后制定了《吉木萨尔县建筑施工现场扬尘污染治理工作方案》、《关于立即开展道路运输抛洒污染、扬尘专项治理工作实施方案》、《吉木萨尔县砂石粘土矿扬尘管控方案》等文件。通过加强工业企业粉尘整治、强化移动源污染治理、综合整治城市扬尘、严格落实巡查监管等一系列措施，吉木萨尔县环境空气质量将会得到改善。</w:t>
            </w:r>
          </w:p>
          <w:p>
            <w:pPr>
              <w:pStyle w:val="4"/>
              <w:bidi w:val="0"/>
              <w:rPr>
                <w:rFonts w:hint="default"/>
                <w:lang w:val="en-US" w:eastAsia="zh-CN"/>
              </w:rPr>
            </w:pPr>
            <w:r>
              <w:rPr>
                <w:rFonts w:hint="eastAsia"/>
                <w:lang w:val="en-US" w:eastAsia="zh-CN"/>
              </w:rPr>
              <w:t>5、水环境质量现状</w:t>
            </w:r>
          </w:p>
          <w:p>
            <w:pPr>
              <w:pStyle w:val="16"/>
              <w:bidi w:val="0"/>
              <w:rPr>
                <w:rFonts w:hint="default"/>
              </w:rPr>
            </w:pPr>
            <w:r>
              <w:rPr>
                <w:rFonts w:hint="default"/>
              </w:rPr>
              <w:t>本项目钻井期间钻井废水循环利用，本工程区周边5km范围内无常年天然地表水体分布，与地表水体无水力联系，本次未对地表水环境进行现状评价。</w:t>
            </w:r>
          </w:p>
          <w:p>
            <w:pPr>
              <w:pStyle w:val="16"/>
              <w:bidi w:val="0"/>
              <w:rPr>
                <w:rFonts w:hint="default"/>
              </w:rPr>
            </w:pPr>
            <w:r>
              <w:rPr>
                <w:rFonts w:hint="default"/>
              </w:rPr>
              <w:t>本工程属于矿产资源勘查活动，钻井期间采用泥浆不落地工艺，无钻井废水排放；本次只定性分析</w:t>
            </w:r>
            <w:r>
              <w:rPr>
                <w:rFonts w:hint="eastAsia"/>
                <w:lang w:val="en-US" w:eastAsia="zh-CN"/>
              </w:rPr>
              <w:t>可能</w:t>
            </w:r>
            <w:r>
              <w:rPr>
                <w:rFonts w:hint="default"/>
              </w:rPr>
              <w:t>对地下水的影响，未对地下水环境进行现状监测</w:t>
            </w:r>
          </w:p>
          <w:p>
            <w:pPr>
              <w:pStyle w:val="4"/>
              <w:bidi w:val="0"/>
              <w:rPr>
                <w:rFonts w:hint="default"/>
                <w:lang w:val="en-US" w:eastAsia="zh-CN"/>
              </w:rPr>
            </w:pPr>
            <w:r>
              <w:rPr>
                <w:rFonts w:hint="eastAsia"/>
                <w:lang w:val="en-US" w:eastAsia="zh-CN"/>
              </w:rPr>
              <w:t>6、声环境质量现状</w:t>
            </w:r>
          </w:p>
          <w:p>
            <w:pPr>
              <w:pStyle w:val="16"/>
              <w:bidi w:val="0"/>
              <w:rPr>
                <w:rFonts w:hint="default"/>
              </w:rPr>
            </w:pPr>
            <w:r>
              <w:rPr>
                <w:rFonts w:hint="default"/>
              </w:rPr>
              <w:t>根据《建设项目环境影响报告表编制技术指南（生态影响类）（试行）》本项目50m范围内无声环境保护目标，因此，本项目可不开展声环境质量现状监测。</w:t>
            </w:r>
          </w:p>
          <w:p>
            <w:pPr>
              <w:pStyle w:val="4"/>
              <w:bidi w:val="0"/>
              <w:rPr>
                <w:rFonts w:hint="default"/>
                <w:lang w:val="en-US" w:eastAsia="zh-CN"/>
              </w:rPr>
            </w:pPr>
            <w:r>
              <w:rPr>
                <w:rFonts w:hint="eastAsia"/>
                <w:lang w:val="en-US" w:eastAsia="zh-CN"/>
              </w:rPr>
              <w:t>7、土壤环境质量现状</w:t>
            </w:r>
          </w:p>
          <w:p>
            <w:pPr>
              <w:pStyle w:val="16"/>
              <w:bidi w:val="0"/>
              <w:rPr>
                <w:rFonts w:hint="default"/>
              </w:rPr>
            </w:pPr>
            <w:r>
              <w:rPr>
                <w:rFonts w:hint="default"/>
              </w:rPr>
              <w:t>本项目属于矿产资源勘查活动，钻井期采用泥浆不落地、罐区进行防渗，本次环评未开展土壤现状调查。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57" w:hRule="atLeast"/>
        </w:trPr>
        <w:tc>
          <w:tcPr>
            <w:tcW w:w="1033" w:type="dxa"/>
            <w:tcBorders>
              <w:left w:val="single" w:color="000000" w:sz="6" w:space="0"/>
            </w:tcBorders>
            <w:vAlign w:val="center"/>
          </w:tcPr>
          <w:p>
            <w:pPr>
              <w:bidi w:val="0"/>
              <w:jc w:val="center"/>
              <w:rPr>
                <w:rFonts w:hint="default"/>
              </w:rPr>
            </w:pPr>
            <w:r>
              <w:rPr>
                <w:rFonts w:hint="default"/>
              </w:rPr>
              <w:t>与项目有关的原有环境污染和生态破坏问题</w:t>
            </w:r>
          </w:p>
        </w:tc>
        <w:tc>
          <w:tcPr>
            <w:tcW w:w="8128" w:type="dxa"/>
            <w:tcBorders>
              <w:right w:val="single" w:color="000000" w:sz="6" w:space="0"/>
            </w:tcBorders>
            <w:vAlign w:val="center"/>
          </w:tcPr>
          <w:p>
            <w:pPr>
              <w:pStyle w:val="16"/>
              <w:bidi w:val="0"/>
              <w:rPr>
                <w:rFonts w:hint="default"/>
              </w:rPr>
            </w:pPr>
            <w:r>
              <w:rPr>
                <w:rFonts w:hint="default"/>
              </w:rPr>
              <w:t>本项目为新建项目，不存在原有环境污染和生态破坏问题。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439" w:hRule="atLeast"/>
        </w:trPr>
        <w:tc>
          <w:tcPr>
            <w:tcW w:w="1033" w:type="dxa"/>
            <w:tcBorders>
              <w:left w:val="single" w:color="000000" w:sz="6" w:space="0"/>
            </w:tcBorders>
            <w:vAlign w:val="center"/>
          </w:tcPr>
          <w:p>
            <w:pPr>
              <w:bidi w:val="0"/>
              <w:jc w:val="center"/>
              <w:rPr>
                <w:rFonts w:hint="default"/>
              </w:rPr>
            </w:pPr>
            <w:r>
              <w:rPr>
                <w:rFonts w:hint="default"/>
              </w:rPr>
              <w:t>生态环境保护目标</w:t>
            </w:r>
          </w:p>
        </w:tc>
        <w:tc>
          <w:tcPr>
            <w:tcW w:w="8128" w:type="dxa"/>
            <w:tcBorders>
              <w:right w:val="single" w:color="000000" w:sz="6" w:space="0"/>
            </w:tcBorders>
            <w:vAlign w:val="center"/>
          </w:tcPr>
          <w:p>
            <w:pPr>
              <w:pStyle w:val="4"/>
              <w:bidi w:val="0"/>
              <w:rPr>
                <w:color w:val="auto"/>
              </w:rPr>
            </w:pPr>
            <w:r>
              <w:rPr>
                <w:rFonts w:hint="eastAsia"/>
                <w:lang w:val="en-US" w:eastAsia="zh-CN"/>
              </w:rPr>
              <w:t>1</w:t>
            </w:r>
            <w:r>
              <w:rPr>
                <w:rFonts w:hint="eastAsia"/>
                <w:color w:val="auto"/>
                <w:lang w:val="en-US" w:eastAsia="zh-CN"/>
              </w:rPr>
              <w:t>、环境保护目标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rPr>
            </w:pPr>
            <w:r>
              <w:rPr>
                <w:rFonts w:hint="eastAsia" w:ascii="宋体" w:hAnsi="宋体" w:eastAsia="宋体" w:cs="宋体"/>
                <w:color w:val="auto"/>
                <w:kern w:val="0"/>
                <w:sz w:val="24"/>
                <w:szCs w:val="24"/>
                <w:lang w:val="en-US" w:eastAsia="zh-CN" w:bidi="ar"/>
              </w:rPr>
              <w:t>根据现场调查，本项目周边</w:t>
            </w:r>
            <w:r>
              <w:rPr>
                <w:rFonts w:hint="default" w:ascii="Times New Roman" w:hAnsi="Times New Roman" w:eastAsia="宋体" w:cs="Times New Roman"/>
                <w:color w:val="auto"/>
                <w:kern w:val="0"/>
                <w:sz w:val="24"/>
                <w:szCs w:val="24"/>
                <w:lang w:val="en-US" w:eastAsia="zh-CN" w:bidi="ar"/>
              </w:rPr>
              <w:t>500m</w:t>
            </w:r>
            <w:r>
              <w:rPr>
                <w:rFonts w:hint="eastAsia" w:ascii="宋体" w:hAnsi="宋体" w:eastAsia="宋体" w:cs="宋体"/>
                <w:color w:val="auto"/>
                <w:kern w:val="0"/>
                <w:sz w:val="24"/>
                <w:szCs w:val="24"/>
                <w:lang w:val="en-US" w:eastAsia="zh-CN" w:bidi="ar"/>
              </w:rPr>
              <w:t>范围内无自然保护区、风景名胜区、居住区、文化区、人群较集中的区域，周边</w:t>
            </w:r>
            <w:r>
              <w:rPr>
                <w:rFonts w:hint="default" w:ascii="Times New Roman" w:hAnsi="Times New Roman" w:eastAsia="宋体" w:cs="Times New Roman"/>
                <w:color w:val="auto"/>
                <w:kern w:val="0"/>
                <w:sz w:val="24"/>
                <w:szCs w:val="24"/>
                <w:lang w:val="en-US" w:eastAsia="zh-CN" w:bidi="ar"/>
              </w:rPr>
              <w:t>50m</w:t>
            </w:r>
            <w:r>
              <w:rPr>
                <w:rFonts w:hint="eastAsia" w:ascii="宋体" w:hAnsi="宋体" w:eastAsia="宋体" w:cs="宋体"/>
                <w:color w:val="auto"/>
                <w:kern w:val="0"/>
                <w:sz w:val="24"/>
                <w:szCs w:val="24"/>
                <w:lang w:val="en-US" w:eastAsia="zh-CN" w:bidi="ar"/>
              </w:rPr>
              <w:t>范围内无声环境保护目标，周边</w:t>
            </w:r>
            <w:r>
              <w:rPr>
                <w:rFonts w:hint="default" w:ascii="Times New Roman" w:hAnsi="Times New Roman" w:eastAsia="宋体" w:cs="Times New Roman"/>
                <w:color w:val="auto"/>
                <w:kern w:val="0"/>
                <w:sz w:val="24"/>
                <w:szCs w:val="24"/>
                <w:lang w:val="en-US" w:eastAsia="zh-CN" w:bidi="ar"/>
              </w:rPr>
              <w:t>500m</w:t>
            </w:r>
            <w:r>
              <w:rPr>
                <w:rFonts w:hint="eastAsia" w:ascii="宋体" w:hAnsi="宋体" w:eastAsia="宋体" w:cs="宋体"/>
                <w:color w:val="auto"/>
                <w:kern w:val="0"/>
                <w:sz w:val="24"/>
                <w:szCs w:val="24"/>
                <w:lang w:val="en-US" w:eastAsia="zh-CN" w:bidi="ar"/>
              </w:rPr>
              <w:t>范围内无地下水集中式饮用水水源和热水、矿泉水、温泉等特殊地下水资源。根据本项目特性和所在地环境特征，</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rPr>
            </w:pPr>
            <w:r>
              <w:rPr>
                <w:rFonts w:hint="eastAsia" w:ascii="宋体" w:hAnsi="宋体" w:eastAsia="宋体" w:cs="宋体"/>
                <w:color w:val="auto"/>
                <w:kern w:val="0"/>
                <w:sz w:val="24"/>
                <w:szCs w:val="24"/>
                <w:lang w:val="en-US" w:eastAsia="zh-CN" w:bidi="ar"/>
              </w:rPr>
              <w:t>本项目环境保护目标具体情况见表</w:t>
            </w:r>
            <w:r>
              <w:rPr>
                <w:rFonts w:hint="eastAsia" w:cs="Times New Roman"/>
                <w:color w:val="auto"/>
                <w:kern w:val="0"/>
                <w:sz w:val="24"/>
                <w:szCs w:val="24"/>
                <w:lang w:val="en-US" w:eastAsia="zh-CN" w:bidi="ar"/>
              </w:rPr>
              <w:t>3-7</w:t>
            </w:r>
            <w:r>
              <w:rPr>
                <w:rFonts w:hint="eastAsia" w:ascii="宋体" w:hAnsi="宋体" w:eastAsia="宋体" w:cs="宋体"/>
                <w:color w:val="auto"/>
                <w:kern w:val="0"/>
                <w:sz w:val="24"/>
                <w:szCs w:val="24"/>
                <w:lang w:val="en-US" w:eastAsia="zh-CN" w:bidi="ar"/>
              </w:rPr>
              <w:t>。</w:t>
            </w:r>
          </w:p>
          <w:p>
            <w:pPr>
              <w:keepNext w:val="0"/>
              <w:keepLines w:val="0"/>
              <w:widowControl/>
              <w:suppressLineNumbers w:val="0"/>
              <w:jc w:val="center"/>
              <w:rPr>
                <w:color w:val="auto"/>
              </w:rPr>
            </w:pPr>
            <w:r>
              <w:rPr>
                <w:rFonts w:hint="eastAsia" w:ascii="宋体" w:hAnsi="宋体" w:eastAsia="宋体" w:cs="宋体"/>
                <w:b/>
                <w:bCs/>
                <w:color w:val="auto"/>
                <w:kern w:val="0"/>
                <w:sz w:val="21"/>
                <w:szCs w:val="21"/>
                <w:lang w:val="en-US" w:eastAsia="zh-CN" w:bidi="ar"/>
              </w:rPr>
              <w:t>表</w:t>
            </w:r>
            <w:r>
              <w:rPr>
                <w:rFonts w:hint="eastAsia" w:cs="Times New Roman"/>
                <w:b/>
                <w:bCs/>
                <w:color w:val="auto"/>
                <w:kern w:val="0"/>
                <w:sz w:val="21"/>
                <w:szCs w:val="21"/>
                <w:lang w:val="en-US" w:eastAsia="zh-CN" w:bidi="ar"/>
              </w:rPr>
              <w:t xml:space="preserve">3-7   </w:t>
            </w:r>
            <w:r>
              <w:rPr>
                <w:rFonts w:hint="eastAsia" w:ascii="宋体" w:hAnsi="宋体" w:eastAsia="宋体" w:cs="宋体"/>
                <w:b/>
                <w:bCs/>
                <w:color w:val="auto"/>
                <w:kern w:val="0"/>
                <w:sz w:val="21"/>
                <w:szCs w:val="21"/>
                <w:lang w:val="en-US" w:eastAsia="zh-CN" w:bidi="ar"/>
              </w:rPr>
              <w:t>主要环境敏感目标一览表</w:t>
            </w:r>
          </w:p>
          <w:tbl>
            <w:tblPr>
              <w:tblStyle w:val="1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632"/>
              <w:gridCol w:w="3040"/>
              <w:gridCol w:w="2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2" w:type="dxa"/>
                  <w:noWrap w:val="0"/>
                  <w:vAlign w:val="center"/>
                </w:tcPr>
                <w:p>
                  <w:pPr>
                    <w:keepNext w:val="0"/>
                    <w:keepLines w:val="0"/>
                    <w:widowControl/>
                    <w:suppressLineNumbers w:val="0"/>
                    <w:jc w:val="center"/>
                    <w:rPr>
                      <w:rFonts w:hint="default" w:ascii="Times New Roman" w:hAnsi="Times New Roman" w:cs="Times New Roman"/>
                      <w:color w:val="auto"/>
                      <w:kern w:val="0"/>
                      <w:sz w:val="21"/>
                      <w:szCs w:val="21"/>
                      <w:vertAlign w:val="baseline"/>
                    </w:rPr>
                  </w:pPr>
                  <w:r>
                    <w:rPr>
                      <w:rFonts w:hint="default" w:ascii="Times New Roman" w:hAnsi="Times New Roman" w:eastAsia="宋体" w:cs="Times New Roman"/>
                      <w:color w:val="auto"/>
                      <w:kern w:val="0"/>
                      <w:sz w:val="21"/>
                      <w:szCs w:val="21"/>
                      <w:lang w:val="en-US" w:eastAsia="zh-CN" w:bidi="ar"/>
                    </w:rPr>
                    <w:t>要素</w:t>
                  </w:r>
                </w:p>
              </w:tc>
              <w:tc>
                <w:tcPr>
                  <w:tcW w:w="1514" w:type="dxa"/>
                  <w:noWrap w:val="0"/>
                  <w:vAlign w:val="center"/>
                </w:tcPr>
                <w:p>
                  <w:pPr>
                    <w:keepNext w:val="0"/>
                    <w:keepLines w:val="0"/>
                    <w:widowControl/>
                    <w:suppressLineNumbers w:val="0"/>
                    <w:jc w:val="center"/>
                    <w:rPr>
                      <w:rFonts w:hint="default" w:ascii="Times New Roman" w:hAnsi="Times New Roman" w:cs="Times New Roman"/>
                      <w:color w:val="auto"/>
                      <w:kern w:val="0"/>
                      <w:sz w:val="21"/>
                      <w:szCs w:val="21"/>
                      <w:vertAlign w:val="baseline"/>
                    </w:rPr>
                  </w:pPr>
                  <w:r>
                    <w:rPr>
                      <w:rFonts w:hint="default" w:ascii="Times New Roman" w:hAnsi="Times New Roman" w:eastAsia="宋体" w:cs="Times New Roman"/>
                      <w:color w:val="auto"/>
                      <w:kern w:val="0"/>
                      <w:sz w:val="21"/>
                      <w:szCs w:val="21"/>
                      <w:lang w:val="en-US" w:eastAsia="zh-CN" w:bidi="ar"/>
                    </w:rPr>
                    <w:t>环境保护目标</w:t>
                  </w:r>
                </w:p>
              </w:tc>
              <w:tc>
                <w:tcPr>
                  <w:tcW w:w="2822" w:type="dxa"/>
                  <w:noWrap w:val="0"/>
                  <w:vAlign w:val="center"/>
                </w:tcPr>
                <w:p>
                  <w:pPr>
                    <w:keepNext w:val="0"/>
                    <w:keepLines w:val="0"/>
                    <w:widowControl/>
                    <w:suppressLineNumbers w:val="0"/>
                    <w:jc w:val="center"/>
                    <w:rPr>
                      <w:rFonts w:hint="default" w:ascii="Times New Roman" w:hAnsi="Times New Roman" w:cs="Times New Roman"/>
                      <w:color w:val="auto"/>
                      <w:kern w:val="0"/>
                      <w:sz w:val="21"/>
                      <w:szCs w:val="21"/>
                      <w:vertAlign w:val="baseline"/>
                    </w:rPr>
                  </w:pPr>
                  <w:r>
                    <w:rPr>
                      <w:rFonts w:hint="default" w:ascii="Times New Roman" w:hAnsi="Times New Roman" w:eastAsia="宋体" w:cs="Times New Roman"/>
                      <w:color w:val="auto"/>
                      <w:kern w:val="0"/>
                      <w:sz w:val="21"/>
                      <w:szCs w:val="21"/>
                      <w:lang w:val="en-US" w:eastAsia="zh-CN" w:bidi="ar"/>
                    </w:rPr>
                    <w:t>环境保护目标说明</w:t>
                  </w:r>
                </w:p>
              </w:tc>
              <w:tc>
                <w:tcPr>
                  <w:tcW w:w="2121" w:type="dxa"/>
                  <w:noWrap w:val="0"/>
                  <w:vAlign w:val="center"/>
                </w:tcPr>
                <w:p>
                  <w:pPr>
                    <w:keepNext w:val="0"/>
                    <w:keepLines w:val="0"/>
                    <w:widowControl/>
                    <w:suppressLineNumbers w:val="0"/>
                    <w:jc w:val="center"/>
                    <w:rPr>
                      <w:rFonts w:hint="default" w:ascii="Times New Roman" w:hAnsi="Times New Roman" w:cs="Times New Roman"/>
                      <w:color w:val="auto"/>
                      <w:kern w:val="0"/>
                      <w:sz w:val="21"/>
                      <w:szCs w:val="21"/>
                      <w:vertAlign w:val="baseline"/>
                    </w:rPr>
                  </w:pPr>
                  <w:r>
                    <w:rPr>
                      <w:rFonts w:hint="default" w:ascii="Times New Roman" w:hAnsi="Times New Roman" w:eastAsia="宋体" w:cs="Times New Roman"/>
                      <w:color w:val="auto"/>
                      <w:kern w:val="0"/>
                      <w:sz w:val="21"/>
                      <w:szCs w:val="21"/>
                      <w:lang w:val="en-US" w:eastAsia="zh-CN" w:bidi="ar"/>
                    </w:rPr>
                    <w:t>与项目位置关系方位和距离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2" w:type="dxa"/>
                  <w:vMerge w:val="restart"/>
                  <w:noWrap w:val="0"/>
                  <w:vAlign w:val="center"/>
                </w:tcPr>
                <w:p>
                  <w:pPr>
                    <w:keepNext w:val="0"/>
                    <w:keepLines w:val="0"/>
                    <w:widowControl/>
                    <w:suppressLineNumbers w:val="0"/>
                    <w:jc w:val="center"/>
                    <w:rPr>
                      <w:rFonts w:hint="default" w:ascii="Times New Roman" w:hAnsi="Times New Roman" w:cs="Times New Roman"/>
                      <w:color w:val="auto"/>
                      <w:kern w:val="0"/>
                      <w:sz w:val="21"/>
                      <w:szCs w:val="21"/>
                      <w:vertAlign w:val="baseline"/>
                    </w:rPr>
                  </w:pPr>
                  <w:r>
                    <w:rPr>
                      <w:rFonts w:hint="default" w:ascii="Times New Roman" w:hAnsi="Times New Roman" w:eastAsia="宋体" w:cs="Times New Roman"/>
                      <w:color w:val="auto"/>
                      <w:kern w:val="0"/>
                      <w:sz w:val="21"/>
                      <w:szCs w:val="21"/>
                      <w:lang w:val="en-US" w:eastAsia="zh-CN" w:bidi="ar"/>
                    </w:rPr>
                    <w:t>生态环境</w:t>
                  </w:r>
                </w:p>
              </w:tc>
              <w:tc>
                <w:tcPr>
                  <w:tcW w:w="1514" w:type="dxa"/>
                  <w:noWrap w:val="0"/>
                  <w:vAlign w:val="center"/>
                </w:tcPr>
                <w:p>
                  <w:pPr>
                    <w:keepNext w:val="0"/>
                    <w:keepLines w:val="0"/>
                    <w:widowControl/>
                    <w:suppressLineNumbers w:val="0"/>
                    <w:jc w:val="center"/>
                    <w:rPr>
                      <w:rFonts w:hint="default" w:ascii="Times New Roman" w:hAnsi="Times New Roman" w:cs="Times New Roman"/>
                      <w:color w:val="auto"/>
                      <w:kern w:val="0"/>
                      <w:sz w:val="21"/>
                      <w:szCs w:val="21"/>
                      <w:vertAlign w:val="baseline"/>
                    </w:rPr>
                  </w:pPr>
                  <w:r>
                    <w:rPr>
                      <w:rFonts w:hint="default" w:ascii="Times New Roman" w:hAnsi="Times New Roman" w:cs="Times New Roman"/>
                      <w:color w:val="auto"/>
                      <w:kern w:val="0"/>
                      <w:sz w:val="21"/>
                      <w:szCs w:val="21"/>
                      <w:lang w:val="en-US" w:eastAsia="zh-CN" w:bidi="ar"/>
                    </w:rPr>
                    <w:t>钻井平台</w:t>
                  </w:r>
                  <w:r>
                    <w:rPr>
                      <w:rFonts w:hint="default" w:ascii="Times New Roman" w:hAnsi="Times New Roman" w:eastAsia="宋体" w:cs="Times New Roman"/>
                      <w:color w:val="auto"/>
                      <w:kern w:val="0"/>
                      <w:sz w:val="21"/>
                      <w:szCs w:val="21"/>
                      <w:lang w:val="en-US" w:eastAsia="zh-CN" w:bidi="ar"/>
                    </w:rPr>
                    <w:t>区土壤、植被</w:t>
                  </w:r>
                </w:p>
              </w:tc>
              <w:tc>
                <w:tcPr>
                  <w:tcW w:w="2822" w:type="dxa"/>
                  <w:noWrap w:val="0"/>
                  <w:vAlign w:val="center"/>
                </w:tcPr>
                <w:p>
                  <w:pPr>
                    <w:keepNext w:val="0"/>
                    <w:keepLines w:val="0"/>
                    <w:widowControl/>
                    <w:suppressLineNumbers w:val="0"/>
                    <w:jc w:val="center"/>
                    <w:rPr>
                      <w:rFonts w:hint="default" w:ascii="Times New Roman" w:hAnsi="Times New Roman" w:cs="Times New Roman"/>
                      <w:color w:val="auto"/>
                      <w:kern w:val="0"/>
                      <w:sz w:val="21"/>
                      <w:szCs w:val="21"/>
                      <w:vertAlign w:val="baseline"/>
                    </w:rPr>
                  </w:pPr>
                  <w:r>
                    <w:rPr>
                      <w:rFonts w:hint="default" w:ascii="Times New Roman" w:hAnsi="Times New Roman" w:eastAsia="宋体" w:cs="Times New Roman"/>
                      <w:color w:val="auto"/>
                      <w:kern w:val="0"/>
                      <w:sz w:val="21"/>
                      <w:szCs w:val="21"/>
                      <w:lang w:val="en-US" w:eastAsia="zh-CN" w:bidi="ar"/>
                    </w:rPr>
                    <w:t>按规定进行补偿；临时占地3-5年可基本恢复到自然状态</w:t>
                  </w:r>
                </w:p>
              </w:tc>
              <w:tc>
                <w:tcPr>
                  <w:tcW w:w="2121" w:type="dxa"/>
                  <w:noWrap w:val="0"/>
                  <w:vAlign w:val="center"/>
                </w:tcPr>
                <w:p>
                  <w:pPr>
                    <w:keepNext w:val="0"/>
                    <w:keepLines w:val="0"/>
                    <w:widowControl/>
                    <w:suppressLineNumbers w:val="0"/>
                    <w:jc w:val="center"/>
                    <w:rPr>
                      <w:rFonts w:hint="default" w:ascii="Times New Roman" w:hAnsi="Times New Roman" w:cs="Times New Roman"/>
                      <w:color w:val="auto"/>
                      <w:kern w:val="0"/>
                      <w:sz w:val="21"/>
                      <w:szCs w:val="21"/>
                      <w:vertAlign w:val="baseline"/>
                    </w:rPr>
                  </w:pPr>
                  <w:r>
                    <w:rPr>
                      <w:rFonts w:hint="default" w:ascii="Times New Roman" w:hAnsi="Times New Roman" w:cs="Times New Roman"/>
                      <w:color w:val="auto"/>
                      <w:kern w:val="0"/>
                      <w:sz w:val="21"/>
                      <w:szCs w:val="21"/>
                      <w:lang w:val="en-US" w:eastAsia="zh-CN" w:bidi="ar"/>
                    </w:rPr>
                    <w:t>钻井平台</w:t>
                  </w:r>
                  <w:r>
                    <w:rPr>
                      <w:rFonts w:hint="default" w:ascii="Times New Roman" w:hAnsi="Times New Roman" w:eastAsia="宋体" w:cs="Times New Roman"/>
                      <w:color w:val="auto"/>
                      <w:kern w:val="0"/>
                      <w:sz w:val="21"/>
                      <w:szCs w:val="21"/>
                      <w:lang w:val="en-US" w:eastAsia="zh-CN" w:bidi="ar"/>
                    </w:rPr>
                    <w:t>区占地</w:t>
                  </w:r>
                  <w:r>
                    <w:rPr>
                      <w:rFonts w:hint="default" w:ascii="Times New Roman" w:hAnsi="Times New Roman" w:cs="Times New Roman"/>
                      <w:color w:val="auto"/>
                      <w:kern w:val="0"/>
                      <w:sz w:val="21"/>
                      <w:szCs w:val="21"/>
                      <w:lang w:val="en-US" w:eastAsia="zh-CN" w:bidi="ar"/>
                    </w:rPr>
                    <w:t>周围500米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1062" w:type="dxa"/>
                  <w:vMerge w:val="continue"/>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p>
              </w:tc>
              <w:tc>
                <w:tcPr>
                  <w:tcW w:w="1514" w:type="dxa"/>
                  <w:noWrap w:val="0"/>
                  <w:vAlign w:val="center"/>
                </w:tcPr>
                <w:p>
                  <w:pPr>
                    <w:pStyle w:val="7"/>
                    <w:keepNext w:val="0"/>
                    <w:keepLines w:val="0"/>
                    <w:pageBreakBefore w:val="0"/>
                    <w:widowControl/>
                    <w:kinsoku/>
                    <w:wordWrap/>
                    <w:overflowPunct/>
                    <w:topLinePunct w:val="0"/>
                    <w:autoSpaceDE/>
                    <w:autoSpaceDN/>
                    <w:bidi w:val="0"/>
                    <w:adjustRightInd/>
                    <w:snapToGrid w:val="0"/>
                    <w:spacing w:before="0" w:after="0" w:line="310" w:lineRule="exact"/>
                    <w:ind w:right="0" w:rightChars="0" w:firstLine="0" w:firstLineChars="0"/>
                    <w:jc w:val="center"/>
                    <w:textAlignment w:val="auto"/>
                    <w:rPr>
                      <w:rFonts w:hint="default" w:ascii="宋体" w:hAnsi="宋体" w:eastAsia="宋体" w:cs="宋体"/>
                      <w:color w:val="auto"/>
                      <w:kern w:val="0"/>
                      <w:sz w:val="21"/>
                      <w:szCs w:val="21"/>
                      <w:vertAlign w:val="baseline"/>
                      <w:lang w:val="en-US" w:eastAsia="zh-CN" w:bidi="ar-SA"/>
                    </w:rPr>
                  </w:pPr>
                  <w:r>
                    <w:rPr>
                      <w:rFonts w:hint="eastAsia" w:ascii="宋体" w:hAnsi="宋体" w:eastAsia="宋体" w:cs="宋体"/>
                      <w:color w:val="auto"/>
                      <w:sz w:val="21"/>
                      <w:szCs w:val="21"/>
                      <w:vertAlign w:val="baseline"/>
                      <w:lang w:val="en-US" w:eastAsia="zh-CN"/>
                    </w:rPr>
                    <w:t>野生植物、动物</w:t>
                  </w:r>
                </w:p>
              </w:tc>
              <w:tc>
                <w:tcPr>
                  <w:tcW w:w="2822" w:type="dxa"/>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w:t>
                  </w:r>
                </w:p>
              </w:tc>
              <w:tc>
                <w:tcPr>
                  <w:tcW w:w="2121" w:type="dxa"/>
                  <w:noWrap w:val="0"/>
                  <w:vAlign w:val="center"/>
                </w:tcPr>
                <w:p>
                  <w:pPr>
                    <w:pStyle w:val="7"/>
                    <w:keepNext w:val="0"/>
                    <w:keepLines w:val="0"/>
                    <w:pageBreakBefore w:val="0"/>
                    <w:widowControl/>
                    <w:kinsoku/>
                    <w:wordWrap/>
                    <w:overflowPunct/>
                    <w:topLinePunct w:val="0"/>
                    <w:autoSpaceDE/>
                    <w:autoSpaceDN/>
                    <w:bidi w:val="0"/>
                    <w:adjustRightInd/>
                    <w:snapToGrid w:val="0"/>
                    <w:spacing w:before="0" w:after="0" w:line="310" w:lineRule="exact"/>
                    <w:ind w:right="0" w:rightChars="0" w:firstLine="0" w:firstLineChars="0"/>
                    <w:jc w:val="center"/>
                    <w:textAlignment w:val="auto"/>
                    <w:rPr>
                      <w:rFonts w:hint="default" w:ascii="宋体" w:hAnsi="宋体" w:eastAsia="宋体" w:cs="宋体"/>
                      <w:color w:val="auto"/>
                      <w:kern w:val="0"/>
                      <w:sz w:val="21"/>
                      <w:szCs w:val="21"/>
                      <w:vertAlign w:val="baseline"/>
                      <w:lang w:val="en-US" w:eastAsia="zh-CN" w:bidi="ar-SA"/>
                    </w:rPr>
                  </w:pPr>
                  <w:r>
                    <w:rPr>
                      <w:rFonts w:hint="eastAsia" w:ascii="宋体" w:hAnsi="宋体" w:eastAsia="宋体" w:cs="宋体"/>
                      <w:color w:val="auto"/>
                      <w:sz w:val="21"/>
                      <w:szCs w:val="21"/>
                      <w:lang w:val="en-US" w:eastAsia="zh-CN"/>
                    </w:rPr>
                    <w:t>临时占地</w:t>
                  </w:r>
                  <w:r>
                    <w:rPr>
                      <w:rFonts w:hint="eastAsia" w:ascii="宋体" w:hAnsi="宋体" w:cs="宋体"/>
                      <w:color w:val="auto"/>
                      <w:sz w:val="21"/>
                      <w:szCs w:val="21"/>
                      <w:lang w:val="en-US" w:eastAsia="zh-CN"/>
                    </w:rPr>
                    <w:t>范围</w:t>
                  </w:r>
                  <w:r>
                    <w:rPr>
                      <w:rFonts w:hint="eastAsia" w:ascii="宋体" w:hAnsi="宋体" w:eastAsia="宋体" w:cs="宋体"/>
                      <w:color w:val="auto"/>
                      <w:sz w:val="21"/>
                      <w:szCs w:val="21"/>
                      <w:lang w:val="en-US" w:eastAsia="zh-CN"/>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2" w:type="dxa"/>
                  <w:vMerge w:val="continue"/>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p>
              </w:tc>
              <w:tc>
                <w:tcPr>
                  <w:tcW w:w="1514" w:type="dxa"/>
                  <w:noWrap w:val="0"/>
                  <w:vAlign w:val="center"/>
                </w:tcPr>
                <w:p>
                  <w:pPr>
                    <w:pStyle w:val="7"/>
                    <w:keepNext w:val="0"/>
                    <w:keepLines w:val="0"/>
                    <w:pageBreakBefore w:val="0"/>
                    <w:widowControl/>
                    <w:kinsoku/>
                    <w:wordWrap/>
                    <w:overflowPunct/>
                    <w:topLinePunct w:val="0"/>
                    <w:autoSpaceDE/>
                    <w:autoSpaceDN/>
                    <w:bidi w:val="0"/>
                    <w:adjustRightInd/>
                    <w:snapToGrid w:val="0"/>
                    <w:spacing w:before="0" w:after="0" w:line="310" w:lineRule="exact"/>
                    <w:ind w:right="0" w:rightChars="0" w:firstLine="0" w:firstLineChars="0"/>
                    <w:jc w:val="center"/>
                    <w:textAlignment w:val="auto"/>
                    <w:rPr>
                      <w:rFonts w:hint="default" w:ascii="宋体" w:hAnsi="宋体" w:eastAsia="宋体" w:cs="宋体"/>
                      <w:color w:val="auto"/>
                      <w:kern w:val="0"/>
                      <w:sz w:val="21"/>
                      <w:szCs w:val="21"/>
                      <w:lang w:val="en-US" w:eastAsia="zh-CN" w:bidi="ar-SA"/>
                    </w:rPr>
                  </w:pPr>
                  <w:r>
                    <w:rPr>
                      <w:rFonts w:hint="eastAsia" w:ascii="宋体" w:hAnsi="宋体" w:cs="宋体"/>
                      <w:color w:val="auto"/>
                      <w:sz w:val="21"/>
                      <w:szCs w:val="21"/>
                      <w:lang w:val="en-US" w:eastAsia="zh-CN"/>
                    </w:rPr>
                    <w:t>水土保持重点治理区</w:t>
                  </w:r>
                </w:p>
              </w:tc>
              <w:tc>
                <w:tcPr>
                  <w:tcW w:w="2822" w:type="dxa"/>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w:t>
                  </w:r>
                </w:p>
              </w:tc>
              <w:tc>
                <w:tcPr>
                  <w:tcW w:w="2121" w:type="dxa"/>
                  <w:noWrap w:val="0"/>
                  <w:vAlign w:val="center"/>
                </w:tcPr>
                <w:p>
                  <w:pPr>
                    <w:pStyle w:val="7"/>
                    <w:keepNext w:val="0"/>
                    <w:keepLines w:val="0"/>
                    <w:pageBreakBefore w:val="0"/>
                    <w:widowControl/>
                    <w:kinsoku/>
                    <w:wordWrap/>
                    <w:overflowPunct/>
                    <w:topLinePunct w:val="0"/>
                    <w:autoSpaceDE/>
                    <w:autoSpaceDN/>
                    <w:bidi w:val="0"/>
                    <w:adjustRightInd/>
                    <w:snapToGrid w:val="0"/>
                    <w:spacing w:before="0" w:after="0" w:line="310" w:lineRule="exact"/>
                    <w:ind w:right="0" w:rightChars="0" w:firstLine="0" w:firstLineChars="0"/>
                    <w:jc w:val="center"/>
                    <w:textAlignment w:val="auto"/>
                    <w:rPr>
                      <w:rFonts w:hint="default"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val="en-US" w:eastAsia="zh-CN"/>
                    </w:rPr>
                    <w:t>临时占地及周边</w:t>
                  </w:r>
                  <w:r>
                    <w:rPr>
                      <w:rFonts w:hint="eastAsia" w:ascii="宋体" w:hAnsi="宋体" w:cs="宋体"/>
                      <w:color w:val="auto"/>
                      <w:sz w:val="21"/>
                      <w:szCs w:val="21"/>
                      <w:lang w:val="en-US" w:eastAsia="zh-CN"/>
                    </w:rPr>
                    <w:t>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noWrap w:val="0"/>
                  <w:vAlign w:val="center"/>
                </w:tcPr>
                <w:p>
                  <w:pPr>
                    <w:keepNext w:val="0"/>
                    <w:keepLines w:val="0"/>
                    <w:widowControl/>
                    <w:suppressLineNumbers w:val="0"/>
                    <w:jc w:val="center"/>
                    <w:rPr>
                      <w:rFonts w:hint="default" w:ascii="Times New Roman" w:hAnsi="Times New Roman" w:cs="Times New Roman"/>
                      <w:color w:val="auto"/>
                      <w:kern w:val="0"/>
                      <w:sz w:val="21"/>
                      <w:szCs w:val="21"/>
                      <w:vertAlign w:val="baseline"/>
                    </w:rPr>
                  </w:pPr>
                  <w:r>
                    <w:rPr>
                      <w:rFonts w:hint="default" w:ascii="Times New Roman" w:hAnsi="Times New Roman" w:eastAsia="宋体" w:cs="Times New Roman"/>
                      <w:color w:val="auto"/>
                      <w:kern w:val="0"/>
                      <w:sz w:val="21"/>
                      <w:szCs w:val="21"/>
                      <w:lang w:val="en-US" w:eastAsia="zh-CN" w:bidi="ar"/>
                    </w:rPr>
                    <w:t>水环境</w:t>
                  </w:r>
                </w:p>
              </w:tc>
              <w:tc>
                <w:tcPr>
                  <w:tcW w:w="1514" w:type="dxa"/>
                  <w:noWrap w:val="0"/>
                  <w:vAlign w:val="center"/>
                </w:tcPr>
                <w:p>
                  <w:pPr>
                    <w:keepNext w:val="0"/>
                    <w:keepLines w:val="0"/>
                    <w:widowControl/>
                    <w:suppressLineNumbers w:val="0"/>
                    <w:jc w:val="center"/>
                    <w:rPr>
                      <w:rFonts w:hint="default" w:ascii="Times New Roman" w:hAnsi="Times New Roman" w:cs="Times New Roman"/>
                      <w:color w:val="auto"/>
                      <w:kern w:val="0"/>
                      <w:sz w:val="21"/>
                      <w:szCs w:val="21"/>
                      <w:vertAlign w:val="baseline"/>
                    </w:rPr>
                  </w:pPr>
                  <w:r>
                    <w:rPr>
                      <w:rFonts w:hint="default" w:ascii="Times New Roman" w:hAnsi="Times New Roman" w:eastAsia="宋体" w:cs="Times New Roman"/>
                      <w:color w:val="auto"/>
                      <w:kern w:val="0"/>
                      <w:sz w:val="21"/>
                      <w:szCs w:val="21"/>
                      <w:lang w:val="en-US" w:eastAsia="zh-CN" w:bidi="ar"/>
                    </w:rPr>
                    <w:t>地下水</w:t>
                  </w:r>
                </w:p>
              </w:tc>
              <w:tc>
                <w:tcPr>
                  <w:tcW w:w="2822" w:type="dxa"/>
                  <w:noWrap w:val="0"/>
                  <w:vAlign w:val="center"/>
                </w:tcPr>
                <w:p>
                  <w:pPr>
                    <w:keepNext w:val="0"/>
                    <w:keepLines w:val="0"/>
                    <w:widowControl/>
                    <w:suppressLineNumbers w:val="0"/>
                    <w:jc w:val="center"/>
                    <w:rPr>
                      <w:rFonts w:hint="default" w:ascii="Times New Roman" w:hAnsi="Times New Roman" w:cs="Times New Roman"/>
                      <w:color w:val="auto"/>
                      <w:kern w:val="0"/>
                      <w:sz w:val="21"/>
                      <w:szCs w:val="21"/>
                      <w:vertAlign w:val="baseline"/>
                    </w:rPr>
                  </w:pPr>
                  <w:r>
                    <w:rPr>
                      <w:rFonts w:hint="default" w:ascii="Times New Roman" w:hAnsi="Times New Roman" w:eastAsia="宋体" w:cs="Times New Roman"/>
                      <w:color w:val="auto"/>
                      <w:kern w:val="0"/>
                      <w:sz w:val="21"/>
                      <w:szCs w:val="21"/>
                      <w:lang w:val="en-US" w:eastAsia="zh-CN" w:bidi="ar"/>
                    </w:rPr>
                    <w:t>确保地下水不受污染</w:t>
                  </w:r>
                </w:p>
              </w:tc>
              <w:tc>
                <w:tcPr>
                  <w:tcW w:w="2121" w:type="dxa"/>
                  <w:noWrap w:val="0"/>
                  <w:vAlign w:val="center"/>
                </w:tcPr>
                <w:p>
                  <w:pPr>
                    <w:keepNext w:val="0"/>
                    <w:keepLines w:val="0"/>
                    <w:widowControl/>
                    <w:suppressLineNumbers w:val="0"/>
                    <w:jc w:val="center"/>
                    <w:rPr>
                      <w:rFonts w:hint="default" w:ascii="Times New Roman" w:hAnsi="Times New Roman" w:cs="Times New Roman"/>
                      <w:color w:val="auto"/>
                      <w:kern w:val="0"/>
                      <w:sz w:val="21"/>
                      <w:szCs w:val="21"/>
                      <w:vertAlign w:val="baseline"/>
                    </w:rPr>
                  </w:pPr>
                  <w:r>
                    <w:rPr>
                      <w:rFonts w:hint="default" w:ascii="Times New Roman" w:hAnsi="Times New Roman" w:cs="Times New Roman"/>
                      <w:color w:val="auto"/>
                      <w:kern w:val="0"/>
                      <w:sz w:val="21"/>
                      <w:szCs w:val="21"/>
                      <w:lang w:val="en-US" w:eastAsia="zh-CN" w:bidi="ar"/>
                    </w:rPr>
                    <w:t>钻井平台</w:t>
                  </w:r>
                  <w:r>
                    <w:rPr>
                      <w:rFonts w:hint="default" w:ascii="Times New Roman" w:hAnsi="Times New Roman" w:eastAsia="宋体" w:cs="Times New Roman"/>
                      <w:color w:val="auto"/>
                      <w:kern w:val="0"/>
                      <w:sz w:val="21"/>
                      <w:szCs w:val="21"/>
                      <w:lang w:val="en-US" w:eastAsia="zh-CN" w:bidi="ar"/>
                    </w:rPr>
                    <w:t>区</w:t>
                  </w:r>
                  <w:r>
                    <w:rPr>
                      <w:rFonts w:hint="default" w:ascii="Times New Roman" w:hAnsi="Times New Roman" w:cs="Times New Roman"/>
                      <w:color w:val="auto"/>
                      <w:kern w:val="0"/>
                      <w:sz w:val="21"/>
                      <w:szCs w:val="21"/>
                      <w:lang w:val="en-US" w:eastAsia="zh-CN" w:bidi="ar"/>
                    </w:rPr>
                    <w:t>周围500米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土壤环境</w:t>
                  </w:r>
                </w:p>
              </w:tc>
              <w:tc>
                <w:tcPr>
                  <w:tcW w:w="1514" w:type="dxa"/>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耕地</w:t>
                  </w:r>
                </w:p>
              </w:tc>
              <w:tc>
                <w:tcPr>
                  <w:tcW w:w="2822" w:type="dxa"/>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避开农作物种植季节，保护农作物和土壤不受污染</w:t>
                  </w:r>
                </w:p>
              </w:tc>
              <w:tc>
                <w:tcPr>
                  <w:tcW w:w="2121" w:type="dxa"/>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pacing w:val="4"/>
                      <w:sz w:val="21"/>
                      <w:szCs w:val="21"/>
                    </w:rPr>
                    <w:t>临时占地范围</w:t>
                  </w:r>
                </w:p>
              </w:tc>
            </w:tr>
          </w:tbl>
          <w:p>
            <w:pPr>
              <w:pStyle w:val="4"/>
              <w:bidi w:val="0"/>
              <w:rPr>
                <w:rFonts w:hint="eastAsia"/>
                <w:lang w:val="en-US" w:eastAsia="zh-CN"/>
              </w:rPr>
            </w:pPr>
            <w:r>
              <w:rPr>
                <w:rFonts w:hint="eastAsia"/>
                <w:lang w:val="en-US" w:eastAsia="zh-CN"/>
              </w:rPr>
              <w:t>2、保护要求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（1）保护项目所在区域的空气质量，保持现有空气质量级别，不因本项目的建设降低环境空气质量；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（2）保护项目所在区域地下水质量保持在现有水平，不受本项目所排废水的影响；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（3）保护项目区声环境质量现状，符合《声环境质量标准》（GB3096-2008）的2类声环境功能限值；</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（4）生态环境保护目标：</w:t>
            </w:r>
            <w:r>
              <w:rPr>
                <w:rFonts w:hint="eastAsia" w:cs="Times New Roman"/>
                <w:color w:val="auto"/>
                <w:kern w:val="0"/>
                <w:sz w:val="24"/>
                <w:szCs w:val="24"/>
                <w:lang w:val="en-US" w:eastAsia="zh-CN" w:bidi="ar"/>
              </w:rPr>
              <w:t>本工程</w:t>
            </w:r>
            <w:r>
              <w:rPr>
                <w:rFonts w:hint="default" w:ascii="Times New Roman" w:hAnsi="Times New Roman" w:eastAsia="宋体" w:cs="Times New Roman"/>
                <w:color w:val="auto"/>
                <w:kern w:val="0"/>
                <w:sz w:val="24"/>
                <w:szCs w:val="24"/>
                <w:lang w:val="en-US" w:eastAsia="zh-CN" w:bidi="ar"/>
              </w:rPr>
              <w:t>需保护项目区生态环境，使项目的建成对项目区生态环境</w:t>
            </w:r>
            <w:r>
              <w:rPr>
                <w:rFonts w:hint="eastAsia" w:cs="Times New Roman"/>
                <w:color w:val="auto"/>
                <w:kern w:val="0"/>
                <w:sz w:val="24"/>
                <w:szCs w:val="24"/>
                <w:lang w:val="en-US" w:eastAsia="zh-CN" w:bidi="ar"/>
              </w:rPr>
              <w:t>影响较小</w:t>
            </w:r>
            <w:r>
              <w:rPr>
                <w:rFonts w:hint="default" w:ascii="Times New Roman" w:hAnsi="Times New Roman" w:eastAsia="宋体" w:cs="Times New Roman"/>
                <w:color w:val="000000"/>
                <w:kern w:val="0"/>
                <w:sz w:val="24"/>
                <w:szCs w:val="24"/>
                <w:lang w:val="en-US" w:eastAsia="zh-CN" w:bidi="ar"/>
              </w:rPr>
              <w:t>；</w:t>
            </w:r>
          </w:p>
          <w:p>
            <w:pPr>
              <w:pStyle w:val="16"/>
              <w:bidi w:val="0"/>
              <w:rPr>
                <w:rFonts w:hint="default"/>
              </w:rPr>
            </w:pPr>
            <w:r>
              <w:rPr>
                <w:rFonts w:hint="default" w:ascii="Times New Roman" w:hAnsi="Times New Roman" w:eastAsia="宋体" w:cs="Times New Roman"/>
                <w:color w:val="000000"/>
                <w:kern w:val="0"/>
                <w:sz w:val="24"/>
                <w:szCs w:val="24"/>
                <w:lang w:val="en-US" w:eastAsia="zh-CN" w:bidi="ar"/>
              </w:rPr>
              <w:t>（5）土壤环境质量项目范围内</w:t>
            </w:r>
            <w:r>
              <w:rPr>
                <w:rFonts w:hint="eastAsia" w:cs="Times New Roman"/>
                <w:color w:val="000000"/>
                <w:kern w:val="0"/>
                <w:sz w:val="24"/>
                <w:szCs w:val="24"/>
                <w:lang w:val="en-US" w:eastAsia="zh-CN" w:bidi="ar"/>
              </w:rPr>
              <w:t>按照</w:t>
            </w:r>
            <w:r>
              <w:rPr>
                <w:rFonts w:hint="default" w:ascii="Times New Roman" w:hAnsi="Times New Roman" w:eastAsia="宋体" w:cs="Times New Roman"/>
                <w:color w:val="000000"/>
                <w:kern w:val="0"/>
                <w:sz w:val="24"/>
                <w:szCs w:val="24"/>
                <w:lang w:val="en-US" w:eastAsia="zh-CN" w:bidi="ar"/>
              </w:rPr>
              <w:t>《土壤环境质量建设用地土壤污染风险管控标准》（试行）第二类用地筛选值标准</w:t>
            </w:r>
            <w:r>
              <w:rPr>
                <w:rFonts w:hint="eastAsia" w:cs="Times New Roman"/>
                <w:color w:val="000000"/>
                <w:kern w:val="0"/>
                <w:sz w:val="24"/>
                <w:szCs w:val="24"/>
                <w:lang w:val="en-US" w:eastAsia="zh-CN" w:bidi="ar"/>
              </w:rPr>
              <w:t>执行</w:t>
            </w:r>
            <w:r>
              <w:rPr>
                <w:rFonts w:hint="default" w:ascii="Times New Roman" w:hAnsi="Times New Roman" w:eastAsia="宋体" w:cs="Times New Roman"/>
                <w:color w:val="000000"/>
                <w:kern w:val="0"/>
                <w:sz w:val="24"/>
                <w:szCs w:val="24"/>
                <w:lang w:val="en-US" w:eastAsia="zh-CN" w:bidi="ar"/>
              </w:rPr>
              <w:t>；项目区占地范围外，评价范围内耕地</w:t>
            </w:r>
            <w:r>
              <w:rPr>
                <w:rFonts w:hint="eastAsia" w:cs="Times New Roman"/>
                <w:color w:val="000000"/>
                <w:kern w:val="0"/>
                <w:sz w:val="24"/>
                <w:szCs w:val="24"/>
                <w:lang w:val="en-US" w:eastAsia="zh-CN" w:bidi="ar"/>
              </w:rPr>
              <w:t>按照</w:t>
            </w:r>
            <w:r>
              <w:rPr>
                <w:rFonts w:hint="default" w:ascii="Times New Roman" w:hAnsi="Times New Roman" w:eastAsia="宋体" w:cs="Times New Roman"/>
                <w:color w:val="000000"/>
                <w:kern w:val="0"/>
                <w:sz w:val="24"/>
                <w:szCs w:val="24"/>
                <w:lang w:val="en-US" w:eastAsia="zh-CN" w:bidi="ar"/>
              </w:rPr>
              <w:t>《土壤环境质量 农用地土壤污染风险管控标准（试行）》（GB15618-2018）</w:t>
            </w:r>
            <w:r>
              <w:rPr>
                <w:rFonts w:hint="eastAsia" w:cs="Times New Roman"/>
                <w:color w:val="000000"/>
                <w:kern w:val="0"/>
                <w:sz w:val="24"/>
                <w:szCs w:val="24"/>
                <w:lang w:val="en-US" w:eastAsia="zh-CN" w:bidi="ar"/>
              </w:rPr>
              <w:t>执行</w:t>
            </w:r>
            <w:r>
              <w:rPr>
                <w:rFonts w:hint="default" w:ascii="Times New Roman" w:hAnsi="Times New Roman" w:eastAsia="宋体" w:cs="Times New Roman"/>
                <w:color w:val="000000"/>
                <w:kern w:val="0"/>
                <w:sz w:val="24"/>
                <w:szCs w:val="24"/>
                <w:lang w:val="en-US" w:eastAsia="zh-CN"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5" w:hRule="atLeast"/>
        </w:trPr>
        <w:tc>
          <w:tcPr>
            <w:tcW w:w="1033" w:type="dxa"/>
            <w:tcBorders>
              <w:left w:val="single" w:color="000000" w:sz="6" w:space="0"/>
            </w:tcBorders>
            <w:vAlign w:val="center"/>
          </w:tcPr>
          <w:p>
            <w:pPr>
              <w:bidi w:val="0"/>
              <w:jc w:val="center"/>
              <w:rPr>
                <w:rFonts w:hint="eastAsia"/>
                <w:lang w:eastAsia="zh-CN"/>
              </w:rPr>
            </w:pPr>
            <w:r>
              <w:rPr>
                <w:rFonts w:hint="eastAsia"/>
                <w:lang w:eastAsia="zh-CN"/>
              </w:rPr>
              <w:t>评价标准</w:t>
            </w:r>
          </w:p>
        </w:tc>
        <w:tc>
          <w:tcPr>
            <w:tcW w:w="8128" w:type="dxa"/>
            <w:tcBorders>
              <w:right w:val="single" w:color="000000" w:sz="6" w:space="0"/>
            </w:tcBorders>
            <w:vAlign w:val="center"/>
          </w:tcPr>
          <w:tbl>
            <w:tblPr>
              <w:tblStyle w:val="1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615"/>
              <w:gridCol w:w="498"/>
              <w:gridCol w:w="999"/>
              <w:gridCol w:w="59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0" w:hRule="atLeast"/>
                <w:jc w:val="center"/>
              </w:trPr>
              <w:tc>
                <w:tcPr>
                  <w:tcW w:w="2112" w:type="dxa"/>
                  <w:gridSpan w:val="3"/>
                  <w:vAlign w:val="center"/>
                </w:tcPr>
                <w:p>
                  <w:pPr>
                    <w:pStyle w:val="17"/>
                    <w:bidi w:val="0"/>
                  </w:pPr>
                  <w:r>
                    <w:rPr>
                      <w:rFonts w:hint="eastAsia"/>
                    </w:rPr>
                    <w:t>环境要素</w:t>
                  </w:r>
                </w:p>
              </w:tc>
              <w:tc>
                <w:tcPr>
                  <w:tcW w:w="5978" w:type="dxa"/>
                  <w:vAlign w:val="center"/>
                </w:tcPr>
                <w:p>
                  <w:pPr>
                    <w:pStyle w:val="17"/>
                    <w:bidi w:val="0"/>
                  </w:pPr>
                  <w:r>
                    <w:rPr>
                      <w:rFonts w:hint="eastAsia"/>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370" w:hRule="atLeast"/>
                <w:jc w:val="center"/>
              </w:trPr>
              <w:tc>
                <w:tcPr>
                  <w:tcW w:w="615" w:type="dxa"/>
                  <w:vMerge w:val="restart"/>
                  <w:vAlign w:val="center"/>
                </w:tcPr>
                <w:p>
                  <w:pPr>
                    <w:pStyle w:val="17"/>
                    <w:bidi w:val="0"/>
                  </w:pPr>
                  <w:r>
                    <w:rPr>
                      <w:rFonts w:hint="eastAsia"/>
                    </w:rPr>
                    <w:t>环境质量标准</w:t>
                  </w:r>
                </w:p>
              </w:tc>
              <w:tc>
                <w:tcPr>
                  <w:tcW w:w="498" w:type="dxa"/>
                  <w:vAlign w:val="center"/>
                </w:tcPr>
                <w:p>
                  <w:pPr>
                    <w:pStyle w:val="17"/>
                    <w:bidi w:val="0"/>
                    <w:rPr>
                      <w:color w:val="auto"/>
                    </w:rPr>
                  </w:pPr>
                  <w:r>
                    <w:rPr>
                      <w:rFonts w:hint="eastAsia"/>
                      <w:color w:val="auto"/>
                    </w:rPr>
                    <w:t>环境空气</w:t>
                  </w:r>
                </w:p>
              </w:tc>
              <w:tc>
                <w:tcPr>
                  <w:tcW w:w="999" w:type="dxa"/>
                  <w:vAlign w:val="center"/>
                </w:tcPr>
                <w:p>
                  <w:pPr>
                    <w:pStyle w:val="17"/>
                    <w:bidi w:val="0"/>
                    <w:rPr>
                      <w:color w:val="auto"/>
                    </w:rPr>
                  </w:pPr>
                  <w:r>
                    <w:rPr>
                      <w:rFonts w:hint="eastAsia"/>
                      <w:color w:val="auto"/>
                    </w:rPr>
                    <w:t>基本污染物</w:t>
                  </w:r>
                </w:p>
              </w:tc>
              <w:tc>
                <w:tcPr>
                  <w:tcW w:w="5978" w:type="dxa"/>
                  <w:vAlign w:val="center"/>
                </w:tcPr>
                <w:p>
                  <w:pPr>
                    <w:pStyle w:val="17"/>
                    <w:bidi w:val="0"/>
                    <w:rPr>
                      <w:color w:val="auto"/>
                    </w:rPr>
                  </w:pPr>
                  <w:r>
                    <w:rPr>
                      <w:rFonts w:hint="eastAsia"/>
                      <w:color w:val="auto"/>
                    </w:rPr>
                    <w:t>《环境空气质量标准》（</w:t>
                  </w:r>
                  <w:r>
                    <w:rPr>
                      <w:color w:val="auto"/>
                    </w:rPr>
                    <w:t>GB3095-2012）</w:t>
                  </w:r>
                  <w:r>
                    <w:rPr>
                      <w:rFonts w:hint="eastAsia"/>
                      <w:color w:val="auto"/>
                    </w:rPr>
                    <w:t>二级（年平均值S</w:t>
                  </w:r>
                  <w:r>
                    <w:rPr>
                      <w:color w:val="auto"/>
                    </w:rPr>
                    <w:t>O</w:t>
                  </w:r>
                  <w:r>
                    <w:rPr>
                      <w:color w:val="auto"/>
                      <w:vertAlign w:val="subscript"/>
                    </w:rPr>
                    <w:t>2</w:t>
                  </w:r>
                  <w:r>
                    <w:rPr>
                      <w:rFonts w:hint="eastAsia"/>
                      <w:color w:val="auto"/>
                    </w:rPr>
                    <w:t>：6</w:t>
                  </w:r>
                  <w:r>
                    <w:rPr>
                      <w:color w:val="auto"/>
                    </w:rPr>
                    <w:t>0μg/m</w:t>
                  </w:r>
                  <w:r>
                    <w:rPr>
                      <w:color w:val="auto"/>
                      <w:vertAlign w:val="superscript"/>
                    </w:rPr>
                    <w:t>3</w:t>
                  </w:r>
                  <w:r>
                    <w:rPr>
                      <w:rFonts w:hint="eastAsia"/>
                      <w:color w:val="auto"/>
                    </w:rPr>
                    <w:t>、NO</w:t>
                  </w:r>
                  <w:r>
                    <w:rPr>
                      <w:color w:val="auto"/>
                      <w:vertAlign w:val="subscript"/>
                    </w:rPr>
                    <w:t>2</w:t>
                  </w:r>
                  <w:r>
                    <w:rPr>
                      <w:rFonts w:hint="eastAsia"/>
                      <w:color w:val="auto"/>
                    </w:rPr>
                    <w:t>：</w:t>
                  </w:r>
                  <w:r>
                    <w:rPr>
                      <w:color w:val="auto"/>
                    </w:rPr>
                    <w:t>40μg/m</w:t>
                  </w:r>
                  <w:r>
                    <w:rPr>
                      <w:color w:val="auto"/>
                      <w:vertAlign w:val="superscript"/>
                    </w:rPr>
                    <w:t>3</w:t>
                  </w:r>
                  <w:r>
                    <w:rPr>
                      <w:rFonts w:hint="eastAsia"/>
                      <w:color w:val="auto"/>
                    </w:rPr>
                    <w:t>、</w:t>
                  </w:r>
                  <w:r>
                    <w:rPr>
                      <w:color w:val="auto"/>
                    </w:rPr>
                    <w:t>PM</w:t>
                  </w:r>
                  <w:r>
                    <w:rPr>
                      <w:color w:val="auto"/>
                      <w:vertAlign w:val="subscript"/>
                    </w:rPr>
                    <w:t>10</w:t>
                  </w:r>
                  <w:r>
                    <w:rPr>
                      <w:rFonts w:hint="eastAsia"/>
                      <w:color w:val="auto"/>
                    </w:rPr>
                    <w:t>：7</w:t>
                  </w:r>
                  <w:r>
                    <w:rPr>
                      <w:color w:val="auto"/>
                    </w:rPr>
                    <w:t>0μg/m</w:t>
                  </w:r>
                  <w:r>
                    <w:rPr>
                      <w:color w:val="auto"/>
                      <w:vertAlign w:val="superscript"/>
                    </w:rPr>
                    <w:t>3</w:t>
                  </w:r>
                  <w:r>
                    <w:rPr>
                      <w:rFonts w:hint="eastAsia"/>
                      <w:color w:val="auto"/>
                    </w:rPr>
                    <w:t>、P</w:t>
                  </w:r>
                  <w:r>
                    <w:rPr>
                      <w:color w:val="auto"/>
                    </w:rPr>
                    <w:t>M</w:t>
                  </w:r>
                  <w:r>
                    <w:rPr>
                      <w:color w:val="auto"/>
                      <w:vertAlign w:val="subscript"/>
                    </w:rPr>
                    <w:t>2.5</w:t>
                  </w:r>
                  <w:r>
                    <w:rPr>
                      <w:rFonts w:hint="eastAsia"/>
                      <w:color w:val="auto"/>
                    </w:rPr>
                    <w:t>：</w:t>
                  </w:r>
                  <w:r>
                    <w:rPr>
                      <w:color w:val="auto"/>
                    </w:rPr>
                    <w:t>35μg/m</w:t>
                  </w:r>
                  <w:r>
                    <w:rPr>
                      <w:color w:val="auto"/>
                      <w:vertAlign w:val="superscript"/>
                    </w:rPr>
                    <w:t>3</w:t>
                  </w:r>
                  <w:r>
                    <w:rPr>
                      <w:rFonts w:hint="eastAsia"/>
                      <w:color w:val="auto"/>
                    </w:rPr>
                    <w:t>；O</w:t>
                  </w:r>
                  <w:r>
                    <w:rPr>
                      <w:color w:val="auto"/>
                      <w:vertAlign w:val="subscript"/>
                    </w:rPr>
                    <w:t>3</w:t>
                  </w:r>
                  <w:r>
                    <w:rPr>
                      <w:rFonts w:hint="eastAsia"/>
                      <w:color w:val="auto"/>
                    </w:rPr>
                    <w:t>日最大8h平均值：1</w:t>
                  </w:r>
                  <w:r>
                    <w:rPr>
                      <w:color w:val="auto"/>
                    </w:rPr>
                    <w:t>60μg/m</w:t>
                  </w:r>
                  <w:r>
                    <w:rPr>
                      <w:color w:val="auto"/>
                      <w:vertAlign w:val="superscript"/>
                    </w:rPr>
                    <w:t>3</w:t>
                  </w:r>
                  <w:r>
                    <w:rPr>
                      <w:rFonts w:hint="eastAsia"/>
                      <w:color w:val="auto"/>
                    </w:rPr>
                    <w:t>；C</w:t>
                  </w:r>
                  <w:r>
                    <w:rPr>
                      <w:color w:val="auto"/>
                    </w:rPr>
                    <w:t xml:space="preserve">O </w:t>
                  </w:r>
                  <w:r>
                    <w:rPr>
                      <w:rFonts w:hint="eastAsia"/>
                      <w:color w:val="auto"/>
                    </w:rPr>
                    <w:t>2</w:t>
                  </w:r>
                  <w:r>
                    <w:rPr>
                      <w:color w:val="auto"/>
                    </w:rPr>
                    <w:t>4</w:t>
                  </w:r>
                  <w:r>
                    <w:rPr>
                      <w:rFonts w:hint="eastAsia"/>
                      <w:color w:val="auto"/>
                    </w:rPr>
                    <w:t>h平均值：4</w:t>
                  </w:r>
                  <w:r>
                    <w:rPr>
                      <w:color w:val="auto"/>
                    </w:rPr>
                    <w:t>mg/m</w:t>
                  </w:r>
                  <w:r>
                    <w:rPr>
                      <w:color w:val="auto"/>
                      <w:vertAlign w:val="superscript"/>
                    </w:rPr>
                    <w:t>3</w:t>
                  </w: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615" w:type="dxa"/>
                  <w:vMerge w:val="continue"/>
                  <w:vAlign w:val="center"/>
                </w:tcPr>
                <w:p>
                  <w:pPr>
                    <w:pStyle w:val="17"/>
                    <w:bidi w:val="0"/>
                  </w:pPr>
                </w:p>
              </w:tc>
              <w:tc>
                <w:tcPr>
                  <w:tcW w:w="498" w:type="dxa"/>
                  <w:vAlign w:val="center"/>
                </w:tcPr>
                <w:p>
                  <w:pPr>
                    <w:pStyle w:val="17"/>
                    <w:bidi w:val="0"/>
                    <w:rPr>
                      <w:color w:val="auto"/>
                    </w:rPr>
                  </w:pPr>
                  <w:r>
                    <w:rPr>
                      <w:rFonts w:hint="eastAsia"/>
                      <w:color w:val="auto"/>
                    </w:rPr>
                    <w:t>声环境</w:t>
                  </w:r>
                </w:p>
              </w:tc>
              <w:tc>
                <w:tcPr>
                  <w:tcW w:w="999" w:type="dxa"/>
                  <w:vAlign w:val="center"/>
                </w:tcPr>
                <w:p>
                  <w:pPr>
                    <w:pStyle w:val="17"/>
                    <w:bidi w:val="0"/>
                    <w:rPr>
                      <w:color w:val="auto"/>
                    </w:rPr>
                  </w:pPr>
                  <w:r>
                    <w:rPr>
                      <w:rFonts w:hint="eastAsia"/>
                      <w:color w:val="auto"/>
                    </w:rPr>
                    <w:t>噪声</w:t>
                  </w:r>
                </w:p>
              </w:tc>
              <w:tc>
                <w:tcPr>
                  <w:tcW w:w="5978" w:type="dxa"/>
                  <w:vAlign w:val="center"/>
                </w:tcPr>
                <w:p>
                  <w:pPr>
                    <w:pStyle w:val="17"/>
                    <w:bidi w:val="0"/>
                    <w:rPr>
                      <w:color w:val="auto"/>
                    </w:rPr>
                  </w:pPr>
                  <w:r>
                    <w:rPr>
                      <w:rFonts w:hint="eastAsia"/>
                      <w:color w:val="auto"/>
                    </w:rPr>
                    <w:t>《声环境质量标准》（GB 3096-2008）2类（昼间：6</w:t>
                  </w:r>
                  <w:r>
                    <w:rPr>
                      <w:color w:val="auto"/>
                    </w:rPr>
                    <w:t>0dB</w:t>
                  </w:r>
                  <w:r>
                    <w:rPr>
                      <w:rFonts w:hint="eastAsia"/>
                      <w:color w:val="auto"/>
                    </w:rPr>
                    <w:t>（A），夜间：5</w:t>
                  </w:r>
                  <w:r>
                    <w:rPr>
                      <w:color w:val="auto"/>
                    </w:rPr>
                    <w:t>0dB</w:t>
                  </w:r>
                  <w:r>
                    <w:rPr>
                      <w:rFonts w:hint="eastAsia"/>
                      <w:color w:val="auto"/>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34" w:hRule="atLeast"/>
                <w:jc w:val="center"/>
              </w:trPr>
              <w:tc>
                <w:tcPr>
                  <w:tcW w:w="615" w:type="dxa"/>
                  <w:vMerge w:val="restart"/>
                  <w:vAlign w:val="center"/>
                </w:tcPr>
                <w:p>
                  <w:pPr>
                    <w:pStyle w:val="17"/>
                    <w:bidi w:val="0"/>
                  </w:pPr>
                  <w:r>
                    <w:rPr>
                      <w:rFonts w:hint="eastAsia"/>
                    </w:rPr>
                    <w:t>污染排放标准</w:t>
                  </w:r>
                </w:p>
              </w:tc>
              <w:tc>
                <w:tcPr>
                  <w:tcW w:w="498" w:type="dxa"/>
                  <w:vMerge w:val="restart"/>
                  <w:vAlign w:val="center"/>
                </w:tcPr>
                <w:p>
                  <w:pPr>
                    <w:pStyle w:val="17"/>
                    <w:bidi w:val="0"/>
                    <w:rPr>
                      <w:color w:val="auto"/>
                    </w:rPr>
                  </w:pPr>
                  <w:r>
                    <w:rPr>
                      <w:rFonts w:hint="eastAsia"/>
                      <w:color w:val="auto"/>
                    </w:rPr>
                    <w:t>废气</w:t>
                  </w:r>
                </w:p>
              </w:tc>
              <w:tc>
                <w:tcPr>
                  <w:tcW w:w="999" w:type="dxa"/>
                  <w:vAlign w:val="center"/>
                </w:tcPr>
                <w:p>
                  <w:pPr>
                    <w:pStyle w:val="17"/>
                    <w:bidi w:val="0"/>
                    <w:rPr>
                      <w:color w:val="auto"/>
                    </w:rPr>
                  </w:pPr>
                  <w:r>
                    <w:rPr>
                      <w:rFonts w:hint="eastAsia"/>
                      <w:color w:val="auto"/>
                    </w:rPr>
                    <w:t>施工期发电机废气</w:t>
                  </w:r>
                </w:p>
              </w:tc>
              <w:tc>
                <w:tcPr>
                  <w:tcW w:w="5978" w:type="dxa"/>
                  <w:vAlign w:val="center"/>
                </w:tcPr>
                <w:p>
                  <w:pPr>
                    <w:pStyle w:val="17"/>
                    <w:bidi w:val="0"/>
                    <w:rPr>
                      <w:color w:val="auto"/>
                    </w:rPr>
                  </w:pPr>
                  <w:r>
                    <w:rPr>
                      <w:rFonts w:hint="default"/>
                      <w:color w:val="auto"/>
                    </w:rPr>
                    <w:t>《非道路移动机械用柴油机排气污染物排放限值及测量方法(中国第三、四阶段)》(GB20891-2014)中的标准要求。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32" w:hRule="atLeast"/>
                <w:jc w:val="center"/>
              </w:trPr>
              <w:tc>
                <w:tcPr>
                  <w:tcW w:w="615" w:type="dxa"/>
                  <w:vMerge w:val="continue"/>
                  <w:vAlign w:val="center"/>
                </w:tcPr>
                <w:p>
                  <w:pPr>
                    <w:pStyle w:val="17"/>
                    <w:bidi w:val="0"/>
                  </w:pPr>
                </w:p>
              </w:tc>
              <w:tc>
                <w:tcPr>
                  <w:tcW w:w="498" w:type="dxa"/>
                  <w:vMerge w:val="continue"/>
                  <w:vAlign w:val="center"/>
                </w:tcPr>
                <w:p>
                  <w:pPr>
                    <w:pStyle w:val="17"/>
                    <w:bidi w:val="0"/>
                    <w:rPr>
                      <w:color w:val="auto"/>
                    </w:rPr>
                  </w:pPr>
                </w:p>
              </w:tc>
              <w:tc>
                <w:tcPr>
                  <w:tcW w:w="999" w:type="dxa"/>
                  <w:vAlign w:val="center"/>
                </w:tcPr>
                <w:p>
                  <w:pPr>
                    <w:pStyle w:val="17"/>
                    <w:bidi w:val="0"/>
                    <w:rPr>
                      <w:color w:val="auto"/>
                    </w:rPr>
                  </w:pPr>
                  <w:r>
                    <w:rPr>
                      <w:rFonts w:hint="eastAsia"/>
                      <w:color w:val="auto"/>
                    </w:rPr>
                    <w:t>试油期非甲烷总烃</w:t>
                  </w:r>
                </w:p>
              </w:tc>
              <w:tc>
                <w:tcPr>
                  <w:tcW w:w="5978" w:type="dxa"/>
                  <w:vAlign w:val="center"/>
                </w:tcPr>
                <w:p>
                  <w:pPr>
                    <w:pStyle w:val="17"/>
                    <w:bidi w:val="0"/>
                    <w:rPr>
                      <w:color w:val="auto"/>
                    </w:rPr>
                  </w:pPr>
                  <w:r>
                    <w:rPr>
                      <w:rFonts w:hint="eastAsia"/>
                      <w:color w:val="auto"/>
                    </w:rPr>
                    <w:t>《陆上石油天然气开采工业大气污染物排放标准》（GB39728-2020）（非甲烷总烃：4</w:t>
                  </w:r>
                  <w:r>
                    <w:rPr>
                      <w:color w:val="auto"/>
                    </w:rPr>
                    <w:t>mg/m</w:t>
                  </w:r>
                  <w:r>
                    <w:rPr>
                      <w:color w:val="auto"/>
                      <w:vertAlign w:val="superscript"/>
                    </w:rPr>
                    <w:t>3</w:t>
                  </w: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32" w:hRule="atLeast"/>
                <w:jc w:val="center"/>
              </w:trPr>
              <w:tc>
                <w:tcPr>
                  <w:tcW w:w="615" w:type="dxa"/>
                  <w:vMerge w:val="continue"/>
                  <w:vAlign w:val="center"/>
                </w:tcPr>
                <w:p>
                  <w:pPr>
                    <w:pStyle w:val="17"/>
                    <w:bidi w:val="0"/>
                  </w:pPr>
                </w:p>
              </w:tc>
              <w:tc>
                <w:tcPr>
                  <w:tcW w:w="498" w:type="dxa"/>
                  <w:vMerge w:val="continue"/>
                  <w:vAlign w:val="center"/>
                </w:tcPr>
                <w:p>
                  <w:pPr>
                    <w:pStyle w:val="17"/>
                    <w:bidi w:val="0"/>
                    <w:rPr>
                      <w:color w:val="auto"/>
                    </w:rPr>
                  </w:pPr>
                </w:p>
              </w:tc>
              <w:tc>
                <w:tcPr>
                  <w:tcW w:w="999" w:type="dxa"/>
                  <w:vAlign w:val="center"/>
                </w:tcPr>
                <w:p>
                  <w:pPr>
                    <w:pStyle w:val="17"/>
                    <w:bidi w:val="0"/>
                    <w:rPr>
                      <w:rFonts w:hint="eastAsia"/>
                      <w:color w:val="auto"/>
                    </w:rPr>
                  </w:pPr>
                  <w:r>
                    <w:rPr>
                      <w:rFonts w:hint="eastAsia"/>
                      <w:color w:val="auto"/>
                    </w:rPr>
                    <w:t>H</w:t>
                  </w:r>
                  <w:r>
                    <w:rPr>
                      <w:rFonts w:hint="eastAsia"/>
                      <w:color w:val="auto"/>
                      <w:vertAlign w:val="subscript"/>
                    </w:rPr>
                    <w:t>2</w:t>
                  </w:r>
                  <w:r>
                    <w:rPr>
                      <w:rFonts w:hint="eastAsia"/>
                      <w:color w:val="auto"/>
                    </w:rPr>
                    <w:t>S</w:t>
                  </w:r>
                </w:p>
              </w:tc>
              <w:tc>
                <w:tcPr>
                  <w:tcW w:w="5978" w:type="dxa"/>
                  <w:vAlign w:val="center"/>
                </w:tcPr>
                <w:p>
                  <w:pPr>
                    <w:pStyle w:val="17"/>
                    <w:bidi w:val="0"/>
                    <w:rPr>
                      <w:rFonts w:hint="eastAsia"/>
                      <w:color w:val="auto"/>
                    </w:rPr>
                  </w:pPr>
                  <w:r>
                    <w:rPr>
                      <w:rFonts w:hint="eastAsia"/>
                      <w:color w:val="auto"/>
                    </w:rPr>
                    <w:t>《环境影响评价技术导则 大气环境》（HJ2.2-2018）中表D.1的其他污染物空气质量浓度参考限值（H</w:t>
                  </w:r>
                  <w:r>
                    <w:rPr>
                      <w:rFonts w:hint="eastAsia"/>
                      <w:color w:val="auto"/>
                      <w:vertAlign w:val="subscript"/>
                    </w:rPr>
                    <w:t>2</w:t>
                  </w:r>
                  <w:r>
                    <w:rPr>
                      <w:rFonts w:hint="eastAsia"/>
                      <w:color w:val="auto"/>
                    </w:rPr>
                    <w:t>S1h平均：1</w:t>
                  </w:r>
                  <w:r>
                    <w:rPr>
                      <w:rFonts w:hint="default" w:ascii="Times New Roman" w:hAnsi="Times New Roman" w:cs="Times New Roman"/>
                      <w:color w:val="auto"/>
                    </w:rPr>
                    <w:t>0μ</w:t>
                  </w:r>
                  <w:r>
                    <w:rPr>
                      <w:rFonts w:hint="eastAsia"/>
                      <w:color w:val="auto"/>
                    </w:rPr>
                    <w:t>g/m</w:t>
                  </w:r>
                  <w:r>
                    <w:rPr>
                      <w:rFonts w:hint="eastAsia"/>
                      <w:color w:val="auto"/>
                      <w:vertAlign w:val="superscript"/>
                    </w:rPr>
                    <w:t>3</w:t>
                  </w: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85" w:hRule="atLeast"/>
                <w:jc w:val="center"/>
              </w:trPr>
              <w:tc>
                <w:tcPr>
                  <w:tcW w:w="615" w:type="dxa"/>
                  <w:vMerge w:val="continue"/>
                  <w:vAlign w:val="center"/>
                </w:tcPr>
                <w:p>
                  <w:pPr>
                    <w:pStyle w:val="17"/>
                    <w:bidi w:val="0"/>
                  </w:pPr>
                </w:p>
              </w:tc>
              <w:tc>
                <w:tcPr>
                  <w:tcW w:w="498" w:type="dxa"/>
                  <w:vAlign w:val="center"/>
                </w:tcPr>
                <w:p>
                  <w:pPr>
                    <w:pStyle w:val="17"/>
                    <w:bidi w:val="0"/>
                    <w:rPr>
                      <w:color w:val="auto"/>
                    </w:rPr>
                  </w:pPr>
                  <w:r>
                    <w:rPr>
                      <w:rFonts w:hint="eastAsia"/>
                      <w:color w:val="auto"/>
                    </w:rPr>
                    <w:t>噪声</w:t>
                  </w:r>
                </w:p>
              </w:tc>
              <w:tc>
                <w:tcPr>
                  <w:tcW w:w="999" w:type="dxa"/>
                  <w:vAlign w:val="center"/>
                </w:tcPr>
                <w:p>
                  <w:pPr>
                    <w:pStyle w:val="17"/>
                    <w:bidi w:val="0"/>
                    <w:rPr>
                      <w:color w:val="auto"/>
                    </w:rPr>
                  </w:pPr>
                  <w:r>
                    <w:rPr>
                      <w:rFonts w:hint="eastAsia"/>
                      <w:color w:val="auto"/>
                    </w:rPr>
                    <w:t>施工期</w:t>
                  </w:r>
                </w:p>
                <w:p>
                  <w:pPr>
                    <w:pStyle w:val="17"/>
                    <w:bidi w:val="0"/>
                    <w:rPr>
                      <w:color w:val="auto"/>
                    </w:rPr>
                  </w:pPr>
                  <w:r>
                    <w:rPr>
                      <w:rFonts w:hint="eastAsia"/>
                      <w:color w:val="auto"/>
                    </w:rPr>
                    <w:t>井场噪声</w:t>
                  </w:r>
                </w:p>
              </w:tc>
              <w:tc>
                <w:tcPr>
                  <w:tcW w:w="5978" w:type="dxa"/>
                  <w:vAlign w:val="center"/>
                </w:tcPr>
                <w:p>
                  <w:pPr>
                    <w:pStyle w:val="17"/>
                    <w:bidi w:val="0"/>
                    <w:rPr>
                      <w:color w:val="auto"/>
                    </w:rPr>
                  </w:pPr>
                  <w:r>
                    <w:rPr>
                      <w:rFonts w:hint="eastAsia"/>
                      <w:color w:val="auto"/>
                    </w:rPr>
                    <w:t>《建筑施工场界环境噪声排放标准》</w:t>
                  </w:r>
                </w:p>
                <w:p>
                  <w:pPr>
                    <w:pStyle w:val="17"/>
                    <w:bidi w:val="0"/>
                    <w:rPr>
                      <w:color w:val="auto"/>
                    </w:rPr>
                  </w:pPr>
                  <w:r>
                    <w:rPr>
                      <w:rFonts w:hint="eastAsia"/>
                      <w:color w:val="auto"/>
                    </w:rPr>
                    <w:t>（</w:t>
                  </w:r>
                  <w:r>
                    <w:rPr>
                      <w:color w:val="auto"/>
                    </w:rPr>
                    <w:t>GB12523-2011）</w:t>
                  </w:r>
                  <w:r>
                    <w:rPr>
                      <w:rFonts w:hint="eastAsia"/>
                      <w:color w:val="auto"/>
                    </w:rPr>
                    <w:t>（昼间：7</w:t>
                  </w:r>
                  <w:r>
                    <w:rPr>
                      <w:color w:val="auto"/>
                    </w:rPr>
                    <w:t>0dB</w:t>
                  </w:r>
                  <w:r>
                    <w:rPr>
                      <w:rFonts w:hint="eastAsia"/>
                      <w:color w:val="auto"/>
                    </w:rPr>
                    <w:t>（A）、夜间：5</w:t>
                  </w:r>
                  <w:r>
                    <w:rPr>
                      <w:color w:val="auto"/>
                    </w:rPr>
                    <w:t>5dB</w:t>
                  </w:r>
                  <w:r>
                    <w:rPr>
                      <w:rFonts w:hint="eastAsia"/>
                      <w:color w:val="auto"/>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44" w:hRule="atLeast"/>
                <w:jc w:val="center"/>
              </w:trPr>
              <w:tc>
                <w:tcPr>
                  <w:tcW w:w="615" w:type="dxa"/>
                  <w:vMerge w:val="restart"/>
                  <w:vAlign w:val="center"/>
                </w:tcPr>
                <w:p>
                  <w:pPr>
                    <w:pStyle w:val="17"/>
                    <w:bidi w:val="0"/>
                  </w:pPr>
                  <w:r>
                    <w:rPr>
                      <w:rFonts w:hint="eastAsia"/>
                    </w:rPr>
                    <w:t>污染控制标准</w:t>
                  </w:r>
                </w:p>
              </w:tc>
              <w:tc>
                <w:tcPr>
                  <w:tcW w:w="498" w:type="dxa"/>
                  <w:vAlign w:val="center"/>
                </w:tcPr>
                <w:p>
                  <w:pPr>
                    <w:pStyle w:val="17"/>
                    <w:bidi w:val="0"/>
                  </w:pPr>
                  <w:r>
                    <w:rPr>
                      <w:rFonts w:hint="eastAsia"/>
                    </w:rPr>
                    <w:t>一般固废</w:t>
                  </w:r>
                </w:p>
              </w:tc>
              <w:tc>
                <w:tcPr>
                  <w:tcW w:w="999" w:type="dxa"/>
                  <w:vAlign w:val="center"/>
                </w:tcPr>
                <w:p>
                  <w:pPr>
                    <w:pStyle w:val="17"/>
                    <w:bidi w:val="0"/>
                  </w:pPr>
                  <w:r>
                    <w:rPr>
                      <w:rFonts w:hint="eastAsia"/>
                    </w:rPr>
                    <w:t>水基岩屑</w:t>
                  </w:r>
                </w:p>
              </w:tc>
              <w:tc>
                <w:tcPr>
                  <w:tcW w:w="5978" w:type="dxa"/>
                  <w:vAlign w:val="center"/>
                </w:tcPr>
                <w:p>
                  <w:pPr>
                    <w:pStyle w:val="17"/>
                    <w:bidi w:val="0"/>
                  </w:pPr>
                  <w:r>
                    <w:rPr>
                      <w:rFonts w:hint="eastAsia"/>
                    </w:rPr>
                    <w:t>《一般工业固体废物贮存和填埋污染控制标准》（GB1859</w:t>
                  </w:r>
                  <w:r>
                    <w:t>9</w:t>
                  </w:r>
                  <w:r>
                    <w:rPr>
                      <w:rFonts w:hint="eastAsia"/>
                    </w:rPr>
                    <w:t>-20</w:t>
                  </w:r>
                  <w:r>
                    <w:t>20</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86" w:hRule="atLeast"/>
                <w:jc w:val="center"/>
              </w:trPr>
              <w:tc>
                <w:tcPr>
                  <w:tcW w:w="615" w:type="dxa"/>
                  <w:vMerge w:val="continue"/>
                  <w:vAlign w:val="center"/>
                </w:tcPr>
                <w:p>
                  <w:pPr>
                    <w:pStyle w:val="17"/>
                    <w:bidi w:val="0"/>
                  </w:pPr>
                </w:p>
              </w:tc>
              <w:tc>
                <w:tcPr>
                  <w:tcW w:w="498" w:type="dxa"/>
                  <w:vAlign w:val="center"/>
                </w:tcPr>
                <w:p>
                  <w:pPr>
                    <w:pStyle w:val="17"/>
                    <w:bidi w:val="0"/>
                  </w:pPr>
                  <w:r>
                    <w:rPr>
                      <w:rFonts w:hint="eastAsia"/>
                    </w:rPr>
                    <w:t>危险废物</w:t>
                  </w:r>
                </w:p>
              </w:tc>
              <w:tc>
                <w:tcPr>
                  <w:tcW w:w="999" w:type="dxa"/>
                  <w:vAlign w:val="center"/>
                </w:tcPr>
                <w:p>
                  <w:pPr>
                    <w:pStyle w:val="17"/>
                    <w:bidi w:val="0"/>
                  </w:pPr>
                  <w:r>
                    <w:rPr>
                      <w:rFonts w:hint="eastAsia"/>
                    </w:rPr>
                    <w:t>油基岩屑、废防渗材料</w:t>
                  </w:r>
                </w:p>
              </w:tc>
              <w:tc>
                <w:tcPr>
                  <w:tcW w:w="5978" w:type="dxa"/>
                  <w:vAlign w:val="center"/>
                </w:tcPr>
                <w:p>
                  <w:pPr>
                    <w:pStyle w:val="17"/>
                    <w:bidi w:val="0"/>
                    <w:rPr>
                      <w:rFonts w:hint="eastAsia"/>
                    </w:rPr>
                  </w:pPr>
                  <w:r>
                    <w:rPr>
                      <w:rFonts w:hint="default"/>
                      <w:lang w:val="en-US" w:eastAsia="zh-CN"/>
                    </w:rPr>
                    <w:t>《油气田钻井固体废弃物综合利用污染物控制要求》（DB65/T3997-2017）</w:t>
                  </w:r>
                </w:p>
                <w:p>
                  <w:pPr>
                    <w:pStyle w:val="17"/>
                    <w:bidi w:val="0"/>
                  </w:pPr>
                  <w:r>
                    <w:rPr>
                      <w:rFonts w:hint="eastAsia"/>
                    </w:rPr>
                    <w:t>《危险废物贮存污染控制标准》（GB18597-20</w:t>
                  </w:r>
                  <w:r>
                    <w:t>23</w:t>
                  </w:r>
                  <w:r>
                    <w:rPr>
                      <w:rFonts w:hint="eastAsia"/>
                    </w:rPr>
                    <w:t>）</w:t>
                  </w:r>
                </w:p>
                <w:p>
                  <w:pPr>
                    <w:pStyle w:val="17"/>
                    <w:bidi w:val="0"/>
                  </w:pPr>
                  <w:r>
                    <w:t>《危险废物收集贮存运输技术规范》（HJ2025-2012）</w:t>
                  </w:r>
                </w:p>
              </w:tc>
            </w:tr>
          </w:tbl>
          <w:p>
            <w:pPr>
              <w:pStyle w:val="16"/>
              <w:bidi w:val="0"/>
              <w:rPr>
                <w:rFonts w:hint="default"/>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82" w:hRule="atLeast"/>
        </w:trPr>
        <w:tc>
          <w:tcPr>
            <w:tcW w:w="1033" w:type="dxa"/>
            <w:tcBorders>
              <w:left w:val="single" w:color="000000" w:sz="6" w:space="0"/>
            </w:tcBorders>
            <w:vAlign w:val="center"/>
          </w:tcPr>
          <w:p>
            <w:pPr>
              <w:bidi w:val="0"/>
              <w:jc w:val="center"/>
              <w:rPr>
                <w:rFonts w:hint="default"/>
              </w:rPr>
            </w:pPr>
            <w:r>
              <w:rPr>
                <w:rFonts w:hint="default"/>
              </w:rPr>
              <w:t>其他</w:t>
            </w:r>
          </w:p>
        </w:tc>
        <w:tc>
          <w:tcPr>
            <w:tcW w:w="8128" w:type="dxa"/>
            <w:tcBorders>
              <w:right w:val="single" w:color="000000" w:sz="6" w:space="0"/>
            </w:tcBorders>
            <w:vAlign w:val="center"/>
          </w:tcPr>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r>
              <w:rPr>
                <w:rFonts w:hint="eastAsia"/>
              </w:rPr>
              <w:t>本项目钻试周期短，污染物产生量少，钻试期结束后污染物停止排放，故不提出总量控制指标。</w:t>
            </w: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default"/>
              </w:rPr>
            </w:pPr>
          </w:p>
        </w:tc>
      </w:tr>
    </w:tbl>
    <w:p>
      <w:pPr>
        <w:rPr>
          <w:rFonts w:hint="default" w:ascii="Times New Roman" w:hAnsi="Times New Roman" w:cs="Times New Roman"/>
          <w:sz w:val="21"/>
        </w:rPr>
      </w:pPr>
    </w:p>
    <w:p>
      <w:pPr>
        <w:rPr>
          <w:rFonts w:hint="default" w:ascii="Times New Roman" w:hAnsi="Times New Roman" w:cs="Times New Roman"/>
        </w:rPr>
        <w:sectPr>
          <w:footerReference r:id="rId8" w:type="default"/>
          <w:pgSz w:w="11906" w:h="16839"/>
          <w:pgMar w:top="1431" w:right="1365" w:bottom="1185" w:left="1364" w:header="0" w:footer="916" w:gutter="0"/>
          <w:pgNumType w:fmt="decimal"/>
          <w:cols w:space="720" w:num="1"/>
        </w:sectPr>
      </w:pPr>
    </w:p>
    <w:p>
      <w:pPr>
        <w:pStyle w:val="3"/>
        <w:bidi w:val="0"/>
        <w:rPr>
          <w:rFonts w:hint="default"/>
        </w:rPr>
      </w:pPr>
      <w:r>
        <w:rPr>
          <w:rFonts w:hint="default"/>
        </w:rPr>
        <w:t>四、生态环境影响分析</w:t>
      </w:r>
    </w:p>
    <w:p>
      <w:pPr>
        <w:spacing w:line="17" w:lineRule="exact"/>
        <w:rPr>
          <w:rFonts w:hint="default" w:ascii="Times New Roman" w:hAnsi="Times New Roman" w:cs="Times New Roman"/>
        </w:rPr>
      </w:pPr>
    </w:p>
    <w:tbl>
      <w:tblPr>
        <w:tblStyle w:val="15"/>
        <w:tblW w:w="924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7"/>
        <w:gridCol w:w="83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4" w:hRule="atLeast"/>
          <w:jc w:val="center"/>
        </w:trPr>
        <w:tc>
          <w:tcPr>
            <w:tcW w:w="887" w:type="dxa"/>
            <w:tcBorders>
              <w:left w:val="single" w:color="000000" w:sz="6" w:space="0"/>
            </w:tcBorders>
            <w:vAlign w:val="center"/>
          </w:tcPr>
          <w:p>
            <w:pPr>
              <w:bidi w:val="0"/>
              <w:jc w:val="center"/>
              <w:rPr>
                <w:rFonts w:hint="default"/>
              </w:rPr>
            </w:pPr>
            <w:r>
              <w:rPr>
                <w:rFonts w:hint="default"/>
              </w:rPr>
              <w:t>施工期生态环境影响分析</w:t>
            </w:r>
          </w:p>
        </w:tc>
        <w:tc>
          <w:tcPr>
            <w:tcW w:w="8359" w:type="dxa"/>
            <w:tcBorders>
              <w:right w:val="single" w:color="000000" w:sz="6" w:space="0"/>
            </w:tcBorders>
            <w:vAlign w:val="center"/>
          </w:tcPr>
          <w:p>
            <w:pPr>
              <w:pStyle w:val="4"/>
              <w:bidi w:val="0"/>
              <w:rPr>
                <w:rFonts w:hint="default"/>
              </w:rPr>
            </w:pPr>
            <w:r>
              <w:rPr>
                <w:rFonts w:hint="default"/>
              </w:rPr>
              <w:t>1、</w:t>
            </w:r>
            <w:r>
              <w:rPr>
                <w:rFonts w:hint="eastAsia"/>
                <w:lang w:val="en-US" w:eastAsia="zh-CN"/>
              </w:rPr>
              <w:t>施工期</w:t>
            </w:r>
            <w:r>
              <w:rPr>
                <w:rFonts w:hint="default"/>
              </w:rPr>
              <w:t>生态环境影响分析</w:t>
            </w:r>
          </w:p>
          <w:p>
            <w:pPr>
              <w:pStyle w:val="19"/>
              <w:bidi w:val="0"/>
              <w:rPr>
                <w:rFonts w:hint="default"/>
              </w:rPr>
            </w:pPr>
            <w:r>
              <w:rPr>
                <w:rFonts w:hint="default"/>
              </w:rPr>
              <w:t>1.1生态环境影响因素及类型</w:t>
            </w:r>
          </w:p>
          <w:p>
            <w:pPr>
              <w:pStyle w:val="16"/>
              <w:bidi w:val="0"/>
              <w:rPr>
                <w:rFonts w:hint="default"/>
              </w:rPr>
            </w:pPr>
            <w:r>
              <w:rPr>
                <w:rFonts w:hint="default"/>
              </w:rPr>
              <w:t>本项目井场、道路施工过程中不可避免地会对周围生态环境造成不同程度的污染和破坏。</w:t>
            </w:r>
          </w:p>
          <w:p>
            <w:pPr>
              <w:pStyle w:val="16"/>
              <w:bidi w:val="0"/>
              <w:rPr>
                <w:rFonts w:hint="default"/>
              </w:rPr>
            </w:pPr>
            <w:r>
              <w:rPr>
                <w:rFonts w:hint="default"/>
              </w:rPr>
              <w:t>（1）生态环境影响类型</w:t>
            </w:r>
          </w:p>
          <w:p>
            <w:pPr>
              <w:pStyle w:val="16"/>
              <w:bidi w:val="0"/>
              <w:rPr>
                <w:rFonts w:hint="default"/>
              </w:rPr>
            </w:pPr>
            <w:r>
              <w:rPr>
                <w:rFonts w:hint="default"/>
              </w:rPr>
              <w:t>①占地对地表土壤、植被影响井场、道路施工占地范围内土壤翻出、植被清除，将破坏地表原有稳定砾石层，加剧风蚀，改变原有生态系统结构和功能，属暂时性影响。施工完成后，临时性占地和影响将消除，使被破坏的生态环境逐步恢复。评价井和产能井封井前井场将会在原来连续分布的生态环境中形成生态斑点，产生地表温度、水分等物理异常，以及干扰地面植被和野生动物繁殖、迁移和栖息，长久影响生态环境的类型和结构。</w:t>
            </w:r>
          </w:p>
          <w:p>
            <w:pPr>
              <w:pStyle w:val="16"/>
              <w:bidi w:val="0"/>
              <w:rPr>
                <w:rFonts w:hint="default"/>
              </w:rPr>
            </w:pPr>
            <w:r>
              <w:rPr>
                <w:rFonts w:hint="default"/>
              </w:rPr>
              <w:t>②污染物排放对生态环境的影响</w:t>
            </w:r>
          </w:p>
          <w:p>
            <w:pPr>
              <w:pStyle w:val="16"/>
              <w:bidi w:val="0"/>
              <w:rPr>
                <w:rFonts w:hint="default"/>
              </w:rPr>
            </w:pPr>
            <w:r>
              <w:rPr>
                <w:rFonts w:hint="default"/>
              </w:rPr>
              <w:t>本工程主要污染源集中在钻井工程，其污染源分布广、排放源强小，污染因子简单，具有影响的全方位性、综合性的特点，其对生态环境影响的途径和程度取决于水环境、空气环境、声环境被污染的程度和固废的产生量及处置方式。</w:t>
            </w:r>
          </w:p>
          <w:p>
            <w:pPr>
              <w:pStyle w:val="16"/>
              <w:bidi w:val="0"/>
              <w:rPr>
                <w:rFonts w:hint="default"/>
              </w:rPr>
            </w:pPr>
            <w:r>
              <w:rPr>
                <w:rFonts w:hint="default"/>
              </w:rPr>
              <w:t>（2）生态环境影响因素</w:t>
            </w:r>
          </w:p>
          <w:p>
            <w:pPr>
              <w:pStyle w:val="16"/>
              <w:bidi w:val="0"/>
              <w:rPr>
                <w:rFonts w:hint="default"/>
              </w:rPr>
            </w:pPr>
            <w:r>
              <w:rPr>
                <w:rFonts w:hint="default"/>
              </w:rPr>
              <w:t>环境影响因素识别实际上是对主体的识别，包括主要工程和辅助工程。对于本项目来讲，主要从钻井工程分析环境影响因素。</w:t>
            </w:r>
          </w:p>
          <w:p>
            <w:pPr>
              <w:pStyle w:val="16"/>
              <w:bidi w:val="0"/>
              <w:rPr>
                <w:rFonts w:hint="default"/>
                <w:color w:val="auto"/>
              </w:rPr>
            </w:pPr>
            <w:r>
              <w:rPr>
                <w:rFonts w:hint="default"/>
              </w:rPr>
              <w:t>本项目部署新井</w:t>
            </w:r>
            <w:r>
              <w:rPr>
                <w:rFonts w:hint="eastAsia"/>
                <w:lang w:val="en-US" w:eastAsia="zh-CN"/>
              </w:rPr>
              <w:t>8</w:t>
            </w:r>
            <w:r>
              <w:rPr>
                <w:rFonts w:hint="default"/>
              </w:rPr>
              <w:t>口，井场的平整会产生土方的扰动；钻井过程中废物的排放、钻井机械的运输等施工活动均可对地表原生结构造成破坏，对生态环境带来不利影响。在井场选址过程中，应尽量选择动土作业量小的地段，场地平整所产生的土方随地势进行处置，尽可能填入低洼地带；采用钻井泥浆不落地技术；井场材料整齐堆放，严格管理，不得随地洒</w:t>
            </w:r>
            <w:r>
              <w:rPr>
                <w:rFonts w:hint="default"/>
                <w:color w:val="auto"/>
              </w:rPr>
              <w:t>落，完井后全部回收外运；施工机械划定运行线路，不得随意开行便道，以减少对地表原生结构的破坏。各种措施的采用，可有效减轻钻井过程对生态环境的影响。</w:t>
            </w:r>
          </w:p>
          <w:p>
            <w:pPr>
              <w:pStyle w:val="19"/>
              <w:bidi w:val="0"/>
              <w:rPr>
                <w:rFonts w:hint="default"/>
                <w:color w:val="auto"/>
                <w:lang w:val="en-US" w:eastAsia="zh-CN"/>
              </w:rPr>
            </w:pPr>
            <w:r>
              <w:rPr>
                <w:rFonts w:hint="eastAsia"/>
                <w:color w:val="auto"/>
                <w:lang w:val="en-US" w:eastAsia="zh-CN"/>
              </w:rPr>
              <w:t>1.2对耕地的影响</w:t>
            </w:r>
            <w:r>
              <w:rPr>
                <w:rFonts w:hint="eastAsia"/>
                <w:color w:val="auto"/>
              </w:rPr>
              <w:t>分析</w:t>
            </w:r>
          </w:p>
          <w:p>
            <w:pPr>
              <w:pStyle w:val="16"/>
              <w:bidi w:val="0"/>
              <w:rPr>
                <w:rFonts w:hint="eastAsia"/>
                <w:color w:val="auto"/>
              </w:rPr>
            </w:pPr>
            <w:r>
              <w:rPr>
                <w:rFonts w:hint="eastAsia"/>
                <w:color w:val="auto"/>
                <w:lang w:val="en-US" w:eastAsia="zh-CN"/>
              </w:rPr>
              <w:t>本项目</w:t>
            </w:r>
            <w:r>
              <w:rPr>
                <w:rFonts w:hint="eastAsia"/>
                <w:color w:val="auto"/>
              </w:rPr>
              <w:t>总占地面</w:t>
            </w:r>
            <w:r>
              <w:rPr>
                <w:rFonts w:hint="eastAsia"/>
                <w:color w:val="auto"/>
                <w:sz w:val="24"/>
                <w:szCs w:val="24"/>
                <w:highlight w:val="none"/>
              </w:rPr>
              <w:t>积为</w:t>
            </w:r>
            <w:r>
              <w:rPr>
                <w:rFonts w:hint="eastAsia" w:cs="Times New Roman"/>
                <w:color w:val="auto"/>
                <w:sz w:val="24"/>
                <w:szCs w:val="24"/>
                <w:lang w:val="en-US" w:eastAsia="zh-CN"/>
              </w:rPr>
              <w:t>46702</w:t>
            </w:r>
            <w:r>
              <w:rPr>
                <w:rFonts w:hint="eastAsia"/>
                <w:color w:val="auto"/>
                <w:sz w:val="24"/>
                <w:szCs w:val="24"/>
                <w:highlight w:val="none"/>
              </w:rPr>
              <w:t>m</w:t>
            </w:r>
            <w:r>
              <w:rPr>
                <w:rFonts w:hint="eastAsia"/>
                <w:color w:val="auto"/>
                <w:sz w:val="24"/>
                <w:szCs w:val="24"/>
                <w:highlight w:val="none"/>
                <w:vertAlign w:val="superscript"/>
              </w:rPr>
              <w:t>2</w:t>
            </w:r>
            <w:r>
              <w:rPr>
                <w:rFonts w:hint="eastAsia"/>
                <w:color w:val="auto"/>
                <w:sz w:val="24"/>
                <w:szCs w:val="24"/>
                <w:highlight w:val="none"/>
              </w:rPr>
              <w:t>，</w:t>
            </w:r>
            <w:r>
              <w:rPr>
                <w:rFonts w:hint="eastAsia" w:cs="Times New Roman"/>
                <w:color w:val="auto"/>
                <w:spacing w:val="8"/>
                <w:sz w:val="24"/>
                <w:szCs w:val="24"/>
                <w:lang w:val="en-US" w:eastAsia="zh-CN"/>
              </w:rPr>
              <w:t>占地类型为</w:t>
            </w:r>
            <w:r>
              <w:rPr>
                <w:rFonts w:hint="eastAsia"/>
                <w:color w:val="auto"/>
                <w:lang w:val="en-US" w:eastAsia="zh-CN"/>
              </w:rPr>
              <w:t>旱地</w:t>
            </w:r>
            <w:r>
              <w:rPr>
                <w:rFonts w:hint="eastAsia"/>
                <w:color w:val="auto"/>
              </w:rPr>
              <w:t>。</w:t>
            </w:r>
          </w:p>
          <w:p>
            <w:pPr>
              <w:pStyle w:val="16"/>
              <w:bidi w:val="0"/>
              <w:rPr>
                <w:rFonts w:hint="eastAsia"/>
                <w:color w:val="auto"/>
                <w:lang w:val="en-US" w:eastAsia="zh-CN"/>
              </w:rPr>
            </w:pPr>
            <w:r>
              <w:rPr>
                <w:rFonts w:hint="eastAsia"/>
                <w:color w:val="auto"/>
                <w:lang w:val="en-US" w:eastAsia="zh-CN"/>
              </w:rPr>
              <w:t>本项目占用的耕地主要种植作物为葵花、棉花、玉米等，产量平均每亩约为 200kg。占用耕地不涉及基本农田，工程在施工期间对土壤养分的影响范围大，程度较深。根据国内外有关资料统计，工程开挖对土壤养分的影响与土壤的理化性状密切相关。在实行分层堆放、分层覆土的措施下，土壤中的有机质将下降 30～40%、养分将下降 30～50%，其中全氮下降 43%左右、磷素下降 40%、钾素下降 43%。这表明即使是对表土实行分层堆放和分层覆土，工程施工对土壤养分仍具有明显的影响。另外管沟回填后，一般难以恢复原有的土壤紧实度。</w:t>
            </w:r>
          </w:p>
          <w:p>
            <w:pPr>
              <w:pStyle w:val="16"/>
              <w:bidi w:val="0"/>
              <w:rPr>
                <w:rFonts w:hint="eastAsia" w:eastAsia="宋体"/>
                <w:lang w:val="en-US" w:eastAsia="zh-CN"/>
              </w:rPr>
            </w:pPr>
            <w:r>
              <w:rPr>
                <w:rFonts w:hint="eastAsia"/>
                <w:color w:val="auto"/>
                <w:lang w:val="en-US" w:eastAsia="zh-CN"/>
              </w:rPr>
              <w:t>为减少对农作物的破坏，本项目施工期需合理安排施工作业时间，避免在耕作季节施工；确实无法避开耕作期造成农田扰动的及永久占用耕地部分，需按照占用耕地补偿方案，进行占地补偿。随着时间的推移，经过不断地耕作培肥，临时占地上方覆土的生产能力会逐渐恢复至施工前的水平。</w:t>
            </w:r>
          </w:p>
          <w:p>
            <w:pPr>
              <w:pStyle w:val="19"/>
              <w:bidi w:val="0"/>
            </w:pPr>
            <w:r>
              <w:rPr>
                <w:rFonts w:hint="eastAsia"/>
                <w:lang w:val="en-US" w:eastAsia="zh-CN"/>
              </w:rPr>
              <w:t>1.3</w:t>
            </w:r>
            <w:r>
              <w:rPr>
                <w:rFonts w:hint="eastAsia"/>
              </w:rPr>
              <w:t>对野生动物的影响分析</w:t>
            </w:r>
          </w:p>
          <w:p>
            <w:pPr>
              <w:pStyle w:val="16"/>
              <w:bidi w:val="0"/>
              <w:rPr>
                <w:rFonts w:hint="eastAsia"/>
              </w:rPr>
            </w:pPr>
            <w:r>
              <w:rPr>
                <w:rFonts w:hint="eastAsia"/>
              </w:rPr>
              <w:t>本项目施工对野生动物的生存环境、分布范围和种群数量的影响主要分为直接影响和间接影响两个方面。直接影响主要表现为建设项目的占地，使野生动物的原始生存环境被破坏或改变；间接影响主要表现为由于植被的减少或污染破坏而引起野生动物食物来源的减少。</w:t>
            </w:r>
          </w:p>
          <w:p>
            <w:pPr>
              <w:pStyle w:val="16"/>
              <w:bidi w:val="0"/>
              <w:rPr>
                <w:rFonts w:hint="eastAsia"/>
              </w:rPr>
            </w:pPr>
            <w:r>
              <w:rPr>
                <w:rFonts w:hint="eastAsia"/>
              </w:rPr>
              <w:t>（1）施工期对野生动物的影响</w:t>
            </w:r>
          </w:p>
          <w:p>
            <w:pPr>
              <w:pStyle w:val="16"/>
              <w:bidi w:val="0"/>
              <w:rPr>
                <w:rFonts w:hint="eastAsia"/>
              </w:rPr>
            </w:pPr>
            <w:r>
              <w:rPr>
                <w:rFonts w:hint="eastAsia"/>
              </w:rPr>
              <w:t>井场建设、钻井过程中，由于机械设备的轰鸣惊扰，人群活动的增加，鸟类和哺乳类动物将远离施工现场，使区域内单位面积上的动物种群数量下降，但此类影响对爬行类和小型啮齿类动物的干扰不大。一些伴人型鸟类如麻雀、乌鸦等，一般在离作业区30m以外活动，待无噪声干扰时较常见于人类生活区附近。因此，随着钻井、试油各个过程的变化，该区域内野生动物的种类和数量将发生一定的变化，原有的戈壁荒漠型鸟类和哺乳类将逐渐避开人类活动的干扰迁至其它区域，而常见的伴人型野生动物种类有所增加。施工完成后，施工人员撤离作业区域，区域内的人为活动逐步减少，野生动物将逐步回归原有生境。</w:t>
            </w:r>
          </w:p>
          <w:p>
            <w:pPr>
              <w:pStyle w:val="16"/>
              <w:bidi w:val="0"/>
              <w:rPr>
                <w:rFonts w:hint="eastAsia"/>
              </w:rPr>
            </w:pPr>
            <w:r>
              <w:rPr>
                <w:rFonts w:hint="eastAsia"/>
              </w:rPr>
              <w:t>（2）事故对野生动物的影响</w:t>
            </w:r>
          </w:p>
          <w:p>
            <w:pPr>
              <w:pStyle w:val="16"/>
              <w:bidi w:val="0"/>
              <w:rPr>
                <w:rFonts w:hint="eastAsia"/>
              </w:rPr>
            </w:pPr>
            <w:r>
              <w:rPr>
                <w:rFonts w:hint="eastAsia"/>
              </w:rPr>
              <w:t>发生事故时常常导致原油及天然气的泄出和渗漏，从而可能影响工程区域内的野生脊椎动物的生存环境。事故类型的不同，对野生动物的影响范围和程度也有所不同。当发生井喷事故时，井场周围200m-500m范围以内的各种小型脊椎动物会因躲避不及造成死亡，局部区域可能影响到的只是一些啮齿类动物、爬行动物和小型鸟类，对大中型动物不会造成影响。如果发生火灾事故，由于生态环境及空气环境的变化，短时间内会使事故周围动物的分布数量下降。</w:t>
            </w:r>
          </w:p>
          <w:p>
            <w:pPr>
              <w:pStyle w:val="16"/>
              <w:bidi w:val="0"/>
              <w:rPr>
                <w:rFonts w:hint="eastAsia"/>
              </w:rPr>
            </w:pPr>
            <w:r>
              <w:rPr>
                <w:rFonts w:hint="eastAsia"/>
              </w:rPr>
              <w:t>（3）对野生动物</w:t>
            </w:r>
            <w:r>
              <w:rPr>
                <w:rFonts w:hint="eastAsia"/>
                <w:lang w:val="en-US" w:eastAsia="zh-CN"/>
              </w:rPr>
              <w:t>生活环境</w:t>
            </w:r>
            <w:r>
              <w:rPr>
                <w:rFonts w:hint="eastAsia"/>
              </w:rPr>
              <w:t>的影响</w:t>
            </w:r>
          </w:p>
          <w:p>
            <w:pPr>
              <w:pStyle w:val="16"/>
              <w:bidi w:val="0"/>
              <w:rPr>
                <w:rFonts w:hint="eastAsia"/>
                <w:color w:val="auto"/>
              </w:rPr>
            </w:pPr>
            <w:r>
              <w:rPr>
                <w:rFonts w:hint="eastAsia"/>
              </w:rPr>
              <w:t>区域内各种野生动物经过长期的适应已形成较稳定的取食、饮水、栖息活动范围和分布，施工占地</w:t>
            </w:r>
            <w:r>
              <w:rPr>
                <w:rFonts w:hint="eastAsia"/>
                <w:lang w:val="en-US" w:eastAsia="zh-CN"/>
              </w:rPr>
              <w:t>主要为耕地，基本对野生动物的生境无影响</w:t>
            </w:r>
            <w:r>
              <w:rPr>
                <w:rFonts w:hint="eastAsia"/>
              </w:rPr>
              <w:t>。人为活动的干扰使得区域上空活动的鸟类相对于未干扰时有所减少，而使得局部地段二、三级营养结构中的爬行类（啮齿类）和昆虫类数量有所增加或活动频度增大。这些占地影响对地面活动的野生动物种类产生隔离作用，使原分布区内的种类向外扩散，而</w:t>
            </w:r>
            <w:r>
              <w:rPr>
                <w:rFonts w:hint="eastAsia"/>
                <w:color w:val="auto"/>
              </w:rPr>
              <w:t>钻井作业结束后，随着人类活动和占地的减少，原有生境将逐步恢复，野生动物对新环境适应后其活动和分布范围亦将恢复。</w:t>
            </w:r>
          </w:p>
          <w:p>
            <w:pPr>
              <w:pStyle w:val="16"/>
              <w:bidi w:val="0"/>
              <w:rPr>
                <w:rFonts w:hint="default" w:eastAsia="宋体"/>
                <w:color w:val="auto"/>
                <w:lang w:val="en-US" w:eastAsia="zh-CN"/>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lang w:val="en-US" w:eastAsia="zh-CN"/>
              </w:rPr>
              <w:t>对</w:t>
            </w:r>
            <w:r>
              <w:rPr>
                <w:rFonts w:hint="eastAsia"/>
                <w:color w:val="auto"/>
                <w:highlight w:val="none"/>
                <w:lang w:val="en-US" w:eastAsia="zh-CN"/>
              </w:rPr>
              <w:t>耕地</w:t>
            </w:r>
            <w:r>
              <w:rPr>
                <w:rFonts w:hint="eastAsia"/>
                <w:color w:val="auto"/>
                <w:lang w:val="en-US" w:eastAsia="zh-CN"/>
              </w:rPr>
              <w:t>的影响</w:t>
            </w:r>
          </w:p>
          <w:p>
            <w:pPr>
              <w:pStyle w:val="16"/>
              <w:bidi w:val="0"/>
              <w:rPr>
                <w:rFonts w:hint="eastAsia"/>
                <w:color w:val="auto"/>
              </w:rPr>
            </w:pPr>
            <w:r>
              <w:rPr>
                <w:rFonts w:hint="default"/>
                <w:color w:val="auto"/>
              </w:rPr>
              <w:t>井喷事故发生时应及时对原油进行收集拉运，对周围及时清理，不能回收的柴油/采出液以及受污染的土壤应集中收集后交由有相应处理资质的单位进行回收处置。发生事故后，及时采取相应的措施，不会对周围</w:t>
            </w:r>
            <w:r>
              <w:rPr>
                <w:rFonts w:hint="eastAsia"/>
                <w:color w:val="auto"/>
                <w:highlight w:val="none"/>
                <w:lang w:val="en-US" w:eastAsia="zh-CN"/>
              </w:rPr>
              <w:t>耕地</w:t>
            </w:r>
            <w:r>
              <w:rPr>
                <w:rFonts w:hint="default"/>
                <w:color w:val="auto"/>
              </w:rPr>
              <w:t>产生明显影响</w:t>
            </w:r>
            <w:r>
              <w:rPr>
                <w:rFonts w:hint="eastAsia"/>
                <w:color w:val="auto"/>
                <w:lang w:eastAsia="zh-CN"/>
              </w:rPr>
              <w:t>。</w:t>
            </w:r>
          </w:p>
          <w:p>
            <w:pPr>
              <w:pStyle w:val="4"/>
              <w:bidi w:val="0"/>
              <w:rPr>
                <w:rFonts w:hint="eastAsia"/>
                <w:lang w:val="en-US" w:eastAsia="zh-CN"/>
              </w:rPr>
            </w:pPr>
            <w:r>
              <w:rPr>
                <w:rFonts w:hint="eastAsia"/>
                <w:color w:val="auto"/>
                <w:lang w:val="en-US" w:eastAsia="zh-CN"/>
              </w:rPr>
              <w:t>2、施工期土壤环境影响</w:t>
            </w:r>
            <w:r>
              <w:rPr>
                <w:rFonts w:hint="eastAsia"/>
                <w:lang w:val="en-US" w:eastAsia="zh-CN"/>
              </w:rPr>
              <w:t>分析</w:t>
            </w:r>
          </w:p>
          <w:p>
            <w:pPr>
              <w:pStyle w:val="16"/>
              <w:bidi w:val="0"/>
              <w:rPr>
                <w:rFonts w:hint="eastAsia"/>
                <w:lang w:val="en-US" w:eastAsia="zh-CN"/>
              </w:rPr>
            </w:pPr>
            <w:r>
              <w:rPr>
                <w:rFonts w:hint="eastAsia"/>
                <w:lang w:val="en-US" w:eastAsia="zh-CN"/>
              </w:rPr>
              <w:t>本项目属于“矿产资源地质勘查（含勘探活动和油气资源勘探）”，根据《环境影响评价技术导则土壤环境（试行）》（HJ964-2018）附录A，本项目为</w:t>
            </w:r>
            <w:r>
              <w:rPr>
                <w:rFonts w:hint="default" w:ascii="Times New Roman" w:hAnsi="Times New Roman" w:cs="Times New Roman"/>
                <w:lang w:val="en-US" w:eastAsia="zh-CN"/>
              </w:rPr>
              <w:t>Ⅳ</w:t>
            </w:r>
            <w:r>
              <w:rPr>
                <w:rFonts w:hint="eastAsia"/>
                <w:lang w:val="en-US" w:eastAsia="zh-CN"/>
              </w:rPr>
              <w:t>类项目，可不开展土壤环境影响评价，本次环评仅做简单分析。</w:t>
            </w:r>
          </w:p>
          <w:p>
            <w:pPr>
              <w:pStyle w:val="19"/>
              <w:bidi w:val="0"/>
              <w:rPr>
                <w:rFonts w:hint="default"/>
                <w:color w:val="auto"/>
              </w:rPr>
            </w:pPr>
            <w:r>
              <w:rPr>
                <w:rFonts w:hint="eastAsia"/>
                <w:lang w:val="en-US" w:eastAsia="zh-CN"/>
              </w:rPr>
              <w:t>2.1</w:t>
            </w:r>
            <w:r>
              <w:rPr>
                <w:rFonts w:hint="default"/>
              </w:rPr>
              <w:t>工程占地影响分析</w:t>
            </w:r>
          </w:p>
          <w:p>
            <w:pPr>
              <w:pStyle w:val="16"/>
              <w:bidi w:val="0"/>
              <w:rPr>
                <w:rFonts w:hint="default"/>
              </w:rPr>
            </w:pPr>
            <w:r>
              <w:rPr>
                <w:rFonts w:hint="default"/>
                <w:color w:val="auto"/>
              </w:rPr>
              <w:t>本项目占地主要为井场及临时道路，</w:t>
            </w:r>
            <w:r>
              <w:rPr>
                <w:rFonts w:hint="eastAsia"/>
                <w:color w:val="auto"/>
                <w:lang w:val="en-US" w:eastAsia="zh-CN"/>
              </w:rPr>
              <w:t>占地类型为旱地，</w:t>
            </w:r>
            <w:r>
              <w:rPr>
                <w:rFonts w:hint="default"/>
                <w:color w:val="auto"/>
              </w:rPr>
              <w:t>施工期扰动总面积达</w:t>
            </w:r>
            <w:r>
              <w:rPr>
                <w:rFonts w:hint="eastAsia" w:cs="Times New Roman"/>
                <w:color w:val="auto"/>
                <w:sz w:val="24"/>
                <w:szCs w:val="24"/>
                <w:lang w:val="en-US" w:eastAsia="zh-CN"/>
              </w:rPr>
              <w:t>46702</w:t>
            </w:r>
            <w:r>
              <w:rPr>
                <w:rFonts w:hint="eastAsia"/>
                <w:color w:val="auto"/>
                <w:sz w:val="24"/>
                <w:szCs w:val="24"/>
                <w:highlight w:val="none"/>
              </w:rPr>
              <w:t>m</w:t>
            </w:r>
            <w:r>
              <w:rPr>
                <w:rFonts w:hint="eastAsia"/>
                <w:color w:val="auto"/>
                <w:sz w:val="24"/>
                <w:szCs w:val="24"/>
                <w:highlight w:val="none"/>
                <w:vertAlign w:val="superscript"/>
              </w:rPr>
              <w:t>2</w:t>
            </w:r>
            <w:r>
              <w:rPr>
                <w:rFonts w:hint="default"/>
                <w:color w:val="auto"/>
                <w:sz w:val="24"/>
                <w:szCs w:val="24"/>
              </w:rPr>
              <w:t>，</w:t>
            </w:r>
            <w:r>
              <w:rPr>
                <w:rFonts w:hint="default"/>
                <w:color w:val="auto"/>
              </w:rPr>
              <w:t>均为临时占地。最主要的危</w:t>
            </w:r>
            <w:r>
              <w:rPr>
                <w:rFonts w:hint="default"/>
              </w:rPr>
              <w:t>害是破坏了地表结构，增加了土壤风蚀量和沙漠化的可能性。在进行井场施工时，将对作业范围内的土壤表层进行干扰和破坏，土壤表层结构（包括紧实度）、肥力将受到影响，土壤易受到侵蚀。当施工结束后，人为活动的范围缩小，将使受到破坏的地表逐渐得到恢复，风蚀和荒漠化影响将随着天然植被的恢复逐渐得到控制。</w:t>
            </w:r>
          </w:p>
          <w:p>
            <w:pPr>
              <w:pStyle w:val="19"/>
              <w:bidi w:val="0"/>
              <w:rPr>
                <w:rFonts w:hint="default"/>
              </w:rPr>
            </w:pPr>
            <w:r>
              <w:rPr>
                <w:rFonts w:hint="eastAsia"/>
                <w:lang w:val="en-US" w:eastAsia="zh-CN"/>
              </w:rPr>
              <w:t>2.2</w:t>
            </w:r>
            <w:r>
              <w:rPr>
                <w:rFonts w:hint="default"/>
              </w:rPr>
              <w:t>固体废物对土壤环境的影响</w:t>
            </w:r>
          </w:p>
          <w:p>
            <w:pPr>
              <w:pStyle w:val="16"/>
              <w:bidi w:val="0"/>
              <w:rPr>
                <w:rFonts w:hint="default"/>
              </w:rPr>
            </w:pPr>
            <w:r>
              <w:rPr>
                <w:rFonts w:hint="default"/>
              </w:rPr>
              <w:t>在钻井过程中会产生钻井泥浆和岩屑，本项目采用泥浆不落地技术，可以有效减缓钻井泥浆、岩屑对土壤的影响范围和程度。</w:t>
            </w:r>
          </w:p>
          <w:p>
            <w:pPr>
              <w:pStyle w:val="19"/>
              <w:bidi w:val="0"/>
              <w:rPr>
                <w:rFonts w:hint="default"/>
              </w:rPr>
            </w:pPr>
            <w:r>
              <w:rPr>
                <w:rFonts w:hint="eastAsia"/>
                <w:lang w:val="en-US" w:eastAsia="zh-CN"/>
              </w:rPr>
              <w:t>2.3</w:t>
            </w:r>
            <w:r>
              <w:rPr>
                <w:rFonts w:hint="default"/>
              </w:rPr>
              <w:t>事故状态下对土壤环境的影响</w:t>
            </w:r>
          </w:p>
          <w:p>
            <w:pPr>
              <w:pStyle w:val="16"/>
              <w:bidi w:val="0"/>
              <w:rPr>
                <w:rFonts w:hint="default"/>
              </w:rPr>
            </w:pPr>
            <w:r>
              <w:rPr>
                <w:rFonts w:hint="default"/>
              </w:rPr>
              <w:t>井喷是油田开发过程中的意外事故，钻井和井下作业中均可能发生井喷。一次井喷可抛洒大量的天然气和原油，其中的轻组分挥发，而重组分油对土壤有一定的影响。井喷会造成大量原油覆盖在土壤表层，使土壤表层的土壤透气性下降，理化性状发生变化，对影响范围内的土壤表层造成严重的污染。</w:t>
            </w:r>
          </w:p>
          <w:p>
            <w:pPr>
              <w:pStyle w:val="16"/>
              <w:bidi w:val="0"/>
              <w:rPr>
                <w:rFonts w:hint="default"/>
              </w:rPr>
            </w:pPr>
            <w:r>
              <w:rPr>
                <w:rFonts w:hint="default"/>
              </w:rPr>
              <w:t>井喷持续时间越长，对土壤造成的污染越严重。但根据已有的相关资料，井喷事故主要影响事故区域内的表层土壤。</w:t>
            </w:r>
          </w:p>
          <w:p>
            <w:pPr>
              <w:pStyle w:val="19"/>
              <w:bidi w:val="0"/>
              <w:rPr>
                <w:rFonts w:hint="default"/>
                <w:lang w:val="en-US" w:eastAsia="zh-CN"/>
              </w:rPr>
            </w:pPr>
            <w:r>
              <w:rPr>
                <w:rFonts w:hint="eastAsia"/>
                <w:lang w:val="en-US" w:eastAsia="zh-CN"/>
              </w:rPr>
              <w:t>2.4水土流失影响分析</w:t>
            </w:r>
          </w:p>
          <w:p>
            <w:pPr>
              <w:pStyle w:val="16"/>
              <w:bidi w:val="0"/>
              <w:rPr>
                <w:rFonts w:hint="default"/>
              </w:rPr>
            </w:pPr>
            <w:r>
              <w:rPr>
                <w:rFonts w:hint="default"/>
              </w:rPr>
              <w:t>本项目建设将破坏地表原有稳定砾石层，增大了风蚀量。施工作业范围内的土壤地表表层遭到破坏，下层的粉细物质暴露在地层表面，在风力的作用下，风蚀量会明显加大，这种影响在短时间内不会完全恢复。但随着时间的推移，风蚀量会随着地表新保护层的逐渐形成而减弱。水土流失本次要求建设单位严格按照《中华人民共和国防沙治沙法》（2018年10月26日）中有关规定，执行以下井场防沙治沙防治措施：</w:t>
            </w:r>
          </w:p>
          <w:p>
            <w:pPr>
              <w:pStyle w:val="16"/>
              <w:bidi w:val="0"/>
              <w:rPr>
                <w:rFonts w:hint="default"/>
              </w:rPr>
            </w:pPr>
            <w:r>
              <w:rPr>
                <w:rFonts w:hint="default"/>
              </w:rPr>
              <w:t>土地临时使用过程中发现土地沙化或者沙化程度加重的，应当及时报告当地人民政府；大力宣传《中华人民共和国防沙治沙法》（2018年10月26日），使施工人员知法、懂法、守法，自觉保护林草植被，自觉履行防治义务。禁止在沙化土地上砍挖灌木、药材及其他固沙植物；施工结束后对占地进行平整，清运现场遗留的污染物，按照正式征地文件的规定对占地进行经济补偿。</w:t>
            </w:r>
          </w:p>
          <w:p>
            <w:pPr>
              <w:pStyle w:val="4"/>
              <w:bidi w:val="0"/>
              <w:rPr>
                <w:rFonts w:hint="eastAsia"/>
                <w:lang w:val="en-US" w:eastAsia="zh-CN"/>
              </w:rPr>
            </w:pPr>
            <w:r>
              <w:rPr>
                <w:rFonts w:hint="eastAsia"/>
                <w:lang w:val="en-US" w:eastAsia="zh-CN"/>
              </w:rPr>
              <w:t>3、施工期大气环境影响分析</w:t>
            </w:r>
          </w:p>
          <w:p>
            <w:pPr>
              <w:pStyle w:val="16"/>
              <w:bidi w:val="0"/>
            </w:pPr>
            <w:r>
              <w:rPr>
                <w:rFonts w:hint="eastAsia"/>
              </w:rPr>
              <w:t>施工期废气主要为车辆尾气、施工扬尘、柴油机、发电机及各类施工机械燃料燃烧烟气、伴生气放空产生的燃烧烟气和试油期间储液罐无组织逸散的废气等</w:t>
            </w:r>
          </w:p>
          <w:p>
            <w:pPr>
              <w:pStyle w:val="19"/>
              <w:bidi w:val="0"/>
            </w:pPr>
            <w:r>
              <w:rPr>
                <w:rFonts w:hint="eastAsia"/>
                <w:lang w:val="en-US" w:eastAsia="zh-CN"/>
              </w:rPr>
              <w:t>3.1</w:t>
            </w:r>
            <w:r>
              <w:t>车辆尾气、施工扬尘</w:t>
            </w:r>
          </w:p>
          <w:p>
            <w:pPr>
              <w:pStyle w:val="16"/>
              <w:bidi w:val="0"/>
            </w:pPr>
            <w:r>
              <w:t>车辆</w:t>
            </w:r>
            <w:r>
              <w:rPr>
                <w:rFonts w:hint="eastAsia"/>
              </w:rPr>
              <w:t>在</w:t>
            </w:r>
            <w:r>
              <w:t>行驶过程</w:t>
            </w:r>
            <w:r>
              <w:rPr>
                <w:rFonts w:hint="eastAsia"/>
              </w:rPr>
              <w:t>中会排放</w:t>
            </w:r>
            <w:r>
              <w:t>间断性、不连续的车辆尾气。</w:t>
            </w:r>
            <w:r>
              <w:rPr>
                <w:rFonts w:hint="eastAsia"/>
              </w:rPr>
              <w:t>但</w:t>
            </w:r>
            <w:r>
              <w:t>汽车油料</w:t>
            </w:r>
            <w:r>
              <w:rPr>
                <w:rFonts w:hint="eastAsia"/>
              </w:rPr>
              <w:t>均</w:t>
            </w:r>
            <w:r>
              <w:t>为国家合格产品，其尾气排放的污染物均符合国家标准，</w:t>
            </w:r>
            <w:r>
              <w:rPr>
                <w:rFonts w:hint="eastAsia"/>
              </w:rPr>
              <w:t>故其</w:t>
            </w:r>
            <w:r>
              <w:t>对周围环境的影响较小。</w:t>
            </w:r>
          </w:p>
          <w:p>
            <w:pPr>
              <w:pStyle w:val="16"/>
              <w:bidi w:val="0"/>
              <w:rPr>
                <w:color w:val="auto"/>
              </w:rPr>
            </w:pPr>
            <w:r>
              <w:t>施工期</w:t>
            </w:r>
            <w:r>
              <w:rPr>
                <w:rFonts w:hint="eastAsia"/>
              </w:rPr>
              <w:t>间</w:t>
            </w:r>
            <w:r>
              <w:t>土壤被扰动后</w:t>
            </w:r>
            <w:r>
              <w:rPr>
                <w:rFonts w:hint="eastAsia"/>
              </w:rPr>
              <w:t>产生</w:t>
            </w:r>
            <w:r>
              <w:t>的尘土</w:t>
            </w:r>
            <w:r>
              <w:rPr>
                <w:rFonts w:hint="eastAsia"/>
              </w:rPr>
              <w:t>和</w:t>
            </w:r>
            <w:r>
              <w:t>施工运输车辆产生的扬尘，</w:t>
            </w:r>
            <w:r>
              <w:rPr>
                <w:rFonts w:hint="eastAsia"/>
              </w:rPr>
              <w:t>均会</w:t>
            </w:r>
            <w:r>
              <w:t>对环境空气造成一定的影响。但一般施工扬尘易于沉降，其影响将限制在较小的范围内，对周围大气环境</w:t>
            </w:r>
            <w:r>
              <w:rPr>
                <w:color w:val="auto"/>
              </w:rPr>
              <w:t>影响较小。</w:t>
            </w:r>
          </w:p>
          <w:p>
            <w:pPr>
              <w:pStyle w:val="19"/>
              <w:bidi w:val="0"/>
              <w:rPr>
                <w:color w:val="auto"/>
              </w:rPr>
            </w:pPr>
            <w:r>
              <w:rPr>
                <w:rFonts w:hint="eastAsia"/>
                <w:color w:val="auto"/>
                <w:lang w:val="en-US" w:eastAsia="zh-CN"/>
              </w:rPr>
              <w:t>3.2</w:t>
            </w:r>
            <w:r>
              <w:rPr>
                <w:rFonts w:hint="eastAsia"/>
                <w:color w:val="auto"/>
              </w:rPr>
              <w:t>柴油燃烧废气</w:t>
            </w:r>
          </w:p>
          <w:p>
            <w:pPr>
              <w:pStyle w:val="16"/>
              <w:bidi w:val="0"/>
              <w:rPr>
                <w:color w:val="auto"/>
              </w:rPr>
            </w:pPr>
            <w:r>
              <w:rPr>
                <w:rFonts w:hint="default"/>
                <w:color w:val="auto"/>
                <w:lang w:val="en-US" w:eastAsia="zh-CN"/>
              </w:rPr>
              <w:t>本项目单井钻井周期70d，试油期180d。</w:t>
            </w:r>
            <w:r>
              <w:rPr>
                <w:rFonts w:hint="eastAsia"/>
                <w:color w:val="auto"/>
                <w:lang w:val="en-US" w:eastAsia="zh-CN"/>
              </w:rPr>
              <w:t>本项目钻井期及试油期柴油耗量见表4-1。根据《非道路移动污染源排放清单编制技术指南》，柴油机污染物排放系数，柴油机组燃烧废气中各污染物产生情况见表4-2。</w:t>
            </w:r>
          </w:p>
          <w:p>
            <w:pPr>
              <w:keepNext w:val="0"/>
              <w:keepLines w:val="0"/>
              <w:widowControl/>
              <w:suppressLineNumbers w:val="0"/>
              <w:jc w:val="center"/>
              <w:rPr>
                <w:color w:val="auto"/>
              </w:rPr>
            </w:pPr>
            <w:r>
              <w:rPr>
                <w:rFonts w:hint="eastAsia" w:ascii="宋体" w:hAnsi="宋体" w:eastAsia="宋体" w:cs="宋体"/>
                <w:b/>
                <w:bCs/>
                <w:color w:val="auto"/>
                <w:kern w:val="0"/>
                <w:sz w:val="21"/>
                <w:szCs w:val="21"/>
                <w:lang w:val="en-US" w:eastAsia="zh-CN" w:bidi="ar"/>
              </w:rPr>
              <w:t>表</w:t>
            </w:r>
            <w:r>
              <w:rPr>
                <w:rFonts w:hint="eastAsia" w:cs="Times New Roman"/>
                <w:b/>
                <w:bCs/>
                <w:color w:val="auto"/>
                <w:kern w:val="0"/>
                <w:sz w:val="21"/>
                <w:szCs w:val="21"/>
                <w:lang w:val="en-US" w:eastAsia="zh-CN" w:bidi="ar"/>
              </w:rPr>
              <w:t xml:space="preserve">4-1   </w:t>
            </w:r>
            <w:r>
              <w:rPr>
                <w:rFonts w:hint="eastAsia" w:ascii="宋体" w:hAnsi="宋体" w:eastAsia="宋体" w:cs="宋体"/>
                <w:b/>
                <w:bCs/>
                <w:color w:val="auto"/>
                <w:kern w:val="0"/>
                <w:sz w:val="21"/>
                <w:szCs w:val="21"/>
                <w:lang w:val="en-US" w:eastAsia="zh-CN" w:bidi="ar"/>
              </w:rPr>
              <w:t>钻井期和油气测试期消耗柴油量</w:t>
            </w:r>
          </w:p>
          <w:tbl>
            <w:tblPr>
              <w:tblStyle w:val="12"/>
              <w:tblW w:w="81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2037"/>
              <w:gridCol w:w="2037"/>
              <w:gridCol w:w="2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noWrap w:val="0"/>
                  <w:vAlign w:val="center"/>
                </w:tcPr>
                <w:p>
                  <w:pPr>
                    <w:pStyle w:val="17"/>
                    <w:widowControl w:val="0"/>
                    <w:bidi w:val="0"/>
                    <w:rPr>
                      <w:rFonts w:hint="default"/>
                      <w:color w:val="auto"/>
                      <w:lang w:val="en-US" w:eastAsia="zh-CN"/>
                    </w:rPr>
                  </w:pPr>
                  <w:r>
                    <w:rPr>
                      <w:rFonts w:hint="default"/>
                      <w:color w:val="auto"/>
                      <w:lang w:val="en-US" w:eastAsia="zh-CN"/>
                    </w:rPr>
                    <w:t>阶段</w:t>
                  </w:r>
                </w:p>
              </w:tc>
              <w:tc>
                <w:tcPr>
                  <w:tcW w:w="2037" w:type="dxa"/>
                  <w:noWrap w:val="0"/>
                  <w:vAlign w:val="center"/>
                </w:tcPr>
                <w:p>
                  <w:pPr>
                    <w:pStyle w:val="17"/>
                    <w:widowControl w:val="0"/>
                    <w:bidi w:val="0"/>
                    <w:rPr>
                      <w:rFonts w:hint="default"/>
                      <w:color w:val="auto"/>
                      <w:lang w:val="en-US" w:eastAsia="zh-CN"/>
                    </w:rPr>
                  </w:pPr>
                  <w:r>
                    <w:rPr>
                      <w:rFonts w:hint="default"/>
                      <w:color w:val="auto"/>
                      <w:lang w:val="en-US" w:eastAsia="zh-CN"/>
                    </w:rPr>
                    <w:t>周期（d）</w:t>
                  </w:r>
                </w:p>
              </w:tc>
              <w:tc>
                <w:tcPr>
                  <w:tcW w:w="2037" w:type="dxa"/>
                  <w:noWrap w:val="0"/>
                  <w:vAlign w:val="center"/>
                </w:tcPr>
                <w:p>
                  <w:pPr>
                    <w:pStyle w:val="17"/>
                    <w:widowControl w:val="0"/>
                    <w:bidi w:val="0"/>
                    <w:rPr>
                      <w:rFonts w:hint="default"/>
                      <w:color w:val="auto"/>
                      <w:lang w:val="en-US" w:eastAsia="zh-CN"/>
                    </w:rPr>
                  </w:pPr>
                  <w:r>
                    <w:rPr>
                      <w:rFonts w:hint="default"/>
                      <w:color w:val="auto"/>
                      <w:lang w:val="en-US" w:eastAsia="zh-CN"/>
                    </w:rPr>
                    <w:t>柴油消耗量（t/d）</w:t>
                  </w:r>
                </w:p>
              </w:tc>
              <w:tc>
                <w:tcPr>
                  <w:tcW w:w="2037" w:type="dxa"/>
                  <w:noWrap w:val="0"/>
                  <w:vAlign w:val="center"/>
                </w:tcPr>
                <w:p>
                  <w:pPr>
                    <w:pStyle w:val="17"/>
                    <w:widowControl w:val="0"/>
                    <w:bidi w:val="0"/>
                    <w:rPr>
                      <w:rFonts w:hint="default"/>
                      <w:color w:val="auto"/>
                      <w:lang w:val="en-US" w:eastAsia="zh-CN"/>
                    </w:rPr>
                  </w:pPr>
                  <w:r>
                    <w:rPr>
                      <w:rFonts w:hint="default"/>
                      <w:color w:val="auto"/>
                      <w:lang w:val="en-US" w:eastAsia="zh-CN"/>
                    </w:rPr>
                    <w:t>柴油消耗总量（t）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noWrap w:val="0"/>
                  <w:vAlign w:val="center"/>
                </w:tcPr>
                <w:p>
                  <w:pPr>
                    <w:pStyle w:val="17"/>
                    <w:widowControl w:val="0"/>
                    <w:bidi w:val="0"/>
                    <w:rPr>
                      <w:rFonts w:hint="default"/>
                      <w:color w:val="auto"/>
                      <w:lang w:val="en-US" w:eastAsia="zh-CN"/>
                    </w:rPr>
                  </w:pPr>
                  <w:r>
                    <w:rPr>
                      <w:rFonts w:hint="default"/>
                      <w:color w:val="auto"/>
                      <w:lang w:val="en-US" w:eastAsia="zh-CN"/>
                    </w:rPr>
                    <w:t>钻井期</w:t>
                  </w:r>
                </w:p>
              </w:tc>
              <w:tc>
                <w:tcPr>
                  <w:tcW w:w="2037" w:type="dxa"/>
                  <w:noWrap w:val="0"/>
                  <w:vAlign w:val="center"/>
                </w:tcPr>
                <w:p>
                  <w:pPr>
                    <w:pStyle w:val="17"/>
                    <w:widowControl w:val="0"/>
                    <w:bidi w:val="0"/>
                    <w:rPr>
                      <w:rFonts w:hint="default"/>
                      <w:color w:val="auto"/>
                      <w:lang w:val="en-US" w:eastAsia="zh-CN"/>
                    </w:rPr>
                  </w:pPr>
                  <w:r>
                    <w:rPr>
                      <w:rFonts w:hint="eastAsia"/>
                      <w:color w:val="auto"/>
                      <w:lang w:val="en-US" w:eastAsia="zh-CN"/>
                    </w:rPr>
                    <w:t>560</w:t>
                  </w:r>
                </w:p>
              </w:tc>
              <w:tc>
                <w:tcPr>
                  <w:tcW w:w="2037" w:type="dxa"/>
                  <w:noWrap w:val="0"/>
                  <w:vAlign w:val="center"/>
                </w:tcPr>
                <w:p>
                  <w:pPr>
                    <w:pStyle w:val="17"/>
                    <w:widowControl w:val="0"/>
                    <w:bidi w:val="0"/>
                    <w:rPr>
                      <w:rFonts w:hint="default"/>
                      <w:color w:val="auto"/>
                      <w:lang w:val="en-US" w:eastAsia="zh-CN"/>
                    </w:rPr>
                  </w:pPr>
                  <w:r>
                    <w:rPr>
                      <w:rFonts w:hint="default"/>
                      <w:color w:val="auto"/>
                      <w:lang w:val="en-US" w:eastAsia="zh-CN"/>
                    </w:rPr>
                    <w:t>1.5</w:t>
                  </w:r>
                </w:p>
              </w:tc>
              <w:tc>
                <w:tcPr>
                  <w:tcW w:w="2037" w:type="dxa"/>
                  <w:noWrap w:val="0"/>
                  <w:vAlign w:val="center"/>
                </w:tcPr>
                <w:p>
                  <w:pPr>
                    <w:pStyle w:val="17"/>
                    <w:widowControl w:val="0"/>
                    <w:bidi w:val="0"/>
                    <w:rPr>
                      <w:rFonts w:hint="default"/>
                      <w:color w:val="auto"/>
                      <w:lang w:val="en-US" w:eastAsia="zh-CN"/>
                    </w:rPr>
                  </w:pPr>
                  <w:r>
                    <w:rPr>
                      <w:rFonts w:hint="eastAsia"/>
                      <w:color w:val="auto"/>
                      <w:lang w:val="en-US" w:eastAsia="zh-CN"/>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noWrap w:val="0"/>
                  <w:vAlign w:val="center"/>
                </w:tcPr>
                <w:p>
                  <w:pPr>
                    <w:pStyle w:val="17"/>
                    <w:widowControl w:val="0"/>
                    <w:bidi w:val="0"/>
                    <w:rPr>
                      <w:rFonts w:hint="default"/>
                      <w:color w:val="auto"/>
                      <w:lang w:val="en-US" w:eastAsia="zh-CN"/>
                    </w:rPr>
                  </w:pPr>
                  <w:r>
                    <w:rPr>
                      <w:rFonts w:hint="default"/>
                      <w:color w:val="auto"/>
                      <w:lang w:val="en-US" w:eastAsia="zh-CN"/>
                    </w:rPr>
                    <w:t>试油期</w:t>
                  </w:r>
                </w:p>
              </w:tc>
              <w:tc>
                <w:tcPr>
                  <w:tcW w:w="2037" w:type="dxa"/>
                  <w:noWrap w:val="0"/>
                  <w:vAlign w:val="center"/>
                </w:tcPr>
                <w:p>
                  <w:pPr>
                    <w:pStyle w:val="17"/>
                    <w:widowControl w:val="0"/>
                    <w:bidi w:val="0"/>
                    <w:rPr>
                      <w:rFonts w:hint="default"/>
                      <w:color w:val="auto"/>
                      <w:lang w:val="en-US" w:eastAsia="zh-CN"/>
                    </w:rPr>
                  </w:pPr>
                  <w:r>
                    <w:rPr>
                      <w:rFonts w:hint="eastAsia"/>
                      <w:color w:val="auto"/>
                      <w:lang w:val="en-US" w:eastAsia="zh-CN"/>
                    </w:rPr>
                    <w:t>1440</w:t>
                  </w:r>
                </w:p>
              </w:tc>
              <w:tc>
                <w:tcPr>
                  <w:tcW w:w="2037" w:type="dxa"/>
                  <w:noWrap w:val="0"/>
                  <w:vAlign w:val="center"/>
                </w:tcPr>
                <w:p>
                  <w:pPr>
                    <w:pStyle w:val="17"/>
                    <w:widowControl w:val="0"/>
                    <w:bidi w:val="0"/>
                    <w:rPr>
                      <w:rFonts w:hint="default"/>
                      <w:color w:val="auto"/>
                      <w:lang w:val="en-US" w:eastAsia="zh-CN"/>
                    </w:rPr>
                  </w:pPr>
                  <w:r>
                    <w:rPr>
                      <w:rFonts w:hint="default"/>
                      <w:color w:val="auto"/>
                      <w:lang w:val="en-US" w:eastAsia="zh-CN"/>
                    </w:rPr>
                    <w:t>0.16</w:t>
                  </w:r>
                </w:p>
              </w:tc>
              <w:tc>
                <w:tcPr>
                  <w:tcW w:w="2037" w:type="dxa"/>
                  <w:noWrap w:val="0"/>
                  <w:vAlign w:val="center"/>
                </w:tcPr>
                <w:p>
                  <w:pPr>
                    <w:pStyle w:val="17"/>
                    <w:widowControl w:val="0"/>
                    <w:bidi w:val="0"/>
                    <w:rPr>
                      <w:rFonts w:hint="default"/>
                      <w:color w:val="auto"/>
                      <w:lang w:val="en-US" w:eastAsia="zh-CN"/>
                    </w:rPr>
                  </w:pPr>
                  <w:r>
                    <w:rPr>
                      <w:rFonts w:hint="eastAsia"/>
                      <w:color w:val="auto"/>
                      <w:lang w:val="en-US" w:eastAsia="zh-CN"/>
                    </w:rPr>
                    <w:t>230.4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0" w:type="dxa"/>
                  <w:gridSpan w:val="3"/>
                  <w:noWrap w:val="0"/>
                  <w:vAlign w:val="center"/>
                </w:tcPr>
                <w:p>
                  <w:pPr>
                    <w:pStyle w:val="17"/>
                    <w:widowControl w:val="0"/>
                    <w:bidi w:val="0"/>
                    <w:rPr>
                      <w:rFonts w:hint="default"/>
                      <w:color w:val="auto"/>
                      <w:lang w:val="en-US" w:eastAsia="zh-CN"/>
                    </w:rPr>
                  </w:pPr>
                  <w:r>
                    <w:rPr>
                      <w:rFonts w:hint="default"/>
                      <w:color w:val="auto"/>
                      <w:lang w:val="en-US" w:eastAsia="zh-CN"/>
                    </w:rPr>
                    <w:t>合计</w:t>
                  </w:r>
                </w:p>
              </w:tc>
              <w:tc>
                <w:tcPr>
                  <w:tcW w:w="2037" w:type="dxa"/>
                  <w:noWrap w:val="0"/>
                  <w:vAlign w:val="center"/>
                </w:tcPr>
                <w:p>
                  <w:pPr>
                    <w:pStyle w:val="17"/>
                    <w:widowControl w:val="0"/>
                    <w:bidi w:val="0"/>
                    <w:rPr>
                      <w:rFonts w:hint="default"/>
                      <w:color w:val="auto"/>
                      <w:lang w:val="en-US" w:eastAsia="zh-CN"/>
                    </w:rPr>
                  </w:pPr>
                  <w:r>
                    <w:rPr>
                      <w:rFonts w:hint="eastAsia"/>
                      <w:color w:val="auto"/>
                      <w:lang w:val="en-US" w:eastAsia="zh-CN"/>
                    </w:rPr>
                    <w:t>1070.4</w:t>
                  </w:r>
                </w:p>
              </w:tc>
            </w:tr>
          </w:tbl>
          <w:p>
            <w:pPr>
              <w:keepNext w:val="0"/>
              <w:keepLines w:val="0"/>
              <w:widowControl/>
              <w:suppressLineNumbers w:val="0"/>
              <w:jc w:val="center"/>
              <w:rPr>
                <w:rFonts w:hint="default" w:ascii="Times New Roman" w:hAnsi="Times New Roman" w:eastAsia="宋体" w:cs="Times New Roman"/>
                <w:b/>
                <w:bCs/>
                <w:color w:val="auto"/>
                <w:kern w:val="0"/>
                <w:sz w:val="21"/>
                <w:szCs w:val="21"/>
                <w:lang w:val="en-US" w:eastAsia="zh-CN" w:bidi="ar"/>
              </w:rPr>
            </w:pPr>
          </w:p>
          <w:p>
            <w:pPr>
              <w:keepNext w:val="0"/>
              <w:keepLines w:val="0"/>
              <w:widowControl/>
              <w:suppressLineNumbers w:val="0"/>
              <w:jc w:val="center"/>
              <w:rPr>
                <w:rFonts w:hint="eastAsia" w:ascii="宋体" w:hAnsi="宋体" w:eastAsia="宋体" w:cs="宋体"/>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w:t>
            </w:r>
            <w:r>
              <w:rPr>
                <w:rFonts w:hint="eastAsia" w:cs="Times New Roman"/>
                <w:b/>
                <w:bCs/>
                <w:color w:val="auto"/>
                <w:kern w:val="0"/>
                <w:sz w:val="21"/>
                <w:szCs w:val="21"/>
                <w:lang w:val="en-US" w:eastAsia="zh-CN" w:bidi="ar"/>
              </w:rPr>
              <w:t xml:space="preserve">4-2   </w:t>
            </w:r>
            <w:r>
              <w:rPr>
                <w:rFonts w:hint="default" w:ascii="Times New Roman" w:hAnsi="Times New Roman" w:eastAsia="宋体" w:cs="Times New Roman"/>
                <w:b/>
                <w:bCs/>
                <w:color w:val="auto"/>
                <w:kern w:val="0"/>
                <w:sz w:val="21"/>
                <w:szCs w:val="21"/>
                <w:lang w:val="en-US" w:eastAsia="zh-CN" w:bidi="ar"/>
              </w:rPr>
              <w:t>柴</w:t>
            </w:r>
            <w:r>
              <w:rPr>
                <w:rFonts w:hint="eastAsia" w:ascii="宋体" w:hAnsi="宋体" w:eastAsia="宋体" w:cs="宋体"/>
                <w:b/>
                <w:bCs/>
                <w:color w:val="auto"/>
                <w:kern w:val="0"/>
                <w:sz w:val="21"/>
                <w:szCs w:val="21"/>
                <w:lang w:val="en-US" w:eastAsia="zh-CN" w:bidi="ar"/>
              </w:rPr>
              <w:t>油机污染物排放量</w:t>
            </w:r>
          </w:p>
          <w:tbl>
            <w:tblPr>
              <w:tblStyle w:val="12"/>
              <w:tblW w:w="81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2037"/>
              <w:gridCol w:w="2037"/>
              <w:gridCol w:w="2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6" w:type="dxa"/>
                  <w:noWrap w:val="0"/>
                  <w:vAlign w:val="center"/>
                </w:tcPr>
                <w:p>
                  <w:pPr>
                    <w:pStyle w:val="17"/>
                    <w:widowControl w:val="0"/>
                    <w:bidi w:val="0"/>
                    <w:rPr>
                      <w:rFonts w:hint="default"/>
                      <w:color w:val="auto"/>
                      <w:lang w:val="en-US" w:eastAsia="zh-CN"/>
                    </w:rPr>
                  </w:pPr>
                  <w:r>
                    <w:rPr>
                      <w:rFonts w:hint="default"/>
                      <w:color w:val="auto"/>
                      <w:lang w:val="en-US" w:eastAsia="zh-CN"/>
                    </w:rPr>
                    <w:t>污染物</w:t>
                  </w:r>
                </w:p>
              </w:tc>
              <w:tc>
                <w:tcPr>
                  <w:tcW w:w="2037" w:type="dxa"/>
                  <w:noWrap w:val="0"/>
                  <w:vAlign w:val="center"/>
                </w:tcPr>
                <w:p>
                  <w:pPr>
                    <w:pStyle w:val="17"/>
                    <w:widowControl w:val="0"/>
                    <w:bidi w:val="0"/>
                    <w:rPr>
                      <w:rFonts w:hint="default"/>
                      <w:color w:val="auto"/>
                      <w:lang w:val="en-US" w:eastAsia="zh-CN"/>
                    </w:rPr>
                  </w:pPr>
                  <w:r>
                    <w:rPr>
                      <w:rFonts w:hint="default"/>
                      <w:color w:val="auto"/>
                      <w:lang w:val="en-US" w:eastAsia="zh-CN"/>
                    </w:rPr>
                    <w:t>排污系数kg/t</w:t>
                  </w:r>
                </w:p>
              </w:tc>
              <w:tc>
                <w:tcPr>
                  <w:tcW w:w="2037" w:type="dxa"/>
                  <w:noWrap w:val="0"/>
                  <w:vAlign w:val="center"/>
                </w:tcPr>
                <w:p>
                  <w:pPr>
                    <w:pStyle w:val="17"/>
                    <w:widowControl w:val="0"/>
                    <w:bidi w:val="0"/>
                    <w:rPr>
                      <w:rFonts w:hint="default"/>
                      <w:color w:val="auto"/>
                      <w:lang w:val="en-US" w:eastAsia="zh-CN"/>
                    </w:rPr>
                  </w:pPr>
                  <w:r>
                    <w:rPr>
                      <w:rFonts w:hint="default"/>
                      <w:color w:val="auto"/>
                      <w:lang w:val="en-US" w:eastAsia="zh-CN"/>
                    </w:rPr>
                    <w:t>柴油用量t</w:t>
                  </w:r>
                </w:p>
              </w:tc>
              <w:tc>
                <w:tcPr>
                  <w:tcW w:w="2037" w:type="dxa"/>
                  <w:noWrap w:val="0"/>
                  <w:vAlign w:val="center"/>
                </w:tcPr>
                <w:p>
                  <w:pPr>
                    <w:pStyle w:val="17"/>
                    <w:widowControl w:val="0"/>
                    <w:bidi w:val="0"/>
                    <w:rPr>
                      <w:rFonts w:hint="default"/>
                      <w:color w:val="auto"/>
                      <w:lang w:val="en-US" w:eastAsia="zh-CN"/>
                    </w:rPr>
                  </w:pPr>
                  <w:r>
                    <w:rPr>
                      <w:rFonts w:hint="default"/>
                      <w:color w:val="auto"/>
                      <w:lang w:val="en-US" w:eastAsia="zh-CN"/>
                    </w:rPr>
                    <w:t>排放量t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6" w:type="dxa"/>
                  <w:noWrap w:val="0"/>
                  <w:vAlign w:val="center"/>
                </w:tcPr>
                <w:p>
                  <w:pPr>
                    <w:pStyle w:val="17"/>
                    <w:widowControl w:val="0"/>
                    <w:bidi w:val="0"/>
                    <w:rPr>
                      <w:rFonts w:hint="default"/>
                      <w:color w:val="auto"/>
                      <w:lang w:val="en-US" w:eastAsia="zh-CN"/>
                    </w:rPr>
                  </w:pPr>
                  <w:r>
                    <w:rPr>
                      <w:rFonts w:hint="default"/>
                      <w:color w:val="auto"/>
                      <w:lang w:val="en-US" w:eastAsia="zh-CN"/>
                    </w:rPr>
                    <w:t>CO</w:t>
                  </w:r>
                </w:p>
              </w:tc>
              <w:tc>
                <w:tcPr>
                  <w:tcW w:w="2037" w:type="dxa"/>
                  <w:noWrap w:val="0"/>
                  <w:vAlign w:val="center"/>
                </w:tcPr>
                <w:p>
                  <w:pPr>
                    <w:pStyle w:val="17"/>
                    <w:widowControl w:val="0"/>
                    <w:bidi w:val="0"/>
                    <w:rPr>
                      <w:rFonts w:hint="default"/>
                      <w:color w:val="auto"/>
                      <w:lang w:val="en-US" w:eastAsia="zh-CN"/>
                    </w:rPr>
                  </w:pPr>
                  <w:r>
                    <w:rPr>
                      <w:rFonts w:hint="default"/>
                      <w:color w:val="auto"/>
                      <w:lang w:val="en-US" w:eastAsia="zh-CN"/>
                    </w:rPr>
                    <w:t>10.72</w:t>
                  </w:r>
                </w:p>
              </w:tc>
              <w:tc>
                <w:tcPr>
                  <w:tcW w:w="2037" w:type="dxa"/>
                  <w:vMerge w:val="restart"/>
                  <w:noWrap w:val="0"/>
                  <w:vAlign w:val="center"/>
                </w:tcPr>
                <w:p>
                  <w:pPr>
                    <w:pStyle w:val="17"/>
                    <w:widowControl w:val="0"/>
                    <w:bidi w:val="0"/>
                    <w:rPr>
                      <w:rFonts w:hint="default"/>
                      <w:color w:val="auto"/>
                      <w:lang w:val="en-US" w:eastAsia="zh-CN"/>
                    </w:rPr>
                  </w:pPr>
                  <w:r>
                    <w:rPr>
                      <w:rFonts w:hint="eastAsia"/>
                      <w:color w:val="auto"/>
                      <w:lang w:val="en-US" w:eastAsia="zh-CN"/>
                    </w:rPr>
                    <w:t>1070.4</w:t>
                  </w:r>
                </w:p>
              </w:tc>
              <w:tc>
                <w:tcPr>
                  <w:tcW w:w="2037" w:type="dxa"/>
                  <w:noWrap w:val="0"/>
                  <w:vAlign w:val="center"/>
                </w:tcPr>
                <w:p>
                  <w:pPr>
                    <w:pStyle w:val="17"/>
                    <w:widowControl w:val="0"/>
                    <w:bidi w:val="0"/>
                    <w:rPr>
                      <w:rFonts w:hint="default"/>
                      <w:color w:val="auto"/>
                      <w:lang w:val="en-US" w:eastAsia="zh-CN"/>
                    </w:rPr>
                  </w:pPr>
                  <w:r>
                    <w:rPr>
                      <w:rFonts w:hint="eastAsia"/>
                      <w:color w:val="auto"/>
                      <w:lang w:val="en-US" w:eastAsia="zh-CN"/>
                    </w:rPr>
                    <w:t>11.47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6" w:type="dxa"/>
                  <w:noWrap w:val="0"/>
                  <w:vAlign w:val="center"/>
                </w:tcPr>
                <w:p>
                  <w:pPr>
                    <w:pStyle w:val="17"/>
                    <w:widowControl w:val="0"/>
                    <w:bidi w:val="0"/>
                    <w:rPr>
                      <w:rFonts w:hint="default"/>
                      <w:color w:val="auto"/>
                      <w:lang w:val="en-US" w:eastAsia="zh-CN"/>
                    </w:rPr>
                  </w:pPr>
                  <w:r>
                    <w:rPr>
                      <w:rFonts w:hint="default"/>
                      <w:color w:val="auto"/>
                      <w:lang w:val="en-US" w:eastAsia="zh-CN"/>
                    </w:rPr>
                    <w:t>NO</w:t>
                  </w:r>
                  <w:r>
                    <w:rPr>
                      <w:rFonts w:hint="default"/>
                      <w:color w:val="auto"/>
                      <w:vertAlign w:val="subscript"/>
                      <w:lang w:val="en-US" w:eastAsia="zh-CN"/>
                    </w:rPr>
                    <w:t>X</w:t>
                  </w:r>
                </w:p>
              </w:tc>
              <w:tc>
                <w:tcPr>
                  <w:tcW w:w="2037" w:type="dxa"/>
                  <w:noWrap w:val="0"/>
                  <w:vAlign w:val="center"/>
                </w:tcPr>
                <w:p>
                  <w:pPr>
                    <w:pStyle w:val="17"/>
                    <w:widowControl w:val="0"/>
                    <w:bidi w:val="0"/>
                    <w:rPr>
                      <w:rFonts w:hint="default"/>
                      <w:color w:val="auto"/>
                      <w:lang w:val="en-US" w:eastAsia="zh-CN"/>
                    </w:rPr>
                  </w:pPr>
                  <w:r>
                    <w:rPr>
                      <w:rFonts w:hint="default"/>
                      <w:color w:val="auto"/>
                      <w:lang w:val="en-US" w:eastAsia="zh-CN"/>
                    </w:rPr>
                    <w:t>32.79</w:t>
                  </w:r>
                </w:p>
              </w:tc>
              <w:tc>
                <w:tcPr>
                  <w:tcW w:w="2037" w:type="dxa"/>
                  <w:vMerge w:val="continue"/>
                  <w:noWrap w:val="0"/>
                  <w:vAlign w:val="center"/>
                </w:tcPr>
                <w:p>
                  <w:pPr>
                    <w:pStyle w:val="17"/>
                    <w:widowControl w:val="0"/>
                    <w:bidi w:val="0"/>
                    <w:rPr>
                      <w:rFonts w:hint="default"/>
                      <w:color w:val="auto"/>
                      <w:lang w:val="en-US" w:eastAsia="zh-CN"/>
                    </w:rPr>
                  </w:pPr>
                </w:p>
              </w:tc>
              <w:tc>
                <w:tcPr>
                  <w:tcW w:w="2037" w:type="dxa"/>
                  <w:noWrap w:val="0"/>
                  <w:vAlign w:val="center"/>
                </w:tcPr>
                <w:p>
                  <w:pPr>
                    <w:pStyle w:val="17"/>
                    <w:widowControl w:val="0"/>
                    <w:bidi w:val="0"/>
                    <w:rPr>
                      <w:rFonts w:hint="default"/>
                      <w:color w:val="auto"/>
                      <w:lang w:val="en-US" w:eastAsia="zh-CN"/>
                    </w:rPr>
                  </w:pPr>
                  <w:r>
                    <w:rPr>
                      <w:rFonts w:hint="eastAsia"/>
                      <w:color w:val="auto"/>
                      <w:lang w:val="en-US" w:eastAsia="zh-CN"/>
                    </w:rPr>
                    <w:t>35.10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036" w:type="dxa"/>
                  <w:noWrap w:val="0"/>
                  <w:vAlign w:val="center"/>
                </w:tcPr>
                <w:p>
                  <w:pPr>
                    <w:pStyle w:val="17"/>
                    <w:widowControl w:val="0"/>
                    <w:bidi w:val="0"/>
                    <w:rPr>
                      <w:rFonts w:hint="default"/>
                      <w:color w:val="auto"/>
                      <w:lang w:val="en-US" w:eastAsia="zh-CN"/>
                    </w:rPr>
                  </w:pPr>
                  <w:r>
                    <w:rPr>
                      <w:rFonts w:hint="default"/>
                      <w:color w:val="auto"/>
                      <w:lang w:val="en-US" w:eastAsia="zh-CN"/>
                    </w:rPr>
                    <w:t>HC</w:t>
                  </w:r>
                </w:p>
              </w:tc>
              <w:tc>
                <w:tcPr>
                  <w:tcW w:w="2037" w:type="dxa"/>
                  <w:noWrap w:val="0"/>
                  <w:vAlign w:val="center"/>
                </w:tcPr>
                <w:p>
                  <w:pPr>
                    <w:pStyle w:val="17"/>
                    <w:widowControl w:val="0"/>
                    <w:bidi w:val="0"/>
                    <w:rPr>
                      <w:rFonts w:hint="default"/>
                      <w:color w:val="auto"/>
                      <w:lang w:val="en-US" w:eastAsia="zh-CN"/>
                    </w:rPr>
                  </w:pPr>
                  <w:r>
                    <w:rPr>
                      <w:rFonts w:hint="default"/>
                      <w:color w:val="auto"/>
                      <w:lang w:val="en-US" w:eastAsia="zh-CN"/>
                    </w:rPr>
                    <w:t>3.39</w:t>
                  </w:r>
                </w:p>
              </w:tc>
              <w:tc>
                <w:tcPr>
                  <w:tcW w:w="2037" w:type="dxa"/>
                  <w:vMerge w:val="continue"/>
                  <w:noWrap w:val="0"/>
                  <w:vAlign w:val="center"/>
                </w:tcPr>
                <w:p>
                  <w:pPr>
                    <w:pStyle w:val="17"/>
                    <w:widowControl w:val="0"/>
                    <w:bidi w:val="0"/>
                    <w:rPr>
                      <w:rFonts w:hint="default"/>
                      <w:color w:val="auto"/>
                      <w:lang w:val="en-US" w:eastAsia="zh-CN"/>
                    </w:rPr>
                  </w:pPr>
                </w:p>
              </w:tc>
              <w:tc>
                <w:tcPr>
                  <w:tcW w:w="2037" w:type="dxa"/>
                  <w:noWrap w:val="0"/>
                  <w:vAlign w:val="center"/>
                </w:tcPr>
                <w:p>
                  <w:pPr>
                    <w:pStyle w:val="17"/>
                    <w:widowControl w:val="0"/>
                    <w:bidi w:val="0"/>
                    <w:rPr>
                      <w:rFonts w:hint="default"/>
                      <w:color w:val="auto"/>
                      <w:lang w:val="en-US" w:eastAsia="zh-CN"/>
                    </w:rPr>
                  </w:pPr>
                  <w:r>
                    <w:rPr>
                      <w:rFonts w:hint="eastAsia"/>
                      <w:color w:val="auto"/>
                      <w:lang w:val="en-US" w:eastAsia="zh-CN"/>
                    </w:rPr>
                    <w:t>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noWrap w:val="0"/>
                  <w:vAlign w:val="center"/>
                </w:tcPr>
                <w:p>
                  <w:pPr>
                    <w:pStyle w:val="17"/>
                    <w:widowControl w:val="0"/>
                    <w:bidi w:val="0"/>
                    <w:rPr>
                      <w:rFonts w:hint="default"/>
                      <w:color w:val="auto"/>
                      <w:lang w:val="en-US" w:eastAsia="zh-CN"/>
                    </w:rPr>
                  </w:pPr>
                  <w:r>
                    <w:rPr>
                      <w:rFonts w:hint="default"/>
                      <w:color w:val="auto"/>
                      <w:lang w:val="en-US" w:eastAsia="zh-CN"/>
                    </w:rPr>
                    <w:t>SO</w:t>
                  </w:r>
                  <w:r>
                    <w:rPr>
                      <w:rFonts w:hint="default"/>
                      <w:color w:val="auto"/>
                      <w:vertAlign w:val="subscript"/>
                      <w:lang w:val="en-US" w:eastAsia="zh-CN"/>
                    </w:rPr>
                    <w:t>2</w:t>
                  </w:r>
                </w:p>
              </w:tc>
              <w:tc>
                <w:tcPr>
                  <w:tcW w:w="2037" w:type="dxa"/>
                  <w:noWrap w:val="0"/>
                  <w:vAlign w:val="center"/>
                </w:tcPr>
                <w:p>
                  <w:pPr>
                    <w:pStyle w:val="17"/>
                    <w:widowControl w:val="0"/>
                    <w:bidi w:val="0"/>
                    <w:rPr>
                      <w:rFonts w:hint="default"/>
                      <w:color w:val="auto"/>
                      <w:lang w:val="en-US" w:eastAsia="zh-CN"/>
                    </w:rPr>
                  </w:pPr>
                  <w:r>
                    <w:rPr>
                      <w:rFonts w:hint="default"/>
                      <w:color w:val="auto"/>
                      <w:lang w:val="en-US" w:eastAsia="zh-CN"/>
                    </w:rPr>
                    <w:t>0.02</w:t>
                  </w:r>
                </w:p>
              </w:tc>
              <w:tc>
                <w:tcPr>
                  <w:tcW w:w="2037" w:type="dxa"/>
                  <w:vMerge w:val="continue"/>
                  <w:noWrap w:val="0"/>
                  <w:vAlign w:val="center"/>
                </w:tcPr>
                <w:p>
                  <w:pPr>
                    <w:pStyle w:val="17"/>
                    <w:widowControl w:val="0"/>
                    <w:bidi w:val="0"/>
                    <w:rPr>
                      <w:rFonts w:hint="default"/>
                      <w:color w:val="auto"/>
                      <w:lang w:val="en-US" w:eastAsia="zh-CN"/>
                    </w:rPr>
                  </w:pPr>
                </w:p>
              </w:tc>
              <w:tc>
                <w:tcPr>
                  <w:tcW w:w="2037" w:type="dxa"/>
                  <w:noWrap w:val="0"/>
                  <w:vAlign w:val="center"/>
                </w:tcPr>
                <w:p>
                  <w:pPr>
                    <w:pStyle w:val="17"/>
                    <w:widowControl w:val="0"/>
                    <w:bidi w:val="0"/>
                    <w:rPr>
                      <w:rFonts w:hint="default"/>
                      <w:color w:val="auto"/>
                      <w:lang w:val="en-US" w:eastAsia="zh-CN"/>
                    </w:rPr>
                  </w:pPr>
                  <w:r>
                    <w:rPr>
                      <w:rFonts w:hint="eastAsia"/>
                      <w:color w:val="auto"/>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noWrap w:val="0"/>
                  <w:vAlign w:val="center"/>
                </w:tcPr>
                <w:p>
                  <w:pPr>
                    <w:pStyle w:val="17"/>
                    <w:widowControl w:val="0"/>
                    <w:bidi w:val="0"/>
                    <w:rPr>
                      <w:rFonts w:hint="default"/>
                      <w:color w:val="auto"/>
                      <w:lang w:val="en-US" w:eastAsia="zh-CN"/>
                    </w:rPr>
                  </w:pPr>
                  <w:r>
                    <w:rPr>
                      <w:rFonts w:hint="default"/>
                      <w:color w:val="auto"/>
                      <w:lang w:val="en-US" w:eastAsia="zh-CN"/>
                    </w:rPr>
                    <w:t>PM</w:t>
                  </w:r>
                  <w:r>
                    <w:rPr>
                      <w:rFonts w:hint="default"/>
                      <w:color w:val="auto"/>
                      <w:vertAlign w:val="subscript"/>
                      <w:lang w:val="en-US" w:eastAsia="zh-CN"/>
                    </w:rPr>
                    <w:t>10</w:t>
                  </w:r>
                </w:p>
              </w:tc>
              <w:tc>
                <w:tcPr>
                  <w:tcW w:w="2037" w:type="dxa"/>
                  <w:noWrap w:val="0"/>
                  <w:vAlign w:val="center"/>
                </w:tcPr>
                <w:p>
                  <w:pPr>
                    <w:pStyle w:val="17"/>
                    <w:widowControl w:val="0"/>
                    <w:bidi w:val="0"/>
                    <w:rPr>
                      <w:rFonts w:hint="default"/>
                      <w:color w:val="auto"/>
                      <w:lang w:val="en-US" w:eastAsia="zh-CN"/>
                    </w:rPr>
                  </w:pPr>
                  <w:r>
                    <w:rPr>
                      <w:rFonts w:hint="default"/>
                      <w:color w:val="auto"/>
                      <w:lang w:val="en-US" w:eastAsia="zh-CN"/>
                    </w:rPr>
                    <w:t>2.09</w:t>
                  </w:r>
                </w:p>
              </w:tc>
              <w:tc>
                <w:tcPr>
                  <w:tcW w:w="2037" w:type="dxa"/>
                  <w:vMerge w:val="continue"/>
                  <w:noWrap w:val="0"/>
                  <w:vAlign w:val="center"/>
                </w:tcPr>
                <w:p>
                  <w:pPr>
                    <w:pStyle w:val="17"/>
                    <w:widowControl w:val="0"/>
                    <w:bidi w:val="0"/>
                    <w:rPr>
                      <w:rFonts w:hint="default"/>
                      <w:color w:val="auto"/>
                      <w:lang w:val="en-US" w:eastAsia="zh-CN"/>
                    </w:rPr>
                  </w:pPr>
                </w:p>
              </w:tc>
              <w:tc>
                <w:tcPr>
                  <w:tcW w:w="2037" w:type="dxa"/>
                  <w:noWrap w:val="0"/>
                  <w:vAlign w:val="center"/>
                </w:tcPr>
                <w:p>
                  <w:pPr>
                    <w:pStyle w:val="17"/>
                    <w:widowControl w:val="0"/>
                    <w:bidi w:val="0"/>
                    <w:rPr>
                      <w:rFonts w:hint="default"/>
                      <w:color w:val="auto"/>
                      <w:lang w:val="en-US" w:eastAsia="zh-CN"/>
                    </w:rPr>
                  </w:pPr>
                  <w:r>
                    <w:rPr>
                      <w:rFonts w:hint="eastAsia"/>
                      <w:color w:val="auto"/>
                      <w:lang w:val="en-US" w:eastAsia="zh-CN"/>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noWrap w:val="0"/>
                  <w:vAlign w:val="center"/>
                </w:tcPr>
                <w:p>
                  <w:pPr>
                    <w:pStyle w:val="17"/>
                    <w:widowControl w:val="0"/>
                    <w:bidi w:val="0"/>
                    <w:rPr>
                      <w:rFonts w:hint="default"/>
                      <w:color w:val="auto"/>
                      <w:lang w:val="en-US" w:eastAsia="zh-CN"/>
                    </w:rPr>
                  </w:pPr>
                  <w:r>
                    <w:rPr>
                      <w:rFonts w:hint="default"/>
                      <w:color w:val="auto"/>
                      <w:lang w:val="en-US" w:eastAsia="zh-CN"/>
                    </w:rPr>
                    <w:t>PM</w:t>
                  </w:r>
                  <w:r>
                    <w:rPr>
                      <w:rFonts w:hint="default"/>
                      <w:color w:val="auto"/>
                      <w:vertAlign w:val="subscript"/>
                      <w:lang w:val="en-US" w:eastAsia="zh-CN"/>
                    </w:rPr>
                    <w:t>2.5</w:t>
                  </w:r>
                </w:p>
              </w:tc>
              <w:tc>
                <w:tcPr>
                  <w:tcW w:w="2037" w:type="dxa"/>
                  <w:noWrap w:val="0"/>
                  <w:vAlign w:val="center"/>
                </w:tcPr>
                <w:p>
                  <w:pPr>
                    <w:pStyle w:val="17"/>
                    <w:widowControl w:val="0"/>
                    <w:bidi w:val="0"/>
                    <w:rPr>
                      <w:rFonts w:hint="default"/>
                      <w:color w:val="auto"/>
                      <w:lang w:val="en-US" w:eastAsia="zh-CN"/>
                    </w:rPr>
                  </w:pPr>
                  <w:r>
                    <w:rPr>
                      <w:rFonts w:hint="default"/>
                      <w:color w:val="auto"/>
                      <w:lang w:val="en-US" w:eastAsia="zh-CN"/>
                    </w:rPr>
                    <w:t>2.09</w:t>
                  </w:r>
                </w:p>
              </w:tc>
              <w:tc>
                <w:tcPr>
                  <w:tcW w:w="2037" w:type="dxa"/>
                  <w:vMerge w:val="continue"/>
                  <w:noWrap w:val="0"/>
                  <w:vAlign w:val="center"/>
                </w:tcPr>
                <w:p>
                  <w:pPr>
                    <w:pStyle w:val="17"/>
                    <w:widowControl w:val="0"/>
                    <w:bidi w:val="0"/>
                    <w:rPr>
                      <w:rFonts w:hint="default"/>
                      <w:color w:val="auto"/>
                      <w:lang w:val="en-US" w:eastAsia="zh-CN"/>
                    </w:rPr>
                  </w:pPr>
                </w:p>
              </w:tc>
              <w:tc>
                <w:tcPr>
                  <w:tcW w:w="2037" w:type="dxa"/>
                  <w:noWrap w:val="0"/>
                  <w:vAlign w:val="center"/>
                </w:tcPr>
                <w:p>
                  <w:pPr>
                    <w:pStyle w:val="17"/>
                    <w:widowControl w:val="0"/>
                    <w:bidi w:val="0"/>
                    <w:rPr>
                      <w:rFonts w:hint="default"/>
                      <w:color w:val="auto"/>
                      <w:lang w:val="en-US" w:eastAsia="zh-CN"/>
                    </w:rPr>
                  </w:pPr>
                  <w:r>
                    <w:rPr>
                      <w:rFonts w:hint="eastAsia"/>
                      <w:color w:val="auto"/>
                      <w:lang w:val="en-US" w:eastAsia="zh-CN"/>
                    </w:rPr>
                    <w:t>2.24</w:t>
                  </w:r>
                </w:p>
              </w:tc>
            </w:tr>
          </w:tbl>
          <w:p>
            <w:pPr>
              <w:pStyle w:val="16"/>
              <w:bidi w:val="0"/>
              <w:rPr>
                <w:color w:val="auto"/>
              </w:rPr>
            </w:pPr>
            <w:r>
              <w:rPr>
                <w:rFonts w:hint="eastAsia"/>
                <w:color w:val="auto"/>
                <w:lang w:val="en-US" w:eastAsia="zh-CN"/>
              </w:rPr>
              <w:t>本环评要求钻井期间定期对柴油机、柴油发电机等设备进行维护，并且采用高品质的柴油、添加柴油助燃剂等措施，在很大程度上可降低柴油燃烧污染物的排放，减轻对大气环境的影响。项目设置1个20m</w:t>
            </w:r>
            <w:r>
              <w:rPr>
                <w:rFonts w:hint="eastAsia"/>
                <w:color w:val="auto"/>
                <w:vertAlign w:val="superscript"/>
                <w:lang w:val="en-US" w:eastAsia="zh-CN"/>
              </w:rPr>
              <w:t>3</w:t>
            </w:r>
            <w:r>
              <w:rPr>
                <w:rFonts w:hint="eastAsia"/>
                <w:color w:val="auto"/>
                <w:lang w:val="en-US" w:eastAsia="zh-CN"/>
              </w:rPr>
              <w:t>的柴油罐用于柴油储存。钻井期间排放的大气污染物将随钻井工程的结束而消失。</w:t>
            </w:r>
          </w:p>
          <w:p>
            <w:pPr>
              <w:pStyle w:val="19"/>
              <w:bidi w:val="0"/>
              <w:rPr>
                <w:rFonts w:hint="default"/>
              </w:rPr>
            </w:pPr>
            <w:r>
              <w:rPr>
                <w:rFonts w:hint="eastAsia"/>
                <w:lang w:val="en-US" w:eastAsia="zh-CN"/>
              </w:rPr>
              <w:t>3.3</w:t>
            </w:r>
            <w:r>
              <w:rPr>
                <w:rFonts w:hint="default"/>
              </w:rPr>
              <w:t>伴生气燃烧</w:t>
            </w:r>
          </w:p>
          <w:p>
            <w:pPr>
              <w:pStyle w:val="16"/>
              <w:bidi w:val="0"/>
              <w:rPr>
                <w:rFonts w:hint="default"/>
              </w:rPr>
            </w:pPr>
            <w:r>
              <w:rPr>
                <w:rFonts w:hint="default"/>
              </w:rPr>
              <w:t>根据准东项目部区域已经完钻的探井可知，钻试过程产生的伴生气产量小且不稳定，不具备回收利用条件，因此，本项目伴生气通过排气管线充分燃烧后放空，属于阶段性排放，且随着钻试结束而停止产生。项目周边无集中居民区，地域空旷、扩散条件良好。</w:t>
            </w:r>
          </w:p>
          <w:p>
            <w:pPr>
              <w:pStyle w:val="19"/>
              <w:bidi w:val="0"/>
              <w:rPr>
                <w:rFonts w:hint="default"/>
              </w:rPr>
            </w:pPr>
            <w:r>
              <w:rPr>
                <w:rFonts w:hint="eastAsia"/>
                <w:lang w:val="en-US" w:eastAsia="zh-CN"/>
              </w:rPr>
              <w:t>3.4</w:t>
            </w:r>
            <w:r>
              <w:rPr>
                <w:rFonts w:hint="default"/>
              </w:rPr>
              <w:t>储罐及装车无组织废气</w:t>
            </w:r>
          </w:p>
          <w:p>
            <w:pPr>
              <w:pStyle w:val="16"/>
              <w:bidi w:val="0"/>
              <w:rPr>
                <w:rFonts w:hint="default"/>
              </w:rPr>
            </w:pPr>
            <w:r>
              <w:rPr>
                <w:rFonts w:hint="default"/>
              </w:rPr>
              <w:t>试油期产生的采出液暂存于地面储罐，由罐车定期拉运至</w:t>
            </w:r>
            <w:r>
              <w:rPr>
                <w:rFonts w:hint="default"/>
                <w:lang w:eastAsia="zh-CN"/>
              </w:rPr>
              <w:t>吉祥联合站</w:t>
            </w:r>
            <w:r>
              <w:rPr>
                <w:rFonts w:hint="default"/>
              </w:rPr>
              <w:t>处理，采出液在储存及装车过程中会产生无组织挥发烃类（以非甲烷总烃计），随试油期结束装车过程中产生的非甲烷总烃停止排放；项目所在地域空旷、扩散条件良好；试油期采出液储存及装载应符合《陆上石油天然气开采工业大气污染物排放标准》（GB39728-2020）要求。</w:t>
            </w:r>
          </w:p>
          <w:p>
            <w:pPr>
              <w:pStyle w:val="16"/>
              <w:bidi w:val="0"/>
              <w:rPr>
                <w:rFonts w:hint="default"/>
              </w:rPr>
            </w:pPr>
            <w:r>
              <w:rPr>
                <w:rFonts w:hint="default"/>
              </w:rPr>
              <w:t>综上所述，施工期间产生的废气对大气环境质量影响不大。</w:t>
            </w:r>
          </w:p>
          <w:p>
            <w:pPr>
              <w:pStyle w:val="4"/>
              <w:bidi w:val="0"/>
              <w:rPr>
                <w:rFonts w:hint="default"/>
              </w:rPr>
            </w:pPr>
            <w:r>
              <w:rPr>
                <w:rFonts w:hint="eastAsia"/>
                <w:lang w:val="en-US" w:eastAsia="zh-CN"/>
              </w:rPr>
              <w:t>4</w:t>
            </w:r>
            <w:r>
              <w:rPr>
                <w:rFonts w:hint="default"/>
              </w:rPr>
              <w:t>、</w:t>
            </w:r>
            <w:r>
              <w:rPr>
                <w:rFonts w:hint="eastAsia"/>
                <w:lang w:val="en-US" w:eastAsia="zh-CN"/>
              </w:rPr>
              <w:t>施工期</w:t>
            </w:r>
            <w:r>
              <w:rPr>
                <w:rFonts w:hint="default"/>
              </w:rPr>
              <w:t>水环境影响分析</w:t>
            </w:r>
          </w:p>
          <w:p>
            <w:pPr>
              <w:pStyle w:val="19"/>
              <w:bidi w:val="0"/>
              <w:rPr>
                <w:rFonts w:hint="default"/>
              </w:rPr>
            </w:pPr>
            <w:r>
              <w:rPr>
                <w:rFonts w:hint="eastAsia"/>
                <w:lang w:val="en-US" w:eastAsia="zh-CN"/>
              </w:rPr>
              <w:t>4.1</w:t>
            </w:r>
            <w:r>
              <w:rPr>
                <w:rFonts w:hint="default"/>
              </w:rPr>
              <w:t>井下作业废水（洗井废水）和压裂返排液</w:t>
            </w:r>
          </w:p>
          <w:p>
            <w:pPr>
              <w:pStyle w:val="16"/>
              <w:bidi w:val="0"/>
              <w:rPr>
                <w:rFonts w:hint="default"/>
              </w:rPr>
            </w:pPr>
            <w:r>
              <w:rPr>
                <w:rFonts w:hint="default"/>
              </w:rPr>
              <w:t>试油废水主要包括井下作业废水和压裂返排液，参照《排放源统计调查产排污核算方法和系数手册》中1120 石油和天然气开采专业及辅助性活动行业系数表可知，参照采用低渗透油井加砂压裂工艺，废压裂液产生量为153.21m</w:t>
            </w:r>
            <w:r>
              <w:rPr>
                <w:rFonts w:hint="default"/>
                <w:vertAlign w:val="superscript"/>
              </w:rPr>
              <w:t>3</w:t>
            </w:r>
            <w:r>
              <w:rPr>
                <w:rFonts w:hint="default"/>
              </w:rPr>
              <w:t>/井，洗井废水产生量为27.13吨/井；本工程</w:t>
            </w:r>
            <w:r>
              <w:rPr>
                <w:rFonts w:hint="eastAsia"/>
                <w:lang w:val="en-US" w:eastAsia="zh-CN"/>
              </w:rPr>
              <w:t>8</w:t>
            </w:r>
            <w:r>
              <w:rPr>
                <w:rFonts w:hint="default"/>
              </w:rPr>
              <w:t>口评价井，废压裂液产生量为</w:t>
            </w:r>
            <w:r>
              <w:rPr>
                <w:rFonts w:hint="eastAsia"/>
                <w:lang w:val="en-US" w:eastAsia="zh-CN"/>
              </w:rPr>
              <w:t>1225.68</w:t>
            </w:r>
            <w:r>
              <w:rPr>
                <w:rFonts w:hint="default"/>
              </w:rPr>
              <w:t>m</w:t>
            </w:r>
            <w:r>
              <w:rPr>
                <w:rFonts w:hint="default"/>
                <w:vertAlign w:val="superscript"/>
              </w:rPr>
              <w:t>3</w:t>
            </w:r>
            <w:r>
              <w:rPr>
                <w:rFonts w:hint="default"/>
              </w:rPr>
              <w:t>，洗井废水产生量为</w:t>
            </w:r>
            <w:r>
              <w:rPr>
                <w:rFonts w:hint="eastAsia"/>
                <w:lang w:val="en-US" w:eastAsia="zh-CN"/>
              </w:rPr>
              <w:t>217.04</w:t>
            </w:r>
            <w:r>
              <w:rPr>
                <w:rFonts w:hint="default"/>
              </w:rPr>
              <w:t>吨，主要污染物为悬浮物和石油类；洗井废水和压裂返排液均排至井场专用储罐储存，最终采用密闭式罐车拉运至吉祥联合站采出水处理系统处理。</w:t>
            </w:r>
          </w:p>
          <w:p>
            <w:pPr>
              <w:pStyle w:val="19"/>
              <w:bidi w:val="0"/>
              <w:rPr>
                <w:rFonts w:hint="default"/>
              </w:rPr>
            </w:pPr>
            <w:r>
              <w:rPr>
                <w:rFonts w:hint="eastAsia"/>
                <w:lang w:val="en-US" w:eastAsia="zh-CN"/>
              </w:rPr>
              <w:t>4.2</w:t>
            </w:r>
            <w:r>
              <w:rPr>
                <w:rFonts w:hint="default"/>
              </w:rPr>
              <w:t>生活污水</w:t>
            </w:r>
          </w:p>
          <w:p>
            <w:pPr>
              <w:pStyle w:val="16"/>
              <w:bidi w:val="0"/>
              <w:rPr>
                <w:rFonts w:hint="default"/>
                <w:color w:val="auto"/>
              </w:rPr>
            </w:pPr>
            <w:r>
              <w:rPr>
                <w:rFonts w:hint="default"/>
              </w:rPr>
              <w:t>生活用水量按每人</w:t>
            </w:r>
            <w:r>
              <w:rPr>
                <w:rFonts w:hint="default"/>
                <w:color w:val="auto"/>
              </w:rPr>
              <w:t>每天80L计，则施工期间生活用水总量约为</w:t>
            </w:r>
            <w:r>
              <w:rPr>
                <w:rFonts w:hint="eastAsia"/>
                <w:color w:val="auto"/>
                <w:lang w:val="en-US" w:eastAsia="zh-CN"/>
              </w:rPr>
              <w:t>1344</w:t>
            </w:r>
            <w:r>
              <w:rPr>
                <w:rFonts w:hint="default"/>
                <w:color w:val="auto"/>
              </w:rPr>
              <w:t>m</w:t>
            </w:r>
            <w:r>
              <w:rPr>
                <w:rFonts w:hint="default"/>
                <w:color w:val="auto"/>
                <w:vertAlign w:val="superscript"/>
              </w:rPr>
              <w:t>3</w:t>
            </w:r>
            <w:r>
              <w:rPr>
                <w:rFonts w:hint="default"/>
                <w:color w:val="auto"/>
              </w:rPr>
              <w:t>；排水系数取0.80，则生活污水产生量约为</w:t>
            </w:r>
            <w:r>
              <w:rPr>
                <w:rFonts w:hint="eastAsia"/>
                <w:color w:val="auto"/>
                <w:lang w:val="en-US" w:eastAsia="zh-CN"/>
              </w:rPr>
              <w:t>1075.2</w:t>
            </w:r>
            <w:r>
              <w:rPr>
                <w:rFonts w:hint="default"/>
                <w:color w:val="auto"/>
              </w:rPr>
              <w:t>m</w:t>
            </w:r>
            <w:r>
              <w:rPr>
                <w:rFonts w:hint="default"/>
                <w:color w:val="auto"/>
                <w:vertAlign w:val="superscript"/>
              </w:rPr>
              <w:t>3</w:t>
            </w:r>
            <w:r>
              <w:rPr>
                <w:rFonts w:hint="default"/>
                <w:color w:val="auto"/>
              </w:rPr>
              <w:t>。施工工人产生的生活污水水质与居民生活污水相似，主要污染物浓度分别为化学需氧量（COD）350mg/L、氨氮（NH</w:t>
            </w:r>
            <w:r>
              <w:rPr>
                <w:rFonts w:hint="default"/>
                <w:color w:val="auto"/>
                <w:vertAlign w:val="subscript"/>
              </w:rPr>
              <w:t>3</w:t>
            </w:r>
            <w:r>
              <w:rPr>
                <w:rFonts w:hint="default"/>
                <w:color w:val="auto"/>
              </w:rPr>
              <w:t>-N）30mg/L、悬浮物（SS）200mg/L，则污染物产生量COD：0.</w:t>
            </w:r>
            <w:r>
              <w:rPr>
                <w:rFonts w:hint="eastAsia"/>
                <w:color w:val="auto"/>
                <w:lang w:val="en-US" w:eastAsia="zh-CN"/>
              </w:rPr>
              <w:t>38</w:t>
            </w:r>
            <w:r>
              <w:rPr>
                <w:rFonts w:hint="default"/>
                <w:color w:val="auto"/>
              </w:rPr>
              <w:t>t、NH</w:t>
            </w:r>
            <w:r>
              <w:rPr>
                <w:rFonts w:hint="default"/>
                <w:color w:val="auto"/>
                <w:vertAlign w:val="subscript"/>
              </w:rPr>
              <w:t>3</w:t>
            </w:r>
            <w:r>
              <w:rPr>
                <w:rFonts w:hint="default"/>
                <w:color w:val="auto"/>
              </w:rPr>
              <w:t>-N：0.0</w:t>
            </w:r>
            <w:r>
              <w:rPr>
                <w:rFonts w:hint="eastAsia"/>
                <w:color w:val="auto"/>
                <w:lang w:val="en-US" w:eastAsia="zh-CN"/>
              </w:rPr>
              <w:t>97</w:t>
            </w:r>
            <w:r>
              <w:rPr>
                <w:rFonts w:hint="default"/>
                <w:color w:val="auto"/>
              </w:rPr>
              <w:t>t、SS：0.</w:t>
            </w:r>
            <w:r>
              <w:rPr>
                <w:rFonts w:hint="eastAsia"/>
                <w:color w:val="auto"/>
                <w:lang w:val="en-US" w:eastAsia="zh-CN"/>
              </w:rPr>
              <w:t>22</w:t>
            </w:r>
            <w:r>
              <w:rPr>
                <w:rFonts w:hint="default"/>
                <w:color w:val="auto"/>
              </w:rPr>
              <w:t>t。</w:t>
            </w:r>
          </w:p>
          <w:p>
            <w:pPr>
              <w:pStyle w:val="16"/>
              <w:bidi w:val="0"/>
              <w:rPr>
                <w:rFonts w:hint="default"/>
                <w:color w:val="auto"/>
              </w:rPr>
            </w:pPr>
            <w:r>
              <w:rPr>
                <w:rFonts w:hint="default"/>
                <w:color w:val="auto"/>
              </w:rPr>
              <w:t>生活营地内设置1座临时防渗收集池（容积约50m</w:t>
            </w:r>
            <w:r>
              <w:rPr>
                <w:rFonts w:hint="default"/>
                <w:color w:val="auto"/>
                <w:vertAlign w:val="superscript"/>
              </w:rPr>
              <w:t>3</w:t>
            </w:r>
            <w:r>
              <w:rPr>
                <w:rFonts w:hint="default"/>
                <w:color w:val="auto"/>
              </w:rPr>
              <w:t>），开挖后采用HDPE防渗膜铺垫防渗，其渗透系数不低于1×10</w:t>
            </w:r>
            <w:r>
              <w:rPr>
                <w:rFonts w:hint="default"/>
                <w:color w:val="auto"/>
                <w:vertAlign w:val="superscript"/>
              </w:rPr>
              <w:t>-7</w:t>
            </w:r>
            <w:r>
              <w:rPr>
                <w:rFonts w:hint="default"/>
                <w:color w:val="auto"/>
              </w:rPr>
              <w:t>cm/s。该收集池用于收集和暂存生活污水，定期由吸污车清运至</w:t>
            </w:r>
            <w:r>
              <w:rPr>
                <w:rFonts w:hint="eastAsia"/>
                <w:color w:val="auto"/>
                <w:lang w:val="en-US" w:eastAsia="zh-CN"/>
              </w:rPr>
              <w:t>吉木萨尔</w:t>
            </w:r>
            <w:r>
              <w:rPr>
                <w:rFonts w:hint="default"/>
                <w:color w:val="auto"/>
              </w:rPr>
              <w:t>县污水处理厂处理。</w:t>
            </w:r>
          </w:p>
          <w:p>
            <w:pPr>
              <w:pStyle w:val="19"/>
              <w:bidi w:val="0"/>
              <w:rPr>
                <w:rFonts w:hint="default"/>
              </w:rPr>
            </w:pPr>
            <w:r>
              <w:rPr>
                <w:rFonts w:hint="eastAsia"/>
                <w:lang w:val="en-US" w:eastAsia="zh-CN"/>
              </w:rPr>
              <w:t>4.3</w:t>
            </w:r>
            <w:r>
              <w:rPr>
                <w:rFonts w:hint="default"/>
              </w:rPr>
              <w:t>对地下水影响分析</w:t>
            </w:r>
          </w:p>
          <w:p>
            <w:pPr>
              <w:pStyle w:val="16"/>
              <w:bidi w:val="0"/>
              <w:rPr>
                <w:rFonts w:hint="default"/>
              </w:rPr>
            </w:pPr>
            <w:r>
              <w:rPr>
                <w:rFonts w:hint="default"/>
              </w:rPr>
              <w:t>项目区含水层埋深在50m～150m，一开表层套管的下土深度为800m，超出本区域地下水含水层深度，有效隔断了油井与含水层之间的联系，可保护地下水环境不受污染。试油目的层与地下水处于不同层系，在施工过程中确保套管下入指定深度，有效避免试油作业对地下水环境的影响。钻井时严格落实套管下入深度合格和固井质量合格，对洗井时产生的废水进行严格管理，基本不会对所在区域地下水产生影响。</w:t>
            </w:r>
          </w:p>
          <w:p>
            <w:pPr>
              <w:pStyle w:val="16"/>
              <w:bidi w:val="0"/>
              <w:rPr>
                <w:rFonts w:hint="eastAsia"/>
              </w:rPr>
            </w:pPr>
            <w:r>
              <w:rPr>
                <w:rFonts w:hint="default"/>
              </w:rPr>
              <w:t>综上所述，项目的实施对所在区域的水环境质量影响不大。</w:t>
            </w:r>
          </w:p>
          <w:p>
            <w:pPr>
              <w:pStyle w:val="19"/>
              <w:bidi w:val="0"/>
              <w:rPr>
                <w:rFonts w:hint="default"/>
                <w:lang w:val="en-US" w:eastAsia="zh-CN"/>
              </w:rPr>
            </w:pPr>
            <w:r>
              <w:rPr>
                <w:rFonts w:hint="eastAsia"/>
                <w:lang w:val="en-US" w:eastAsia="zh-CN"/>
              </w:rPr>
              <w:t>4.4事故状态下水环境影响分析</w:t>
            </w:r>
          </w:p>
          <w:p>
            <w:pPr>
              <w:pStyle w:val="16"/>
              <w:bidi w:val="0"/>
              <w:rPr>
                <w:rFonts w:hint="default"/>
              </w:rPr>
            </w:pPr>
            <w:r>
              <w:rPr>
                <w:rFonts w:hint="default"/>
              </w:rPr>
              <w:t>（1）井漏事故的泥浆对地下水的影响</w:t>
            </w:r>
          </w:p>
          <w:p>
            <w:pPr>
              <w:pStyle w:val="16"/>
              <w:bidi w:val="0"/>
              <w:rPr>
                <w:rFonts w:hint="default"/>
              </w:rPr>
            </w:pPr>
            <w:r>
              <w:rPr>
                <w:rFonts w:hint="default"/>
              </w:rPr>
              <w:t>井漏事故对地下水的污染是钻井泥浆漏失于地下水含水层中，由于其含Ca、Na等离子，且pH、盐分较多，易造成地下含水层水质污染。</w:t>
            </w:r>
          </w:p>
          <w:p>
            <w:pPr>
              <w:pStyle w:val="16"/>
              <w:bidi w:val="0"/>
              <w:rPr>
                <w:rFonts w:hint="default"/>
              </w:rPr>
            </w:pPr>
            <w:r>
              <w:rPr>
                <w:rFonts w:hint="default"/>
              </w:rPr>
              <w:t>本项目采用下套管注水泥的方式进行固井，可对潜水和承压水所在的地层进行固封。在固井合格的前提下，可以有效隔离含水层与井内泥浆的交换，有效保护地下水层。</w:t>
            </w:r>
          </w:p>
          <w:p>
            <w:pPr>
              <w:pStyle w:val="16"/>
              <w:bidi w:val="0"/>
              <w:rPr>
                <w:rFonts w:hint="default"/>
              </w:rPr>
            </w:pPr>
            <w:r>
              <w:rPr>
                <w:rFonts w:hint="default"/>
              </w:rPr>
              <w:t>因此，推广使用清洁无害的泥浆，严格要求套管下入深度，可以有效控制钻井液在含水层中的漏失，减轻对地下水环境的影响。</w:t>
            </w:r>
          </w:p>
          <w:p>
            <w:pPr>
              <w:pStyle w:val="16"/>
              <w:bidi w:val="0"/>
              <w:rPr>
                <w:rFonts w:hint="default"/>
              </w:rPr>
            </w:pPr>
            <w:r>
              <w:rPr>
                <w:rFonts w:hint="default"/>
              </w:rPr>
              <w:t>（2）油水窜层对地下水的污染影响</w:t>
            </w:r>
          </w:p>
          <w:p>
            <w:pPr>
              <w:pStyle w:val="16"/>
              <w:bidi w:val="0"/>
              <w:rPr>
                <w:rFonts w:hint="default"/>
              </w:rPr>
            </w:pPr>
            <w:r>
              <w:rPr>
                <w:rFonts w:hint="default"/>
              </w:rPr>
              <w:t>钻井完井后试油过程中原油窜层污染的主要原因是：①下入的表层套管未封住含水层；②固井质量差；③工艺措施不合理或未实施。因此，为预防污染的发生和污染源的形成，表层套管必须严格封闭含水层，固井质量应符合环保要求。</w:t>
            </w:r>
          </w:p>
          <w:p>
            <w:pPr>
              <w:pStyle w:val="16"/>
              <w:bidi w:val="0"/>
              <w:rPr>
                <w:rFonts w:hint="default"/>
              </w:rPr>
            </w:pPr>
            <w:r>
              <w:rPr>
                <w:rFonts w:hint="default"/>
              </w:rPr>
              <w:t>（3）井喷事故对地下水的污染影响</w:t>
            </w:r>
          </w:p>
          <w:p>
            <w:pPr>
              <w:pStyle w:val="16"/>
              <w:bidi w:val="0"/>
              <w:rPr>
                <w:rFonts w:hint="eastAsia"/>
                <w:lang w:eastAsia="zh-CN"/>
              </w:rPr>
            </w:pPr>
            <w:r>
              <w:rPr>
                <w:rFonts w:hint="default"/>
              </w:rPr>
              <w:t>井喷事故一旦发生，大量的油气喷出井口，散落于井场周围，除造成重大经济损失外，还会造成严重的环境污染。根据测算，井喷发生后，一般需要1-2d才能得以控制。据类比资料显示，井喷污染范围在半径300m左右时，井喷持续时间2d，井喷范围内土壤表层可见有蜡状的原油喷散物，井喷的影响范围及影响程度较大。但从事故井区土壤剖面分析，井喷事故后石油类污染物主要聚集在土壤剖面1m以内，石油类污染物很难下渗到2m以下，井喷事故对环境的影响主要表现为对其周围土壤的影响，对地下水体有一定的影响，若及时采取有效措施治理污染，井喷对地下水的影响极小。</w:t>
            </w:r>
          </w:p>
          <w:p>
            <w:pPr>
              <w:pStyle w:val="4"/>
              <w:bidi w:val="0"/>
              <w:rPr>
                <w:rFonts w:hint="default"/>
              </w:rPr>
            </w:pPr>
            <w:r>
              <w:rPr>
                <w:rFonts w:hint="eastAsia"/>
                <w:lang w:val="en-US" w:eastAsia="zh-CN"/>
              </w:rPr>
              <w:t>5</w:t>
            </w:r>
            <w:r>
              <w:rPr>
                <w:rFonts w:hint="default"/>
              </w:rPr>
              <w:t>、</w:t>
            </w:r>
            <w:r>
              <w:rPr>
                <w:rFonts w:hint="eastAsia"/>
                <w:lang w:val="en-US" w:eastAsia="zh-CN"/>
              </w:rPr>
              <w:t>施工期声</w:t>
            </w:r>
            <w:r>
              <w:rPr>
                <w:rFonts w:hint="default"/>
              </w:rPr>
              <w:t>环境影响分析</w:t>
            </w:r>
          </w:p>
          <w:p>
            <w:pPr>
              <w:pStyle w:val="16"/>
              <w:bidi w:val="0"/>
              <w:rPr>
                <w:rFonts w:hint="default"/>
              </w:rPr>
            </w:pPr>
            <w:r>
              <w:rPr>
                <w:rFonts w:hint="default"/>
              </w:rPr>
              <w:t>施工期噪声来源于井场、生活营地等钻前作业、钻井作业及试油作业等施工活动。噪声源主要包括柴油发电机、钻井液循环泵，以及各类施工机械，如挖土机、推土机、轮式装载车等，贯穿于整个施工过程，待施工结束后影响将消失。由于项目200m范围内无声环境敏感目标，因此对声环境质量影响很小。</w:t>
            </w:r>
          </w:p>
          <w:p>
            <w:pPr>
              <w:pStyle w:val="4"/>
              <w:bidi w:val="0"/>
              <w:rPr>
                <w:rFonts w:hint="default"/>
              </w:rPr>
            </w:pPr>
            <w:r>
              <w:rPr>
                <w:rFonts w:hint="eastAsia"/>
                <w:lang w:val="en-US" w:eastAsia="zh-CN"/>
              </w:rPr>
              <w:t>6</w:t>
            </w:r>
            <w:r>
              <w:rPr>
                <w:rFonts w:hint="default"/>
              </w:rPr>
              <w:t>、</w:t>
            </w:r>
            <w:r>
              <w:rPr>
                <w:rFonts w:hint="eastAsia"/>
                <w:lang w:val="en-US" w:eastAsia="zh-CN"/>
              </w:rPr>
              <w:t>施工期固体废物</w:t>
            </w:r>
            <w:r>
              <w:rPr>
                <w:rFonts w:hint="default"/>
              </w:rPr>
              <w:t>影响分析</w:t>
            </w:r>
          </w:p>
          <w:p>
            <w:pPr>
              <w:pStyle w:val="16"/>
              <w:bidi w:val="0"/>
            </w:pPr>
            <w:r>
              <w:rPr>
                <w:rFonts w:hint="eastAsia"/>
              </w:rPr>
              <w:t>固体废物主要为钻井泥浆、钻井岩屑、落地油、机械设备废油以及废防渗材料、生活垃圾。</w:t>
            </w:r>
          </w:p>
          <w:p>
            <w:pPr>
              <w:pStyle w:val="19"/>
              <w:bidi w:val="0"/>
              <w:rPr>
                <w:rFonts w:hint="default"/>
                <w:lang w:val="en-US" w:eastAsia="zh-CN"/>
              </w:rPr>
            </w:pPr>
            <w:r>
              <w:rPr>
                <w:rFonts w:hint="eastAsia"/>
                <w:lang w:val="en-US" w:eastAsia="zh-CN"/>
              </w:rPr>
              <w:t>6.1钻井泥浆</w:t>
            </w:r>
          </w:p>
          <w:p>
            <w:pPr>
              <w:pStyle w:val="16"/>
              <w:bidi w:val="0"/>
              <w:rPr>
                <w:rFonts w:hint="eastAsia"/>
                <w:lang w:eastAsia="zh-CN"/>
              </w:rPr>
            </w:pPr>
            <w:r>
              <w:rPr>
                <w:rFonts w:hint="eastAsia"/>
              </w:rPr>
              <w:t>钻井泥浆的排放量依井的深度而增加，其排放量计算采用《油田开发环境影响评价文集》中的经验公式</w:t>
            </w:r>
            <w:r>
              <w:rPr>
                <w:rFonts w:hint="eastAsia"/>
                <w:lang w:eastAsia="zh-CN"/>
              </w:rPr>
              <w:t>：</w:t>
            </w:r>
          </w:p>
          <w:p>
            <w:pPr>
              <w:keepNext w:val="0"/>
              <w:keepLines w:val="0"/>
              <w:suppressLineNumbers w:val="0"/>
              <w:spacing w:before="0" w:beforeLines="0" w:beforeAutospacing="0" w:after="0" w:afterLines="0" w:afterAutospacing="0" w:line="360" w:lineRule="auto"/>
              <w:ind w:left="0" w:leftChars="0" w:right="0" w:rightChars="0" w:firstLine="0" w:firstLineChars="0"/>
              <w:jc w:val="center"/>
              <w:rPr>
                <w:rFonts w:hint="eastAsia" w:ascii="Times New Roman" w:hAnsi="Times New Roman" w:cs="Times New Roman"/>
                <w:color w:val="000000"/>
                <w:sz w:val="21"/>
                <w:szCs w:val="21"/>
                <w:highlight w:val="none"/>
                <w:lang w:eastAsia="zh-CN"/>
              </w:rPr>
            </w:pPr>
            <w:r>
              <w:rPr>
                <w:color w:val="auto"/>
                <w:sz w:val="21"/>
                <w:szCs w:val="21"/>
                <w:highlight w:val="none"/>
              </w:rPr>
              <w:drawing>
                <wp:inline distT="0" distB="0" distL="114300" distR="114300">
                  <wp:extent cx="2026920" cy="392430"/>
                  <wp:effectExtent l="0" t="0" r="0" b="6985"/>
                  <wp:docPr id="22" name="图片 7" descr="C:\DOCUME~1\ADMINI~1\LOCALS~1\Temp\ksohtml\wps_clip_image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C:\DOCUME~1\ADMINI~1\LOCALS~1\Temp\ksohtml\wps_clip_image1.wmf"/>
                          <pic:cNvPicPr>
                            <a:picLocks noChangeAspect="1"/>
                          </pic:cNvPicPr>
                        </pic:nvPicPr>
                        <pic:blipFill>
                          <a:blip r:embed="rId23"/>
                          <a:stretch>
                            <a:fillRect/>
                          </a:stretch>
                        </pic:blipFill>
                        <pic:spPr>
                          <a:xfrm>
                            <a:off x="0" y="0"/>
                            <a:ext cx="2026920" cy="392430"/>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式中：V——排到地面上的泥浆量（m</w:t>
            </w:r>
            <w:r>
              <w:rPr>
                <w:rFonts w:hint="default" w:ascii="Times New Roman" w:hAnsi="Times New Roman" w:eastAsia="宋体" w:cs="Times New Roman"/>
                <w:color w:val="auto"/>
                <w:kern w:val="0"/>
                <w:sz w:val="21"/>
                <w:szCs w:val="21"/>
                <w:highlight w:val="none"/>
                <w:vertAlign w:val="super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 xml:space="preserve">      D——井眼的直径（m）；</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 xml:space="preserve">      h——井深（m）；</w:t>
            </w:r>
          </w:p>
          <w:p>
            <w:pPr>
              <w:pStyle w:val="16"/>
              <w:bidi w:val="0"/>
              <w:rPr>
                <w:rFonts w:hint="eastAsia"/>
              </w:rPr>
            </w:pPr>
            <w:r>
              <w:rPr>
                <w:rFonts w:hint="eastAsia"/>
              </w:rPr>
              <w:t>本项目新钻井</w:t>
            </w:r>
            <w:r>
              <w:rPr>
                <w:rFonts w:hint="eastAsia"/>
                <w:lang w:val="en-US" w:eastAsia="zh-CN"/>
              </w:rPr>
              <w:t>8</w:t>
            </w:r>
            <w:r>
              <w:rPr>
                <w:rFonts w:hint="eastAsia"/>
              </w:rPr>
              <w:t>口，总钻井进尺</w:t>
            </w:r>
            <w:r>
              <w:rPr>
                <w:rFonts w:hint="eastAsia"/>
                <w:lang w:val="en-US" w:eastAsia="zh-CN"/>
              </w:rPr>
              <w:t>30452</w:t>
            </w:r>
            <w:r>
              <w:rPr>
                <w:rFonts w:hint="eastAsia"/>
              </w:rPr>
              <w:t>m，一开产生的泥浆为水基非磺化泥浆，</w:t>
            </w:r>
            <w:r>
              <w:rPr>
                <w:rFonts w:hint="eastAsia"/>
                <w:lang w:val="en-US" w:eastAsia="zh-CN"/>
              </w:rPr>
              <w:t>二</w:t>
            </w:r>
            <w:r>
              <w:rPr>
                <w:rFonts w:hint="eastAsia"/>
              </w:rPr>
              <w:t>开为合成基泥浆（油基，废物代码：071-001-08）钻井泥浆产生量见</w:t>
            </w:r>
            <w:r>
              <w:rPr>
                <w:rFonts w:hint="eastAsia"/>
                <w:lang w:val="en-US" w:eastAsia="zh-CN"/>
              </w:rPr>
              <w:t>下表</w:t>
            </w:r>
            <w:r>
              <w:rPr>
                <w:rFonts w:hint="eastAsia"/>
              </w:rPr>
              <w:t>。</w:t>
            </w:r>
          </w:p>
          <w:p>
            <w:pPr>
              <w:pStyle w:val="14"/>
              <w:bidi w:val="0"/>
              <w:rPr>
                <w:rFonts w:hint="eastAsia"/>
                <w:highlight w:val="none"/>
              </w:rPr>
            </w:pPr>
            <w:r>
              <w:rPr>
                <w:rFonts w:hint="eastAsia"/>
                <w:highlight w:val="none"/>
              </w:rPr>
              <w:t>表</w:t>
            </w:r>
            <w:r>
              <w:rPr>
                <w:rFonts w:hint="eastAsia"/>
                <w:highlight w:val="none"/>
                <w:lang w:val="en-US" w:eastAsia="zh-CN"/>
              </w:rPr>
              <w:t>4-3</w:t>
            </w:r>
            <w:r>
              <w:rPr>
                <w:rFonts w:hint="eastAsia"/>
                <w:highlight w:val="none"/>
              </w:rPr>
              <w:t xml:space="preserve">   本项目钻井泥浆产生量</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1025"/>
              <w:gridCol w:w="1078"/>
              <w:gridCol w:w="1256"/>
              <w:gridCol w:w="927"/>
              <w:gridCol w:w="2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blHeader/>
                <w:jc w:val="center"/>
              </w:trPr>
              <w:tc>
                <w:tcPr>
                  <w:tcW w:w="953" w:type="pct"/>
                  <w:tcBorders>
                    <w:top w:val="single" w:color="auto" w:sz="4" w:space="0"/>
                    <w:left w:val="single" w:color="auto" w:sz="4" w:space="0"/>
                    <w:right w:val="single" w:color="auto" w:sz="4" w:space="0"/>
                    <w:tl2br w:val="nil"/>
                    <w:tr2bl w:val="nil"/>
                  </w:tcBorders>
                  <w:noWrap w:val="0"/>
                  <w:vAlign w:val="center"/>
                </w:tcPr>
                <w:p>
                  <w:pPr>
                    <w:pStyle w:val="17"/>
                    <w:bidi w:val="0"/>
                    <w:jc w:val="center"/>
                    <w:rPr>
                      <w:rFonts w:hint="default"/>
                      <w:color w:val="auto"/>
                      <w:highlight w:val="none"/>
                    </w:rPr>
                  </w:pPr>
                  <w:r>
                    <w:rPr>
                      <w:rFonts w:hint="eastAsia"/>
                      <w:color w:val="auto"/>
                      <w:highlight w:val="none"/>
                    </w:rPr>
                    <w:t>开钻次序</w:t>
                  </w:r>
                </w:p>
              </w:tc>
              <w:tc>
                <w:tcPr>
                  <w:tcW w:w="61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default" w:eastAsia="宋体"/>
                      <w:color w:val="auto"/>
                      <w:highlight w:val="none"/>
                      <w:lang w:val="en-US" w:eastAsia="zh-CN"/>
                    </w:rPr>
                  </w:pPr>
                  <w:r>
                    <w:rPr>
                      <w:rFonts w:hint="eastAsia"/>
                      <w:color w:val="auto"/>
                      <w:highlight w:val="none"/>
                      <w:lang w:val="en-US" w:eastAsia="zh-CN"/>
                    </w:rPr>
                    <w:t>井段</w:t>
                  </w:r>
                </w:p>
              </w:tc>
              <w:tc>
                <w:tcPr>
                  <w:tcW w:w="64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none"/>
                      <w:lang w:val="en-US" w:eastAsia="zh-CN"/>
                    </w:rPr>
                  </w:pPr>
                  <w:r>
                    <w:rPr>
                      <w:rFonts w:hint="eastAsia"/>
                      <w:color w:val="auto"/>
                      <w:highlight w:val="none"/>
                      <w:lang w:val="en-US" w:eastAsia="zh-CN"/>
                    </w:rPr>
                    <w:t>钻头尺寸</w:t>
                  </w:r>
                </w:p>
                <w:p>
                  <w:pPr>
                    <w:pStyle w:val="17"/>
                    <w:bidi w:val="0"/>
                    <w:jc w:val="center"/>
                    <w:rPr>
                      <w:rFonts w:hint="eastAsia"/>
                      <w:color w:val="auto"/>
                      <w:highlight w:val="none"/>
                      <w:lang w:val="en-US" w:eastAsia="zh-CN"/>
                    </w:rPr>
                  </w:pPr>
                  <w:r>
                    <w:rPr>
                      <w:rFonts w:hint="eastAsia"/>
                      <w:color w:val="auto"/>
                      <w:highlight w:val="none"/>
                      <w:lang w:val="en-US" w:eastAsia="zh-CN"/>
                    </w:rPr>
                    <w:t>（mm）</w:t>
                  </w:r>
                </w:p>
              </w:tc>
              <w:tc>
                <w:tcPr>
                  <w:tcW w:w="7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none"/>
                    </w:rPr>
                  </w:pPr>
                  <w:r>
                    <w:rPr>
                      <w:rFonts w:hint="eastAsia"/>
                      <w:color w:val="auto"/>
                      <w:highlight w:val="none"/>
                    </w:rPr>
                    <w:t>泥浆量m</w:t>
                  </w:r>
                  <w:r>
                    <w:rPr>
                      <w:rFonts w:hint="default"/>
                      <w:color w:val="auto"/>
                      <w:highlight w:val="none"/>
                      <w:vertAlign w:val="superscript"/>
                    </w:rPr>
                    <w:t>3</w:t>
                  </w:r>
                </w:p>
              </w:tc>
              <w:tc>
                <w:tcPr>
                  <w:tcW w:w="556" w:type="pct"/>
                  <w:tcBorders>
                    <w:top w:val="single" w:color="auto" w:sz="4" w:space="0"/>
                    <w:left w:val="single" w:color="auto" w:sz="4" w:space="0"/>
                    <w:right w:val="single" w:color="auto" w:sz="4" w:space="0"/>
                    <w:tl2br w:val="nil"/>
                    <w:tr2bl w:val="nil"/>
                  </w:tcBorders>
                  <w:noWrap w:val="0"/>
                  <w:vAlign w:val="center"/>
                </w:tcPr>
                <w:p>
                  <w:pPr>
                    <w:pStyle w:val="17"/>
                    <w:bidi w:val="0"/>
                    <w:jc w:val="center"/>
                    <w:rPr>
                      <w:rFonts w:hint="default"/>
                      <w:color w:val="auto"/>
                      <w:highlight w:val="none"/>
                    </w:rPr>
                  </w:pPr>
                  <w:r>
                    <w:rPr>
                      <w:rFonts w:hint="eastAsia"/>
                      <w:color w:val="auto"/>
                      <w:highlight w:val="none"/>
                      <w:lang w:val="en-US" w:eastAsia="zh-CN"/>
                    </w:rPr>
                    <w:t>8口井</w:t>
                  </w:r>
                  <w:r>
                    <w:rPr>
                      <w:rFonts w:hint="eastAsia"/>
                      <w:color w:val="auto"/>
                      <w:highlight w:val="none"/>
                    </w:rPr>
                    <w:t>小计</w:t>
                  </w:r>
                </w:p>
              </w:tc>
              <w:tc>
                <w:tcPr>
                  <w:tcW w:w="1475" w:type="pct"/>
                  <w:tcBorders>
                    <w:top w:val="single" w:color="auto" w:sz="4" w:space="0"/>
                    <w:left w:val="single" w:color="auto" w:sz="4" w:space="0"/>
                    <w:right w:val="single" w:color="auto" w:sz="4" w:space="0"/>
                    <w:tl2br w:val="nil"/>
                    <w:tr2bl w:val="nil"/>
                  </w:tcBorders>
                  <w:noWrap w:val="0"/>
                  <w:vAlign w:val="center"/>
                </w:tcPr>
                <w:p>
                  <w:pPr>
                    <w:pStyle w:val="17"/>
                    <w:bidi w:val="0"/>
                    <w:jc w:val="center"/>
                    <w:rPr>
                      <w:rFonts w:hint="default"/>
                      <w:color w:val="auto"/>
                      <w:highlight w:val="none"/>
                    </w:rPr>
                  </w:pPr>
                  <w:r>
                    <w:rPr>
                      <w:rFonts w:hint="eastAsia"/>
                      <w:color w:val="auto"/>
                      <w:highlight w:val="none"/>
                    </w:rPr>
                    <w:t>钻井液体系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default"/>
                      <w:color w:val="auto"/>
                      <w:highlight w:val="none"/>
                    </w:rPr>
                  </w:pPr>
                  <w:r>
                    <w:rPr>
                      <w:rFonts w:hint="eastAsia"/>
                      <w:color w:val="auto"/>
                      <w:highlight w:val="none"/>
                    </w:rPr>
                    <w:t>一开</w:t>
                  </w:r>
                </w:p>
              </w:tc>
              <w:tc>
                <w:tcPr>
                  <w:tcW w:w="61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default" w:eastAsia="宋体"/>
                      <w:color w:val="auto"/>
                      <w:highlight w:val="none"/>
                      <w:lang w:val="en-US" w:eastAsia="zh-CN"/>
                    </w:rPr>
                  </w:pPr>
                  <w:r>
                    <w:rPr>
                      <w:rFonts w:hint="eastAsia"/>
                      <w:color w:val="auto"/>
                      <w:highlight w:val="none"/>
                      <w:lang w:val="en-US" w:eastAsia="zh-CN"/>
                    </w:rPr>
                    <w:t>0-800m</w:t>
                  </w:r>
                </w:p>
              </w:tc>
              <w:tc>
                <w:tcPr>
                  <w:tcW w:w="64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default" w:eastAsia="宋体"/>
                      <w:color w:val="auto"/>
                      <w:highlight w:val="none"/>
                      <w:lang w:val="en-US" w:eastAsia="zh-CN"/>
                    </w:rPr>
                  </w:pPr>
                  <w:r>
                    <w:rPr>
                      <w:rFonts w:hint="default" w:ascii="Times New Roman" w:hAnsi="Times New Roman" w:cs="Times New Roman"/>
                      <w:color w:val="auto"/>
                      <w:highlight w:val="none"/>
                    </w:rPr>
                    <w:t>Φ</w:t>
                  </w:r>
                  <w:r>
                    <w:rPr>
                      <w:rFonts w:hint="eastAsia" w:cs="Times New Roman"/>
                      <w:color w:val="auto"/>
                      <w:highlight w:val="none"/>
                      <w:lang w:val="en-US" w:eastAsia="zh-CN"/>
                    </w:rPr>
                    <w:t>311</w:t>
                  </w:r>
                </w:p>
              </w:tc>
              <w:tc>
                <w:tcPr>
                  <w:tcW w:w="7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default"/>
                      <w:color w:val="auto"/>
                      <w:highlight w:val="none"/>
                      <w:lang w:val="en-US" w:eastAsia="zh-CN"/>
                    </w:rPr>
                  </w:pPr>
                  <w:r>
                    <w:rPr>
                      <w:rFonts w:hint="eastAsia"/>
                      <w:color w:val="auto"/>
                      <w:highlight w:val="none"/>
                      <w:lang w:val="en-US" w:eastAsia="zh-CN"/>
                    </w:rPr>
                    <w:t>139.18</w:t>
                  </w:r>
                </w:p>
              </w:tc>
              <w:tc>
                <w:tcPr>
                  <w:tcW w:w="55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default" w:ascii="Times New Roman" w:hAnsi="Times New Roman" w:eastAsia="宋体"/>
                      <w:color w:val="auto"/>
                      <w:highlight w:val="none"/>
                      <w:lang w:val="en-US" w:eastAsia="zh-CN"/>
                    </w:rPr>
                  </w:pPr>
                  <w:r>
                    <w:rPr>
                      <w:rFonts w:hint="eastAsia"/>
                      <w:color w:val="auto"/>
                      <w:highlight w:val="none"/>
                      <w:lang w:val="en-US" w:eastAsia="zh-CN"/>
                    </w:rPr>
                    <w:t>1113.44</w:t>
                  </w:r>
                </w:p>
              </w:tc>
              <w:tc>
                <w:tcPr>
                  <w:tcW w:w="147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none"/>
                    </w:rPr>
                  </w:pPr>
                  <w:r>
                    <w:rPr>
                      <w:rFonts w:hint="eastAsia"/>
                      <w:color w:val="auto"/>
                      <w:highlight w:val="none"/>
                    </w:rPr>
                    <w:t>水基非磺化泥浆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eastAsia="宋体"/>
                      <w:color w:val="auto"/>
                      <w:highlight w:val="none"/>
                      <w:lang w:val="en-US" w:eastAsia="zh-CN"/>
                    </w:rPr>
                  </w:pPr>
                  <w:r>
                    <w:rPr>
                      <w:rFonts w:hint="eastAsia"/>
                      <w:highlight w:val="none"/>
                    </w:rPr>
                    <w:t>萨5-8-9二开</w:t>
                  </w:r>
                </w:p>
              </w:tc>
              <w:tc>
                <w:tcPr>
                  <w:tcW w:w="61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default"/>
                      <w:color w:val="auto"/>
                      <w:highlight w:val="none"/>
                      <w:lang w:val="en-US" w:eastAsia="zh-CN"/>
                    </w:rPr>
                  </w:pPr>
                  <w:r>
                    <w:rPr>
                      <w:rFonts w:hint="eastAsia"/>
                      <w:highlight w:val="none"/>
                      <w:lang w:val="en-US" w:eastAsia="zh-CN"/>
                    </w:rPr>
                    <w:t>800-3812</w:t>
                  </w:r>
                </w:p>
              </w:tc>
              <w:tc>
                <w:tcPr>
                  <w:tcW w:w="646" w:type="pct"/>
                  <w:vMerge w:val="restart"/>
                  <w:tcBorders>
                    <w:top w:val="single" w:color="auto" w:sz="4" w:space="0"/>
                    <w:left w:val="single" w:color="auto" w:sz="4" w:space="0"/>
                    <w:right w:val="single" w:color="auto" w:sz="4" w:space="0"/>
                    <w:tl2br w:val="nil"/>
                    <w:tr2bl w:val="nil"/>
                  </w:tcBorders>
                  <w:noWrap w:val="0"/>
                  <w:vAlign w:val="center"/>
                </w:tcPr>
                <w:p>
                  <w:pPr>
                    <w:pStyle w:val="17"/>
                    <w:bidi w:val="0"/>
                    <w:jc w:val="center"/>
                    <w:rPr>
                      <w:rFonts w:hint="default"/>
                      <w:color w:val="auto"/>
                      <w:highlight w:val="none"/>
                      <w:lang w:val="en-US"/>
                    </w:rPr>
                  </w:pPr>
                  <w:r>
                    <w:rPr>
                      <w:rFonts w:hint="default" w:ascii="Times New Roman" w:hAnsi="Times New Roman" w:cs="Times New Roman"/>
                      <w:color w:val="auto"/>
                      <w:highlight w:val="none"/>
                    </w:rPr>
                    <w:t>Φ</w:t>
                  </w:r>
                  <w:r>
                    <w:rPr>
                      <w:rFonts w:hint="eastAsia" w:cs="Times New Roman"/>
                      <w:color w:val="auto"/>
                      <w:highlight w:val="none"/>
                      <w:lang w:val="en-US" w:eastAsia="zh-CN"/>
                    </w:rPr>
                    <w:t>216</w:t>
                  </w:r>
                </w:p>
              </w:tc>
              <w:tc>
                <w:tcPr>
                  <w:tcW w:w="7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default"/>
                      <w:highlight w:val="none"/>
                      <w:lang w:val="en-US" w:eastAsia="zh-CN"/>
                    </w:rPr>
                  </w:pPr>
                  <w:r>
                    <w:rPr>
                      <w:rFonts w:hint="eastAsia"/>
                      <w:highlight w:val="none"/>
                      <w:lang w:val="en-US" w:eastAsia="zh-CN"/>
                    </w:rPr>
                    <w:t>188.45</w:t>
                  </w:r>
                </w:p>
              </w:tc>
              <w:tc>
                <w:tcPr>
                  <w:tcW w:w="556" w:type="pct"/>
                  <w:vMerge w:val="restart"/>
                  <w:tcBorders>
                    <w:top w:val="single" w:color="auto" w:sz="4" w:space="0"/>
                    <w:left w:val="single" w:color="auto" w:sz="4" w:space="0"/>
                    <w:right w:val="single" w:color="auto" w:sz="4" w:space="0"/>
                    <w:tl2br w:val="nil"/>
                    <w:tr2bl w:val="nil"/>
                  </w:tcBorders>
                  <w:noWrap w:val="0"/>
                  <w:vAlign w:val="center"/>
                </w:tcPr>
                <w:p>
                  <w:pPr>
                    <w:pStyle w:val="17"/>
                    <w:bidi w:val="0"/>
                    <w:jc w:val="center"/>
                    <w:rPr>
                      <w:rFonts w:hint="default" w:ascii="Times New Roman" w:hAnsi="Times New Roman" w:eastAsia="宋体"/>
                      <w:color w:val="auto"/>
                      <w:highlight w:val="none"/>
                      <w:lang w:val="en-US" w:eastAsia="zh-CN"/>
                    </w:rPr>
                  </w:pPr>
                  <w:r>
                    <w:rPr>
                      <w:rFonts w:hint="eastAsia"/>
                      <w:color w:val="auto"/>
                      <w:highlight w:val="none"/>
                      <w:lang w:val="en-US" w:eastAsia="zh-CN"/>
                    </w:rPr>
                    <w:t>1506.02</w:t>
                  </w:r>
                </w:p>
              </w:tc>
              <w:tc>
                <w:tcPr>
                  <w:tcW w:w="1475" w:type="pct"/>
                  <w:vMerge w:val="restart"/>
                  <w:tcBorders>
                    <w:top w:val="single" w:color="auto" w:sz="4" w:space="0"/>
                    <w:left w:val="single" w:color="auto" w:sz="4" w:space="0"/>
                    <w:right w:val="single" w:color="auto" w:sz="4" w:space="0"/>
                    <w:tl2br w:val="nil"/>
                    <w:tr2bl w:val="nil"/>
                  </w:tcBorders>
                  <w:noWrap w:val="0"/>
                  <w:vAlign w:val="center"/>
                </w:tcPr>
                <w:p>
                  <w:pPr>
                    <w:pStyle w:val="17"/>
                    <w:bidi w:val="0"/>
                    <w:jc w:val="center"/>
                    <w:rPr>
                      <w:rFonts w:hint="eastAsia"/>
                      <w:color w:val="auto"/>
                      <w:highlight w:val="none"/>
                    </w:rPr>
                  </w:pPr>
                  <w:r>
                    <w:rPr>
                      <w:rFonts w:hint="eastAsia"/>
                      <w:color w:val="auto"/>
                      <w:highlight w:val="none"/>
                    </w:rPr>
                    <w:t>合成基泥浆（油基）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none"/>
                      <w:lang w:val="en-US" w:eastAsia="zh-CN"/>
                    </w:rPr>
                  </w:pPr>
                  <w:r>
                    <w:rPr>
                      <w:rFonts w:hint="eastAsia"/>
                      <w:highlight w:val="none"/>
                    </w:rPr>
                    <w:t>萨5-8-10二开</w:t>
                  </w:r>
                </w:p>
              </w:tc>
              <w:tc>
                <w:tcPr>
                  <w:tcW w:w="61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none"/>
                      <w:lang w:val="en-US" w:eastAsia="zh-CN"/>
                    </w:rPr>
                  </w:pPr>
                  <w:r>
                    <w:rPr>
                      <w:rFonts w:hint="eastAsia"/>
                      <w:highlight w:val="none"/>
                      <w:lang w:val="en-US" w:eastAsia="zh-CN"/>
                    </w:rPr>
                    <w:t>800-3744</w:t>
                  </w:r>
                </w:p>
              </w:tc>
              <w:tc>
                <w:tcPr>
                  <w:tcW w:w="646" w:type="pct"/>
                  <w:vMerge w:val="continue"/>
                  <w:tcBorders>
                    <w:left w:val="single" w:color="auto" w:sz="4" w:space="0"/>
                    <w:right w:val="single" w:color="auto" w:sz="4" w:space="0"/>
                    <w:tl2br w:val="nil"/>
                    <w:tr2bl w:val="nil"/>
                  </w:tcBorders>
                  <w:noWrap w:val="0"/>
                  <w:vAlign w:val="center"/>
                </w:tcPr>
                <w:p>
                  <w:pPr>
                    <w:pStyle w:val="17"/>
                    <w:bidi w:val="0"/>
                    <w:jc w:val="center"/>
                    <w:rPr>
                      <w:rFonts w:hint="default" w:ascii="Times New Roman" w:hAnsi="Times New Roman" w:cs="Times New Roman"/>
                      <w:color w:val="auto"/>
                      <w:highlight w:val="none"/>
                    </w:rPr>
                  </w:pPr>
                </w:p>
              </w:tc>
              <w:tc>
                <w:tcPr>
                  <w:tcW w:w="7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highlight w:val="none"/>
                      <w:lang w:val="en-US" w:eastAsia="zh-CN"/>
                    </w:rPr>
                  </w:pPr>
                  <w:r>
                    <w:rPr>
                      <w:rFonts w:hint="eastAsia"/>
                      <w:highlight w:val="none"/>
                      <w:lang w:val="en-US" w:eastAsia="zh-CN"/>
                    </w:rPr>
                    <w:t>186.00</w:t>
                  </w:r>
                </w:p>
              </w:tc>
              <w:tc>
                <w:tcPr>
                  <w:tcW w:w="556" w:type="pct"/>
                  <w:vMerge w:val="continue"/>
                  <w:tcBorders>
                    <w:left w:val="single" w:color="auto" w:sz="4" w:space="0"/>
                    <w:right w:val="single" w:color="auto" w:sz="4" w:space="0"/>
                    <w:tl2br w:val="nil"/>
                    <w:tr2bl w:val="nil"/>
                  </w:tcBorders>
                  <w:noWrap w:val="0"/>
                  <w:vAlign w:val="center"/>
                </w:tcPr>
                <w:p>
                  <w:pPr>
                    <w:pStyle w:val="17"/>
                    <w:bidi w:val="0"/>
                    <w:jc w:val="center"/>
                    <w:rPr>
                      <w:rFonts w:hint="eastAsia"/>
                      <w:color w:val="auto"/>
                      <w:highlight w:val="none"/>
                      <w:lang w:val="en-US" w:eastAsia="zh-CN"/>
                    </w:rPr>
                  </w:pPr>
                </w:p>
              </w:tc>
              <w:tc>
                <w:tcPr>
                  <w:tcW w:w="1475" w:type="pct"/>
                  <w:vMerge w:val="continue"/>
                  <w:tcBorders>
                    <w:left w:val="single" w:color="auto" w:sz="4" w:space="0"/>
                    <w:right w:val="single" w:color="auto" w:sz="4" w:space="0"/>
                    <w:tl2br w:val="nil"/>
                    <w:tr2bl w:val="nil"/>
                  </w:tcBorders>
                  <w:noWrap w:val="0"/>
                  <w:vAlign w:val="center"/>
                </w:tcPr>
                <w:p>
                  <w:pPr>
                    <w:pStyle w:val="17"/>
                    <w:bidi w:val="0"/>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none"/>
                      <w:lang w:val="en-US" w:eastAsia="zh-CN"/>
                    </w:rPr>
                  </w:pPr>
                  <w:r>
                    <w:rPr>
                      <w:rFonts w:hint="eastAsia"/>
                      <w:highlight w:val="none"/>
                    </w:rPr>
                    <w:t>萨5-9-8二开</w:t>
                  </w:r>
                </w:p>
              </w:tc>
              <w:tc>
                <w:tcPr>
                  <w:tcW w:w="61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none"/>
                      <w:lang w:val="en-US" w:eastAsia="zh-CN"/>
                    </w:rPr>
                  </w:pPr>
                  <w:r>
                    <w:rPr>
                      <w:rFonts w:hint="eastAsia"/>
                      <w:highlight w:val="none"/>
                      <w:lang w:val="en-US" w:eastAsia="zh-CN"/>
                    </w:rPr>
                    <w:t>800-3754</w:t>
                  </w:r>
                </w:p>
              </w:tc>
              <w:tc>
                <w:tcPr>
                  <w:tcW w:w="646" w:type="pct"/>
                  <w:vMerge w:val="continue"/>
                  <w:tcBorders>
                    <w:left w:val="single" w:color="auto" w:sz="4" w:space="0"/>
                    <w:right w:val="single" w:color="auto" w:sz="4" w:space="0"/>
                    <w:tl2br w:val="nil"/>
                    <w:tr2bl w:val="nil"/>
                  </w:tcBorders>
                  <w:noWrap w:val="0"/>
                  <w:vAlign w:val="center"/>
                </w:tcPr>
                <w:p>
                  <w:pPr>
                    <w:pStyle w:val="17"/>
                    <w:bidi w:val="0"/>
                    <w:jc w:val="center"/>
                    <w:rPr>
                      <w:rFonts w:hint="default" w:ascii="Times New Roman" w:hAnsi="Times New Roman" w:cs="Times New Roman"/>
                      <w:color w:val="auto"/>
                      <w:highlight w:val="none"/>
                    </w:rPr>
                  </w:pPr>
                </w:p>
              </w:tc>
              <w:tc>
                <w:tcPr>
                  <w:tcW w:w="7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highlight w:val="none"/>
                      <w:lang w:val="en-US" w:eastAsia="zh-CN"/>
                    </w:rPr>
                  </w:pPr>
                  <w:r>
                    <w:rPr>
                      <w:rFonts w:hint="eastAsia"/>
                      <w:highlight w:val="none"/>
                      <w:lang w:val="en-US" w:eastAsia="zh-CN"/>
                    </w:rPr>
                    <w:t>186.36</w:t>
                  </w:r>
                </w:p>
              </w:tc>
              <w:tc>
                <w:tcPr>
                  <w:tcW w:w="556" w:type="pct"/>
                  <w:vMerge w:val="continue"/>
                  <w:tcBorders>
                    <w:left w:val="single" w:color="auto" w:sz="4" w:space="0"/>
                    <w:right w:val="single" w:color="auto" w:sz="4" w:space="0"/>
                    <w:tl2br w:val="nil"/>
                    <w:tr2bl w:val="nil"/>
                  </w:tcBorders>
                  <w:noWrap w:val="0"/>
                  <w:vAlign w:val="center"/>
                </w:tcPr>
                <w:p>
                  <w:pPr>
                    <w:pStyle w:val="17"/>
                    <w:bidi w:val="0"/>
                    <w:jc w:val="center"/>
                    <w:rPr>
                      <w:rFonts w:hint="eastAsia"/>
                      <w:color w:val="auto"/>
                      <w:highlight w:val="none"/>
                      <w:lang w:val="en-US" w:eastAsia="zh-CN"/>
                    </w:rPr>
                  </w:pPr>
                </w:p>
              </w:tc>
              <w:tc>
                <w:tcPr>
                  <w:tcW w:w="1475" w:type="pct"/>
                  <w:vMerge w:val="continue"/>
                  <w:tcBorders>
                    <w:left w:val="single" w:color="auto" w:sz="4" w:space="0"/>
                    <w:right w:val="single" w:color="auto" w:sz="4" w:space="0"/>
                    <w:tl2br w:val="nil"/>
                    <w:tr2bl w:val="nil"/>
                  </w:tcBorders>
                  <w:noWrap w:val="0"/>
                  <w:vAlign w:val="center"/>
                </w:tcPr>
                <w:p>
                  <w:pPr>
                    <w:pStyle w:val="17"/>
                    <w:bidi w:val="0"/>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yellow"/>
                      <w:lang w:val="en-US" w:eastAsia="zh-CN"/>
                    </w:rPr>
                  </w:pPr>
                  <w:r>
                    <w:rPr>
                      <w:rFonts w:hint="eastAsia"/>
                    </w:rPr>
                    <w:t>萨5-9-9二开</w:t>
                  </w:r>
                </w:p>
              </w:tc>
              <w:tc>
                <w:tcPr>
                  <w:tcW w:w="61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yellow"/>
                      <w:lang w:val="en-US" w:eastAsia="zh-CN"/>
                    </w:rPr>
                  </w:pPr>
                  <w:r>
                    <w:rPr>
                      <w:rFonts w:hint="eastAsia"/>
                      <w:lang w:val="en-US" w:eastAsia="zh-CN"/>
                    </w:rPr>
                    <w:t>800-3821</w:t>
                  </w:r>
                </w:p>
              </w:tc>
              <w:tc>
                <w:tcPr>
                  <w:tcW w:w="646" w:type="pct"/>
                  <w:vMerge w:val="continue"/>
                  <w:tcBorders>
                    <w:left w:val="single" w:color="auto" w:sz="4" w:space="0"/>
                    <w:right w:val="single" w:color="auto" w:sz="4" w:space="0"/>
                    <w:tl2br w:val="nil"/>
                    <w:tr2bl w:val="nil"/>
                  </w:tcBorders>
                  <w:noWrap w:val="0"/>
                  <w:vAlign w:val="center"/>
                </w:tcPr>
                <w:p>
                  <w:pPr>
                    <w:pStyle w:val="17"/>
                    <w:bidi w:val="0"/>
                    <w:jc w:val="center"/>
                    <w:rPr>
                      <w:rFonts w:hint="default" w:ascii="Times New Roman" w:hAnsi="Times New Roman" w:cs="Times New Roman"/>
                      <w:color w:val="auto"/>
                      <w:highlight w:val="yellow"/>
                    </w:rPr>
                  </w:pPr>
                </w:p>
              </w:tc>
              <w:tc>
                <w:tcPr>
                  <w:tcW w:w="7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lang w:val="en-US" w:eastAsia="zh-CN"/>
                    </w:rPr>
                  </w:pPr>
                  <w:r>
                    <w:rPr>
                      <w:rFonts w:hint="eastAsia"/>
                      <w:lang w:val="en-US" w:eastAsia="zh-CN"/>
                    </w:rPr>
                    <w:t>188.77</w:t>
                  </w:r>
                </w:p>
              </w:tc>
              <w:tc>
                <w:tcPr>
                  <w:tcW w:w="556" w:type="pct"/>
                  <w:vMerge w:val="continue"/>
                  <w:tcBorders>
                    <w:left w:val="single" w:color="auto" w:sz="4" w:space="0"/>
                    <w:right w:val="single" w:color="auto" w:sz="4" w:space="0"/>
                    <w:tl2br w:val="nil"/>
                    <w:tr2bl w:val="nil"/>
                  </w:tcBorders>
                  <w:noWrap w:val="0"/>
                  <w:vAlign w:val="center"/>
                </w:tcPr>
                <w:p>
                  <w:pPr>
                    <w:pStyle w:val="17"/>
                    <w:bidi w:val="0"/>
                    <w:jc w:val="center"/>
                    <w:rPr>
                      <w:rFonts w:hint="eastAsia"/>
                      <w:color w:val="auto"/>
                      <w:highlight w:val="yellow"/>
                      <w:lang w:val="en-US" w:eastAsia="zh-CN"/>
                    </w:rPr>
                  </w:pPr>
                </w:p>
              </w:tc>
              <w:tc>
                <w:tcPr>
                  <w:tcW w:w="1475" w:type="pct"/>
                  <w:vMerge w:val="continue"/>
                  <w:tcBorders>
                    <w:left w:val="single" w:color="auto" w:sz="4" w:space="0"/>
                    <w:right w:val="single" w:color="auto" w:sz="4" w:space="0"/>
                    <w:tl2br w:val="nil"/>
                    <w:tr2bl w:val="nil"/>
                  </w:tcBorders>
                  <w:noWrap w:val="0"/>
                  <w:vAlign w:val="center"/>
                </w:tcPr>
                <w:p>
                  <w:pPr>
                    <w:pStyle w:val="17"/>
                    <w:bidi w:val="0"/>
                    <w:jc w:val="center"/>
                    <w:rPr>
                      <w:rFonts w:hint="eastAsia"/>
                      <w:color w:val="auto"/>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yellow"/>
                      <w:lang w:val="en-US" w:eastAsia="zh-CN"/>
                    </w:rPr>
                  </w:pPr>
                  <w:r>
                    <w:rPr>
                      <w:rFonts w:hint="eastAsia"/>
                    </w:rPr>
                    <w:t>萨5-9-10二开</w:t>
                  </w:r>
                </w:p>
              </w:tc>
              <w:tc>
                <w:tcPr>
                  <w:tcW w:w="61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yellow"/>
                      <w:lang w:val="en-US" w:eastAsia="zh-CN"/>
                    </w:rPr>
                  </w:pPr>
                  <w:r>
                    <w:rPr>
                      <w:rFonts w:hint="eastAsia"/>
                      <w:lang w:val="en-US" w:eastAsia="zh-CN"/>
                    </w:rPr>
                    <w:t>800-3827</w:t>
                  </w:r>
                </w:p>
              </w:tc>
              <w:tc>
                <w:tcPr>
                  <w:tcW w:w="646" w:type="pct"/>
                  <w:vMerge w:val="continue"/>
                  <w:tcBorders>
                    <w:left w:val="single" w:color="auto" w:sz="4" w:space="0"/>
                    <w:right w:val="single" w:color="auto" w:sz="4" w:space="0"/>
                    <w:tl2br w:val="nil"/>
                    <w:tr2bl w:val="nil"/>
                  </w:tcBorders>
                  <w:noWrap w:val="0"/>
                  <w:vAlign w:val="center"/>
                </w:tcPr>
                <w:p>
                  <w:pPr>
                    <w:pStyle w:val="17"/>
                    <w:bidi w:val="0"/>
                    <w:jc w:val="center"/>
                    <w:rPr>
                      <w:rFonts w:hint="default" w:ascii="Times New Roman" w:hAnsi="Times New Roman" w:cs="Times New Roman"/>
                      <w:color w:val="auto"/>
                      <w:highlight w:val="yellow"/>
                    </w:rPr>
                  </w:pPr>
                </w:p>
              </w:tc>
              <w:tc>
                <w:tcPr>
                  <w:tcW w:w="7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lang w:val="en-US" w:eastAsia="zh-CN"/>
                    </w:rPr>
                  </w:pPr>
                  <w:r>
                    <w:rPr>
                      <w:rFonts w:hint="eastAsia"/>
                      <w:lang w:val="en-US" w:eastAsia="zh-CN"/>
                    </w:rPr>
                    <w:t>188.99</w:t>
                  </w:r>
                </w:p>
              </w:tc>
              <w:tc>
                <w:tcPr>
                  <w:tcW w:w="556" w:type="pct"/>
                  <w:vMerge w:val="continue"/>
                  <w:tcBorders>
                    <w:left w:val="single" w:color="auto" w:sz="4" w:space="0"/>
                    <w:right w:val="single" w:color="auto" w:sz="4" w:space="0"/>
                    <w:tl2br w:val="nil"/>
                    <w:tr2bl w:val="nil"/>
                  </w:tcBorders>
                  <w:noWrap w:val="0"/>
                  <w:vAlign w:val="center"/>
                </w:tcPr>
                <w:p>
                  <w:pPr>
                    <w:pStyle w:val="17"/>
                    <w:bidi w:val="0"/>
                    <w:jc w:val="center"/>
                    <w:rPr>
                      <w:rFonts w:hint="eastAsia"/>
                      <w:color w:val="auto"/>
                      <w:highlight w:val="yellow"/>
                      <w:lang w:val="en-US" w:eastAsia="zh-CN"/>
                    </w:rPr>
                  </w:pPr>
                </w:p>
              </w:tc>
              <w:tc>
                <w:tcPr>
                  <w:tcW w:w="1475" w:type="pct"/>
                  <w:vMerge w:val="continue"/>
                  <w:tcBorders>
                    <w:left w:val="single" w:color="auto" w:sz="4" w:space="0"/>
                    <w:right w:val="single" w:color="auto" w:sz="4" w:space="0"/>
                    <w:tl2br w:val="nil"/>
                    <w:tr2bl w:val="nil"/>
                  </w:tcBorders>
                  <w:noWrap w:val="0"/>
                  <w:vAlign w:val="center"/>
                </w:tcPr>
                <w:p>
                  <w:pPr>
                    <w:pStyle w:val="17"/>
                    <w:bidi w:val="0"/>
                    <w:jc w:val="center"/>
                    <w:rPr>
                      <w:rFonts w:hint="eastAsia"/>
                      <w:color w:val="auto"/>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yellow"/>
                      <w:lang w:val="en-US" w:eastAsia="zh-CN"/>
                    </w:rPr>
                  </w:pPr>
                  <w:r>
                    <w:rPr>
                      <w:rFonts w:hint="eastAsia"/>
                    </w:rPr>
                    <w:t>萨5-11-9二开</w:t>
                  </w:r>
                </w:p>
              </w:tc>
              <w:tc>
                <w:tcPr>
                  <w:tcW w:w="61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yellow"/>
                      <w:lang w:val="en-US" w:eastAsia="zh-CN"/>
                    </w:rPr>
                  </w:pPr>
                  <w:r>
                    <w:rPr>
                      <w:rFonts w:hint="eastAsia"/>
                      <w:lang w:val="en-US" w:eastAsia="zh-CN"/>
                    </w:rPr>
                    <w:t>800-3840</w:t>
                  </w:r>
                </w:p>
              </w:tc>
              <w:tc>
                <w:tcPr>
                  <w:tcW w:w="646" w:type="pct"/>
                  <w:vMerge w:val="continue"/>
                  <w:tcBorders>
                    <w:left w:val="single" w:color="auto" w:sz="4" w:space="0"/>
                    <w:right w:val="single" w:color="auto" w:sz="4" w:space="0"/>
                    <w:tl2br w:val="nil"/>
                    <w:tr2bl w:val="nil"/>
                  </w:tcBorders>
                  <w:noWrap w:val="0"/>
                  <w:vAlign w:val="center"/>
                </w:tcPr>
                <w:p>
                  <w:pPr>
                    <w:pStyle w:val="17"/>
                    <w:bidi w:val="0"/>
                    <w:jc w:val="center"/>
                    <w:rPr>
                      <w:rFonts w:hint="default" w:ascii="Times New Roman" w:hAnsi="Times New Roman" w:cs="Times New Roman"/>
                      <w:color w:val="auto"/>
                      <w:highlight w:val="yellow"/>
                    </w:rPr>
                  </w:pPr>
                </w:p>
              </w:tc>
              <w:tc>
                <w:tcPr>
                  <w:tcW w:w="7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lang w:val="en-US" w:eastAsia="zh-CN"/>
                    </w:rPr>
                  </w:pPr>
                  <w:r>
                    <w:rPr>
                      <w:rFonts w:hint="eastAsia"/>
                      <w:lang w:val="en-US" w:eastAsia="zh-CN"/>
                    </w:rPr>
                    <w:t>189.46</w:t>
                  </w:r>
                </w:p>
              </w:tc>
              <w:tc>
                <w:tcPr>
                  <w:tcW w:w="556" w:type="pct"/>
                  <w:vMerge w:val="continue"/>
                  <w:tcBorders>
                    <w:left w:val="single" w:color="auto" w:sz="4" w:space="0"/>
                    <w:right w:val="single" w:color="auto" w:sz="4" w:space="0"/>
                    <w:tl2br w:val="nil"/>
                    <w:tr2bl w:val="nil"/>
                  </w:tcBorders>
                  <w:noWrap w:val="0"/>
                  <w:vAlign w:val="center"/>
                </w:tcPr>
                <w:p>
                  <w:pPr>
                    <w:pStyle w:val="17"/>
                    <w:bidi w:val="0"/>
                    <w:jc w:val="center"/>
                    <w:rPr>
                      <w:rFonts w:hint="eastAsia"/>
                      <w:color w:val="auto"/>
                      <w:highlight w:val="yellow"/>
                      <w:lang w:val="en-US" w:eastAsia="zh-CN"/>
                    </w:rPr>
                  </w:pPr>
                </w:p>
              </w:tc>
              <w:tc>
                <w:tcPr>
                  <w:tcW w:w="1475" w:type="pct"/>
                  <w:vMerge w:val="continue"/>
                  <w:tcBorders>
                    <w:left w:val="single" w:color="auto" w:sz="4" w:space="0"/>
                    <w:right w:val="single" w:color="auto" w:sz="4" w:space="0"/>
                    <w:tl2br w:val="nil"/>
                    <w:tr2bl w:val="nil"/>
                  </w:tcBorders>
                  <w:noWrap w:val="0"/>
                  <w:vAlign w:val="center"/>
                </w:tcPr>
                <w:p>
                  <w:pPr>
                    <w:pStyle w:val="17"/>
                    <w:bidi w:val="0"/>
                    <w:jc w:val="center"/>
                    <w:rPr>
                      <w:rFonts w:hint="eastAsia"/>
                      <w:color w:val="auto"/>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yellow"/>
                      <w:lang w:val="en-US" w:eastAsia="zh-CN"/>
                    </w:rPr>
                  </w:pPr>
                  <w:r>
                    <w:rPr>
                      <w:rFonts w:hint="eastAsia"/>
                    </w:rPr>
                    <w:t>萨5-11-10二开</w:t>
                  </w:r>
                </w:p>
              </w:tc>
              <w:tc>
                <w:tcPr>
                  <w:tcW w:w="61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yellow"/>
                      <w:lang w:val="en-US" w:eastAsia="zh-CN"/>
                    </w:rPr>
                  </w:pPr>
                  <w:r>
                    <w:rPr>
                      <w:rFonts w:hint="eastAsia"/>
                      <w:lang w:val="en-US" w:eastAsia="zh-CN"/>
                    </w:rPr>
                    <w:t>800-3837</w:t>
                  </w:r>
                </w:p>
              </w:tc>
              <w:tc>
                <w:tcPr>
                  <w:tcW w:w="646" w:type="pct"/>
                  <w:vMerge w:val="continue"/>
                  <w:tcBorders>
                    <w:left w:val="single" w:color="auto" w:sz="4" w:space="0"/>
                    <w:right w:val="single" w:color="auto" w:sz="4" w:space="0"/>
                    <w:tl2br w:val="nil"/>
                    <w:tr2bl w:val="nil"/>
                  </w:tcBorders>
                  <w:noWrap w:val="0"/>
                  <w:vAlign w:val="center"/>
                </w:tcPr>
                <w:p>
                  <w:pPr>
                    <w:pStyle w:val="17"/>
                    <w:bidi w:val="0"/>
                    <w:jc w:val="center"/>
                    <w:rPr>
                      <w:rFonts w:hint="default" w:ascii="Times New Roman" w:hAnsi="Times New Roman" w:cs="Times New Roman"/>
                      <w:color w:val="auto"/>
                      <w:highlight w:val="yellow"/>
                    </w:rPr>
                  </w:pPr>
                </w:p>
              </w:tc>
              <w:tc>
                <w:tcPr>
                  <w:tcW w:w="7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lang w:val="en-US" w:eastAsia="zh-CN"/>
                    </w:rPr>
                  </w:pPr>
                  <w:r>
                    <w:rPr>
                      <w:rFonts w:hint="eastAsia"/>
                      <w:lang w:val="en-US" w:eastAsia="zh-CN"/>
                    </w:rPr>
                    <w:t>189.35</w:t>
                  </w:r>
                </w:p>
              </w:tc>
              <w:tc>
                <w:tcPr>
                  <w:tcW w:w="556" w:type="pct"/>
                  <w:vMerge w:val="continue"/>
                  <w:tcBorders>
                    <w:left w:val="single" w:color="auto" w:sz="4" w:space="0"/>
                    <w:right w:val="single" w:color="auto" w:sz="4" w:space="0"/>
                    <w:tl2br w:val="nil"/>
                    <w:tr2bl w:val="nil"/>
                  </w:tcBorders>
                  <w:noWrap w:val="0"/>
                  <w:vAlign w:val="center"/>
                </w:tcPr>
                <w:p>
                  <w:pPr>
                    <w:pStyle w:val="17"/>
                    <w:bidi w:val="0"/>
                    <w:jc w:val="center"/>
                    <w:rPr>
                      <w:rFonts w:hint="eastAsia"/>
                      <w:color w:val="auto"/>
                      <w:highlight w:val="yellow"/>
                      <w:lang w:val="en-US" w:eastAsia="zh-CN"/>
                    </w:rPr>
                  </w:pPr>
                </w:p>
              </w:tc>
              <w:tc>
                <w:tcPr>
                  <w:tcW w:w="1475" w:type="pct"/>
                  <w:vMerge w:val="continue"/>
                  <w:tcBorders>
                    <w:left w:val="single" w:color="auto" w:sz="4" w:space="0"/>
                    <w:right w:val="single" w:color="auto" w:sz="4" w:space="0"/>
                    <w:tl2br w:val="nil"/>
                    <w:tr2bl w:val="nil"/>
                  </w:tcBorders>
                  <w:noWrap w:val="0"/>
                  <w:vAlign w:val="center"/>
                </w:tcPr>
                <w:p>
                  <w:pPr>
                    <w:pStyle w:val="17"/>
                    <w:bidi w:val="0"/>
                    <w:jc w:val="center"/>
                    <w:rPr>
                      <w:rFonts w:hint="eastAsia"/>
                      <w:color w:val="auto"/>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yellow"/>
                      <w:lang w:val="en-US" w:eastAsia="zh-CN"/>
                    </w:rPr>
                  </w:pPr>
                  <w:r>
                    <w:rPr>
                      <w:rFonts w:hint="eastAsia"/>
                    </w:rPr>
                    <w:t>萨5-12-9二开</w:t>
                  </w:r>
                </w:p>
              </w:tc>
              <w:tc>
                <w:tcPr>
                  <w:tcW w:w="61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yellow"/>
                      <w:lang w:val="en-US" w:eastAsia="zh-CN"/>
                    </w:rPr>
                  </w:pPr>
                  <w:r>
                    <w:rPr>
                      <w:rFonts w:hint="eastAsia"/>
                      <w:lang w:val="en-US" w:eastAsia="zh-CN"/>
                    </w:rPr>
                    <w:t>800-3817</w:t>
                  </w:r>
                </w:p>
              </w:tc>
              <w:tc>
                <w:tcPr>
                  <w:tcW w:w="646" w:type="pct"/>
                  <w:vMerge w:val="continue"/>
                  <w:tcBorders>
                    <w:left w:val="single" w:color="auto" w:sz="4" w:space="0"/>
                    <w:bottom w:val="single" w:color="auto" w:sz="4" w:space="0"/>
                    <w:right w:val="single" w:color="auto" w:sz="4" w:space="0"/>
                    <w:tl2br w:val="nil"/>
                    <w:tr2bl w:val="nil"/>
                  </w:tcBorders>
                  <w:noWrap w:val="0"/>
                  <w:vAlign w:val="center"/>
                </w:tcPr>
                <w:p>
                  <w:pPr>
                    <w:pStyle w:val="17"/>
                    <w:bidi w:val="0"/>
                    <w:jc w:val="center"/>
                    <w:rPr>
                      <w:rFonts w:hint="default" w:ascii="Times New Roman" w:hAnsi="Times New Roman" w:cs="Times New Roman"/>
                      <w:color w:val="auto"/>
                      <w:highlight w:val="yellow"/>
                    </w:rPr>
                  </w:pPr>
                </w:p>
              </w:tc>
              <w:tc>
                <w:tcPr>
                  <w:tcW w:w="7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lang w:val="en-US" w:eastAsia="zh-CN"/>
                    </w:rPr>
                  </w:pPr>
                  <w:r>
                    <w:rPr>
                      <w:rFonts w:hint="eastAsia"/>
                      <w:lang w:val="en-US" w:eastAsia="zh-CN"/>
                    </w:rPr>
                    <w:t>188.63</w:t>
                  </w:r>
                </w:p>
              </w:tc>
              <w:tc>
                <w:tcPr>
                  <w:tcW w:w="556" w:type="pct"/>
                  <w:vMerge w:val="continue"/>
                  <w:tcBorders>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yellow"/>
                      <w:lang w:val="en-US" w:eastAsia="zh-CN"/>
                    </w:rPr>
                  </w:pPr>
                </w:p>
              </w:tc>
              <w:tc>
                <w:tcPr>
                  <w:tcW w:w="1475" w:type="pct"/>
                  <w:vMerge w:val="continue"/>
                  <w:tcBorders>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yellow"/>
                    </w:rPr>
                  </w:pPr>
                </w:p>
              </w:tc>
            </w:tr>
          </w:tbl>
          <w:p>
            <w:pPr>
              <w:pStyle w:val="16"/>
              <w:bidi w:val="0"/>
              <w:rPr>
                <w:rFonts w:hint="eastAsia"/>
                <w:color w:val="auto"/>
              </w:rPr>
            </w:pPr>
            <w:r>
              <w:rPr>
                <w:rFonts w:hint="eastAsia"/>
                <w:color w:val="auto"/>
                <w:lang w:val="en-US" w:eastAsia="zh-CN"/>
              </w:rPr>
              <w:t>计算得知：本项目钻井泥浆最大排放量为2619.46m</w:t>
            </w:r>
            <w:r>
              <w:rPr>
                <w:rFonts w:hint="eastAsia"/>
                <w:color w:val="auto"/>
                <w:vertAlign w:val="superscript"/>
                <w:lang w:val="en-US" w:eastAsia="zh-CN"/>
              </w:rPr>
              <w:t>3</w:t>
            </w:r>
            <w:r>
              <w:rPr>
                <w:rFonts w:hint="eastAsia"/>
                <w:color w:val="auto"/>
                <w:lang w:val="en-US" w:eastAsia="zh-CN"/>
              </w:rPr>
              <w:t>（其中：水基泥浆1113.44m</w:t>
            </w:r>
            <w:r>
              <w:rPr>
                <w:rFonts w:hint="eastAsia"/>
                <w:color w:val="auto"/>
                <w:vertAlign w:val="superscript"/>
                <w:lang w:val="en-US" w:eastAsia="zh-CN"/>
              </w:rPr>
              <w:t>3</w:t>
            </w:r>
            <w:r>
              <w:rPr>
                <w:rFonts w:hint="eastAsia"/>
                <w:color w:val="auto"/>
                <w:lang w:val="en-US" w:eastAsia="zh-CN"/>
              </w:rPr>
              <w:t>，油基泥浆1506.02m</w:t>
            </w:r>
            <w:r>
              <w:rPr>
                <w:rFonts w:hint="eastAsia"/>
                <w:color w:val="auto"/>
                <w:vertAlign w:val="superscript"/>
                <w:lang w:val="en-US" w:eastAsia="zh-CN"/>
              </w:rPr>
              <w:t>3</w:t>
            </w:r>
            <w:r>
              <w:rPr>
                <w:rFonts w:hint="eastAsia"/>
                <w:color w:val="auto"/>
                <w:lang w:val="en-US" w:eastAsia="zh-CN"/>
              </w:rPr>
              <w:t>）</w:t>
            </w:r>
            <w:r>
              <w:rPr>
                <w:rFonts w:hint="eastAsia"/>
                <w:color w:val="auto"/>
                <w:lang w:eastAsia="zh-CN"/>
              </w:rPr>
              <w:t>，钻井泥浆采用泥浆不落地系统固液分离后，进入泥浆罐循环使用，泥浆循环利用率（重复利用）按95%计算，因此，废弃钻井泥浆排放量为</w:t>
            </w:r>
            <w:r>
              <w:rPr>
                <w:rFonts w:hint="eastAsia"/>
                <w:color w:val="auto"/>
                <w:lang w:val="en-US" w:eastAsia="zh-CN"/>
              </w:rPr>
              <w:t>153.73</w:t>
            </w:r>
            <w:r>
              <w:rPr>
                <w:rFonts w:hint="eastAsia"/>
                <w:color w:val="auto"/>
                <w:lang w:eastAsia="zh-CN"/>
              </w:rPr>
              <w:t>m</w:t>
            </w:r>
            <w:r>
              <w:rPr>
                <w:rFonts w:hint="eastAsia"/>
                <w:color w:val="auto"/>
                <w:vertAlign w:val="superscript"/>
                <w:lang w:eastAsia="zh-CN"/>
              </w:rPr>
              <w:t>3</w:t>
            </w:r>
            <w:r>
              <w:rPr>
                <w:rFonts w:hint="eastAsia"/>
                <w:color w:val="auto"/>
                <w:lang w:eastAsia="zh-CN"/>
              </w:rPr>
              <w:t>（其中：水基泥浆</w:t>
            </w:r>
            <w:r>
              <w:rPr>
                <w:rFonts w:hint="eastAsia"/>
                <w:color w:val="auto"/>
                <w:lang w:val="en-US" w:eastAsia="zh-CN"/>
              </w:rPr>
              <w:t>55.7</w:t>
            </w:r>
            <w:r>
              <w:rPr>
                <w:rFonts w:hint="eastAsia"/>
                <w:color w:val="auto"/>
                <w:lang w:eastAsia="zh-CN"/>
              </w:rPr>
              <w:t>m</w:t>
            </w:r>
            <w:r>
              <w:rPr>
                <w:rFonts w:hint="eastAsia"/>
                <w:color w:val="auto"/>
                <w:vertAlign w:val="superscript"/>
                <w:lang w:eastAsia="zh-CN"/>
              </w:rPr>
              <w:t>3</w:t>
            </w:r>
            <w:r>
              <w:rPr>
                <w:rFonts w:hint="eastAsia"/>
                <w:color w:val="auto"/>
                <w:lang w:eastAsia="zh-CN"/>
              </w:rPr>
              <w:t>，油基泥浆</w:t>
            </w:r>
            <w:r>
              <w:rPr>
                <w:rFonts w:hint="eastAsia"/>
                <w:color w:val="auto"/>
                <w:lang w:val="en-US" w:eastAsia="zh-CN"/>
              </w:rPr>
              <w:t>75.3</w:t>
            </w:r>
            <w:r>
              <w:rPr>
                <w:rFonts w:hint="eastAsia"/>
                <w:color w:val="auto"/>
                <w:lang w:eastAsia="zh-CN"/>
              </w:rPr>
              <w:t>m</w:t>
            </w:r>
            <w:r>
              <w:rPr>
                <w:rFonts w:hint="eastAsia"/>
                <w:color w:val="auto"/>
                <w:vertAlign w:val="superscript"/>
                <w:lang w:eastAsia="zh-CN"/>
              </w:rPr>
              <w:t>3</w:t>
            </w:r>
            <w:r>
              <w:rPr>
                <w:rFonts w:hint="eastAsia"/>
                <w:color w:val="auto"/>
                <w:lang w:eastAsia="zh-CN"/>
              </w:rPr>
              <w:t>）。</w:t>
            </w:r>
          </w:p>
          <w:p>
            <w:pPr>
              <w:pStyle w:val="19"/>
              <w:bidi w:val="0"/>
            </w:pPr>
            <w:r>
              <w:rPr>
                <w:rFonts w:hint="eastAsia"/>
                <w:lang w:val="en-US" w:eastAsia="zh-CN"/>
              </w:rPr>
              <w:t>6.2</w:t>
            </w:r>
            <w:r>
              <w:rPr>
                <w:rFonts w:hint="eastAsia"/>
              </w:rPr>
              <w:t>钻井岩屑</w:t>
            </w:r>
          </w:p>
          <w:p>
            <w:pPr>
              <w:pStyle w:val="16"/>
              <w:bidi w:val="0"/>
              <w:rPr>
                <w:rFonts w:hint="default" w:ascii="Times New Roman" w:hAnsi="Times New Roman" w:cs="Times New Roman"/>
              </w:rPr>
            </w:pPr>
            <w:r>
              <w:rPr>
                <w:rFonts w:hint="eastAsia"/>
              </w:rPr>
              <w:t>钻井过程中，岩石经钻头和钻井液的研磨而破碎成岩屑，随钻井液排出井口，进入钻井液不落地系统处理后</w:t>
            </w:r>
            <w:r>
              <w:rPr>
                <w:rFonts w:hint="default" w:ascii="Times New Roman" w:hAnsi="Times New Roman" w:cs="Times New Roman"/>
              </w:rPr>
              <w:t>岩屑与钻井液分离，液体回收利用，固体岩屑拉运处理。岩屑产生量与井身结构有关，可按下式计算：</w:t>
            </w:r>
          </w:p>
          <w:p>
            <w:pPr>
              <w:tabs>
                <w:tab w:val="left" w:pos="2064"/>
              </w:tabs>
              <w:adjustRightInd w:val="0"/>
              <w:snapToGrid w:val="0"/>
              <w:spacing w:line="360" w:lineRule="auto"/>
              <w:jc w:val="center"/>
              <w:rPr>
                <w:rFonts w:hint="default" w:ascii="Times New Roman" w:hAnsi="Times New Roman" w:cs="Times New Roman"/>
                <w:sz w:val="24"/>
              </w:rPr>
            </w:pPr>
            <w:r>
              <w:rPr>
                <w:rFonts w:hint="default" w:ascii="Times New Roman" w:hAnsi="Times New Roman" w:cs="Times New Roman"/>
                <w:sz w:val="24"/>
              </w:rPr>
              <w:t>W=1/4×π×D</w:t>
            </w:r>
            <w:r>
              <w:rPr>
                <w:rFonts w:hint="default" w:ascii="Times New Roman" w:hAnsi="Times New Roman" w:cs="Times New Roman"/>
                <w:sz w:val="24"/>
                <w:vertAlign w:val="superscript"/>
              </w:rPr>
              <w:t>2</w:t>
            </w:r>
            <w:r>
              <w:rPr>
                <w:rFonts w:hint="default" w:ascii="Times New Roman" w:hAnsi="Times New Roman" w:cs="Times New Roman"/>
                <w:sz w:val="24"/>
              </w:rPr>
              <w:t>×h×P</w:t>
            </w:r>
          </w:p>
          <w:p>
            <w:pPr>
              <w:pStyle w:val="16"/>
              <w:bidi w:val="0"/>
              <w:spacing w:line="360" w:lineRule="auto"/>
              <w:rPr>
                <w:rFonts w:hint="default" w:ascii="Times New Roman" w:hAnsi="Times New Roman" w:cs="Times New Roman"/>
                <w:sz w:val="24"/>
              </w:rPr>
            </w:pPr>
            <w:r>
              <w:rPr>
                <w:rFonts w:hint="default" w:ascii="Times New Roman" w:hAnsi="Times New Roman" w:cs="Times New Roman"/>
                <w:sz w:val="24"/>
              </w:rPr>
              <w:t>式中：W——产生的岩屑量，m</w:t>
            </w:r>
            <w:r>
              <w:rPr>
                <w:rFonts w:hint="default" w:ascii="Times New Roman" w:hAnsi="Times New Roman" w:cs="Times New Roman"/>
                <w:sz w:val="24"/>
                <w:vertAlign w:val="superscript"/>
              </w:rPr>
              <w:t>3</w:t>
            </w:r>
            <w:r>
              <w:rPr>
                <w:rFonts w:hint="default" w:ascii="Times New Roman" w:hAnsi="Times New Roman" w:cs="Times New Roman"/>
                <w:sz w:val="24"/>
              </w:rPr>
              <w:t>；</w:t>
            </w:r>
          </w:p>
          <w:p>
            <w:pPr>
              <w:tabs>
                <w:tab w:val="left" w:pos="2064"/>
              </w:tabs>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 xml:space="preserve">      D——井眼平均井径，m；</w:t>
            </w:r>
          </w:p>
          <w:p>
            <w:pPr>
              <w:tabs>
                <w:tab w:val="left" w:pos="2064"/>
              </w:tabs>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 xml:space="preserve">      h——裸眼长度，m；</w:t>
            </w:r>
          </w:p>
          <w:p>
            <w:pPr>
              <w:spacing w:line="360" w:lineRule="auto"/>
              <w:ind w:left="240" w:leftChars="100" w:firstLine="240" w:firstLineChars="100"/>
            </w:pPr>
            <w:r>
              <w:rPr>
                <w:rFonts w:hint="default" w:ascii="Times New Roman" w:hAnsi="Times New Roman" w:cs="Times New Roman"/>
                <w:szCs w:val="28"/>
              </w:rPr>
              <w:t xml:space="preserve">      P——膨胀系数，</w:t>
            </w:r>
            <w:r>
              <w:rPr>
                <w:rFonts w:hint="default" w:ascii="Times New Roman" w:hAnsi="Times New Roman" w:cs="Times New Roman"/>
              </w:rPr>
              <w:t>使</w:t>
            </w:r>
            <w:r>
              <w:rPr>
                <w:rFonts w:hint="eastAsia"/>
              </w:rPr>
              <w:t>用水基钻井液体系时取P=1.8，油基钻井液体系取P</w:t>
            </w:r>
            <w:r>
              <w:t>=4</w:t>
            </w:r>
          </w:p>
          <w:p>
            <w:pPr>
              <w:pStyle w:val="16"/>
              <w:bidi w:val="0"/>
              <w:rPr>
                <w:rFonts w:hint="eastAsia" w:eastAsia="宋体"/>
                <w:lang w:val="en-US" w:eastAsia="zh-CN"/>
              </w:rPr>
            </w:pPr>
            <w:r>
              <w:rPr>
                <w:rFonts w:hint="eastAsia" w:cs="Times New Roman"/>
              </w:rPr>
              <w:t>根据井身结构计算岩屑产生量，水基岩屑按体积计，油基岩屑按质量计（</w:t>
            </w:r>
            <w:r>
              <w:rPr>
                <w:rFonts w:hint="eastAsia"/>
              </w:rPr>
              <w:t>ρ=2.5g/cm</w:t>
            </w:r>
            <w:r>
              <w:rPr>
                <w:rFonts w:hint="eastAsia"/>
                <w:vertAlign w:val="superscript"/>
              </w:rPr>
              <w:t>3</w:t>
            </w:r>
            <w:r>
              <w:rPr>
                <w:rFonts w:hint="eastAsia" w:cs="Times New Roman"/>
              </w:rPr>
              <w:t>）。各井岩屑产生量详见</w:t>
            </w:r>
            <w:r>
              <w:rPr>
                <w:rFonts w:hint="eastAsia" w:cs="Times New Roman"/>
                <w:lang w:val="en-US" w:eastAsia="zh-CN"/>
              </w:rPr>
              <w:t>下表</w:t>
            </w:r>
          </w:p>
          <w:p>
            <w:pPr>
              <w:pStyle w:val="14"/>
              <w:bidi w:val="0"/>
              <w:rPr>
                <w:rFonts w:hint="default"/>
              </w:rPr>
            </w:pPr>
            <w:r>
              <w:rPr>
                <w:rFonts w:hint="default"/>
              </w:rPr>
              <w:t>表</w:t>
            </w:r>
            <w:r>
              <w:rPr>
                <w:rFonts w:hint="eastAsia"/>
                <w:lang w:val="en-US" w:eastAsia="zh-CN"/>
              </w:rPr>
              <w:t>4-4</w:t>
            </w:r>
            <w:r>
              <w:rPr>
                <w:rFonts w:hint="default"/>
              </w:rPr>
              <w:t xml:space="preserve">   单井钻井岩屑产生量一览表</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57" w:type="dxa"/>
                <w:bottom w:w="28" w:type="dxa"/>
                <w:right w:w="57" w:type="dxa"/>
              </w:tblCellMar>
            </w:tblPr>
            <w:tblGrid>
              <w:gridCol w:w="1289"/>
              <w:gridCol w:w="1564"/>
              <w:gridCol w:w="1713"/>
              <w:gridCol w:w="1884"/>
              <w:gridCol w:w="188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28" w:type="dxa"/>
                  <w:left w:w="57" w:type="dxa"/>
                  <w:bottom w:w="28" w:type="dxa"/>
                  <w:right w:w="57" w:type="dxa"/>
                </w:tblCellMar>
              </w:tblPrEx>
              <w:trPr>
                <w:trHeight w:val="333" w:hRule="atLeast"/>
                <w:jc w:val="center"/>
              </w:trPr>
              <w:tc>
                <w:tcPr>
                  <w:tcW w:w="773" w:type="pct"/>
                  <w:vAlign w:val="center"/>
                </w:tcPr>
                <w:p>
                  <w:pPr>
                    <w:pStyle w:val="17"/>
                    <w:bidi w:val="0"/>
                    <w:rPr>
                      <w:highlight w:val="none"/>
                    </w:rPr>
                  </w:pPr>
                  <w:r>
                    <w:rPr>
                      <w:rFonts w:hint="eastAsia"/>
                      <w:highlight w:val="none"/>
                    </w:rPr>
                    <w:t>钻井液体系</w:t>
                  </w:r>
                </w:p>
              </w:tc>
              <w:tc>
                <w:tcPr>
                  <w:tcW w:w="938" w:type="pct"/>
                  <w:vAlign w:val="center"/>
                </w:tcPr>
                <w:p>
                  <w:pPr>
                    <w:pStyle w:val="17"/>
                    <w:bidi w:val="0"/>
                    <w:rPr>
                      <w:highlight w:val="none"/>
                    </w:rPr>
                  </w:pPr>
                  <w:r>
                    <w:rPr>
                      <w:rFonts w:hint="eastAsia"/>
                      <w:highlight w:val="none"/>
                    </w:rPr>
                    <w:t>井段</w:t>
                  </w:r>
                </w:p>
              </w:tc>
              <w:tc>
                <w:tcPr>
                  <w:tcW w:w="1027" w:type="pct"/>
                  <w:vAlign w:val="center"/>
                </w:tcPr>
                <w:p>
                  <w:pPr>
                    <w:pStyle w:val="17"/>
                    <w:bidi w:val="0"/>
                    <w:rPr>
                      <w:highlight w:val="none"/>
                    </w:rPr>
                  </w:pPr>
                  <w:r>
                    <w:rPr>
                      <w:rFonts w:hint="eastAsia" w:ascii="Times New Roman" w:hAnsi="Times New Roman" w:cs="Times New Roman"/>
                      <w:color w:val="auto"/>
                      <w:highlight w:val="none"/>
                      <w:lang w:val="en-US" w:eastAsia="zh-CN"/>
                    </w:rPr>
                    <w:t>单井</w:t>
                  </w:r>
                  <w:r>
                    <w:rPr>
                      <w:rFonts w:hint="eastAsia"/>
                      <w:highlight w:val="none"/>
                    </w:rPr>
                    <w:t>体积（m</w:t>
                  </w:r>
                  <w:r>
                    <w:rPr>
                      <w:rFonts w:hint="eastAsia"/>
                      <w:highlight w:val="none"/>
                      <w:vertAlign w:val="superscript"/>
                    </w:rPr>
                    <w:t>3</w:t>
                  </w:r>
                  <w:r>
                    <w:rPr>
                      <w:rFonts w:hint="eastAsia"/>
                      <w:highlight w:val="none"/>
                    </w:rPr>
                    <w:t>）</w:t>
                  </w:r>
                </w:p>
              </w:tc>
              <w:tc>
                <w:tcPr>
                  <w:tcW w:w="1130" w:type="pct"/>
                  <w:vAlign w:val="center"/>
                </w:tcPr>
                <w:p>
                  <w:pPr>
                    <w:pStyle w:val="17"/>
                    <w:bidi w:val="0"/>
                    <w:rPr>
                      <w:highlight w:val="none"/>
                    </w:rPr>
                  </w:pPr>
                  <w:r>
                    <w:rPr>
                      <w:rFonts w:hint="eastAsia" w:ascii="Times New Roman" w:hAnsi="Times New Roman" w:cs="Times New Roman"/>
                      <w:color w:val="auto"/>
                      <w:highlight w:val="none"/>
                      <w:lang w:val="en-US" w:eastAsia="zh-CN"/>
                    </w:rPr>
                    <w:t>单井</w:t>
                  </w:r>
                  <w:r>
                    <w:rPr>
                      <w:rFonts w:hint="eastAsia"/>
                      <w:highlight w:val="none"/>
                    </w:rPr>
                    <w:t>质量（t）</w:t>
                  </w:r>
                </w:p>
              </w:tc>
              <w:tc>
                <w:tcPr>
                  <w:tcW w:w="1130" w:type="pct"/>
                  <w:vAlign w:val="center"/>
                </w:tcPr>
                <w:p>
                  <w:pPr>
                    <w:pStyle w:val="17"/>
                    <w:bidi w:val="0"/>
                    <w:rPr>
                      <w:highlight w:val="none"/>
                    </w:rPr>
                  </w:pPr>
                  <w:r>
                    <w:rPr>
                      <w:rFonts w:hint="eastAsia" w:ascii="Times New Roman" w:hAnsi="Times New Roman" w:cs="Times New Roman"/>
                      <w:color w:val="auto"/>
                      <w:highlight w:val="none"/>
                      <w:lang w:val="en-US" w:eastAsia="zh-CN"/>
                    </w:rPr>
                    <w:t>单井</w:t>
                  </w:r>
                  <w:r>
                    <w:rPr>
                      <w:rFonts w:hint="eastAsia"/>
                      <w:highlight w:val="none"/>
                    </w:rPr>
                    <w:t>岩屑量</w:t>
                  </w:r>
                </w:p>
                <w:p>
                  <w:pPr>
                    <w:pStyle w:val="17"/>
                    <w:bidi w:val="0"/>
                    <w:rPr>
                      <w:highlight w:val="none"/>
                    </w:rPr>
                  </w:pPr>
                  <w:r>
                    <w:rPr>
                      <w:rFonts w:hint="eastAsia"/>
                      <w:highlight w:val="none"/>
                    </w:rPr>
                    <w:t>合计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28" w:type="dxa"/>
                  <w:left w:w="57" w:type="dxa"/>
                  <w:bottom w:w="28" w:type="dxa"/>
                  <w:right w:w="57" w:type="dxa"/>
                </w:tblCellMar>
              </w:tblPrEx>
              <w:trPr>
                <w:trHeight w:val="20" w:hRule="atLeast"/>
                <w:jc w:val="center"/>
              </w:trPr>
              <w:tc>
                <w:tcPr>
                  <w:tcW w:w="773" w:type="pct"/>
                  <w:vAlign w:val="center"/>
                </w:tcPr>
                <w:p>
                  <w:pPr>
                    <w:pStyle w:val="17"/>
                    <w:bidi w:val="0"/>
                    <w:rPr>
                      <w:highlight w:val="none"/>
                    </w:rPr>
                  </w:pPr>
                  <w:r>
                    <w:rPr>
                      <w:rFonts w:hint="eastAsia"/>
                      <w:highlight w:val="none"/>
                    </w:rPr>
                    <w:t>水基钻井液</w:t>
                  </w:r>
                </w:p>
              </w:tc>
              <w:tc>
                <w:tcPr>
                  <w:tcW w:w="938" w:type="pct"/>
                  <w:vAlign w:val="center"/>
                </w:tcPr>
                <w:p>
                  <w:pPr>
                    <w:pStyle w:val="17"/>
                    <w:bidi w:val="0"/>
                    <w:rPr>
                      <w:highlight w:val="none"/>
                    </w:rPr>
                  </w:pPr>
                  <w:r>
                    <w:rPr>
                      <w:rFonts w:hint="eastAsia"/>
                      <w:highlight w:val="none"/>
                    </w:rPr>
                    <w:t>一开</w:t>
                  </w:r>
                </w:p>
              </w:tc>
              <w:tc>
                <w:tcPr>
                  <w:tcW w:w="1027" w:type="pct"/>
                  <w:tcBorders>
                    <w:top w:val="single" w:color="auto" w:sz="4" w:space="0"/>
                  </w:tcBorders>
                  <w:vAlign w:val="center"/>
                </w:tcPr>
                <w:p>
                  <w:pPr>
                    <w:pStyle w:val="17"/>
                    <w:bidi w:val="0"/>
                    <w:rPr>
                      <w:rFonts w:hint="default"/>
                      <w:highlight w:val="none"/>
                      <w:lang w:val="en-US" w:eastAsia="zh-CN"/>
                    </w:rPr>
                  </w:pPr>
                  <w:r>
                    <w:rPr>
                      <w:rFonts w:hint="eastAsia"/>
                      <w:highlight w:val="none"/>
                      <w:lang w:val="en-US" w:eastAsia="zh-CN"/>
                    </w:rPr>
                    <w:t>109.4</w:t>
                  </w:r>
                </w:p>
              </w:tc>
              <w:tc>
                <w:tcPr>
                  <w:tcW w:w="1130" w:type="pct"/>
                  <w:vAlign w:val="center"/>
                </w:tcPr>
                <w:p>
                  <w:pPr>
                    <w:pStyle w:val="17"/>
                    <w:bidi w:val="0"/>
                    <w:rPr>
                      <w:highlight w:val="none"/>
                    </w:rPr>
                  </w:pPr>
                  <w:r>
                    <w:rPr>
                      <w:rFonts w:hint="eastAsia"/>
                      <w:highlight w:val="none"/>
                    </w:rPr>
                    <w:t>/</w:t>
                  </w:r>
                </w:p>
              </w:tc>
              <w:tc>
                <w:tcPr>
                  <w:tcW w:w="1130" w:type="pct"/>
                  <w:vAlign w:val="center"/>
                </w:tcPr>
                <w:p>
                  <w:pPr>
                    <w:pStyle w:val="17"/>
                    <w:bidi w:val="0"/>
                    <w:rPr>
                      <w:highlight w:val="none"/>
                    </w:rPr>
                  </w:pPr>
                  <w:r>
                    <w:rPr>
                      <w:rFonts w:hint="eastAsia"/>
                      <w:highlight w:val="none"/>
                      <w:lang w:val="en-US" w:eastAsia="zh-CN"/>
                    </w:rPr>
                    <w:t>109.4</w:t>
                  </w:r>
                  <w:r>
                    <w:rPr>
                      <w:rFonts w:hint="eastAsia"/>
                      <w:highlight w:val="none"/>
                    </w:rPr>
                    <w:t>m</w:t>
                  </w:r>
                  <w:r>
                    <w:rPr>
                      <w:rFonts w:hint="eastAsia"/>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28" w:type="dxa"/>
                  <w:left w:w="57" w:type="dxa"/>
                  <w:bottom w:w="28" w:type="dxa"/>
                  <w:right w:w="57" w:type="dxa"/>
                </w:tblCellMar>
              </w:tblPrEx>
              <w:trPr>
                <w:trHeight w:val="350" w:hRule="atLeast"/>
                <w:jc w:val="center"/>
              </w:trPr>
              <w:tc>
                <w:tcPr>
                  <w:tcW w:w="773" w:type="pct"/>
                  <w:vMerge w:val="restart"/>
                  <w:vAlign w:val="center"/>
                </w:tcPr>
                <w:p>
                  <w:pPr>
                    <w:pStyle w:val="17"/>
                    <w:bidi w:val="0"/>
                    <w:rPr>
                      <w:highlight w:val="none"/>
                    </w:rPr>
                  </w:pPr>
                  <w:r>
                    <w:rPr>
                      <w:rFonts w:hint="eastAsia"/>
                      <w:highlight w:val="none"/>
                    </w:rPr>
                    <w:t>油基钻井液</w:t>
                  </w:r>
                </w:p>
              </w:tc>
              <w:tc>
                <w:tcPr>
                  <w:tcW w:w="938" w:type="pct"/>
                  <w:vAlign w:val="center"/>
                </w:tcPr>
                <w:p>
                  <w:pPr>
                    <w:pStyle w:val="17"/>
                    <w:bidi w:val="0"/>
                    <w:rPr>
                      <w:highlight w:val="none"/>
                    </w:rPr>
                  </w:pPr>
                  <w:r>
                    <w:rPr>
                      <w:rFonts w:hint="eastAsia"/>
                      <w:highlight w:val="none"/>
                    </w:rPr>
                    <w:t>萨5-8-9二开</w:t>
                  </w:r>
                </w:p>
              </w:tc>
              <w:tc>
                <w:tcPr>
                  <w:tcW w:w="1713" w:type="dxa"/>
                  <w:tcBorders>
                    <w:top w:val="single" w:color="auto" w:sz="4" w:space="0"/>
                    <w:bottom w:val="single" w:color="auto" w:sz="4" w:space="0"/>
                  </w:tcBorders>
                  <w:vAlign w:val="center"/>
                </w:tcPr>
                <w:p>
                  <w:pPr>
                    <w:pStyle w:val="17"/>
                    <w:bidi w:val="0"/>
                    <w:rPr>
                      <w:rFonts w:hint="default"/>
                      <w:highlight w:val="none"/>
                      <w:lang w:val="en-US" w:eastAsia="zh-CN"/>
                    </w:rPr>
                  </w:pPr>
                  <w:r>
                    <w:rPr>
                      <w:rFonts w:hint="eastAsia"/>
                      <w:highlight w:val="none"/>
                      <w:lang w:val="en-US" w:eastAsia="zh-CN"/>
                    </w:rPr>
                    <w:t>441.26</w:t>
                  </w:r>
                </w:p>
              </w:tc>
              <w:tc>
                <w:tcPr>
                  <w:tcW w:w="1884" w:type="dxa"/>
                  <w:vAlign w:val="center"/>
                </w:tcPr>
                <w:p>
                  <w:pPr>
                    <w:pStyle w:val="17"/>
                    <w:bidi w:val="0"/>
                    <w:rPr>
                      <w:rFonts w:hint="default"/>
                      <w:highlight w:val="none"/>
                      <w:lang w:val="en-US" w:eastAsia="zh-CN"/>
                    </w:rPr>
                  </w:pPr>
                  <w:r>
                    <w:rPr>
                      <w:rFonts w:hint="eastAsia"/>
                      <w:highlight w:val="none"/>
                      <w:lang w:val="en-US" w:eastAsia="zh-CN"/>
                    </w:rPr>
                    <w:t>1103.14</w:t>
                  </w:r>
                </w:p>
              </w:tc>
              <w:tc>
                <w:tcPr>
                  <w:tcW w:w="1885" w:type="dxa"/>
                  <w:vAlign w:val="center"/>
                </w:tcPr>
                <w:p>
                  <w:pPr>
                    <w:pStyle w:val="17"/>
                    <w:bidi w:val="0"/>
                    <w:rPr>
                      <w:rFonts w:hint="default"/>
                      <w:highlight w:val="none"/>
                      <w:lang w:val="en-US" w:eastAsia="zh-CN"/>
                    </w:rPr>
                  </w:pPr>
                  <w:r>
                    <w:rPr>
                      <w:rFonts w:hint="eastAsia"/>
                      <w:highlight w:val="none"/>
                      <w:lang w:val="en-US" w:eastAsia="zh-CN"/>
                    </w:rPr>
                    <w:t>1103.14t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28" w:type="dxa"/>
                  <w:left w:w="57" w:type="dxa"/>
                  <w:bottom w:w="28" w:type="dxa"/>
                  <w:right w:w="57" w:type="dxa"/>
                </w:tblCellMar>
              </w:tblPrEx>
              <w:trPr>
                <w:trHeight w:val="350" w:hRule="atLeast"/>
                <w:jc w:val="center"/>
              </w:trPr>
              <w:tc>
                <w:tcPr>
                  <w:tcW w:w="773" w:type="pct"/>
                  <w:vMerge w:val="continue"/>
                  <w:vAlign w:val="center"/>
                </w:tcPr>
                <w:p>
                  <w:pPr>
                    <w:pStyle w:val="17"/>
                    <w:bidi w:val="0"/>
                    <w:rPr>
                      <w:rFonts w:hint="eastAsia"/>
                      <w:highlight w:val="none"/>
                    </w:rPr>
                  </w:pPr>
                </w:p>
              </w:tc>
              <w:tc>
                <w:tcPr>
                  <w:tcW w:w="938" w:type="pct"/>
                  <w:vAlign w:val="center"/>
                </w:tcPr>
                <w:p>
                  <w:pPr>
                    <w:pStyle w:val="17"/>
                    <w:bidi w:val="0"/>
                    <w:rPr>
                      <w:rFonts w:hint="eastAsia"/>
                      <w:highlight w:val="none"/>
                    </w:rPr>
                  </w:pPr>
                  <w:r>
                    <w:rPr>
                      <w:rFonts w:hint="eastAsia"/>
                      <w:highlight w:val="none"/>
                    </w:rPr>
                    <w:t>萨5-8-10二开</w:t>
                  </w:r>
                </w:p>
              </w:tc>
              <w:tc>
                <w:tcPr>
                  <w:tcW w:w="1713" w:type="dxa"/>
                  <w:tcBorders>
                    <w:top w:val="single" w:color="auto" w:sz="4" w:space="0"/>
                    <w:bottom w:val="single" w:color="auto" w:sz="4" w:space="0"/>
                  </w:tcBorders>
                  <w:vAlign w:val="center"/>
                </w:tcPr>
                <w:p>
                  <w:pPr>
                    <w:pStyle w:val="17"/>
                    <w:bidi w:val="0"/>
                    <w:rPr>
                      <w:rFonts w:hint="eastAsia"/>
                      <w:highlight w:val="none"/>
                      <w:lang w:val="en-US" w:eastAsia="zh-CN"/>
                    </w:rPr>
                  </w:pPr>
                  <w:r>
                    <w:rPr>
                      <w:rFonts w:hint="eastAsia"/>
                      <w:highlight w:val="none"/>
                      <w:lang w:val="en-US" w:eastAsia="zh-CN"/>
                    </w:rPr>
                    <w:t>431.30</w:t>
                  </w:r>
                </w:p>
              </w:tc>
              <w:tc>
                <w:tcPr>
                  <w:tcW w:w="1884" w:type="dxa"/>
                  <w:vAlign w:val="center"/>
                </w:tcPr>
                <w:p>
                  <w:pPr>
                    <w:pStyle w:val="17"/>
                    <w:bidi w:val="0"/>
                    <w:rPr>
                      <w:rFonts w:hint="eastAsia"/>
                      <w:highlight w:val="none"/>
                      <w:lang w:val="en-US" w:eastAsia="zh-CN"/>
                    </w:rPr>
                  </w:pPr>
                  <w:r>
                    <w:rPr>
                      <w:rFonts w:hint="eastAsia"/>
                      <w:highlight w:val="none"/>
                      <w:lang w:val="en-US" w:eastAsia="zh-CN"/>
                    </w:rPr>
                    <w:t>1078.24</w:t>
                  </w:r>
                </w:p>
              </w:tc>
              <w:tc>
                <w:tcPr>
                  <w:tcW w:w="1885" w:type="dxa"/>
                  <w:vAlign w:val="center"/>
                </w:tcPr>
                <w:p>
                  <w:pPr>
                    <w:pStyle w:val="17"/>
                    <w:bidi w:val="0"/>
                    <w:rPr>
                      <w:rFonts w:hint="eastAsia"/>
                      <w:highlight w:val="none"/>
                      <w:lang w:val="en-US" w:eastAsia="zh-CN"/>
                    </w:rPr>
                  </w:pPr>
                  <w:r>
                    <w:rPr>
                      <w:rFonts w:hint="eastAsia"/>
                      <w:highlight w:val="none"/>
                      <w:lang w:val="en-US" w:eastAsia="zh-CN"/>
                    </w:rPr>
                    <w:t>1078.24t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28" w:type="dxa"/>
                  <w:left w:w="57" w:type="dxa"/>
                  <w:bottom w:w="28" w:type="dxa"/>
                  <w:right w:w="57" w:type="dxa"/>
                </w:tblCellMar>
              </w:tblPrEx>
              <w:trPr>
                <w:trHeight w:val="350" w:hRule="atLeast"/>
                <w:jc w:val="center"/>
              </w:trPr>
              <w:tc>
                <w:tcPr>
                  <w:tcW w:w="773" w:type="pct"/>
                  <w:vMerge w:val="continue"/>
                  <w:vAlign w:val="center"/>
                </w:tcPr>
                <w:p>
                  <w:pPr>
                    <w:pStyle w:val="17"/>
                    <w:bidi w:val="0"/>
                    <w:rPr>
                      <w:rFonts w:hint="eastAsia"/>
                      <w:highlight w:val="none"/>
                    </w:rPr>
                  </w:pPr>
                </w:p>
              </w:tc>
              <w:tc>
                <w:tcPr>
                  <w:tcW w:w="938" w:type="pct"/>
                  <w:vAlign w:val="center"/>
                </w:tcPr>
                <w:p>
                  <w:pPr>
                    <w:pStyle w:val="17"/>
                    <w:bidi w:val="0"/>
                    <w:rPr>
                      <w:rFonts w:hint="eastAsia"/>
                      <w:highlight w:val="none"/>
                    </w:rPr>
                  </w:pPr>
                  <w:r>
                    <w:rPr>
                      <w:rFonts w:hint="eastAsia"/>
                      <w:highlight w:val="none"/>
                    </w:rPr>
                    <w:t>萨5-9-8二开</w:t>
                  </w:r>
                </w:p>
              </w:tc>
              <w:tc>
                <w:tcPr>
                  <w:tcW w:w="1713" w:type="dxa"/>
                  <w:tcBorders>
                    <w:top w:val="single" w:color="auto" w:sz="4" w:space="0"/>
                    <w:bottom w:val="single" w:color="auto" w:sz="4" w:space="0"/>
                  </w:tcBorders>
                  <w:vAlign w:val="center"/>
                </w:tcPr>
                <w:p>
                  <w:pPr>
                    <w:pStyle w:val="17"/>
                    <w:bidi w:val="0"/>
                    <w:rPr>
                      <w:rFonts w:hint="eastAsia"/>
                      <w:highlight w:val="none"/>
                      <w:lang w:val="en-US" w:eastAsia="zh-CN"/>
                    </w:rPr>
                  </w:pPr>
                  <w:r>
                    <w:rPr>
                      <w:rFonts w:hint="eastAsia"/>
                      <w:highlight w:val="none"/>
                      <w:lang w:val="en-US" w:eastAsia="zh-CN"/>
                    </w:rPr>
                    <w:t>432.76</w:t>
                  </w:r>
                </w:p>
              </w:tc>
              <w:tc>
                <w:tcPr>
                  <w:tcW w:w="1884" w:type="dxa"/>
                  <w:vAlign w:val="center"/>
                </w:tcPr>
                <w:p>
                  <w:pPr>
                    <w:pStyle w:val="17"/>
                    <w:bidi w:val="0"/>
                    <w:rPr>
                      <w:rFonts w:hint="eastAsia"/>
                      <w:highlight w:val="none"/>
                      <w:lang w:val="en-US" w:eastAsia="zh-CN"/>
                    </w:rPr>
                  </w:pPr>
                  <w:r>
                    <w:rPr>
                      <w:rFonts w:hint="eastAsia"/>
                      <w:highlight w:val="none"/>
                      <w:lang w:val="en-US" w:eastAsia="zh-CN"/>
                    </w:rPr>
                    <w:t>1081.90</w:t>
                  </w:r>
                </w:p>
              </w:tc>
              <w:tc>
                <w:tcPr>
                  <w:tcW w:w="1885" w:type="dxa"/>
                  <w:vAlign w:val="center"/>
                </w:tcPr>
                <w:p>
                  <w:pPr>
                    <w:pStyle w:val="17"/>
                    <w:bidi w:val="0"/>
                    <w:rPr>
                      <w:rFonts w:hint="eastAsia"/>
                      <w:highlight w:val="none"/>
                      <w:lang w:val="en-US" w:eastAsia="zh-CN"/>
                    </w:rPr>
                  </w:pPr>
                  <w:r>
                    <w:rPr>
                      <w:rFonts w:hint="eastAsia"/>
                      <w:highlight w:val="none"/>
                      <w:lang w:val="en-US" w:eastAsia="zh-CN"/>
                    </w:rPr>
                    <w:t>1081.90t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28" w:type="dxa"/>
                  <w:left w:w="57" w:type="dxa"/>
                  <w:bottom w:w="28" w:type="dxa"/>
                  <w:right w:w="57" w:type="dxa"/>
                </w:tblCellMar>
              </w:tblPrEx>
              <w:trPr>
                <w:trHeight w:val="350" w:hRule="atLeast"/>
                <w:jc w:val="center"/>
              </w:trPr>
              <w:tc>
                <w:tcPr>
                  <w:tcW w:w="773" w:type="pct"/>
                  <w:vMerge w:val="continue"/>
                  <w:vAlign w:val="center"/>
                </w:tcPr>
                <w:p>
                  <w:pPr>
                    <w:pStyle w:val="17"/>
                    <w:bidi w:val="0"/>
                    <w:rPr>
                      <w:rFonts w:hint="eastAsia"/>
                      <w:highlight w:val="none"/>
                    </w:rPr>
                  </w:pPr>
                </w:p>
              </w:tc>
              <w:tc>
                <w:tcPr>
                  <w:tcW w:w="938" w:type="pct"/>
                  <w:vAlign w:val="center"/>
                </w:tcPr>
                <w:p>
                  <w:pPr>
                    <w:pStyle w:val="17"/>
                    <w:bidi w:val="0"/>
                    <w:rPr>
                      <w:rFonts w:hint="eastAsia"/>
                      <w:highlight w:val="none"/>
                    </w:rPr>
                  </w:pPr>
                  <w:r>
                    <w:rPr>
                      <w:rFonts w:hint="eastAsia"/>
                      <w:highlight w:val="none"/>
                    </w:rPr>
                    <w:t>萨5-9-9二开</w:t>
                  </w:r>
                </w:p>
              </w:tc>
              <w:tc>
                <w:tcPr>
                  <w:tcW w:w="1713" w:type="dxa"/>
                  <w:tcBorders>
                    <w:top w:val="single" w:color="auto" w:sz="4" w:space="0"/>
                    <w:bottom w:val="single" w:color="auto" w:sz="4" w:space="0"/>
                  </w:tcBorders>
                  <w:vAlign w:val="center"/>
                </w:tcPr>
                <w:p>
                  <w:pPr>
                    <w:pStyle w:val="17"/>
                    <w:bidi w:val="0"/>
                    <w:rPr>
                      <w:rFonts w:hint="eastAsia"/>
                      <w:highlight w:val="none"/>
                      <w:lang w:val="en-US" w:eastAsia="zh-CN"/>
                    </w:rPr>
                  </w:pPr>
                  <w:r>
                    <w:rPr>
                      <w:rFonts w:hint="eastAsia"/>
                      <w:highlight w:val="none"/>
                      <w:lang w:val="en-US" w:eastAsia="zh-CN"/>
                    </w:rPr>
                    <w:t>442.58</w:t>
                  </w:r>
                </w:p>
              </w:tc>
              <w:tc>
                <w:tcPr>
                  <w:tcW w:w="1884" w:type="dxa"/>
                  <w:vAlign w:val="center"/>
                </w:tcPr>
                <w:p>
                  <w:pPr>
                    <w:pStyle w:val="17"/>
                    <w:bidi w:val="0"/>
                    <w:rPr>
                      <w:rFonts w:hint="eastAsia"/>
                      <w:highlight w:val="none"/>
                      <w:lang w:val="en-US" w:eastAsia="zh-CN"/>
                    </w:rPr>
                  </w:pPr>
                  <w:r>
                    <w:rPr>
                      <w:rFonts w:hint="eastAsia"/>
                      <w:highlight w:val="none"/>
                      <w:lang w:val="en-US" w:eastAsia="zh-CN"/>
                    </w:rPr>
                    <w:t>1106.44</w:t>
                  </w:r>
                </w:p>
              </w:tc>
              <w:tc>
                <w:tcPr>
                  <w:tcW w:w="1885" w:type="dxa"/>
                  <w:vAlign w:val="center"/>
                </w:tcPr>
                <w:p>
                  <w:pPr>
                    <w:pStyle w:val="17"/>
                    <w:bidi w:val="0"/>
                    <w:rPr>
                      <w:rFonts w:hint="eastAsia"/>
                      <w:highlight w:val="none"/>
                      <w:lang w:val="en-US" w:eastAsia="zh-CN"/>
                    </w:rPr>
                  </w:pPr>
                  <w:r>
                    <w:rPr>
                      <w:rFonts w:hint="eastAsia"/>
                      <w:highlight w:val="none"/>
                      <w:lang w:val="en-US" w:eastAsia="zh-CN"/>
                    </w:rPr>
                    <w:t>1106.44t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28" w:type="dxa"/>
                  <w:left w:w="57" w:type="dxa"/>
                  <w:bottom w:w="28" w:type="dxa"/>
                  <w:right w:w="57" w:type="dxa"/>
                </w:tblCellMar>
              </w:tblPrEx>
              <w:trPr>
                <w:trHeight w:val="350" w:hRule="atLeast"/>
                <w:jc w:val="center"/>
              </w:trPr>
              <w:tc>
                <w:tcPr>
                  <w:tcW w:w="773" w:type="pct"/>
                  <w:vMerge w:val="continue"/>
                  <w:vAlign w:val="center"/>
                </w:tcPr>
                <w:p>
                  <w:pPr>
                    <w:pStyle w:val="17"/>
                    <w:bidi w:val="0"/>
                    <w:rPr>
                      <w:rFonts w:hint="eastAsia"/>
                      <w:highlight w:val="none"/>
                    </w:rPr>
                  </w:pPr>
                </w:p>
              </w:tc>
              <w:tc>
                <w:tcPr>
                  <w:tcW w:w="938" w:type="pct"/>
                  <w:vAlign w:val="center"/>
                </w:tcPr>
                <w:p>
                  <w:pPr>
                    <w:pStyle w:val="17"/>
                    <w:bidi w:val="0"/>
                    <w:rPr>
                      <w:rFonts w:hint="eastAsia"/>
                      <w:highlight w:val="none"/>
                    </w:rPr>
                  </w:pPr>
                  <w:r>
                    <w:rPr>
                      <w:rFonts w:hint="eastAsia"/>
                      <w:highlight w:val="none"/>
                    </w:rPr>
                    <w:t>萨5-9-10二开</w:t>
                  </w:r>
                </w:p>
              </w:tc>
              <w:tc>
                <w:tcPr>
                  <w:tcW w:w="1713" w:type="dxa"/>
                  <w:tcBorders>
                    <w:top w:val="single" w:color="auto" w:sz="4" w:space="0"/>
                    <w:bottom w:val="single" w:color="auto" w:sz="4" w:space="0"/>
                  </w:tcBorders>
                  <w:vAlign w:val="center"/>
                </w:tcPr>
                <w:p>
                  <w:pPr>
                    <w:pStyle w:val="17"/>
                    <w:bidi w:val="0"/>
                    <w:rPr>
                      <w:rFonts w:hint="eastAsia"/>
                      <w:highlight w:val="none"/>
                      <w:lang w:val="en-US" w:eastAsia="zh-CN"/>
                    </w:rPr>
                  </w:pPr>
                  <w:r>
                    <w:rPr>
                      <w:rFonts w:hint="eastAsia"/>
                      <w:highlight w:val="none"/>
                      <w:lang w:val="en-US" w:eastAsia="zh-CN"/>
                    </w:rPr>
                    <w:t>443.46</w:t>
                  </w:r>
                </w:p>
              </w:tc>
              <w:tc>
                <w:tcPr>
                  <w:tcW w:w="1884" w:type="dxa"/>
                  <w:vAlign w:val="center"/>
                </w:tcPr>
                <w:p>
                  <w:pPr>
                    <w:pStyle w:val="17"/>
                    <w:bidi w:val="0"/>
                    <w:rPr>
                      <w:rFonts w:hint="eastAsia"/>
                      <w:highlight w:val="none"/>
                      <w:lang w:val="en-US" w:eastAsia="zh-CN"/>
                    </w:rPr>
                  </w:pPr>
                  <w:r>
                    <w:rPr>
                      <w:rFonts w:hint="eastAsia"/>
                      <w:highlight w:val="none"/>
                      <w:lang w:val="en-US" w:eastAsia="zh-CN"/>
                    </w:rPr>
                    <w:t>1108.64</w:t>
                  </w:r>
                </w:p>
              </w:tc>
              <w:tc>
                <w:tcPr>
                  <w:tcW w:w="1885" w:type="dxa"/>
                  <w:vAlign w:val="center"/>
                </w:tcPr>
                <w:p>
                  <w:pPr>
                    <w:pStyle w:val="17"/>
                    <w:bidi w:val="0"/>
                    <w:rPr>
                      <w:rFonts w:hint="eastAsia"/>
                      <w:highlight w:val="none"/>
                      <w:lang w:val="en-US" w:eastAsia="zh-CN"/>
                    </w:rPr>
                  </w:pPr>
                  <w:r>
                    <w:rPr>
                      <w:rFonts w:hint="eastAsia"/>
                      <w:highlight w:val="none"/>
                      <w:lang w:val="en-US" w:eastAsia="zh-CN"/>
                    </w:rPr>
                    <w:t>1108.64t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28" w:type="dxa"/>
                  <w:left w:w="57" w:type="dxa"/>
                  <w:bottom w:w="28" w:type="dxa"/>
                  <w:right w:w="57" w:type="dxa"/>
                </w:tblCellMar>
              </w:tblPrEx>
              <w:trPr>
                <w:trHeight w:val="350" w:hRule="atLeast"/>
                <w:jc w:val="center"/>
              </w:trPr>
              <w:tc>
                <w:tcPr>
                  <w:tcW w:w="773" w:type="pct"/>
                  <w:vMerge w:val="continue"/>
                  <w:vAlign w:val="center"/>
                </w:tcPr>
                <w:p>
                  <w:pPr>
                    <w:pStyle w:val="17"/>
                    <w:bidi w:val="0"/>
                    <w:rPr>
                      <w:rFonts w:hint="eastAsia"/>
                      <w:highlight w:val="none"/>
                    </w:rPr>
                  </w:pPr>
                </w:p>
              </w:tc>
              <w:tc>
                <w:tcPr>
                  <w:tcW w:w="938" w:type="pct"/>
                  <w:vAlign w:val="center"/>
                </w:tcPr>
                <w:p>
                  <w:pPr>
                    <w:pStyle w:val="17"/>
                    <w:bidi w:val="0"/>
                    <w:rPr>
                      <w:rFonts w:hint="eastAsia"/>
                      <w:highlight w:val="none"/>
                    </w:rPr>
                  </w:pPr>
                  <w:r>
                    <w:rPr>
                      <w:rFonts w:hint="eastAsia"/>
                      <w:highlight w:val="none"/>
                    </w:rPr>
                    <w:t>萨5-11-9二开</w:t>
                  </w:r>
                </w:p>
              </w:tc>
              <w:tc>
                <w:tcPr>
                  <w:tcW w:w="1713" w:type="dxa"/>
                  <w:tcBorders>
                    <w:top w:val="single" w:color="auto" w:sz="4" w:space="0"/>
                    <w:bottom w:val="single" w:color="auto" w:sz="4" w:space="0"/>
                  </w:tcBorders>
                  <w:vAlign w:val="center"/>
                </w:tcPr>
                <w:p>
                  <w:pPr>
                    <w:pStyle w:val="17"/>
                    <w:bidi w:val="0"/>
                    <w:rPr>
                      <w:rFonts w:hint="eastAsia"/>
                      <w:highlight w:val="none"/>
                      <w:lang w:val="en-US" w:eastAsia="zh-CN"/>
                    </w:rPr>
                  </w:pPr>
                  <w:r>
                    <w:rPr>
                      <w:rFonts w:hint="eastAsia"/>
                      <w:highlight w:val="none"/>
                      <w:lang w:val="en-US" w:eastAsia="zh-CN"/>
                    </w:rPr>
                    <w:t>445.36</w:t>
                  </w:r>
                </w:p>
              </w:tc>
              <w:tc>
                <w:tcPr>
                  <w:tcW w:w="1884" w:type="dxa"/>
                  <w:vAlign w:val="center"/>
                </w:tcPr>
                <w:p>
                  <w:pPr>
                    <w:pStyle w:val="17"/>
                    <w:bidi w:val="0"/>
                    <w:rPr>
                      <w:rFonts w:hint="eastAsia"/>
                      <w:highlight w:val="none"/>
                      <w:lang w:val="en-US" w:eastAsia="zh-CN"/>
                    </w:rPr>
                  </w:pPr>
                  <w:r>
                    <w:rPr>
                      <w:rFonts w:hint="eastAsia"/>
                      <w:highlight w:val="none"/>
                      <w:lang w:val="en-US" w:eastAsia="zh-CN"/>
                    </w:rPr>
                    <w:t>1113.40</w:t>
                  </w:r>
                </w:p>
              </w:tc>
              <w:tc>
                <w:tcPr>
                  <w:tcW w:w="1885" w:type="dxa"/>
                  <w:vAlign w:val="center"/>
                </w:tcPr>
                <w:p>
                  <w:pPr>
                    <w:pStyle w:val="17"/>
                    <w:bidi w:val="0"/>
                    <w:rPr>
                      <w:rFonts w:hint="eastAsia"/>
                      <w:highlight w:val="none"/>
                      <w:lang w:val="en-US" w:eastAsia="zh-CN"/>
                    </w:rPr>
                  </w:pPr>
                  <w:r>
                    <w:rPr>
                      <w:rFonts w:hint="eastAsia"/>
                      <w:highlight w:val="none"/>
                      <w:lang w:val="en-US" w:eastAsia="zh-CN"/>
                    </w:rPr>
                    <w:t>1113.40t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28" w:type="dxa"/>
                  <w:left w:w="57" w:type="dxa"/>
                  <w:bottom w:w="28" w:type="dxa"/>
                  <w:right w:w="57" w:type="dxa"/>
                </w:tblCellMar>
              </w:tblPrEx>
              <w:trPr>
                <w:trHeight w:val="350" w:hRule="atLeast"/>
                <w:jc w:val="center"/>
              </w:trPr>
              <w:tc>
                <w:tcPr>
                  <w:tcW w:w="773" w:type="pct"/>
                  <w:vMerge w:val="continue"/>
                  <w:vAlign w:val="center"/>
                </w:tcPr>
                <w:p>
                  <w:pPr>
                    <w:pStyle w:val="17"/>
                    <w:bidi w:val="0"/>
                    <w:rPr>
                      <w:rFonts w:hint="eastAsia"/>
                      <w:highlight w:val="none"/>
                    </w:rPr>
                  </w:pPr>
                </w:p>
              </w:tc>
              <w:tc>
                <w:tcPr>
                  <w:tcW w:w="938" w:type="pct"/>
                  <w:vAlign w:val="center"/>
                </w:tcPr>
                <w:p>
                  <w:pPr>
                    <w:pStyle w:val="17"/>
                    <w:bidi w:val="0"/>
                    <w:rPr>
                      <w:rFonts w:hint="eastAsia"/>
                      <w:highlight w:val="none"/>
                    </w:rPr>
                  </w:pPr>
                  <w:r>
                    <w:rPr>
                      <w:rFonts w:hint="eastAsia"/>
                      <w:highlight w:val="none"/>
                    </w:rPr>
                    <w:t>萨5-11-10二开</w:t>
                  </w:r>
                </w:p>
              </w:tc>
              <w:tc>
                <w:tcPr>
                  <w:tcW w:w="1713" w:type="dxa"/>
                  <w:tcBorders>
                    <w:top w:val="single" w:color="auto" w:sz="4" w:space="0"/>
                    <w:bottom w:val="single" w:color="auto" w:sz="4" w:space="0"/>
                  </w:tcBorders>
                  <w:vAlign w:val="center"/>
                </w:tcPr>
                <w:p>
                  <w:pPr>
                    <w:pStyle w:val="17"/>
                    <w:bidi w:val="0"/>
                    <w:rPr>
                      <w:rFonts w:hint="eastAsia"/>
                      <w:highlight w:val="none"/>
                      <w:lang w:val="en-US" w:eastAsia="zh-CN"/>
                    </w:rPr>
                  </w:pPr>
                  <w:r>
                    <w:rPr>
                      <w:rFonts w:hint="eastAsia"/>
                      <w:highlight w:val="none"/>
                      <w:lang w:val="en-US" w:eastAsia="zh-CN"/>
                    </w:rPr>
                    <w:t>444.92</w:t>
                  </w:r>
                </w:p>
              </w:tc>
              <w:tc>
                <w:tcPr>
                  <w:tcW w:w="1884" w:type="dxa"/>
                  <w:vAlign w:val="center"/>
                </w:tcPr>
                <w:p>
                  <w:pPr>
                    <w:pStyle w:val="17"/>
                    <w:bidi w:val="0"/>
                    <w:rPr>
                      <w:rFonts w:hint="eastAsia"/>
                      <w:highlight w:val="none"/>
                      <w:lang w:val="en-US" w:eastAsia="zh-CN"/>
                    </w:rPr>
                  </w:pPr>
                  <w:r>
                    <w:rPr>
                      <w:rFonts w:hint="eastAsia"/>
                      <w:highlight w:val="none"/>
                      <w:lang w:val="en-US" w:eastAsia="zh-CN"/>
                    </w:rPr>
                    <w:t>1112.30</w:t>
                  </w:r>
                </w:p>
              </w:tc>
              <w:tc>
                <w:tcPr>
                  <w:tcW w:w="1885" w:type="dxa"/>
                  <w:vAlign w:val="center"/>
                </w:tcPr>
                <w:p>
                  <w:pPr>
                    <w:pStyle w:val="17"/>
                    <w:bidi w:val="0"/>
                    <w:rPr>
                      <w:rFonts w:hint="eastAsia"/>
                      <w:highlight w:val="none"/>
                      <w:lang w:val="en-US" w:eastAsia="zh-CN"/>
                    </w:rPr>
                  </w:pPr>
                  <w:r>
                    <w:rPr>
                      <w:rFonts w:hint="eastAsia"/>
                      <w:highlight w:val="none"/>
                      <w:lang w:val="en-US" w:eastAsia="zh-CN"/>
                    </w:rPr>
                    <w:t>1112.30t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28" w:type="dxa"/>
                  <w:left w:w="57" w:type="dxa"/>
                  <w:bottom w:w="28" w:type="dxa"/>
                  <w:right w:w="57" w:type="dxa"/>
                </w:tblCellMar>
              </w:tblPrEx>
              <w:trPr>
                <w:trHeight w:val="350" w:hRule="atLeast"/>
                <w:jc w:val="center"/>
              </w:trPr>
              <w:tc>
                <w:tcPr>
                  <w:tcW w:w="773" w:type="pct"/>
                  <w:vMerge w:val="continue"/>
                  <w:vAlign w:val="center"/>
                </w:tcPr>
                <w:p>
                  <w:pPr>
                    <w:pStyle w:val="17"/>
                    <w:bidi w:val="0"/>
                    <w:rPr>
                      <w:rFonts w:hint="eastAsia"/>
                      <w:highlight w:val="none"/>
                    </w:rPr>
                  </w:pPr>
                </w:p>
              </w:tc>
              <w:tc>
                <w:tcPr>
                  <w:tcW w:w="938" w:type="pct"/>
                  <w:vAlign w:val="center"/>
                </w:tcPr>
                <w:p>
                  <w:pPr>
                    <w:pStyle w:val="17"/>
                    <w:bidi w:val="0"/>
                    <w:rPr>
                      <w:rFonts w:hint="eastAsia"/>
                      <w:highlight w:val="none"/>
                    </w:rPr>
                  </w:pPr>
                  <w:r>
                    <w:rPr>
                      <w:rFonts w:hint="eastAsia"/>
                      <w:highlight w:val="none"/>
                    </w:rPr>
                    <w:t>萨5-12-9二开</w:t>
                  </w:r>
                </w:p>
              </w:tc>
              <w:tc>
                <w:tcPr>
                  <w:tcW w:w="1713" w:type="dxa"/>
                  <w:tcBorders>
                    <w:top w:val="single" w:color="auto" w:sz="4" w:space="0"/>
                    <w:bottom w:val="single" w:color="auto" w:sz="4" w:space="0"/>
                  </w:tcBorders>
                  <w:vAlign w:val="center"/>
                </w:tcPr>
                <w:p>
                  <w:pPr>
                    <w:pStyle w:val="17"/>
                    <w:bidi w:val="0"/>
                    <w:rPr>
                      <w:rFonts w:hint="eastAsia"/>
                      <w:highlight w:val="none"/>
                      <w:lang w:val="en-US" w:eastAsia="zh-CN"/>
                    </w:rPr>
                  </w:pPr>
                  <w:r>
                    <w:rPr>
                      <w:rFonts w:hint="eastAsia"/>
                      <w:highlight w:val="none"/>
                      <w:lang w:val="en-US" w:eastAsia="zh-CN"/>
                    </w:rPr>
                    <w:t>441.99</w:t>
                  </w:r>
                </w:p>
              </w:tc>
              <w:tc>
                <w:tcPr>
                  <w:tcW w:w="1884" w:type="dxa"/>
                  <w:vAlign w:val="center"/>
                </w:tcPr>
                <w:p>
                  <w:pPr>
                    <w:pStyle w:val="17"/>
                    <w:bidi w:val="0"/>
                    <w:rPr>
                      <w:rFonts w:hint="eastAsia"/>
                      <w:highlight w:val="none"/>
                      <w:lang w:val="en-US" w:eastAsia="zh-CN"/>
                    </w:rPr>
                  </w:pPr>
                  <w:r>
                    <w:rPr>
                      <w:rFonts w:hint="eastAsia"/>
                      <w:highlight w:val="none"/>
                      <w:lang w:val="en-US" w:eastAsia="zh-CN"/>
                    </w:rPr>
                    <w:t>1104.98</w:t>
                  </w:r>
                </w:p>
              </w:tc>
              <w:tc>
                <w:tcPr>
                  <w:tcW w:w="1885" w:type="dxa"/>
                  <w:vAlign w:val="center"/>
                </w:tcPr>
                <w:p>
                  <w:pPr>
                    <w:pStyle w:val="17"/>
                    <w:bidi w:val="0"/>
                    <w:rPr>
                      <w:rFonts w:hint="eastAsia"/>
                      <w:highlight w:val="none"/>
                      <w:lang w:val="en-US" w:eastAsia="zh-CN"/>
                    </w:rPr>
                  </w:pPr>
                  <w:r>
                    <w:rPr>
                      <w:rFonts w:hint="eastAsia"/>
                      <w:highlight w:val="none"/>
                      <w:lang w:val="en-US" w:eastAsia="zh-CN"/>
                    </w:rPr>
                    <w:t>1104.98t</w:t>
                  </w:r>
                </w:p>
              </w:tc>
            </w:tr>
          </w:tbl>
          <w:p>
            <w:pPr>
              <w:pStyle w:val="16"/>
              <w:bidi w:val="0"/>
              <w:rPr>
                <w:rFonts w:hint="default"/>
              </w:rPr>
            </w:pPr>
            <w:r>
              <w:rPr>
                <w:rFonts w:hint="default"/>
              </w:rPr>
              <w:t>本项目单井产生的水基钻井岩屑</w:t>
            </w:r>
            <w:r>
              <w:rPr>
                <w:rFonts w:hint="eastAsia"/>
                <w:lang w:val="en-US" w:eastAsia="zh-CN"/>
              </w:rPr>
              <w:t>109.4</w:t>
            </w:r>
            <w:r>
              <w:rPr>
                <w:rFonts w:hint="default"/>
              </w:rPr>
              <w:t>m</w:t>
            </w:r>
            <w:r>
              <w:rPr>
                <w:rFonts w:hint="default"/>
                <w:vertAlign w:val="superscript"/>
              </w:rPr>
              <w:t>3</w:t>
            </w:r>
            <w:r>
              <w:rPr>
                <w:rFonts w:hint="default"/>
              </w:rPr>
              <w:t>。</w:t>
            </w:r>
            <w:r>
              <w:rPr>
                <w:rFonts w:hint="eastAsia"/>
                <w:lang w:val="en-US" w:eastAsia="zh-CN"/>
              </w:rPr>
              <w:t>本项目8</w:t>
            </w:r>
            <w:r>
              <w:rPr>
                <w:rFonts w:hint="default"/>
              </w:rPr>
              <w:t>口井产生的水基钻井岩屑共计</w:t>
            </w:r>
            <w:r>
              <w:rPr>
                <w:rFonts w:hint="eastAsia"/>
                <w:lang w:val="en-US" w:eastAsia="zh-CN"/>
              </w:rPr>
              <w:t>875.2</w:t>
            </w:r>
            <w:r>
              <w:rPr>
                <w:rFonts w:hint="default"/>
              </w:rPr>
              <w:t>m</w:t>
            </w:r>
            <w:r>
              <w:rPr>
                <w:rFonts w:hint="default"/>
                <w:vertAlign w:val="superscript"/>
              </w:rPr>
              <w:t>3</w:t>
            </w:r>
            <w:r>
              <w:rPr>
                <w:rFonts w:hint="default"/>
              </w:rPr>
              <w:t>，油基钻井岩屑共计</w:t>
            </w:r>
            <w:r>
              <w:rPr>
                <w:rFonts w:hint="eastAsia"/>
                <w:lang w:val="en-US" w:eastAsia="zh-CN"/>
              </w:rPr>
              <w:t>8809</w:t>
            </w:r>
            <w:r>
              <w:rPr>
                <w:rFonts w:hint="default"/>
              </w:rPr>
              <w:t>t。根据目前</w:t>
            </w:r>
            <w:r>
              <w:rPr>
                <w:rFonts w:hint="eastAsia"/>
                <w:lang w:eastAsia="zh-CN"/>
              </w:rPr>
              <w:t>中国石油天然气股份有限公司吐哈油田分公司准东采油管理区</w:t>
            </w:r>
            <w:r>
              <w:rPr>
                <w:rFonts w:hint="default"/>
              </w:rPr>
              <w:t>钻井工程的要求，钻井过程中，水基和油基泥浆及岩屑产生与处置的责任主体单位为</w:t>
            </w:r>
            <w:r>
              <w:rPr>
                <w:rFonts w:hint="eastAsia"/>
                <w:lang w:val="en-US" w:eastAsia="zh-CN"/>
              </w:rPr>
              <w:t>建设</w:t>
            </w:r>
            <w:r>
              <w:rPr>
                <w:rFonts w:hint="eastAsia"/>
              </w:rPr>
              <w:t>单位</w:t>
            </w:r>
            <w:r>
              <w:rPr>
                <w:rFonts w:hint="default"/>
              </w:rPr>
              <w:t>负责监管。</w:t>
            </w:r>
            <w:r>
              <w:rPr>
                <w:rFonts w:hint="eastAsia"/>
                <w:lang w:val="en-US" w:eastAsia="zh-CN"/>
              </w:rPr>
              <w:t>建设</w:t>
            </w:r>
            <w:r>
              <w:rPr>
                <w:rFonts w:hint="eastAsia"/>
              </w:rPr>
              <w:t>单位</w:t>
            </w:r>
            <w:r>
              <w:rPr>
                <w:rFonts w:hint="default"/>
              </w:rPr>
              <w:t>采用泥浆不落地系统，一开为水基非磺化泥浆，同岩屑一起进入不落地系统进行处理，实现固液分离，分离后的液相由</w:t>
            </w:r>
            <w:r>
              <w:rPr>
                <w:rFonts w:hint="eastAsia"/>
                <w:lang w:val="en-US" w:eastAsia="zh-CN"/>
              </w:rPr>
              <w:t>建设</w:t>
            </w:r>
            <w:r>
              <w:rPr>
                <w:rFonts w:hint="eastAsia"/>
              </w:rPr>
              <w:t>单位</w:t>
            </w:r>
            <w:r>
              <w:rPr>
                <w:rFonts w:hint="default"/>
              </w:rPr>
              <w:t>回收用于后续钻井循环使用，不外排；固相为一般工业固废，检测达到《油气田钻井固体废物综合利用污染控制要求》（DB65/T 3997-2017）相关标准限值后用于铺路、铺垫井场综合利用，不满足综合利用要求的委托有资质的岩屑处理单位进行处置。二开为油基泥浆，同岩屑一起进入泥浆不落地系统固液分离后，液相循环使用，固相按照危险废物进行管理（危废编号为HW08，废物代码为071-002-08），委托有危废处置资质的单位进行妥善处理。</w:t>
            </w:r>
          </w:p>
          <w:p>
            <w:pPr>
              <w:pStyle w:val="19"/>
              <w:bidi w:val="0"/>
              <w:rPr>
                <w:rFonts w:hint="default"/>
              </w:rPr>
            </w:pPr>
            <w:r>
              <w:rPr>
                <w:rFonts w:hint="eastAsia"/>
                <w:lang w:val="en-US" w:eastAsia="zh-CN"/>
              </w:rPr>
              <w:t>6.3</w:t>
            </w:r>
            <w:r>
              <w:rPr>
                <w:rFonts w:hint="default"/>
              </w:rPr>
              <w:t>生活垃圾</w:t>
            </w:r>
          </w:p>
          <w:p>
            <w:pPr>
              <w:pStyle w:val="16"/>
              <w:bidi w:val="0"/>
              <w:rPr>
                <w:rFonts w:hint="default"/>
              </w:rPr>
            </w:pPr>
            <w:r>
              <w:rPr>
                <w:rFonts w:hint="default"/>
              </w:rPr>
              <w:t>施工期生活垃圾产生量按0.8kg/人·d计算，则施工期间生活垃圾产生量约</w:t>
            </w:r>
            <w:r>
              <w:rPr>
                <w:rFonts w:hint="eastAsia"/>
                <w:lang w:val="en-US" w:eastAsia="zh-CN"/>
              </w:rPr>
              <w:t>13.4</w:t>
            </w:r>
            <w:r>
              <w:rPr>
                <w:rFonts w:hint="default"/>
              </w:rPr>
              <w:t>t，生活垃圾由垃圾箱收集，待施工结束后拉运至</w:t>
            </w:r>
            <w:r>
              <w:rPr>
                <w:rFonts w:hint="eastAsia"/>
                <w:lang w:val="en-US" w:eastAsia="zh-CN"/>
              </w:rPr>
              <w:t>吉木萨尔</w:t>
            </w:r>
            <w:r>
              <w:rPr>
                <w:rFonts w:hint="default"/>
              </w:rPr>
              <w:t>县生活垃圾填埋场进行处理。</w:t>
            </w:r>
          </w:p>
          <w:p>
            <w:pPr>
              <w:pStyle w:val="19"/>
              <w:bidi w:val="0"/>
              <w:rPr>
                <w:rFonts w:hint="default"/>
              </w:rPr>
            </w:pPr>
            <w:r>
              <w:rPr>
                <w:rFonts w:hint="eastAsia"/>
                <w:lang w:val="en-US" w:eastAsia="zh-CN"/>
              </w:rPr>
              <w:t>6.4</w:t>
            </w:r>
            <w:r>
              <w:rPr>
                <w:rFonts w:hint="default"/>
              </w:rPr>
              <w:t>废防渗材料</w:t>
            </w:r>
          </w:p>
          <w:p>
            <w:pPr>
              <w:pStyle w:val="16"/>
              <w:bidi w:val="0"/>
              <w:rPr>
                <w:rFonts w:hint="default"/>
              </w:rPr>
            </w:pPr>
            <w:r>
              <w:rPr>
                <w:rFonts w:hint="default"/>
              </w:rPr>
              <w:t>施工结束对场地进行清理时，会产生在防渗区域铺设的废防渗材料，拆除的未破损且未沾油防渗材料由</w:t>
            </w:r>
            <w:r>
              <w:rPr>
                <w:rFonts w:hint="eastAsia"/>
                <w:lang w:val="en-US" w:eastAsia="zh-CN"/>
              </w:rPr>
              <w:t>建设</w:t>
            </w:r>
            <w:r>
              <w:rPr>
                <w:rFonts w:hint="default"/>
              </w:rPr>
              <w:t>单位集中回收利用，沾油的废防渗材料属于《国家危险废物名录》（2021年版）中的HW08废矿物油与含矿物油类危险废物（废物代码为900-249-08，危险特性为毒性和易燃性），施工结束后委托具有相应危险废物处置资质的单位进行处置。</w:t>
            </w:r>
          </w:p>
          <w:p>
            <w:pPr>
              <w:pStyle w:val="16"/>
              <w:bidi w:val="0"/>
              <w:rPr>
                <w:rFonts w:hint="default"/>
              </w:rPr>
            </w:pPr>
            <w:r>
              <w:rPr>
                <w:rFonts w:hint="default"/>
              </w:rPr>
              <w:t>综上所述，本项目产生的各类固体废物均可得到妥善处置，不会对周围环境造成不良影响。</w:t>
            </w:r>
          </w:p>
          <w:p>
            <w:pPr>
              <w:pStyle w:val="19"/>
              <w:bidi w:val="0"/>
              <w:rPr>
                <w:rFonts w:hint="default"/>
                <w:lang w:val="en-US" w:eastAsia="zh-CN"/>
              </w:rPr>
            </w:pPr>
            <w:r>
              <w:rPr>
                <w:rFonts w:hint="eastAsia"/>
                <w:lang w:val="en-US" w:eastAsia="zh-CN"/>
              </w:rPr>
              <w:t>6.5落地油</w:t>
            </w:r>
          </w:p>
          <w:p>
            <w:pPr>
              <w:pStyle w:val="16"/>
              <w:bidi w:val="0"/>
              <w:rPr>
                <w:rFonts w:hint="eastAsia" w:eastAsia="宋体"/>
                <w:lang w:eastAsia="zh-CN"/>
              </w:rPr>
            </w:pPr>
            <w:r>
              <w:rPr>
                <w:rFonts w:hint="default"/>
              </w:rPr>
              <w:t>本工程钻井期和试油期间事故状态下可能产生少量落地原油和含油污泥，落地油要求100%回收，并且采取了严格的防控措施，产生的少量落地原油及含油污泥用专用罐收集，最终交由有危险废物处置资质的单位处置。</w:t>
            </w:r>
          </w:p>
          <w:p>
            <w:pPr>
              <w:pStyle w:val="16"/>
              <w:bidi w:val="0"/>
              <w:rPr>
                <w:rFonts w:hint="default"/>
              </w:rPr>
            </w:pPr>
            <w:r>
              <w:rPr>
                <w:rFonts w:hint="default"/>
              </w:rPr>
              <w:t>落地原油和含油污泥按照《危险废物环境管理指南 陆上石油天然气开采》（公告[2021]第74号）的划分为废矿物油与含矿物油废物类，其危险废物编号为HW08071-001-08。考虑到转运期间的时间间隔，钻井期间收集的落地油收集后拉运至吉祥联合站污泥暂存池定期委托有危废处置资质的单位处理。</w:t>
            </w:r>
          </w:p>
          <w:p>
            <w:pPr>
              <w:pStyle w:val="19"/>
              <w:bidi w:val="0"/>
              <w:rPr>
                <w:rFonts w:hint="default"/>
                <w:lang w:val="en-US" w:eastAsia="zh-CN"/>
              </w:rPr>
            </w:pPr>
            <w:r>
              <w:rPr>
                <w:rFonts w:hint="eastAsia"/>
                <w:lang w:val="en-US" w:eastAsia="zh-CN"/>
              </w:rPr>
              <w:t>6.6机械设备废油</w:t>
            </w:r>
          </w:p>
          <w:p>
            <w:pPr>
              <w:pStyle w:val="16"/>
              <w:bidi w:val="0"/>
              <w:rPr>
                <w:rFonts w:hint="default"/>
              </w:rPr>
            </w:pPr>
            <w:r>
              <w:rPr>
                <w:rFonts w:hint="default"/>
              </w:rPr>
              <w:t>钻井期间使用的机械设备运行过程中需进行维护、保养、维修等工作，以使其能正常运转，此过程中将产生少量的废油，如废液压油、废润滑油、废机油等。类比调查一个钻井期机械设备产生的废油产生量不足0.5t，本工程</w:t>
            </w:r>
            <w:r>
              <w:rPr>
                <w:rFonts w:hint="eastAsia"/>
                <w:lang w:val="en-US" w:eastAsia="zh-CN"/>
              </w:rPr>
              <w:t>8</w:t>
            </w:r>
            <w:r>
              <w:rPr>
                <w:rFonts w:hint="default"/>
              </w:rPr>
              <w:t>口评价井产生量约</w:t>
            </w:r>
            <w:r>
              <w:rPr>
                <w:rFonts w:hint="eastAsia"/>
                <w:lang w:val="en-US" w:eastAsia="zh-CN"/>
              </w:rPr>
              <w:t>4</w:t>
            </w:r>
            <w:r>
              <w:rPr>
                <w:rFonts w:hint="default"/>
              </w:rPr>
              <w:t>t，钻井期间产生的废油由</w:t>
            </w:r>
            <w:r>
              <w:rPr>
                <w:rFonts w:hint="eastAsia"/>
                <w:lang w:val="en-US" w:eastAsia="zh-CN"/>
              </w:rPr>
              <w:t>建设</w:t>
            </w:r>
            <w:r>
              <w:rPr>
                <w:rFonts w:hint="eastAsia"/>
              </w:rPr>
              <w:t>单位</w:t>
            </w:r>
            <w:r>
              <w:rPr>
                <w:rFonts w:hint="default"/>
              </w:rPr>
              <w:t>委托有危险废物处理资质单位进行处置。</w:t>
            </w:r>
          </w:p>
          <w:p>
            <w:pPr>
              <w:pStyle w:val="16"/>
              <w:bidi w:val="0"/>
              <w:rPr>
                <w:rFonts w:hint="default"/>
              </w:rPr>
            </w:pPr>
            <w:r>
              <w:rPr>
                <w:rFonts w:hint="default"/>
              </w:rPr>
              <w:t>根据《危险废物环境管理指南 陆上石油天然气开采》，设备检修与维护过程间歇产生的废矿物油可自行利用处置，本工程钻井期产生的废油约</w:t>
            </w:r>
            <w:r>
              <w:rPr>
                <w:rFonts w:hint="eastAsia"/>
                <w:lang w:val="en-US" w:eastAsia="zh-CN"/>
              </w:rPr>
              <w:t>4</w:t>
            </w:r>
            <w:r>
              <w:rPr>
                <w:rFonts w:hint="default"/>
              </w:rPr>
              <w:t>t，由</w:t>
            </w:r>
            <w:r>
              <w:rPr>
                <w:rFonts w:hint="eastAsia"/>
                <w:lang w:val="en-US" w:eastAsia="zh-CN"/>
              </w:rPr>
              <w:t>建设</w:t>
            </w:r>
            <w:r>
              <w:rPr>
                <w:rFonts w:hint="eastAsia"/>
              </w:rPr>
              <w:t>单位</w:t>
            </w:r>
            <w:r>
              <w:rPr>
                <w:rFonts w:hint="default"/>
              </w:rPr>
              <w:t>委托有危险废物处理资质单位进行处置。</w:t>
            </w:r>
          </w:p>
          <w:p>
            <w:pPr>
              <w:pStyle w:val="4"/>
              <w:bidi w:val="0"/>
              <w:rPr>
                <w:rFonts w:hint="default"/>
              </w:rPr>
            </w:pPr>
            <w:r>
              <w:rPr>
                <w:rFonts w:hint="eastAsia"/>
                <w:lang w:val="en-US" w:eastAsia="zh-CN"/>
              </w:rPr>
              <w:t>7</w:t>
            </w:r>
            <w:r>
              <w:rPr>
                <w:rFonts w:hint="default"/>
              </w:rPr>
              <w:t>、环境风险影响分析</w:t>
            </w:r>
          </w:p>
          <w:p>
            <w:pPr>
              <w:pStyle w:val="19"/>
              <w:bidi w:val="0"/>
              <w:rPr>
                <w:rFonts w:hint="default"/>
              </w:rPr>
            </w:pPr>
            <w:r>
              <w:rPr>
                <w:rFonts w:hint="eastAsia"/>
                <w:lang w:val="en-US" w:eastAsia="zh-CN"/>
              </w:rPr>
              <w:t>7.1</w:t>
            </w:r>
            <w:r>
              <w:rPr>
                <w:rFonts w:hint="default"/>
              </w:rPr>
              <w:t>评价依据</w:t>
            </w:r>
          </w:p>
          <w:p>
            <w:pPr>
              <w:pStyle w:val="16"/>
              <w:bidi w:val="0"/>
              <w:rPr>
                <w:rFonts w:hint="default"/>
              </w:rPr>
            </w:pPr>
            <w:r>
              <w:rPr>
                <w:rFonts w:hint="default"/>
              </w:rPr>
              <w:t>钻井期涉及的危险物质主要为柴油；试油期涉及的危险物质主要为原油、柴油和伴生气（主要成分为天然气）。油类物质（矿物油类、生物柴油等）临界量为2500t，甲烷（天然气主要成分）临界量为10t。</w:t>
            </w:r>
          </w:p>
          <w:p>
            <w:pPr>
              <w:pStyle w:val="16"/>
              <w:bidi w:val="0"/>
              <w:rPr>
                <w:rFonts w:hint="default"/>
              </w:rPr>
            </w:pPr>
            <w:r>
              <w:rPr>
                <w:rFonts w:hint="default"/>
              </w:rPr>
              <w:t>钻井期柴油在井场的日常最大储量为20t，则钻井期油类物质的危险物质数量与临界量比值Q=0.008＜1。</w:t>
            </w:r>
          </w:p>
          <w:p>
            <w:pPr>
              <w:pStyle w:val="16"/>
              <w:bidi w:val="0"/>
              <w:rPr>
                <w:rFonts w:hint="default"/>
              </w:rPr>
            </w:pPr>
            <w:r>
              <w:rPr>
                <w:rFonts w:hint="default"/>
              </w:rPr>
              <w:t>试油期伴生气产生量少且不稳定，其最大存在总量远低于临界量；柴油在井场的日常储量为20t；试油期井场设置储油罐1个，油罐容积为60m</w:t>
            </w:r>
            <w:r>
              <w:rPr>
                <w:rFonts w:hint="default"/>
                <w:vertAlign w:val="superscript"/>
              </w:rPr>
              <w:t>3</w:t>
            </w:r>
            <w:r>
              <w:rPr>
                <w:rFonts w:hint="default"/>
              </w:rPr>
              <w:t>，原油平均密度为0.87g/cm</w:t>
            </w:r>
            <w:r>
              <w:rPr>
                <w:rFonts w:hint="default"/>
                <w:vertAlign w:val="superscript"/>
              </w:rPr>
              <w:t>3</w:t>
            </w:r>
            <w:r>
              <w:rPr>
                <w:rFonts w:hint="default"/>
              </w:rPr>
              <w:t>，则采出液中原油最大储存量约52.2t，则试油期油类物质的危险物质数量与临界量比值Q=0.0358＜1，风险潜势为Ⅰ。评价等级为简单分析。</w:t>
            </w:r>
          </w:p>
          <w:p>
            <w:pPr>
              <w:pStyle w:val="19"/>
              <w:bidi w:val="0"/>
              <w:rPr>
                <w:rFonts w:hint="default"/>
              </w:rPr>
            </w:pPr>
            <w:r>
              <w:rPr>
                <w:rFonts w:hint="eastAsia"/>
                <w:lang w:val="en-US" w:eastAsia="zh-CN"/>
              </w:rPr>
              <w:t>7.2</w:t>
            </w:r>
            <w:r>
              <w:rPr>
                <w:rFonts w:hint="default"/>
              </w:rPr>
              <w:t>环境敏感目标概况</w:t>
            </w:r>
          </w:p>
          <w:p>
            <w:pPr>
              <w:pStyle w:val="16"/>
              <w:bidi w:val="0"/>
              <w:rPr>
                <w:rFonts w:hint="default"/>
              </w:rPr>
            </w:pPr>
            <w:r>
              <w:rPr>
                <w:rFonts w:hint="default"/>
              </w:rPr>
              <w:t>根据《建设项目环境风险评价技术导则》（HJ169-2018）的规定，项目开展简单分析，不设环境风险评价范围。</w:t>
            </w:r>
          </w:p>
          <w:p>
            <w:pPr>
              <w:pStyle w:val="16"/>
              <w:bidi w:val="0"/>
              <w:rPr>
                <w:rFonts w:hint="default" w:ascii="Times New Roman" w:hAnsi="Times New Roman" w:cs="Times New Roman"/>
                <w:color w:val="auto"/>
              </w:rPr>
            </w:pPr>
            <w:r>
              <w:rPr>
                <w:rFonts w:hint="default"/>
              </w:rPr>
              <w:t>经调查，项目所在区域为戈壁地区，干旱少雨，项目区周围3km范围内有村庄，无重要生物群落、无地表水体。</w:t>
            </w:r>
          </w:p>
          <w:p>
            <w:pPr>
              <w:pStyle w:val="14"/>
              <w:bidi w:val="0"/>
              <w:rPr>
                <w:szCs w:val="21"/>
              </w:rPr>
            </w:pPr>
            <w:r>
              <w:rPr>
                <w:rFonts w:hint="default"/>
                <w:lang w:val="en-US" w:eastAsia="zh-CN"/>
              </w:rPr>
              <w:t>表4-</w:t>
            </w:r>
            <w:r>
              <w:rPr>
                <w:rFonts w:hint="eastAsia"/>
                <w:lang w:val="en-US" w:eastAsia="zh-CN"/>
              </w:rPr>
              <w:t xml:space="preserve">5 </w:t>
            </w:r>
            <w:r>
              <w:t xml:space="preserve">  </w:t>
            </w:r>
            <w:r>
              <w:rPr>
                <w:rFonts w:hint="eastAsia"/>
              </w:rPr>
              <w:t>环境</w:t>
            </w:r>
            <w:r>
              <w:rPr>
                <w:rFonts w:hint="eastAsia"/>
                <w:lang w:val="en-US" w:eastAsia="zh-CN"/>
              </w:rPr>
              <w:t>风险</w:t>
            </w:r>
            <w:r>
              <w:rPr>
                <w:rFonts w:hint="eastAsia"/>
              </w:rPr>
              <w:t>敏感目标一览表</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16"/>
              <w:gridCol w:w="1839"/>
              <w:gridCol w:w="1446"/>
              <w:gridCol w:w="1636"/>
              <w:gridCol w:w="2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blHeader/>
                <w:jc w:val="center"/>
              </w:trPr>
              <w:tc>
                <w:tcPr>
                  <w:tcW w:w="549" w:type="pct"/>
                  <w:tcBorders>
                    <w:top w:val="single" w:color="auto" w:sz="4" w:space="0"/>
                    <w:left w:val="single" w:color="auto" w:sz="4" w:space="0"/>
                    <w:bottom w:val="single" w:color="auto" w:sz="4" w:space="0"/>
                    <w:right w:val="single" w:color="auto" w:sz="4" w:space="0"/>
                  </w:tcBorders>
                  <w:vAlign w:val="center"/>
                </w:tcPr>
                <w:p>
                  <w:pPr>
                    <w:pStyle w:val="17"/>
                    <w:bidi w:val="0"/>
                  </w:pPr>
                  <w:r>
                    <w:rPr>
                      <w:rFonts w:hint="eastAsia"/>
                    </w:rPr>
                    <w:t>环境要素</w:t>
                  </w:r>
                </w:p>
              </w:tc>
              <w:tc>
                <w:tcPr>
                  <w:tcW w:w="1103" w:type="pct"/>
                  <w:tcBorders>
                    <w:top w:val="single" w:color="auto" w:sz="4" w:space="0"/>
                    <w:left w:val="single" w:color="auto" w:sz="4" w:space="0"/>
                    <w:bottom w:val="single" w:color="auto" w:sz="4" w:space="0"/>
                    <w:right w:val="single" w:color="auto" w:sz="4" w:space="0"/>
                  </w:tcBorders>
                  <w:vAlign w:val="center"/>
                </w:tcPr>
                <w:p>
                  <w:pPr>
                    <w:pStyle w:val="17"/>
                    <w:bidi w:val="0"/>
                  </w:pPr>
                  <w:r>
                    <w:rPr>
                      <w:rFonts w:hint="eastAsia"/>
                    </w:rPr>
                    <w:t>环境敏感目标</w:t>
                  </w:r>
                </w:p>
              </w:tc>
              <w:tc>
                <w:tcPr>
                  <w:tcW w:w="867" w:type="pct"/>
                  <w:tcBorders>
                    <w:top w:val="single" w:color="auto" w:sz="4" w:space="0"/>
                    <w:left w:val="single" w:color="auto" w:sz="4" w:space="0"/>
                    <w:bottom w:val="single" w:color="auto" w:sz="4" w:space="0"/>
                    <w:right w:val="single" w:color="auto" w:sz="4" w:space="0"/>
                  </w:tcBorders>
                  <w:vAlign w:val="center"/>
                </w:tcPr>
                <w:p>
                  <w:pPr>
                    <w:pStyle w:val="17"/>
                    <w:bidi w:val="0"/>
                  </w:pPr>
                  <w:r>
                    <w:rPr>
                      <w:rFonts w:hint="eastAsia"/>
                    </w:rPr>
                    <w:t>与</w:t>
                  </w:r>
                  <w:r>
                    <w:rPr>
                      <w:rFonts w:hint="eastAsia"/>
                      <w:lang w:val="en-US" w:eastAsia="zh-CN"/>
                    </w:rPr>
                    <w:t>项目区</w:t>
                  </w:r>
                  <w:r>
                    <w:rPr>
                      <w:rFonts w:hint="eastAsia"/>
                    </w:rPr>
                    <w:t>相对位置（方位，距离）</w:t>
                  </w:r>
                </w:p>
              </w:tc>
              <w:tc>
                <w:tcPr>
                  <w:tcW w:w="981" w:type="pct"/>
                  <w:tcBorders>
                    <w:top w:val="single" w:color="auto" w:sz="4" w:space="0"/>
                    <w:left w:val="single" w:color="auto" w:sz="4" w:space="0"/>
                    <w:bottom w:val="single" w:color="auto" w:sz="4" w:space="0"/>
                    <w:right w:val="single" w:color="auto" w:sz="4" w:space="0"/>
                  </w:tcBorders>
                  <w:vAlign w:val="center"/>
                </w:tcPr>
                <w:p>
                  <w:pPr>
                    <w:pStyle w:val="17"/>
                    <w:bidi w:val="0"/>
                  </w:pPr>
                  <w:r>
                    <w:rPr>
                      <w:rFonts w:hint="eastAsia"/>
                    </w:rPr>
                    <w:t>规模</w:t>
                  </w:r>
                </w:p>
              </w:tc>
              <w:tc>
                <w:tcPr>
                  <w:tcW w:w="1498" w:type="pct"/>
                  <w:tcBorders>
                    <w:top w:val="single" w:color="auto" w:sz="4" w:space="0"/>
                    <w:left w:val="single" w:color="auto" w:sz="4" w:space="0"/>
                    <w:bottom w:val="single" w:color="auto" w:sz="4" w:space="0"/>
                    <w:right w:val="single" w:color="auto" w:sz="4" w:space="0"/>
                  </w:tcBorders>
                  <w:vAlign w:val="center"/>
                </w:tcPr>
                <w:p>
                  <w:pPr>
                    <w:pStyle w:val="17"/>
                    <w:bidi w:val="0"/>
                  </w:pPr>
                  <w:r>
                    <w:rPr>
                      <w:rFonts w:hint="eastAsia"/>
                    </w:rPr>
                    <w:t>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7" w:hRule="atLeast"/>
                <w:jc w:val="center"/>
              </w:trPr>
              <w:tc>
                <w:tcPr>
                  <w:tcW w:w="549" w:type="pct"/>
                  <w:vMerge w:val="restart"/>
                  <w:tcBorders>
                    <w:top w:val="single" w:color="auto" w:sz="4" w:space="0"/>
                    <w:left w:val="single" w:color="auto" w:sz="4" w:space="0"/>
                    <w:right w:val="single" w:color="auto" w:sz="4" w:space="0"/>
                  </w:tcBorders>
                  <w:vAlign w:val="center"/>
                </w:tcPr>
                <w:p>
                  <w:pPr>
                    <w:pStyle w:val="17"/>
                    <w:bidi w:val="0"/>
                    <w:rPr>
                      <w:rFonts w:hint="default"/>
                      <w:lang w:val="en-US" w:eastAsia="zh-CN"/>
                    </w:rPr>
                  </w:pPr>
                  <w:r>
                    <w:rPr>
                      <w:rFonts w:hint="eastAsia"/>
                      <w:lang w:val="en-US" w:eastAsia="zh-CN"/>
                    </w:rPr>
                    <w:t>环境风险</w:t>
                  </w:r>
                </w:p>
              </w:tc>
              <w:tc>
                <w:tcPr>
                  <w:tcW w:w="1103" w:type="pct"/>
                  <w:tcBorders>
                    <w:top w:val="single" w:color="auto" w:sz="4" w:space="0"/>
                    <w:left w:val="single" w:color="auto" w:sz="4" w:space="0"/>
                    <w:bottom w:val="single" w:color="auto" w:sz="4" w:space="0"/>
                    <w:right w:val="single" w:color="auto" w:sz="4" w:space="0"/>
                  </w:tcBorders>
                  <w:vAlign w:val="center"/>
                </w:tcPr>
                <w:p>
                  <w:pPr>
                    <w:pStyle w:val="17"/>
                    <w:bidi w:val="0"/>
                    <w:rPr>
                      <w:rFonts w:hint="default" w:eastAsia="宋体"/>
                      <w:lang w:val="en-US" w:eastAsia="zh-CN"/>
                    </w:rPr>
                  </w:pPr>
                  <w:r>
                    <w:rPr>
                      <w:rFonts w:hint="eastAsia"/>
                      <w:lang w:val="en-US" w:eastAsia="zh-CN"/>
                    </w:rPr>
                    <w:t>十八户西村</w:t>
                  </w:r>
                </w:p>
              </w:tc>
              <w:tc>
                <w:tcPr>
                  <w:tcW w:w="867" w:type="pct"/>
                  <w:tcBorders>
                    <w:top w:val="single" w:color="auto" w:sz="4" w:space="0"/>
                    <w:left w:val="single" w:color="auto" w:sz="4" w:space="0"/>
                    <w:bottom w:val="single" w:color="auto" w:sz="4" w:space="0"/>
                    <w:right w:val="single" w:color="auto" w:sz="4" w:space="0"/>
                  </w:tcBorders>
                  <w:vAlign w:val="center"/>
                </w:tcPr>
                <w:p>
                  <w:pPr>
                    <w:pStyle w:val="17"/>
                    <w:bidi w:val="0"/>
                    <w:rPr>
                      <w:rFonts w:hint="eastAsia"/>
                    </w:rPr>
                  </w:pPr>
                  <w:r>
                    <w:rPr>
                      <w:rFonts w:hint="eastAsia"/>
                      <w:lang w:val="en-US" w:eastAsia="zh-CN"/>
                    </w:rPr>
                    <w:t>萨5-8-9井北侧1.4km</w:t>
                  </w:r>
                </w:p>
              </w:tc>
              <w:tc>
                <w:tcPr>
                  <w:tcW w:w="981" w:type="pct"/>
                  <w:tcBorders>
                    <w:top w:val="single" w:color="auto" w:sz="4" w:space="0"/>
                    <w:left w:val="single" w:color="auto" w:sz="4" w:space="0"/>
                    <w:bottom w:val="single" w:color="auto" w:sz="4" w:space="0"/>
                    <w:right w:val="single" w:color="auto" w:sz="4" w:space="0"/>
                  </w:tcBorders>
                  <w:vAlign w:val="center"/>
                </w:tcPr>
                <w:p>
                  <w:pPr>
                    <w:pStyle w:val="17"/>
                    <w:bidi w:val="0"/>
                  </w:pPr>
                  <w:r>
                    <w:rPr>
                      <w:rFonts w:hint="eastAsia"/>
                      <w:lang w:val="en-US" w:eastAsia="zh-CN"/>
                    </w:rPr>
                    <w:t>120</w:t>
                  </w:r>
                  <w:r>
                    <w:rPr>
                      <w:rFonts w:hint="eastAsia"/>
                    </w:rPr>
                    <w:t>人</w:t>
                  </w:r>
                </w:p>
              </w:tc>
              <w:tc>
                <w:tcPr>
                  <w:tcW w:w="1498" w:type="pct"/>
                  <w:vMerge w:val="restart"/>
                  <w:tcBorders>
                    <w:top w:val="single" w:color="auto" w:sz="4" w:space="0"/>
                    <w:left w:val="single" w:color="auto" w:sz="4" w:space="0"/>
                    <w:right w:val="single" w:color="auto" w:sz="4" w:space="0"/>
                  </w:tcBorders>
                  <w:vAlign w:val="center"/>
                </w:tcPr>
                <w:p>
                  <w:pPr>
                    <w:pStyle w:val="17"/>
                    <w:bidi w:val="0"/>
                    <w:rPr>
                      <w:rFonts w:hint="eastAsia"/>
                    </w:rPr>
                  </w:pPr>
                  <w:r>
                    <w:rPr>
                      <w:rFonts w:hint="eastAsia"/>
                    </w:rPr>
                    <w:t>《环境空气质量标准》</w:t>
                  </w:r>
                  <w:r>
                    <w:t>(GB3095-2012)</w:t>
                  </w:r>
                  <w:r>
                    <w:rPr>
                      <w:rFonts w:hint="eastAsia"/>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7" w:hRule="atLeast"/>
                <w:jc w:val="center"/>
              </w:trPr>
              <w:tc>
                <w:tcPr>
                  <w:tcW w:w="549" w:type="pct"/>
                  <w:vMerge w:val="continue"/>
                  <w:tcBorders>
                    <w:left w:val="single" w:color="auto" w:sz="4" w:space="0"/>
                    <w:right w:val="single" w:color="auto" w:sz="4" w:space="0"/>
                  </w:tcBorders>
                  <w:vAlign w:val="center"/>
                </w:tcPr>
                <w:p>
                  <w:pPr>
                    <w:pStyle w:val="17"/>
                    <w:bidi w:val="0"/>
                    <w:rPr>
                      <w:rFonts w:hint="eastAsia"/>
                      <w:lang w:val="en-US" w:eastAsia="zh-CN"/>
                    </w:rPr>
                  </w:pPr>
                </w:p>
              </w:tc>
              <w:tc>
                <w:tcPr>
                  <w:tcW w:w="1103" w:type="pct"/>
                  <w:tcBorders>
                    <w:top w:val="single" w:color="auto" w:sz="4" w:space="0"/>
                    <w:left w:val="single" w:color="auto" w:sz="4" w:space="0"/>
                    <w:bottom w:val="single" w:color="auto" w:sz="4" w:space="0"/>
                    <w:right w:val="single" w:color="auto" w:sz="4" w:space="0"/>
                  </w:tcBorders>
                  <w:vAlign w:val="center"/>
                </w:tcPr>
                <w:p>
                  <w:pPr>
                    <w:pStyle w:val="17"/>
                    <w:bidi w:val="0"/>
                    <w:rPr>
                      <w:rFonts w:hint="default"/>
                      <w:lang w:val="en-US" w:eastAsia="zh-CN"/>
                    </w:rPr>
                  </w:pPr>
                  <w:r>
                    <w:rPr>
                      <w:rFonts w:hint="eastAsia"/>
                      <w:lang w:val="en-US" w:eastAsia="zh-CN"/>
                    </w:rPr>
                    <w:t>十八户中村</w:t>
                  </w:r>
                </w:p>
              </w:tc>
              <w:tc>
                <w:tcPr>
                  <w:tcW w:w="867" w:type="pct"/>
                  <w:tcBorders>
                    <w:top w:val="single" w:color="auto" w:sz="4" w:space="0"/>
                    <w:left w:val="single" w:color="auto" w:sz="4" w:space="0"/>
                    <w:bottom w:val="single" w:color="auto" w:sz="4" w:space="0"/>
                    <w:right w:val="single" w:color="auto" w:sz="4" w:space="0"/>
                  </w:tcBorders>
                  <w:vAlign w:val="center"/>
                </w:tcPr>
                <w:p>
                  <w:pPr>
                    <w:pStyle w:val="17"/>
                    <w:bidi w:val="0"/>
                    <w:rPr>
                      <w:rFonts w:hint="eastAsia"/>
                      <w:lang w:val="en-US" w:eastAsia="zh-CN"/>
                    </w:rPr>
                  </w:pPr>
                  <w:r>
                    <w:rPr>
                      <w:rFonts w:hint="eastAsia"/>
                      <w:lang w:val="en-US" w:eastAsia="zh-CN"/>
                    </w:rPr>
                    <w:t>萨5-8-9井东北侧2km</w:t>
                  </w:r>
                </w:p>
              </w:tc>
              <w:tc>
                <w:tcPr>
                  <w:tcW w:w="981" w:type="pct"/>
                  <w:tcBorders>
                    <w:top w:val="single" w:color="auto" w:sz="4" w:space="0"/>
                    <w:left w:val="single" w:color="auto" w:sz="4" w:space="0"/>
                    <w:bottom w:val="single" w:color="auto" w:sz="4" w:space="0"/>
                    <w:right w:val="single" w:color="auto" w:sz="4" w:space="0"/>
                  </w:tcBorders>
                  <w:vAlign w:val="center"/>
                </w:tcPr>
                <w:p>
                  <w:pPr>
                    <w:pStyle w:val="17"/>
                    <w:bidi w:val="0"/>
                    <w:rPr>
                      <w:rFonts w:hint="default"/>
                      <w:lang w:val="en-US" w:eastAsia="zh-CN"/>
                    </w:rPr>
                  </w:pPr>
                  <w:r>
                    <w:rPr>
                      <w:rFonts w:hint="eastAsia"/>
                      <w:lang w:val="en-US" w:eastAsia="zh-CN"/>
                    </w:rPr>
                    <w:t>240人</w:t>
                  </w:r>
                </w:p>
              </w:tc>
              <w:tc>
                <w:tcPr>
                  <w:tcW w:w="1498" w:type="pct"/>
                  <w:vMerge w:val="continue"/>
                  <w:tcBorders>
                    <w:left w:val="single" w:color="auto" w:sz="4" w:space="0"/>
                    <w:right w:val="single" w:color="auto" w:sz="4" w:space="0"/>
                  </w:tcBorders>
                  <w:vAlign w:val="center"/>
                </w:tcPr>
                <w:p>
                  <w:pPr>
                    <w:pStyle w:val="17"/>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7" w:hRule="atLeast"/>
                <w:jc w:val="center"/>
              </w:trPr>
              <w:tc>
                <w:tcPr>
                  <w:tcW w:w="549" w:type="pct"/>
                  <w:vMerge w:val="continue"/>
                  <w:tcBorders>
                    <w:left w:val="single" w:color="auto" w:sz="4" w:space="0"/>
                    <w:right w:val="single" w:color="auto" w:sz="4" w:space="0"/>
                  </w:tcBorders>
                  <w:vAlign w:val="center"/>
                </w:tcPr>
                <w:p>
                  <w:pPr>
                    <w:pStyle w:val="17"/>
                    <w:bidi w:val="0"/>
                    <w:rPr>
                      <w:rFonts w:hint="eastAsia"/>
                    </w:rPr>
                  </w:pPr>
                </w:p>
              </w:tc>
              <w:tc>
                <w:tcPr>
                  <w:tcW w:w="1103" w:type="pct"/>
                  <w:tcBorders>
                    <w:top w:val="single" w:color="auto" w:sz="4" w:space="0"/>
                    <w:left w:val="single" w:color="auto" w:sz="4" w:space="0"/>
                    <w:bottom w:val="single" w:color="auto" w:sz="4" w:space="0"/>
                    <w:right w:val="single" w:color="auto" w:sz="4" w:space="0"/>
                  </w:tcBorders>
                  <w:vAlign w:val="center"/>
                </w:tcPr>
                <w:p>
                  <w:pPr>
                    <w:pStyle w:val="17"/>
                    <w:bidi w:val="0"/>
                    <w:rPr>
                      <w:rFonts w:hint="default" w:eastAsia="宋体"/>
                      <w:lang w:val="en-US" w:eastAsia="zh-CN"/>
                    </w:rPr>
                  </w:pPr>
                  <w:r>
                    <w:rPr>
                      <w:rFonts w:hint="eastAsia"/>
                      <w:lang w:val="en-US" w:eastAsia="zh-CN"/>
                    </w:rPr>
                    <w:t>十八户东村</w:t>
                  </w:r>
                </w:p>
              </w:tc>
              <w:tc>
                <w:tcPr>
                  <w:tcW w:w="867" w:type="pct"/>
                  <w:tcBorders>
                    <w:top w:val="single" w:color="auto" w:sz="4" w:space="0"/>
                    <w:left w:val="single" w:color="auto" w:sz="4" w:space="0"/>
                    <w:bottom w:val="single" w:color="auto" w:sz="4" w:space="0"/>
                    <w:right w:val="single" w:color="auto" w:sz="4" w:space="0"/>
                  </w:tcBorders>
                  <w:vAlign w:val="center"/>
                </w:tcPr>
                <w:p>
                  <w:pPr>
                    <w:pStyle w:val="17"/>
                    <w:bidi w:val="0"/>
                    <w:rPr>
                      <w:rFonts w:hint="eastAsia"/>
                    </w:rPr>
                  </w:pPr>
                  <w:r>
                    <w:rPr>
                      <w:rFonts w:hint="eastAsia"/>
                      <w:lang w:val="en-US" w:eastAsia="zh-CN"/>
                    </w:rPr>
                    <w:t>萨5-8-9井东北侧2.3km</w:t>
                  </w:r>
                </w:p>
              </w:tc>
              <w:tc>
                <w:tcPr>
                  <w:tcW w:w="981" w:type="pct"/>
                  <w:tcBorders>
                    <w:top w:val="single" w:color="auto" w:sz="4" w:space="0"/>
                    <w:left w:val="single" w:color="auto" w:sz="4" w:space="0"/>
                    <w:bottom w:val="single" w:color="auto" w:sz="4" w:space="0"/>
                    <w:right w:val="single" w:color="auto" w:sz="4" w:space="0"/>
                  </w:tcBorders>
                  <w:vAlign w:val="center"/>
                </w:tcPr>
                <w:p>
                  <w:pPr>
                    <w:pStyle w:val="17"/>
                    <w:bidi w:val="0"/>
                  </w:pPr>
                  <w:r>
                    <w:rPr>
                      <w:rFonts w:hint="eastAsia"/>
                      <w:lang w:val="en-US" w:eastAsia="zh-CN"/>
                    </w:rPr>
                    <w:t>160人</w:t>
                  </w:r>
                </w:p>
              </w:tc>
              <w:tc>
                <w:tcPr>
                  <w:tcW w:w="1498" w:type="pct"/>
                  <w:vMerge w:val="continue"/>
                  <w:tcBorders>
                    <w:left w:val="single" w:color="auto" w:sz="4" w:space="0"/>
                    <w:right w:val="single" w:color="auto" w:sz="4" w:space="0"/>
                  </w:tcBorders>
                  <w:vAlign w:val="center"/>
                </w:tcPr>
                <w:p>
                  <w:pPr>
                    <w:pStyle w:val="17"/>
                    <w:bidi w:val="0"/>
                    <w:rPr>
                      <w:rFonts w:hint="eastAsia"/>
                    </w:rPr>
                  </w:pPr>
                </w:p>
              </w:tc>
            </w:tr>
          </w:tbl>
          <w:p>
            <w:pPr>
              <w:pStyle w:val="19"/>
              <w:bidi w:val="0"/>
              <w:rPr>
                <w:rFonts w:hint="default"/>
              </w:rPr>
            </w:pPr>
            <w:r>
              <w:rPr>
                <w:rFonts w:hint="eastAsia"/>
                <w:lang w:val="en-US" w:eastAsia="zh-CN"/>
              </w:rPr>
              <w:t>7.3</w:t>
            </w:r>
            <w:r>
              <w:rPr>
                <w:rFonts w:hint="default"/>
              </w:rPr>
              <w:t>环境风险识别</w:t>
            </w:r>
          </w:p>
          <w:p>
            <w:pPr>
              <w:pStyle w:val="16"/>
              <w:bidi w:val="0"/>
              <w:rPr>
                <w:rFonts w:hint="default"/>
              </w:rPr>
            </w:pPr>
            <w:r>
              <w:rPr>
                <w:rFonts w:hint="default"/>
              </w:rPr>
              <w:t>①风险物质识别</w:t>
            </w:r>
          </w:p>
          <w:p>
            <w:pPr>
              <w:pStyle w:val="16"/>
              <w:bidi w:val="0"/>
              <w:rPr>
                <w:rFonts w:hint="default"/>
              </w:rPr>
            </w:pPr>
            <w:r>
              <w:rPr>
                <w:rFonts w:hint="default"/>
              </w:rPr>
              <w:t>本工程涉及的环境风险物质主要为柴油、原油以及伴生气。其主要物化、毒理性质、危险等级划分见</w:t>
            </w:r>
            <w:r>
              <w:rPr>
                <w:rFonts w:hint="eastAsia"/>
                <w:lang w:val="en-US" w:eastAsia="zh-CN"/>
              </w:rPr>
              <w:t>下表</w:t>
            </w:r>
            <w:r>
              <w:rPr>
                <w:rFonts w:hint="default"/>
              </w:rPr>
              <w:t>。</w:t>
            </w:r>
          </w:p>
          <w:p>
            <w:pPr>
              <w:pStyle w:val="14"/>
              <w:bidi w:val="0"/>
              <w:rPr>
                <w:rFonts w:hint="default"/>
              </w:rPr>
            </w:pPr>
            <w:r>
              <w:rPr>
                <w:rFonts w:hint="default"/>
              </w:rPr>
              <w:t>表</w:t>
            </w:r>
            <w:r>
              <w:rPr>
                <w:rFonts w:hint="eastAsia"/>
                <w:lang w:val="en-US" w:eastAsia="zh-CN"/>
              </w:rPr>
              <w:t>4-6</w:t>
            </w:r>
            <w:r>
              <w:rPr>
                <w:rFonts w:hint="default"/>
              </w:rPr>
              <w:t xml:space="preserve">   危险物质理化性质及危险级别分类情况</w:t>
            </w:r>
          </w:p>
          <w:tbl>
            <w:tblPr>
              <w:tblStyle w:val="1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49"/>
              <w:gridCol w:w="366"/>
              <w:gridCol w:w="1175"/>
              <w:gridCol w:w="3179"/>
              <w:gridCol w:w="2533"/>
              <w:gridCol w:w="7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 w:hRule="atLeast"/>
                <w:jc w:val="center"/>
              </w:trPr>
              <w:tc>
                <w:tcPr>
                  <w:tcW w:w="349" w:type="dxa"/>
                  <w:vAlign w:val="center"/>
                </w:tcPr>
                <w:p>
                  <w:pPr>
                    <w:pStyle w:val="17"/>
                    <w:widowControl w:val="0"/>
                    <w:bidi w:val="0"/>
                  </w:pPr>
                  <w:r>
                    <w:rPr>
                      <w:rFonts w:hint="eastAsia"/>
                    </w:rPr>
                    <w:t>序号</w:t>
                  </w:r>
                </w:p>
              </w:tc>
              <w:tc>
                <w:tcPr>
                  <w:tcW w:w="365" w:type="dxa"/>
                  <w:vAlign w:val="center"/>
                </w:tcPr>
                <w:p>
                  <w:pPr>
                    <w:pStyle w:val="17"/>
                    <w:widowControl w:val="0"/>
                    <w:bidi w:val="0"/>
                  </w:pPr>
                  <w:r>
                    <w:rPr>
                      <w:rFonts w:hint="eastAsia"/>
                    </w:rPr>
                    <w:t>名称</w:t>
                  </w:r>
                </w:p>
              </w:tc>
              <w:tc>
                <w:tcPr>
                  <w:tcW w:w="704" w:type="pct"/>
                  <w:vAlign w:val="center"/>
                </w:tcPr>
                <w:p>
                  <w:pPr>
                    <w:pStyle w:val="17"/>
                    <w:widowControl w:val="0"/>
                    <w:bidi w:val="0"/>
                  </w:pPr>
                  <w:r>
                    <w:rPr>
                      <w:rFonts w:hint="eastAsia"/>
                    </w:rPr>
                    <w:t>组分</w:t>
                  </w:r>
                </w:p>
              </w:tc>
              <w:tc>
                <w:tcPr>
                  <w:tcW w:w="1904" w:type="pct"/>
                  <w:vAlign w:val="center"/>
                </w:tcPr>
                <w:p>
                  <w:pPr>
                    <w:pStyle w:val="17"/>
                    <w:widowControl w:val="0"/>
                    <w:bidi w:val="0"/>
                  </w:pPr>
                  <w:r>
                    <w:rPr>
                      <w:rFonts w:hint="eastAsia"/>
                    </w:rPr>
                    <w:t>危险性</w:t>
                  </w:r>
                </w:p>
              </w:tc>
              <w:tc>
                <w:tcPr>
                  <w:tcW w:w="1517" w:type="pct"/>
                  <w:vAlign w:val="center"/>
                </w:tcPr>
                <w:p>
                  <w:pPr>
                    <w:pStyle w:val="17"/>
                    <w:widowControl w:val="0"/>
                    <w:bidi w:val="0"/>
                  </w:pPr>
                  <w:r>
                    <w:rPr>
                      <w:rFonts w:hint="eastAsia"/>
                    </w:rPr>
                    <w:t>燃烧爆炸特性参数</w:t>
                  </w:r>
                </w:p>
              </w:tc>
              <w:tc>
                <w:tcPr>
                  <w:tcW w:w="447" w:type="pct"/>
                  <w:vAlign w:val="center"/>
                </w:tcPr>
                <w:p>
                  <w:pPr>
                    <w:pStyle w:val="17"/>
                    <w:widowControl w:val="0"/>
                    <w:bidi w:val="0"/>
                  </w:pPr>
                  <w:r>
                    <w:rPr>
                      <w:rFonts w:hint="eastAsia"/>
                    </w:rPr>
                    <w:t>危险级别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349" w:type="dxa"/>
                  <w:vAlign w:val="center"/>
                </w:tcPr>
                <w:p>
                  <w:pPr>
                    <w:pStyle w:val="17"/>
                    <w:widowControl w:val="0"/>
                    <w:bidi w:val="0"/>
                  </w:pPr>
                  <w:r>
                    <w:rPr>
                      <w:rFonts w:hint="eastAsia"/>
                    </w:rPr>
                    <w:t>1</w:t>
                  </w:r>
                </w:p>
              </w:tc>
              <w:tc>
                <w:tcPr>
                  <w:tcW w:w="365" w:type="dxa"/>
                  <w:vAlign w:val="center"/>
                </w:tcPr>
                <w:p>
                  <w:pPr>
                    <w:pStyle w:val="17"/>
                    <w:widowControl w:val="0"/>
                    <w:bidi w:val="0"/>
                  </w:pPr>
                  <w:r>
                    <w:rPr>
                      <w:rFonts w:hint="eastAsia"/>
                    </w:rPr>
                    <w:t>原油</w:t>
                  </w:r>
                </w:p>
              </w:tc>
              <w:tc>
                <w:tcPr>
                  <w:tcW w:w="704" w:type="pct"/>
                  <w:vAlign w:val="center"/>
                </w:tcPr>
                <w:p>
                  <w:pPr>
                    <w:pStyle w:val="17"/>
                    <w:widowControl w:val="0"/>
                    <w:bidi w:val="0"/>
                  </w:pPr>
                  <w:r>
                    <w:t>各种烃类和非烃类化合物所组成的复杂混合物</w:t>
                  </w:r>
                </w:p>
              </w:tc>
              <w:tc>
                <w:tcPr>
                  <w:tcW w:w="1904" w:type="pct"/>
                  <w:vAlign w:val="center"/>
                </w:tcPr>
                <w:p>
                  <w:pPr>
                    <w:pStyle w:val="17"/>
                    <w:widowControl w:val="0"/>
                    <w:bidi w:val="0"/>
                  </w:pPr>
                  <w:r>
                    <w:rPr>
                      <w:rFonts w:hint="eastAsia"/>
                    </w:rPr>
                    <w:t>原油本身无明显毒性。遇热分解出有毒烟雾，人体大量吸入可引起危害：有刺激和麻痹作用，急性中毒者有上呼吸道刺激症状。</w:t>
                  </w:r>
                </w:p>
              </w:tc>
              <w:tc>
                <w:tcPr>
                  <w:tcW w:w="1517" w:type="pct"/>
                  <w:vAlign w:val="center"/>
                </w:tcPr>
                <w:p>
                  <w:pPr>
                    <w:pStyle w:val="17"/>
                    <w:widowControl w:val="0"/>
                    <w:bidi w:val="0"/>
                  </w:pPr>
                  <w:r>
                    <w:rPr>
                      <w:rFonts w:hint="eastAsia"/>
                    </w:rPr>
                    <w:t>热值：41870</w:t>
                  </w:r>
                  <w:r>
                    <w:t>k</w:t>
                  </w:r>
                  <w:r>
                    <w:rPr>
                      <w:rFonts w:hint="eastAsia"/>
                    </w:rPr>
                    <w:t>J/kg；沸点：300～325℃；闪点：23.5℃；爆炸极限：1.1～6.4%（v）；自然燃点：380～530℃</w:t>
                  </w:r>
                </w:p>
              </w:tc>
              <w:tc>
                <w:tcPr>
                  <w:tcW w:w="447" w:type="pct"/>
                  <w:vAlign w:val="center"/>
                </w:tcPr>
                <w:p>
                  <w:pPr>
                    <w:pStyle w:val="17"/>
                    <w:widowControl w:val="0"/>
                    <w:bidi w:val="0"/>
                  </w:pPr>
                  <w:r>
                    <w:t>高闪点液体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49" w:type="dxa"/>
                  <w:vAlign w:val="center"/>
                </w:tcPr>
                <w:p>
                  <w:pPr>
                    <w:pStyle w:val="17"/>
                    <w:widowControl w:val="0"/>
                    <w:bidi w:val="0"/>
                  </w:pPr>
                  <w:r>
                    <w:rPr>
                      <w:rFonts w:hint="eastAsia"/>
                    </w:rPr>
                    <w:t>2</w:t>
                  </w:r>
                </w:p>
              </w:tc>
              <w:tc>
                <w:tcPr>
                  <w:tcW w:w="365" w:type="dxa"/>
                  <w:vAlign w:val="center"/>
                </w:tcPr>
                <w:p>
                  <w:pPr>
                    <w:pStyle w:val="17"/>
                    <w:widowControl w:val="0"/>
                    <w:bidi w:val="0"/>
                  </w:pPr>
                  <w:r>
                    <w:rPr>
                      <w:rFonts w:hint="eastAsia"/>
                    </w:rPr>
                    <w:t>伴生气</w:t>
                  </w:r>
                </w:p>
              </w:tc>
              <w:tc>
                <w:tcPr>
                  <w:tcW w:w="704" w:type="pct"/>
                  <w:vAlign w:val="center"/>
                </w:tcPr>
                <w:p>
                  <w:pPr>
                    <w:pStyle w:val="17"/>
                    <w:widowControl w:val="0"/>
                    <w:bidi w:val="0"/>
                  </w:pPr>
                  <w:r>
                    <w:rPr>
                      <w:rFonts w:hint="eastAsia"/>
                    </w:rPr>
                    <w:t>主要成分包括甲烷、乙烷等</w:t>
                  </w:r>
                </w:p>
              </w:tc>
              <w:tc>
                <w:tcPr>
                  <w:tcW w:w="1904" w:type="pct"/>
                  <w:vAlign w:val="center"/>
                </w:tcPr>
                <w:p>
                  <w:pPr>
                    <w:pStyle w:val="17"/>
                    <w:widowControl w:val="0"/>
                    <w:bidi w:val="0"/>
                  </w:pPr>
                  <w:r>
                    <w:rPr>
                      <w:rFonts w:hint="eastAsia"/>
                    </w:rPr>
                    <w:t>伴生气中主要包括天然气。天然气中含有的甲烷，是一种无毒气体，当空气中大量弥漫这种气体时会使人因氧气不足而呼吸困难，进而失去知觉、昏迷甚至残废。</w:t>
                  </w:r>
                </w:p>
              </w:tc>
              <w:tc>
                <w:tcPr>
                  <w:tcW w:w="1517" w:type="pct"/>
                  <w:vAlign w:val="center"/>
                </w:tcPr>
                <w:p>
                  <w:pPr>
                    <w:pStyle w:val="17"/>
                    <w:widowControl w:val="0"/>
                    <w:bidi w:val="0"/>
                  </w:pPr>
                  <w:r>
                    <w:rPr>
                      <w:rFonts w:hint="eastAsia"/>
                      <w:lang w:val="en-US" w:eastAsia="zh-CN"/>
                    </w:rPr>
                    <w:t>热值：50009kJ/kg；爆炸极限：5～14%（v）；自然燃点：482～632℃</w:t>
                  </w:r>
                </w:p>
              </w:tc>
              <w:tc>
                <w:tcPr>
                  <w:tcW w:w="447" w:type="pct"/>
                  <w:vAlign w:val="center"/>
                </w:tcPr>
                <w:p>
                  <w:pPr>
                    <w:pStyle w:val="17"/>
                    <w:widowControl w:val="0"/>
                    <w:bidi w:val="0"/>
                  </w:pPr>
                  <w:r>
                    <w:t>易燃气体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49" w:type="dxa"/>
                  <w:vAlign w:val="center"/>
                </w:tcPr>
                <w:p>
                  <w:pPr>
                    <w:pStyle w:val="17"/>
                    <w:widowControl w:val="0"/>
                    <w:bidi w:val="0"/>
                  </w:pPr>
                  <w:r>
                    <w:t>3</w:t>
                  </w:r>
                </w:p>
              </w:tc>
              <w:tc>
                <w:tcPr>
                  <w:tcW w:w="365" w:type="dxa"/>
                  <w:vAlign w:val="center"/>
                </w:tcPr>
                <w:p>
                  <w:pPr>
                    <w:pStyle w:val="17"/>
                    <w:widowControl w:val="0"/>
                    <w:bidi w:val="0"/>
                  </w:pPr>
                  <w:r>
                    <w:rPr>
                      <w:rFonts w:hint="eastAsia"/>
                    </w:rPr>
                    <w:t>柴油</w:t>
                  </w:r>
                </w:p>
              </w:tc>
              <w:tc>
                <w:tcPr>
                  <w:tcW w:w="704" w:type="pct"/>
                  <w:vAlign w:val="center"/>
                </w:tcPr>
                <w:p>
                  <w:pPr>
                    <w:pStyle w:val="17"/>
                    <w:widowControl w:val="0"/>
                    <w:bidi w:val="0"/>
                  </w:pPr>
                  <w:r>
                    <w:rPr>
                      <w:rFonts w:hint="eastAsia"/>
                    </w:rPr>
                    <w:t>复杂烃类(碳原子数约</w:t>
                  </w:r>
                  <w:r>
                    <w:t>1</w:t>
                  </w:r>
                  <w:r>
                    <w:rPr>
                      <w:rFonts w:hint="eastAsia"/>
                    </w:rPr>
                    <w:t>0～22)混合物</w:t>
                  </w:r>
                </w:p>
              </w:tc>
              <w:tc>
                <w:tcPr>
                  <w:tcW w:w="1904" w:type="pct"/>
                  <w:vAlign w:val="center"/>
                </w:tcPr>
                <w:p>
                  <w:pPr>
                    <w:pStyle w:val="17"/>
                    <w:widowControl w:val="0"/>
                    <w:bidi w:val="0"/>
                  </w:pPr>
                  <w:r>
                    <w:rPr>
                      <w:rFonts w:hint="eastAsia"/>
                    </w:rPr>
                    <w:t>柴油的毒性类似于煤油，但由于添加剂(如硫化酯类)的影响，毒性比煤油略大，主要有麻醉和刺激作用。柴油的雾滴吸入后可致吸入性肺炎，皮肤接触柴油可致接触性皮炎。</w:t>
                  </w:r>
                </w:p>
              </w:tc>
              <w:tc>
                <w:tcPr>
                  <w:tcW w:w="1517" w:type="pct"/>
                  <w:vAlign w:val="center"/>
                </w:tcPr>
                <w:p>
                  <w:pPr>
                    <w:pStyle w:val="17"/>
                    <w:widowControl w:val="0"/>
                    <w:bidi w:val="0"/>
                  </w:pPr>
                  <w:r>
                    <w:rPr>
                      <w:rFonts w:hint="eastAsia"/>
                    </w:rPr>
                    <w:t>热值：3.3×10</w:t>
                  </w:r>
                  <w:r>
                    <w:t>4k</w:t>
                  </w:r>
                  <w:r>
                    <w:rPr>
                      <w:rFonts w:hint="eastAsia"/>
                    </w:rPr>
                    <w:t>J/L；沸点范围：180～370℃和350～410℃；两类闪点：</w:t>
                  </w:r>
                  <w:r>
                    <w:t>3</w:t>
                  </w:r>
                  <w:r>
                    <w:rPr>
                      <w:rFonts w:hint="eastAsia"/>
                    </w:rPr>
                    <w:t>8℃</w:t>
                  </w:r>
                </w:p>
              </w:tc>
              <w:tc>
                <w:tcPr>
                  <w:tcW w:w="447" w:type="pct"/>
                  <w:vAlign w:val="center"/>
                </w:tcPr>
                <w:p>
                  <w:pPr>
                    <w:pStyle w:val="17"/>
                    <w:widowControl w:val="0"/>
                    <w:bidi w:val="0"/>
                  </w:pPr>
                  <w:r>
                    <w:t>高闪点液体</w:t>
                  </w:r>
                </w:p>
              </w:tc>
            </w:tr>
          </w:tbl>
          <w:p>
            <w:pPr>
              <w:pStyle w:val="16"/>
              <w:bidi w:val="0"/>
              <w:rPr>
                <w:rFonts w:hint="default"/>
              </w:rPr>
            </w:pPr>
            <w:r>
              <w:rPr>
                <w:rFonts w:hint="default"/>
              </w:rPr>
              <w:t>②生产设施风险识别</w:t>
            </w:r>
          </w:p>
          <w:p>
            <w:pPr>
              <w:pStyle w:val="16"/>
              <w:bidi w:val="0"/>
              <w:rPr>
                <w:rFonts w:hint="default"/>
              </w:rPr>
            </w:pPr>
            <w:r>
              <w:rPr>
                <w:rFonts w:hint="default"/>
              </w:rPr>
              <w:t>A、井喷事故风险</w:t>
            </w:r>
          </w:p>
          <w:p>
            <w:pPr>
              <w:pStyle w:val="16"/>
              <w:bidi w:val="0"/>
              <w:rPr>
                <w:rFonts w:hint="default"/>
              </w:rPr>
            </w:pPr>
            <w:r>
              <w:rPr>
                <w:rFonts w:hint="default"/>
              </w:rPr>
              <w:t>井喷为井场常见事故。钻井过程中遇到地下油、气、水层时，油、气或水窜进井内的钻井液里，加快了钻井液流动和循环的速度。如果井底压力小于地层压力，地层流体将进入井筒并推动钻井液外溢，即发生溢流。此时，如果对地下油、气压力平衡控制不当，不能及时控制溢流，会造成油、气、水或其他混合物迅速喷到地面，即发生井喷。井喷会引发油气泄漏及火灾爆炸，对空气环境、水环境及生态环境造成危害，致使人员伤亡、财产损失。</w:t>
            </w:r>
          </w:p>
          <w:p>
            <w:pPr>
              <w:pStyle w:val="16"/>
              <w:bidi w:val="0"/>
              <w:rPr>
                <w:rFonts w:hint="default"/>
              </w:rPr>
            </w:pPr>
            <w:r>
              <w:rPr>
                <w:rFonts w:hint="default"/>
              </w:rPr>
              <w:t>B、井漏事故风险</w:t>
            </w:r>
          </w:p>
          <w:p>
            <w:pPr>
              <w:pStyle w:val="16"/>
              <w:bidi w:val="0"/>
              <w:rPr>
                <w:rFonts w:hint="default"/>
              </w:rPr>
            </w:pPr>
            <w:r>
              <w:rPr>
                <w:rFonts w:hint="default"/>
              </w:rPr>
              <w:t>钻井施工表层套管下入深度不够或固井质量不好可能引发污染地下水事故，如钻井液漏失造成地下水污染，油气上窜造成地下水污染等。</w:t>
            </w:r>
          </w:p>
          <w:p>
            <w:pPr>
              <w:pStyle w:val="16"/>
              <w:bidi w:val="0"/>
              <w:rPr>
                <w:rFonts w:hint="default"/>
              </w:rPr>
            </w:pPr>
            <w:r>
              <w:rPr>
                <w:rFonts w:hint="default"/>
              </w:rPr>
              <w:t>C、储罐泄漏</w:t>
            </w:r>
          </w:p>
          <w:p>
            <w:pPr>
              <w:pStyle w:val="16"/>
              <w:bidi w:val="0"/>
              <w:rPr>
                <w:rFonts w:hint="default"/>
              </w:rPr>
            </w:pPr>
            <w:r>
              <w:rPr>
                <w:rFonts w:hint="default"/>
              </w:rPr>
              <w:t>钻井及试油期井场设置柴油储罐，试油期井场设置有试油废水储罐和采出液储罐，储罐因质量、操作运行和管理等环节存在缺陷和失误，可能会发生泄漏，对周围地下水、土壤、大气等环境造成污染。</w:t>
            </w:r>
          </w:p>
          <w:p>
            <w:pPr>
              <w:pStyle w:val="16"/>
              <w:bidi w:val="0"/>
              <w:rPr>
                <w:rFonts w:hint="default"/>
              </w:rPr>
            </w:pPr>
            <w:r>
              <w:rPr>
                <w:rFonts w:hint="default"/>
              </w:rPr>
              <w:t>D、采出液及柴油运输风险</w:t>
            </w:r>
          </w:p>
          <w:p>
            <w:pPr>
              <w:pStyle w:val="16"/>
              <w:bidi w:val="0"/>
              <w:rPr>
                <w:rFonts w:hint="default"/>
              </w:rPr>
            </w:pPr>
            <w:r>
              <w:rPr>
                <w:rFonts w:hint="default"/>
              </w:rPr>
              <w:t>本项目试油期采出液由罐车拉运至吉祥联合站，项目钻试期使用的柴油燃料采用柴油罐车拉运至井场，运输过程中因车辆本身的设计、制造、操作、管理等各环节有存在缺陷的可能性，可能发生泄漏事故的风险。事故发生时罐车内液体溢出，对周围环境造成直接污染，泄漏的油气如遇到明火还可能发生火灾、爆炸事故。</w:t>
            </w:r>
          </w:p>
          <w:p>
            <w:pPr>
              <w:pStyle w:val="19"/>
              <w:bidi w:val="0"/>
              <w:rPr>
                <w:rFonts w:hint="default"/>
                <w:lang w:val="en-US" w:eastAsia="zh-CN"/>
              </w:rPr>
            </w:pPr>
            <w:r>
              <w:rPr>
                <w:rFonts w:hint="eastAsia"/>
                <w:lang w:val="en-US" w:eastAsia="zh-CN"/>
              </w:rPr>
              <w:t>7.4环境风险分析</w:t>
            </w:r>
          </w:p>
          <w:p>
            <w:pPr>
              <w:pStyle w:val="16"/>
              <w:bidi w:val="0"/>
              <w:rPr>
                <w:rFonts w:hint="default"/>
              </w:rPr>
            </w:pPr>
            <w:r>
              <w:rPr>
                <w:rFonts w:hint="default"/>
              </w:rPr>
              <w:t>钻井过程中井喷等风险事故主要对地下水产生影响，现分述如下：</w:t>
            </w:r>
          </w:p>
          <w:p>
            <w:pPr>
              <w:pStyle w:val="16"/>
              <w:numPr>
                <w:ilvl w:val="0"/>
                <w:numId w:val="2"/>
              </w:numPr>
              <w:bidi w:val="0"/>
              <w:rPr>
                <w:rFonts w:hint="default"/>
              </w:rPr>
            </w:pPr>
            <w:r>
              <w:rPr>
                <w:rFonts w:hint="default"/>
              </w:rPr>
              <w:t>井喷事故对地下水的影响</w:t>
            </w:r>
          </w:p>
          <w:p>
            <w:pPr>
              <w:pStyle w:val="16"/>
              <w:bidi w:val="0"/>
              <w:rPr>
                <w:rFonts w:hint="default"/>
              </w:rPr>
            </w:pPr>
            <w:r>
              <w:rPr>
                <w:rFonts w:hint="default"/>
              </w:rPr>
              <w:t>井喷随油藏地层压力的不同，发生概率和强度有所不同，根据现场调查，本项目油区采用抽油机进行试油，地层压力小，油井自喷能力弱，发生井喷事故概率小。发生井喷时，立即启动井控装置和防止井喷的应急预案，井喷产生的原油排至应急放喷池</w:t>
            </w:r>
            <w:r>
              <w:rPr>
                <w:rFonts w:hint="eastAsia"/>
                <w:lang w:val="en-US" w:eastAsia="zh-CN"/>
              </w:rPr>
              <w:t>或应急罐</w:t>
            </w:r>
            <w:r>
              <w:rPr>
                <w:rFonts w:hint="default"/>
              </w:rPr>
              <w:t>中，伴生气从管线另一端导入放散管点燃放空。油田采取严格的井控制度和井控措施，井喷溢流的原油和逸散的天然气可以得到很好的控制和处理，对周边环境的影响不大。</w:t>
            </w:r>
          </w:p>
          <w:p>
            <w:pPr>
              <w:pStyle w:val="16"/>
              <w:bidi w:val="0"/>
              <w:rPr>
                <w:rFonts w:hint="default"/>
              </w:rPr>
            </w:pPr>
            <w:r>
              <w:rPr>
                <w:rFonts w:hint="default"/>
              </w:rPr>
              <w:t>井喷事故发生时对地下水环境的影响主要是原油以面源的形式渗漏进入包气带土壤并污染地下水。污染物迁移途径为地表以下的包气带和含水层，然后随地下水流动而污染地下水。根据《石油类污染物在土壤中迁移变化规律研究》（中国石油大学桑玉全博士），不同类型土壤，对污染物的吸附能力存在差异，但总体在0~30cm深度范围内，其中对石油类污染物的吸附截留可达90%以上。石油类污染物主要聚积在土壤表层1m以内，一般很难渗入到2m以下。同时油田区域气候干旱少雨，不存在大量降水的淋滤作用。因此，井喷事故中的泄漏原油不会进入地下含水层污染地下水，对地下水环境的影响在可接受范围内。</w:t>
            </w:r>
          </w:p>
          <w:p>
            <w:pPr>
              <w:pStyle w:val="16"/>
              <w:bidi w:val="0"/>
              <w:rPr>
                <w:rFonts w:hint="default"/>
              </w:rPr>
            </w:pPr>
            <w:r>
              <w:rPr>
                <w:rFonts w:hint="default"/>
              </w:rPr>
              <w:t>（2）井漏事故的泥浆对地下水的影响</w:t>
            </w:r>
          </w:p>
          <w:p>
            <w:pPr>
              <w:pStyle w:val="16"/>
              <w:bidi w:val="0"/>
              <w:rPr>
                <w:rFonts w:hint="default"/>
              </w:rPr>
            </w:pPr>
            <w:r>
              <w:rPr>
                <w:rFonts w:hint="default"/>
              </w:rPr>
              <w:t>井漏事故对地下水的污染是钻井液漏失于地下水含水层中，由于其含Ca、Na等离子，且pH、盐分较多，造成地下含水层水质污染。</w:t>
            </w:r>
          </w:p>
          <w:p>
            <w:pPr>
              <w:pStyle w:val="16"/>
              <w:bidi w:val="0"/>
              <w:rPr>
                <w:rFonts w:hint="default"/>
              </w:rPr>
            </w:pPr>
            <w:r>
              <w:rPr>
                <w:rFonts w:hint="default"/>
              </w:rPr>
              <w:t>钻井液漏失于地下含水层其径流型污染的范围不大，主要发生在局部且持续时间较短。钻井过程中表层套管（隔离含水体套管）固井变径后，继续钻井数百米到达目的层。表层套管内提下钻具和钻井的钻杆自重离心力不稳定，在压力下的钻杆转动对套管产生摩擦、碰撞，均有可能对套管和固井环状水泥柱产生破坏作用，使钻井液在高压循环的过程中，从破坏处进入含水层污染地下水。此外，钻井液从固井环状水泥柱破裂处进入含水层，会对水质的硬度和矿化度的劣变起到了一定的影响。因此，使用清洁无害的水基钻井液，严格控制使用有毒有害钻井液及化学处理剂，同时严格要求套管下入深度、确保固井质量等措施，可以有效控制钻井液在含水层中的漏失，井漏事故对地下水环境的影响在可接受范围内。</w:t>
            </w:r>
          </w:p>
          <w:p>
            <w:pPr>
              <w:pStyle w:val="16"/>
              <w:bidi w:val="0"/>
              <w:rPr>
                <w:rFonts w:hint="default"/>
              </w:rPr>
            </w:pPr>
            <w:r>
              <w:rPr>
                <w:rFonts w:hint="default"/>
              </w:rPr>
              <w:t>（3）油水窜层对地下水的影响</w:t>
            </w:r>
          </w:p>
          <w:p>
            <w:pPr>
              <w:pStyle w:val="16"/>
              <w:bidi w:val="0"/>
              <w:rPr>
                <w:rFonts w:hint="default"/>
              </w:rPr>
            </w:pPr>
            <w:r>
              <w:rPr>
                <w:rFonts w:hint="default"/>
              </w:rPr>
              <w:t>钻井完井后试油过程中原油窜层污染的主要原因是：①下入的表层套管未封住含水层；②固井质量差；③工艺措施不合理或未实施。因此，为预防污染的发生和污染源的形成，表层套管必须严格封闭含水层，固井质量应符合环保要求。报废井在长期闲置过程中，在地下各种复合作用下，固井水泥被腐蚀，套管被腐蚀穿孔，封堵井口后，油气物质失去了释放通道，会通过越流管道进入含水层，参与地下水循环。虽然此时油层几乎没有多少压力，但原油仍有进入含水层污染地下水的可能，评价区内的井应确保生产井的固井质量，废弃井应全部打水泥塞，并经严格的试压以防窜漏污染地下水。</w:t>
            </w:r>
          </w:p>
          <w:p>
            <w:pPr>
              <w:pStyle w:val="16"/>
              <w:bidi w:val="0"/>
              <w:rPr>
                <w:rFonts w:hint="default"/>
                <w:color w:val="auto"/>
              </w:rPr>
            </w:pPr>
            <w:r>
              <w:rPr>
                <w:rFonts w:hint="default"/>
              </w:rPr>
              <w:t>采取上述措</w:t>
            </w:r>
            <w:r>
              <w:rPr>
                <w:rFonts w:hint="default"/>
                <w:color w:val="auto"/>
              </w:rPr>
              <w:t>施后，油水窜层对地下水环境的影响在可接受范围内。</w:t>
            </w:r>
          </w:p>
          <w:p>
            <w:pPr>
              <w:adjustRightInd w:val="0"/>
              <w:snapToGrid w:val="0"/>
              <w:ind w:firstLine="480"/>
              <w:rPr>
                <w:rFonts w:hint="default" w:ascii="Times New Roman" w:hAnsi="Times New Roman" w:cs="Times New Roman"/>
                <w:bCs/>
                <w:color w:val="auto"/>
              </w:rPr>
            </w:pPr>
            <w:r>
              <w:rPr>
                <w:rFonts w:hint="default" w:ascii="Times New Roman" w:hAnsi="Times New Roman" w:eastAsia="宋体" w:cs="Times New Roman"/>
                <w:snapToGrid w:val="0"/>
                <w:color w:val="auto"/>
                <w:kern w:val="0"/>
                <w:sz w:val="24"/>
                <w:szCs w:val="21"/>
              </w:rPr>
              <w:t>（4）储</w:t>
            </w:r>
            <w:r>
              <w:rPr>
                <w:rFonts w:hint="default" w:ascii="Times New Roman" w:hAnsi="Times New Roman" w:cs="Times New Roman"/>
                <w:bCs/>
                <w:color w:val="auto"/>
              </w:rPr>
              <w:t>罐泄漏环境影响分析</w:t>
            </w:r>
          </w:p>
          <w:p>
            <w:pPr>
              <w:pStyle w:val="16"/>
              <w:bidi w:val="0"/>
              <w:rPr>
                <w:rFonts w:hint="default"/>
                <w:color w:val="auto"/>
              </w:rPr>
            </w:pPr>
            <w:r>
              <w:rPr>
                <w:rFonts w:hint="default"/>
                <w:color w:val="auto"/>
              </w:rPr>
              <w:t>①对大气环境影响分析</w:t>
            </w:r>
          </w:p>
          <w:p>
            <w:pPr>
              <w:pStyle w:val="16"/>
              <w:bidi w:val="0"/>
              <w:rPr>
                <w:rFonts w:hint="default"/>
                <w:color w:val="auto"/>
              </w:rPr>
            </w:pPr>
            <w:r>
              <w:rPr>
                <w:rFonts w:hint="default"/>
                <w:color w:val="auto"/>
              </w:rPr>
              <w:t>储罐发生泄漏后，油类物质进入环境空气，挥发出的气体可能会对周围环境空气产生影响，若遇明火可能发生火灾、爆炸，随之产生的伴生、次生污染物会对环境空气产生一定的影响。由于项目区地域空旷，扩散条件较好，发生事故后，及时采取相应的措施，不会对周围环境空气产生明显影响。</w:t>
            </w:r>
          </w:p>
          <w:p>
            <w:pPr>
              <w:pStyle w:val="16"/>
              <w:bidi w:val="0"/>
              <w:rPr>
                <w:rFonts w:hint="default"/>
                <w:color w:val="auto"/>
              </w:rPr>
            </w:pPr>
            <w:r>
              <w:rPr>
                <w:rFonts w:hint="default"/>
                <w:color w:val="auto"/>
              </w:rPr>
              <w:t>②对土壤环境影响分析</w:t>
            </w:r>
          </w:p>
          <w:p>
            <w:pPr>
              <w:pStyle w:val="16"/>
              <w:bidi w:val="0"/>
              <w:rPr>
                <w:rFonts w:hint="default" w:ascii="Times New Roman" w:hAnsi="Times New Roman" w:cs="Times New Roman"/>
                <w:color w:val="auto"/>
                <w:szCs w:val="21"/>
              </w:rPr>
            </w:pPr>
            <w:r>
              <w:rPr>
                <w:rFonts w:hint="default"/>
                <w:color w:val="auto"/>
              </w:rPr>
              <w:t>泄漏的油类物质可使土壤透气性下降、土壤理化性状发生变化。泄漏情况发生时，油类物质渗入土壤孔</w:t>
            </w:r>
            <w:r>
              <w:rPr>
                <w:rFonts w:hint="default" w:ascii="Times New Roman" w:hAnsi="Times New Roman" w:cs="Times New Roman"/>
                <w:color w:val="auto"/>
                <w:szCs w:val="21"/>
              </w:rPr>
              <w:t>隙，使土壤透气性和呼吸作用减弱，影响土壤中的微生物生存，造成土壤盐碱化，破坏土壤结构，增加土壤中石油类污染物造成土地肥力下降，改变土壤的理化性质，影响土壤正常的结构和功能。油基钻井液循环罐、柴油储罐、采出物储罐及洗井废水储罐区铺设防渗膜，储罐或循环罐发生泄漏后，及时清理，受污染的土壤集中收集后由有相应危废处置资质的单位进行回收处置。发生事故后，及时采取相应的措施，不会对周围土壤环境产生明显影响。</w:t>
            </w:r>
          </w:p>
          <w:p>
            <w:pPr>
              <w:ind w:firstLine="480"/>
              <w:rPr>
                <w:rFonts w:hint="default" w:ascii="Times New Roman" w:hAnsi="Times New Roman" w:cs="Times New Roman"/>
                <w:bCs/>
                <w:color w:val="auto"/>
              </w:rPr>
            </w:pPr>
            <w:r>
              <w:rPr>
                <w:rFonts w:hint="default"/>
                <w:color w:val="auto"/>
              </w:rPr>
              <w:t>③</w:t>
            </w:r>
            <w:r>
              <w:rPr>
                <w:rFonts w:hint="default" w:ascii="Times New Roman" w:hAnsi="Times New Roman" w:cs="Times New Roman"/>
                <w:bCs/>
                <w:color w:val="auto"/>
              </w:rPr>
              <w:t>对植被及农作物的影响</w:t>
            </w:r>
          </w:p>
          <w:p>
            <w:pPr>
              <w:pStyle w:val="16"/>
              <w:bidi w:val="0"/>
              <w:rPr>
                <w:rFonts w:hint="default"/>
                <w:color w:val="auto"/>
              </w:rPr>
            </w:pPr>
            <w:r>
              <w:rPr>
                <w:rFonts w:hint="default" w:ascii="Times New Roman" w:hAnsi="Times New Roman" w:cs="Times New Roman"/>
                <w:color w:val="auto"/>
                <w:szCs w:val="21"/>
              </w:rPr>
              <w:t>油类物质的</w:t>
            </w:r>
            <w:r>
              <w:rPr>
                <w:rFonts w:hint="default" w:ascii="Times New Roman" w:hAnsi="Times New Roman" w:cs="Times New Roman"/>
                <w:bCs/>
                <w:color w:val="auto"/>
              </w:rPr>
              <w:t>泄漏对植被的影响主要分为三种途径，一是泄漏物直接粘附于植物上阻断植物的光合作用，使植物及农作物枯萎、死亡；二是柴油/采出液污染土壤造成的土壤理性化性状变化间接影响植物生长，严重时会导致植物死亡；三是泄漏的柴油/采出液中的轻组份挥发，在对空气环境产生影响的同时，也对周围植物产生影响。发生事故后，及时采取相应的措施，不会对周围植被产生明显影响。</w:t>
            </w:r>
          </w:p>
          <w:p>
            <w:pPr>
              <w:pStyle w:val="16"/>
              <w:bidi w:val="0"/>
              <w:rPr>
                <w:rFonts w:hint="default"/>
                <w:color w:val="auto"/>
              </w:rPr>
            </w:pPr>
            <w:r>
              <w:rPr>
                <w:rFonts w:hint="default"/>
                <w:color w:val="auto"/>
              </w:rPr>
              <w:t>（5）井下作业</w:t>
            </w:r>
          </w:p>
          <w:p>
            <w:pPr>
              <w:pStyle w:val="16"/>
              <w:bidi w:val="0"/>
              <w:rPr>
                <w:rFonts w:hint="default"/>
                <w:color w:val="auto"/>
              </w:rPr>
            </w:pPr>
            <w:r>
              <w:rPr>
                <w:rFonts w:hint="default"/>
                <w:color w:val="auto"/>
              </w:rPr>
              <w:t>若本项目井下作业时产生井下作业废水（含油废水）及油品若不慎滴落在地，含油废水和落地油会对周围土壤产生污染。落地油量越大污染面积越大，对土壤的污染越严重。泄漏物进入土壤环境中，会影响土壤中微生物生存，破坏土壤结构，增加土壤中石油类污染物。</w:t>
            </w:r>
          </w:p>
          <w:p>
            <w:pPr>
              <w:pStyle w:val="16"/>
              <w:bidi w:val="0"/>
              <w:rPr>
                <w:rFonts w:hint="default"/>
                <w:color w:val="auto"/>
              </w:rPr>
            </w:pPr>
            <w:r>
              <w:rPr>
                <w:rFonts w:hint="default"/>
                <w:color w:val="auto"/>
              </w:rPr>
              <w:t>根据类比调查结果：非渗透性的基岩及粘重土壤上污染（扩展）面积较大，而疏松土质上影响扩展范围较小；粘重土壤多为耕作土，原油覆于地表会使土壤透气性下降，降低土壤肥力，影响植被的生长和恢复。在泄漏事故发生的初期，原油在土壤中下渗至一定深度，随泄漏历时的延长，下渗深度增加不大（落地原油一般在土壤内部20cm左右范围内积聚）。</w:t>
            </w:r>
          </w:p>
          <w:p>
            <w:pPr>
              <w:pStyle w:val="16"/>
              <w:bidi w:val="0"/>
              <w:rPr>
                <w:rFonts w:hint="default"/>
                <w:color w:val="auto"/>
              </w:rPr>
            </w:pPr>
            <w:r>
              <w:rPr>
                <w:rFonts w:hint="default"/>
                <w:color w:val="auto"/>
              </w:rPr>
              <w:t>建设单位井下带罐作业，作业区域铺设防渗膜防止井下作业废水和原油落地，若不慎落地应及时收集落地油及受污染土壤，由</w:t>
            </w:r>
            <w:r>
              <w:rPr>
                <w:rFonts w:hint="eastAsia"/>
                <w:color w:val="auto"/>
                <w:lang w:val="en-US" w:eastAsia="zh-CN"/>
              </w:rPr>
              <w:t>有</w:t>
            </w:r>
            <w:r>
              <w:rPr>
                <w:rFonts w:hint="default"/>
                <w:color w:val="auto"/>
              </w:rPr>
              <w:t>危废处置资质的单位处理。</w:t>
            </w:r>
          </w:p>
          <w:p>
            <w:pPr>
              <w:pStyle w:val="19"/>
              <w:bidi w:val="0"/>
              <w:rPr>
                <w:rFonts w:hint="default"/>
                <w:color w:val="auto"/>
              </w:rPr>
            </w:pPr>
            <w:r>
              <w:rPr>
                <w:rFonts w:hint="eastAsia"/>
                <w:color w:val="auto"/>
                <w:lang w:val="en-US" w:eastAsia="zh-CN"/>
              </w:rPr>
              <w:t>7.5</w:t>
            </w:r>
            <w:r>
              <w:rPr>
                <w:rFonts w:hint="default"/>
                <w:color w:val="auto"/>
              </w:rPr>
              <w:t>环境风险评价结论</w:t>
            </w:r>
          </w:p>
          <w:p>
            <w:pPr>
              <w:pStyle w:val="16"/>
              <w:bidi w:val="0"/>
              <w:rPr>
                <w:rFonts w:hint="default"/>
              </w:rPr>
            </w:pPr>
            <w:r>
              <w:rPr>
                <w:rFonts w:hint="default"/>
                <w:color w:val="auto"/>
              </w:rPr>
              <w:t>本项目设计中严格执行各种安全标准、规范，采取完善的安全措施，可有效地防止火灾、爆炸、泄漏、井喷等事故的发生。本</w:t>
            </w:r>
            <w:r>
              <w:rPr>
                <w:rFonts w:hint="default"/>
              </w:rPr>
              <w:t>项目的环境风险在可接受范围之内。</w:t>
            </w:r>
          </w:p>
          <w:p>
            <w:pPr>
              <w:pStyle w:val="4"/>
              <w:bidi w:val="0"/>
              <w:rPr>
                <w:rFonts w:hint="eastAsia" w:eastAsia="宋体"/>
                <w:lang w:eastAsia="zh-CN"/>
              </w:rPr>
            </w:pPr>
            <w:r>
              <w:rPr>
                <w:rFonts w:hint="eastAsia"/>
                <w:lang w:val="en-US" w:eastAsia="zh-CN"/>
              </w:rPr>
              <w:t>8、</w:t>
            </w:r>
            <w:r>
              <w:rPr>
                <w:rFonts w:hint="default"/>
              </w:rPr>
              <w:t>其它产出物</w:t>
            </w:r>
            <w:r>
              <w:rPr>
                <w:rFonts w:hint="eastAsia"/>
                <w:lang w:val="en-US" w:eastAsia="zh-CN"/>
              </w:rPr>
              <w:t>影响分析</w:t>
            </w:r>
          </w:p>
          <w:p>
            <w:pPr>
              <w:pStyle w:val="16"/>
              <w:bidi w:val="0"/>
              <w:rPr>
                <w:rFonts w:hint="default"/>
              </w:rPr>
            </w:pPr>
            <w:r>
              <w:rPr>
                <w:rFonts w:hint="default"/>
              </w:rPr>
              <w:t>试油过程即通过计量采出物成分、数量从而获取油藏数据的过程。采出物中包括原油、采出水、伴生气以及井下压裂残留的少量压裂液等其中伴生气因产生量不稳定无法进行回收，在井场通过地面排气管线点燃放空；原油、采出水及残留压裂液等进入地面储罐，拉运至吉祥联合站原油处理系统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88" w:hRule="atLeast"/>
          <w:jc w:val="center"/>
        </w:trPr>
        <w:tc>
          <w:tcPr>
            <w:tcW w:w="887" w:type="dxa"/>
            <w:tcBorders>
              <w:left w:val="single" w:color="000000" w:sz="6" w:space="0"/>
            </w:tcBorders>
            <w:vAlign w:val="center"/>
          </w:tcPr>
          <w:p>
            <w:pPr>
              <w:bidi w:val="0"/>
              <w:jc w:val="center"/>
              <w:rPr>
                <w:rFonts w:hint="default"/>
              </w:rPr>
            </w:pPr>
            <w:r>
              <w:rPr>
                <w:rFonts w:hint="default"/>
              </w:rPr>
              <w:t>运营期生态环境影响分析</w:t>
            </w:r>
          </w:p>
        </w:tc>
        <w:tc>
          <w:tcPr>
            <w:tcW w:w="8359" w:type="dxa"/>
            <w:tcBorders>
              <w:right w:val="single" w:color="000000" w:sz="6" w:space="0"/>
            </w:tcBorders>
            <w:vAlign w:val="center"/>
          </w:tcPr>
          <w:p>
            <w:pPr>
              <w:pStyle w:val="16"/>
              <w:bidi w:val="0"/>
              <w:rPr>
                <w:rFonts w:hint="default"/>
              </w:rPr>
            </w:pPr>
            <w:r>
              <w:rPr>
                <w:rFonts w:hint="default"/>
              </w:rPr>
              <w:t>本项目无</w:t>
            </w:r>
            <w:r>
              <w:rPr>
                <w:rFonts w:hint="eastAsia"/>
                <w:lang w:val="en-US" w:eastAsia="zh-CN"/>
              </w:rPr>
              <w:t>运营</w:t>
            </w:r>
            <w:r>
              <w:rPr>
                <w:rFonts w:hint="default"/>
              </w:rPr>
              <w:t>期，试油结束后视试油结果决定是否转为生产井，若可转为生产井，则应当在产能开发建设前开展其环境影响评价工作。如发现该井不具开发价值或目的层不含油，则进行封井，拆除井口装置，截去地下1m内管头，最后清理场地，清除各种固体废弃物，恢复至相对自然的地貌。封井后，人员撤离，区域内没有了人为的扰动，井场范围内的自然植被会逐渐得以恢复，有助于区域生态环境的改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74" w:hRule="atLeast"/>
          <w:jc w:val="center"/>
        </w:trPr>
        <w:tc>
          <w:tcPr>
            <w:tcW w:w="887" w:type="dxa"/>
            <w:tcBorders>
              <w:left w:val="single" w:color="000000" w:sz="6" w:space="0"/>
            </w:tcBorders>
            <w:vAlign w:val="center"/>
          </w:tcPr>
          <w:p>
            <w:pPr>
              <w:bidi w:val="0"/>
              <w:jc w:val="center"/>
              <w:rPr>
                <w:rFonts w:hint="default"/>
              </w:rPr>
            </w:pPr>
            <w:r>
              <w:rPr>
                <w:rFonts w:hint="default"/>
              </w:rPr>
              <w:t>选址选线环境合理性分析</w:t>
            </w:r>
          </w:p>
        </w:tc>
        <w:tc>
          <w:tcPr>
            <w:tcW w:w="8359" w:type="dxa"/>
            <w:tcBorders>
              <w:right w:val="single" w:color="000000" w:sz="6" w:space="0"/>
            </w:tcBorders>
            <w:vAlign w:val="center"/>
          </w:tcPr>
          <w:p>
            <w:pPr>
              <w:pStyle w:val="16"/>
              <w:bidi w:val="0"/>
              <w:rPr>
                <w:rFonts w:hint="default"/>
              </w:rPr>
            </w:pPr>
            <w:r>
              <w:rPr>
                <w:rFonts w:hint="default"/>
              </w:rPr>
              <w:t>本项目新钻井不在铁路、高速公路、国道、省等重要交通干线两侧200m范围以内，不在重要工业区、大型水利工程设施、城镇市政工程设施所在区域，军事管理区、机场、国防工程设施圈定的区域，符合《新疆维吾尔自治区重点行业环境准入条件（修订）》（新环发〔2017〕1号）要求。</w:t>
            </w:r>
          </w:p>
          <w:p>
            <w:pPr>
              <w:pStyle w:val="16"/>
              <w:bidi w:val="0"/>
              <w:rPr>
                <w:rFonts w:hint="default"/>
              </w:rPr>
            </w:pPr>
            <w:r>
              <w:rPr>
                <w:rFonts w:hint="default"/>
              </w:rPr>
              <w:t>探临道路</w:t>
            </w:r>
            <w:r>
              <w:rPr>
                <w:rFonts w:hint="eastAsia"/>
                <w:lang w:val="en-US" w:eastAsia="zh-CN"/>
              </w:rPr>
              <w:t>选址</w:t>
            </w:r>
            <w:r>
              <w:rPr>
                <w:rFonts w:hint="default"/>
              </w:rPr>
              <w:t>已尽可能避开野生植物生长密集地带和减少占地；井口距离75m范围内无高压线及其它永久性设施，100m范围内无民宅，200m范围内无铁路、高速公路，500m范围内无学校、医院和大型油库等人口密集型、高危性场所。项目选址符合《钻前工程及井场布置技术要求》（SY/T5466-2013）中的相关规定。</w:t>
            </w:r>
          </w:p>
          <w:p>
            <w:pPr>
              <w:pStyle w:val="16"/>
              <w:bidi w:val="0"/>
              <w:rPr>
                <w:rFonts w:hint="default"/>
              </w:rPr>
            </w:pPr>
            <w:r>
              <w:rPr>
                <w:rFonts w:hint="default"/>
              </w:rPr>
              <w:t>项目周边无其他自然保护区、风景名胜区、饮用水水源保护区、基本草原、沙化土地封禁保护区等，且无以居住、医疗卫生、文化教育、科研、行政办公等为主要功能的区域及文物保护单位，不存在环境制约因素。项目占地类型为</w:t>
            </w:r>
            <w:r>
              <w:rPr>
                <w:rFonts w:hint="eastAsia"/>
                <w:color w:val="auto"/>
                <w:lang w:val="en-US" w:eastAsia="zh-CN"/>
              </w:rPr>
              <w:t>旱地</w:t>
            </w:r>
            <w:r>
              <w:rPr>
                <w:rFonts w:hint="default"/>
              </w:rPr>
              <w:t>，已尽量减少占用植被和农作物茂密地带，且所在区域人类活动频繁，区域内野生动物数量较少，环境影响程度低，钻试工程结束后，临时占地均可到释放和恢复，建设期间产生的废气、废水和噪声消失。综上所述，项目选址合理。</w:t>
            </w:r>
          </w:p>
        </w:tc>
      </w:tr>
    </w:tbl>
    <w:p>
      <w:pPr>
        <w:rPr>
          <w:rFonts w:hint="default" w:ascii="Times New Roman" w:hAnsi="Times New Roman" w:cs="Times New Roman"/>
          <w:sz w:val="21"/>
        </w:rPr>
      </w:pPr>
    </w:p>
    <w:p>
      <w:pPr>
        <w:rPr>
          <w:rFonts w:hint="default" w:ascii="Times New Roman" w:hAnsi="Times New Roman" w:cs="Times New Roman"/>
        </w:rPr>
        <w:sectPr>
          <w:footerReference r:id="rId9" w:type="default"/>
          <w:pgSz w:w="11906" w:h="16839"/>
          <w:pgMar w:top="1431" w:right="1322" w:bottom="1185" w:left="1322" w:header="0" w:footer="918" w:gutter="0"/>
          <w:pgNumType w:fmt="decimal"/>
          <w:cols w:space="720" w:num="1"/>
        </w:sectPr>
      </w:pPr>
    </w:p>
    <w:p>
      <w:pPr>
        <w:pStyle w:val="3"/>
        <w:bidi w:val="0"/>
        <w:rPr>
          <w:rFonts w:hint="default"/>
        </w:rPr>
      </w:pPr>
      <w:r>
        <w:rPr>
          <w:rFonts w:hint="default"/>
        </w:rPr>
        <w:t>五、主要生态环境保护措施</w:t>
      </w:r>
    </w:p>
    <w:p>
      <w:pPr>
        <w:spacing w:line="40" w:lineRule="auto"/>
        <w:rPr>
          <w:rFonts w:hint="default" w:ascii="Times New Roman" w:hAnsi="Times New Roman" w:cs="Times New Roman"/>
          <w:sz w:val="2"/>
        </w:rPr>
      </w:pPr>
    </w:p>
    <w:tbl>
      <w:tblPr>
        <w:tblStyle w:val="15"/>
        <w:tblW w:w="921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51"/>
        <w:gridCol w:w="82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00" w:hRule="atLeast"/>
        </w:trPr>
        <w:tc>
          <w:tcPr>
            <w:tcW w:w="951" w:type="dxa"/>
            <w:tcBorders>
              <w:left w:val="single" w:color="000000" w:sz="6" w:space="0"/>
            </w:tcBorders>
            <w:vAlign w:val="center"/>
          </w:tcPr>
          <w:p>
            <w:pPr>
              <w:bidi w:val="0"/>
              <w:jc w:val="center"/>
              <w:rPr>
                <w:rFonts w:hint="eastAsia"/>
                <w:color w:val="auto"/>
                <w:lang w:eastAsia="zh-CN"/>
              </w:rPr>
            </w:pPr>
            <w:r>
              <w:rPr>
                <w:rFonts w:hint="eastAsia"/>
                <w:color w:val="auto"/>
                <w:lang w:eastAsia="zh-CN"/>
              </w:rPr>
              <w:t>施工期生态环境保护措施</w:t>
            </w:r>
          </w:p>
        </w:tc>
        <w:tc>
          <w:tcPr>
            <w:tcW w:w="8263" w:type="dxa"/>
            <w:tcBorders>
              <w:right w:val="single" w:color="000000" w:sz="6" w:space="0"/>
            </w:tcBorders>
            <w:vAlign w:val="center"/>
          </w:tcPr>
          <w:p>
            <w:pPr>
              <w:pStyle w:val="4"/>
              <w:bidi w:val="0"/>
              <w:rPr>
                <w:rFonts w:hint="default"/>
                <w:color w:val="auto"/>
              </w:rPr>
            </w:pPr>
            <w:r>
              <w:rPr>
                <w:rFonts w:hint="default"/>
                <w:color w:val="auto"/>
              </w:rPr>
              <w:t>1、生态环境保护措施</w:t>
            </w:r>
          </w:p>
          <w:p>
            <w:pPr>
              <w:pStyle w:val="19"/>
              <w:bidi w:val="0"/>
              <w:rPr>
                <w:rFonts w:hint="default"/>
                <w:color w:val="auto"/>
              </w:rPr>
            </w:pPr>
            <w:r>
              <w:rPr>
                <w:rFonts w:hint="default"/>
                <w:color w:val="auto"/>
              </w:rPr>
              <w:t>1.1生态保护措施</w:t>
            </w:r>
          </w:p>
          <w:p>
            <w:pPr>
              <w:pStyle w:val="16"/>
              <w:bidi w:val="0"/>
              <w:rPr>
                <w:rFonts w:hint="default"/>
                <w:color w:val="auto"/>
              </w:rPr>
            </w:pPr>
            <w:r>
              <w:rPr>
                <w:rFonts w:hint="default"/>
                <w:color w:val="auto"/>
              </w:rPr>
              <w:t>项目占地合理规划，尽量避让植被较多的区域；严格控制施工作业带宽度，减少临时占地面积；在工程施工过程中和施工结束后，及时对施工场地进行平整，以便后期自然恢复；工程结束后，做好施工场地的恢复工作。</w:t>
            </w:r>
          </w:p>
          <w:p>
            <w:pPr>
              <w:pStyle w:val="16"/>
              <w:bidi w:val="0"/>
              <w:rPr>
                <w:rFonts w:hint="default"/>
                <w:color w:val="auto"/>
              </w:rPr>
            </w:pPr>
            <w:r>
              <w:rPr>
                <w:rFonts w:hint="default"/>
                <w:color w:val="auto"/>
              </w:rPr>
              <w:t>（1）井场、道路临时占地保护措施要求</w:t>
            </w:r>
          </w:p>
          <w:p>
            <w:pPr>
              <w:pStyle w:val="16"/>
              <w:bidi w:val="0"/>
              <w:rPr>
                <w:rFonts w:hint="default"/>
                <w:color w:val="auto"/>
              </w:rPr>
            </w:pPr>
            <w:r>
              <w:rPr>
                <w:rFonts w:hint="default"/>
                <w:color w:val="auto"/>
              </w:rPr>
              <w:t>①临时性占地进行合理规划，严格控制占地面积，尽量选择在植被稀少的区域。②本项目临时占地期满后，占地单位需对临时占地进行清理，拆除临时建筑物，清除废弃材料，结合地形恢复场地并平整土地，做到工完料净场地清。</w:t>
            </w:r>
          </w:p>
          <w:p>
            <w:pPr>
              <w:pStyle w:val="16"/>
              <w:bidi w:val="0"/>
              <w:rPr>
                <w:rFonts w:hint="default"/>
                <w:color w:val="auto"/>
              </w:rPr>
            </w:pPr>
            <w:r>
              <w:rPr>
                <w:rFonts w:hint="default"/>
                <w:color w:val="auto"/>
              </w:rPr>
              <w:t>③施工过程中严格规定车辆和各类工作人员的活动范围，使之限于在施工区范围内活动，最大限度减少对植物生存环境的踩踏破坏，避免破坏植物。井场选址及井场布置严格按照《钻前工程及井场布置技术要求》（SY/T5466-2013）中要求执行。</w:t>
            </w:r>
          </w:p>
          <w:p>
            <w:pPr>
              <w:pStyle w:val="16"/>
              <w:bidi w:val="0"/>
              <w:rPr>
                <w:rFonts w:hint="default"/>
                <w:color w:val="auto"/>
              </w:rPr>
            </w:pPr>
            <w:r>
              <w:rPr>
                <w:rFonts w:hint="default"/>
                <w:color w:val="auto"/>
              </w:rPr>
              <w:t>（2）对野生动物的生态环保措施要求</w:t>
            </w:r>
          </w:p>
          <w:p>
            <w:pPr>
              <w:pStyle w:val="16"/>
              <w:bidi w:val="0"/>
              <w:rPr>
                <w:rFonts w:hint="default"/>
                <w:color w:val="auto"/>
              </w:rPr>
            </w:pPr>
            <w:r>
              <w:rPr>
                <w:rFonts w:hint="default"/>
                <w:color w:val="auto"/>
              </w:rPr>
              <w:t>①设计</w:t>
            </w:r>
            <w:r>
              <w:rPr>
                <w:rFonts w:hint="eastAsia"/>
                <w:lang w:val="en-US" w:eastAsia="zh-CN"/>
              </w:rPr>
              <w:t>选址</w:t>
            </w:r>
            <w:r>
              <w:rPr>
                <w:rFonts w:hint="default"/>
                <w:color w:val="auto"/>
              </w:rPr>
              <w:t>过程中，最大限度避免破坏野生动物的活动场所和生存环境。</w:t>
            </w:r>
          </w:p>
          <w:p>
            <w:pPr>
              <w:pStyle w:val="16"/>
              <w:bidi w:val="0"/>
              <w:rPr>
                <w:rFonts w:hint="default"/>
                <w:color w:val="auto"/>
              </w:rPr>
            </w:pPr>
            <w:r>
              <w:rPr>
                <w:rFonts w:hint="default"/>
                <w:color w:val="auto"/>
              </w:rPr>
              <w:t>②为了更好的保护野生动物，建设单位在项目实施过程中要严格规定工作人员的活动范围，使之限于在施工作业带范围内活动，尽量不侵扰野生动物的栖息地。</w:t>
            </w:r>
          </w:p>
          <w:p>
            <w:pPr>
              <w:pStyle w:val="16"/>
              <w:bidi w:val="0"/>
              <w:rPr>
                <w:rFonts w:hint="default"/>
                <w:color w:val="auto"/>
              </w:rPr>
            </w:pPr>
            <w:r>
              <w:rPr>
                <w:rFonts w:hint="default"/>
                <w:color w:val="auto"/>
              </w:rPr>
              <w:t>③对施工人员开展保护野生动物宣传教育工作，强化保护野生动物的观念，禁止施工人员随意惊吓、捕猎、宰杀野生动物。设置“保护野生动植物”等警示牌。</w:t>
            </w:r>
          </w:p>
          <w:p>
            <w:pPr>
              <w:pStyle w:val="16"/>
              <w:bidi w:val="0"/>
              <w:rPr>
                <w:rFonts w:hint="default"/>
                <w:color w:val="auto"/>
              </w:rPr>
            </w:pPr>
            <w:r>
              <w:rPr>
                <w:rFonts w:hint="default"/>
                <w:color w:val="auto"/>
              </w:rPr>
              <w:t>④加强管理，确保各生产设施的正常运行，避免强噪声环境的出现，避免对野生动物的惊扰。</w:t>
            </w:r>
          </w:p>
          <w:p>
            <w:pPr>
              <w:pStyle w:val="16"/>
              <w:bidi w:val="0"/>
              <w:rPr>
                <w:rFonts w:hint="default"/>
                <w:color w:val="auto"/>
              </w:rPr>
            </w:pPr>
            <w:r>
              <w:rPr>
                <w:rFonts w:hint="default"/>
                <w:color w:val="auto"/>
              </w:rPr>
              <w:t>（3）对植被生态保护措施</w:t>
            </w:r>
          </w:p>
          <w:p>
            <w:pPr>
              <w:pStyle w:val="16"/>
              <w:bidi w:val="0"/>
              <w:rPr>
                <w:rFonts w:hint="default"/>
                <w:color w:val="auto"/>
              </w:rPr>
            </w:pPr>
            <w:r>
              <w:rPr>
                <w:rFonts w:hint="default"/>
                <w:color w:val="auto"/>
              </w:rPr>
              <w:t>①严格控制钻井和油气测试作业的占地面积，作业区四周设置彩带控制作业范围。</w:t>
            </w:r>
          </w:p>
          <w:p>
            <w:pPr>
              <w:pStyle w:val="16"/>
              <w:bidi w:val="0"/>
              <w:rPr>
                <w:rFonts w:hint="default"/>
                <w:color w:val="auto"/>
              </w:rPr>
            </w:pPr>
            <w:r>
              <w:rPr>
                <w:rFonts w:hint="default"/>
                <w:color w:val="auto"/>
              </w:rPr>
              <w:t>②钻井油气测试作业结束后，对井场、临时道路进行清理、平整，地貌恢复。</w:t>
            </w:r>
          </w:p>
          <w:p>
            <w:pPr>
              <w:pStyle w:val="16"/>
              <w:bidi w:val="0"/>
              <w:rPr>
                <w:rFonts w:hint="default"/>
                <w:color w:val="auto"/>
              </w:rPr>
            </w:pPr>
            <w:r>
              <w:rPr>
                <w:rFonts w:hint="default"/>
                <w:color w:val="auto"/>
              </w:rPr>
              <w:t>③施工过程中严格规定各类工作人员的活动范围，使之限于在各工区范围内活动，最大限度减少植物生存环境的践踏破坏。</w:t>
            </w:r>
          </w:p>
          <w:p>
            <w:pPr>
              <w:pStyle w:val="16"/>
              <w:bidi w:val="0"/>
              <w:rPr>
                <w:rFonts w:hint="default"/>
                <w:color w:val="auto"/>
              </w:rPr>
            </w:pPr>
            <w:r>
              <w:rPr>
                <w:rFonts w:hint="default"/>
                <w:color w:val="auto"/>
              </w:rPr>
              <w:t>④加强对施工人员和职工的教育，强化保护野生植物的观念，不得随意踩踏野生植物。本项目钻井、施工前，应向当地相关主管部门办理征地手续，按照相关法律法规进行补偿和恢复。在征地手续办理完成前，本项目不得开工建设。</w:t>
            </w:r>
          </w:p>
          <w:p>
            <w:pPr>
              <w:pStyle w:val="16"/>
              <w:bidi w:val="0"/>
              <w:rPr>
                <w:rFonts w:hint="default"/>
                <w:color w:val="auto"/>
              </w:rPr>
            </w:pPr>
            <w:r>
              <w:rPr>
                <w:rFonts w:hint="default"/>
                <w:color w:val="auto"/>
              </w:rPr>
              <w:t>⑤施工过程中注意保护土壤成分和结构。施工结束后应对临时占地内地貌进行恢复，尽可能保持植物原有的生存环境，以利于植被恢复。</w:t>
            </w:r>
          </w:p>
          <w:p>
            <w:pPr>
              <w:pStyle w:val="16"/>
              <w:bidi w:val="0"/>
              <w:rPr>
                <w:rFonts w:hint="default"/>
                <w:color w:val="auto"/>
                <w:lang w:val="en-US" w:eastAsia="zh-CN"/>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highlight w:val="none"/>
                <w:lang w:val="en-US" w:eastAsia="zh-CN"/>
              </w:rPr>
              <w:t>耕地</w:t>
            </w:r>
            <w:r>
              <w:rPr>
                <w:rFonts w:hint="eastAsia"/>
                <w:color w:val="auto"/>
                <w:lang w:val="en-US" w:eastAsia="zh-CN"/>
              </w:rPr>
              <w:t>的生态保护措施</w:t>
            </w:r>
          </w:p>
          <w:p>
            <w:pPr>
              <w:pStyle w:val="16"/>
              <w:bidi w:val="0"/>
              <w:rPr>
                <w:rFonts w:hint="default"/>
                <w:color w:val="auto"/>
              </w:rPr>
            </w:pPr>
            <w:r>
              <w:rPr>
                <w:rFonts w:hint="eastAsia"/>
                <w:color w:val="auto"/>
              </w:rPr>
              <w:t>①</w:t>
            </w:r>
            <w:r>
              <w:rPr>
                <w:rFonts w:hint="default"/>
                <w:color w:val="auto"/>
              </w:rPr>
              <w:t>施工过程中严格规定各类工作人员活动范围，使之限于在各工区和生活区范围内活动，最大限度减少对周边</w:t>
            </w:r>
            <w:r>
              <w:rPr>
                <w:rFonts w:hint="eastAsia"/>
                <w:color w:val="auto"/>
                <w:highlight w:val="none"/>
                <w:lang w:val="en-US" w:eastAsia="zh-CN"/>
              </w:rPr>
              <w:t>耕地</w:t>
            </w:r>
            <w:r>
              <w:rPr>
                <w:rFonts w:hint="default"/>
                <w:color w:val="auto"/>
              </w:rPr>
              <w:t>的影响。</w:t>
            </w:r>
          </w:p>
          <w:p>
            <w:pPr>
              <w:pStyle w:val="16"/>
              <w:bidi w:val="0"/>
              <w:rPr>
                <w:rFonts w:hint="default"/>
                <w:color w:val="auto"/>
              </w:rPr>
            </w:pPr>
            <w:r>
              <w:rPr>
                <w:rFonts w:hint="eastAsia"/>
                <w:color w:val="auto"/>
              </w:rPr>
              <w:t>②</w:t>
            </w:r>
            <w:r>
              <w:rPr>
                <w:rFonts w:hint="default"/>
                <w:color w:val="auto"/>
              </w:rPr>
              <w:t>确保各环保设施正常运行，污水进罐、落地油回收，避免各种污染物对土壤环境的影响，并进一步影响周边</w:t>
            </w:r>
            <w:r>
              <w:rPr>
                <w:rFonts w:hint="eastAsia"/>
                <w:color w:val="auto"/>
                <w:highlight w:val="none"/>
                <w:lang w:val="en-US" w:eastAsia="zh-CN"/>
              </w:rPr>
              <w:t>耕地</w:t>
            </w:r>
            <w:r>
              <w:rPr>
                <w:rFonts w:hint="default"/>
                <w:color w:val="auto"/>
              </w:rPr>
              <w:t>。</w:t>
            </w:r>
          </w:p>
          <w:p>
            <w:pPr>
              <w:pStyle w:val="16"/>
              <w:bidi w:val="0"/>
              <w:rPr>
                <w:rFonts w:hint="default" w:eastAsia="宋体"/>
                <w:color w:val="auto"/>
                <w:lang w:val="en-US" w:eastAsia="zh-CN"/>
              </w:rPr>
            </w:pPr>
            <w:r>
              <w:rPr>
                <w:rFonts w:hint="default"/>
                <w:color w:val="auto"/>
              </w:rPr>
              <w:t>③强化风险意识，制订切实可行的风险防范与应急预案，最大限度降低</w:t>
            </w:r>
            <w:r>
              <w:rPr>
                <w:rFonts w:hint="eastAsia"/>
                <w:color w:val="auto"/>
                <w:lang w:val="en-US" w:eastAsia="zh-CN"/>
              </w:rPr>
              <w:t>风险概率，避免事故泄露和火灾爆炸事故可能对周边</w:t>
            </w:r>
            <w:r>
              <w:rPr>
                <w:rFonts w:hint="eastAsia"/>
                <w:color w:val="auto"/>
                <w:highlight w:val="none"/>
                <w:lang w:val="en-US" w:eastAsia="zh-CN"/>
              </w:rPr>
              <w:t>耕地</w:t>
            </w:r>
            <w:r>
              <w:rPr>
                <w:rFonts w:hint="eastAsia"/>
                <w:color w:val="auto"/>
                <w:lang w:val="en-US" w:eastAsia="zh-CN"/>
              </w:rPr>
              <w:t>的破坏。</w:t>
            </w:r>
          </w:p>
          <w:p>
            <w:pPr>
              <w:pStyle w:val="16"/>
              <w:bidi w:val="0"/>
              <w:rPr>
                <w:rFonts w:hint="eastAsia" w:eastAsia="宋体"/>
                <w:color w:val="auto"/>
                <w:lang w:val="en-US" w:eastAsia="zh-CN"/>
              </w:rPr>
            </w:pPr>
            <w:r>
              <w:rPr>
                <w:rFonts w:hint="default"/>
                <w:color w:val="auto"/>
              </w:rPr>
              <w:t>（</w:t>
            </w:r>
            <w:r>
              <w:rPr>
                <w:rFonts w:hint="eastAsia"/>
                <w:color w:val="auto"/>
                <w:lang w:val="en-US" w:eastAsia="zh-CN"/>
              </w:rPr>
              <w:t>5</w:t>
            </w:r>
            <w:r>
              <w:rPr>
                <w:rFonts w:hint="default"/>
                <w:color w:val="auto"/>
              </w:rPr>
              <w:t>）</w:t>
            </w:r>
            <w:r>
              <w:rPr>
                <w:rFonts w:hint="eastAsia"/>
                <w:color w:val="auto"/>
                <w:lang w:val="en-US" w:eastAsia="zh-CN"/>
              </w:rPr>
              <w:t>经济补偿</w:t>
            </w:r>
          </w:p>
          <w:p>
            <w:pPr>
              <w:pStyle w:val="16"/>
              <w:bidi w:val="0"/>
              <w:rPr>
                <w:rFonts w:hint="default"/>
                <w:color w:val="auto"/>
              </w:rPr>
            </w:pPr>
            <w:r>
              <w:rPr>
                <w:rFonts w:hint="default"/>
                <w:color w:val="auto"/>
              </w:rPr>
              <w:t>因项目占地造成的植被损失应按规定进行经济补偿，对无法避让而占毁的梭梭等自治区一级保护野生植物应按照《新疆维吾尔自治区野生植物保护条例》（2018年9月21日）等相关法律法规做到</w:t>
            </w:r>
            <w:r>
              <w:rPr>
                <w:rFonts w:hint="eastAsia" w:ascii="宋体" w:hAnsi="宋体" w:eastAsia="宋体" w:cs="宋体"/>
                <w:color w:val="auto"/>
              </w:rPr>
              <w:t>“占一补一”，</w:t>
            </w:r>
            <w:r>
              <w:rPr>
                <w:rFonts w:hint="default"/>
                <w:color w:val="auto"/>
              </w:rPr>
              <w:t>对所占植被进行恢复。</w:t>
            </w:r>
          </w:p>
          <w:p>
            <w:pPr>
              <w:pStyle w:val="19"/>
              <w:bidi w:val="0"/>
              <w:rPr>
                <w:rFonts w:hint="default"/>
                <w:color w:val="auto"/>
              </w:rPr>
            </w:pPr>
            <w:r>
              <w:rPr>
                <w:rFonts w:hint="default"/>
                <w:color w:val="auto"/>
              </w:rPr>
              <w:t>1.2生态恢复方案</w:t>
            </w:r>
          </w:p>
          <w:p>
            <w:pPr>
              <w:pStyle w:val="16"/>
              <w:bidi w:val="0"/>
              <w:rPr>
                <w:rFonts w:hint="default"/>
                <w:color w:val="auto"/>
              </w:rPr>
            </w:pPr>
            <w:r>
              <w:rPr>
                <w:rFonts w:hint="default"/>
                <w:color w:val="auto"/>
              </w:rPr>
              <w:t>（1）井场生态恢复措施</w:t>
            </w:r>
          </w:p>
          <w:p>
            <w:pPr>
              <w:pStyle w:val="16"/>
              <w:bidi w:val="0"/>
              <w:rPr>
                <w:rFonts w:hint="default"/>
                <w:color w:val="auto"/>
              </w:rPr>
            </w:pPr>
            <w:r>
              <w:rPr>
                <w:rFonts w:hint="default"/>
                <w:color w:val="auto"/>
              </w:rPr>
              <w:t>根据《陆上石油天然气开采业绿色矿山建设规范》（DZ/T0317-2018）所有施工范围需进行生态环境保护与恢复治理。</w:t>
            </w:r>
          </w:p>
          <w:p>
            <w:pPr>
              <w:pStyle w:val="16"/>
              <w:bidi w:val="0"/>
              <w:rPr>
                <w:rFonts w:hint="default"/>
                <w:color w:val="auto"/>
              </w:rPr>
            </w:pPr>
            <w:r>
              <w:rPr>
                <w:rFonts w:hint="default"/>
                <w:color w:val="auto"/>
              </w:rPr>
              <w:t>工程施工结束后，应对井场临时占地内的土地进行平整，恢复原有地貌。充分利用前期已收集的表土覆盖于井场表层，覆盖厚度根据植被类型和场地用途确定。减少植被破坏，减缓水土流失，抵制沙漠化发展将起到一定的积极作用。</w:t>
            </w:r>
          </w:p>
          <w:p>
            <w:pPr>
              <w:pStyle w:val="16"/>
              <w:bidi w:val="0"/>
              <w:rPr>
                <w:rFonts w:hint="default"/>
                <w:color w:val="auto"/>
              </w:rPr>
            </w:pPr>
            <w:r>
              <w:rPr>
                <w:rFonts w:hint="default"/>
                <w:color w:val="auto"/>
              </w:rPr>
              <w:t>（2）道路生态恢复措施</w:t>
            </w:r>
          </w:p>
          <w:p>
            <w:pPr>
              <w:pStyle w:val="16"/>
              <w:bidi w:val="0"/>
              <w:rPr>
                <w:rFonts w:hint="default"/>
                <w:color w:val="auto"/>
              </w:rPr>
            </w:pPr>
            <w:r>
              <w:rPr>
                <w:rFonts w:hint="default"/>
                <w:color w:val="auto"/>
              </w:rPr>
              <w:t>开挖路基及取弃土工程均应根据道路施工进度有计划地进行表土剥离并保存。工程结束后，弃土应及时回填、平整、压实，并利用堆存的表土对临时占地进行植被和景观恢复，与原有地貌和景观协调。临时占地的土壤恢复按照《土壤环境质量农用地土壤污染风险管控标准（试行）》（GB15618-2018）管理控制。</w:t>
            </w:r>
          </w:p>
          <w:p>
            <w:pPr>
              <w:pStyle w:val="16"/>
              <w:bidi w:val="0"/>
              <w:rPr>
                <w:rFonts w:hint="default"/>
                <w:color w:val="auto"/>
              </w:rPr>
            </w:pPr>
            <w:r>
              <w:rPr>
                <w:rFonts w:hint="default"/>
                <w:color w:val="auto"/>
              </w:rPr>
              <w:t>（3）水土流失防治措施</w:t>
            </w:r>
          </w:p>
          <w:p>
            <w:pPr>
              <w:pStyle w:val="16"/>
              <w:bidi w:val="0"/>
              <w:rPr>
                <w:rFonts w:hint="default"/>
                <w:color w:val="auto"/>
              </w:rPr>
            </w:pPr>
            <w:r>
              <w:rPr>
                <w:rFonts w:hint="eastAsia" w:ascii="宋体" w:hAnsi="宋体" w:eastAsia="宋体" w:cs="宋体"/>
                <w:color w:val="auto"/>
              </w:rPr>
              <w:t>本项目施工时，首先要特别注意保护地表与植被，划定施工活动范围，严格控制和管理车辆及重型机械的行驶范围，所有车辆采用“一”字形作业法，避免并行开辟新路，以减少风蚀沙化活动的范围；施工中严格按照施工占地要求，划定适宜的堆料场。路基修筑开挖等作业避免在大风天施工；严格按规划</w:t>
            </w:r>
            <w:r>
              <w:rPr>
                <w:rFonts w:hint="default"/>
                <w:color w:val="auto"/>
              </w:rPr>
              <w:t>的施工范围进行施工作业，不得随意开辟施工便道。施工车辆不得随意驶离便道。</w:t>
            </w:r>
          </w:p>
          <w:p>
            <w:pPr>
              <w:pStyle w:val="16"/>
              <w:bidi w:val="0"/>
              <w:rPr>
                <w:rFonts w:hint="default"/>
                <w:color w:val="auto"/>
              </w:rPr>
            </w:pPr>
            <w:r>
              <w:rPr>
                <w:rFonts w:hint="default"/>
                <w:color w:val="auto"/>
              </w:rPr>
              <w:t>施工后期，及时做好施工后期的迹地恢复工作，包括土地平整，创造局部小环境以利于植被的恢复等。建设单位在保证做到以上措施的情况下，对防止风沙流动、促进生态环境的恢复会起到良好作用，可将水土流失的程度降低到最小限度。</w:t>
            </w:r>
          </w:p>
          <w:p>
            <w:pPr>
              <w:pStyle w:val="16"/>
              <w:bidi w:val="0"/>
              <w:rPr>
                <w:rFonts w:hint="default"/>
                <w:color w:val="auto"/>
              </w:rPr>
            </w:pPr>
            <w:r>
              <w:rPr>
                <w:rFonts w:hint="default"/>
                <w:color w:val="auto"/>
              </w:rPr>
              <w:t>（4）防沙治沙措施</w:t>
            </w:r>
          </w:p>
          <w:p>
            <w:pPr>
              <w:pStyle w:val="16"/>
              <w:bidi w:val="0"/>
              <w:rPr>
                <w:rFonts w:hint="default"/>
                <w:color w:val="auto"/>
              </w:rPr>
            </w:pPr>
            <w:r>
              <w:rPr>
                <w:rFonts w:hint="default"/>
                <w:color w:val="auto"/>
              </w:rPr>
              <w:t>建设单位及施工人员严格按照《新疆维吾尔自治区实施&lt;中华人民共和国防沙治沙法&gt;办法》中有关规定执行防沙治沙措施：</w:t>
            </w:r>
          </w:p>
          <w:p>
            <w:pPr>
              <w:pStyle w:val="16"/>
              <w:bidi w:val="0"/>
              <w:rPr>
                <w:rFonts w:hint="default"/>
                <w:color w:val="auto"/>
              </w:rPr>
            </w:pPr>
            <w:r>
              <w:rPr>
                <w:rFonts w:hint="default"/>
                <w:color w:val="auto"/>
              </w:rPr>
              <w:t>①严格控制井场、道路等工程的临时占地，按施工方案严控制扰动范围；</w:t>
            </w:r>
          </w:p>
          <w:p>
            <w:pPr>
              <w:pStyle w:val="16"/>
              <w:bidi w:val="0"/>
              <w:rPr>
                <w:rFonts w:hint="default"/>
                <w:color w:val="auto"/>
              </w:rPr>
            </w:pPr>
            <w:r>
              <w:rPr>
                <w:rFonts w:hint="default"/>
                <w:color w:val="auto"/>
              </w:rPr>
              <w:t>②道路施工时，划定施工活动范围，严格控制和管理车辆及重型机械的运行范围，所有车辆采用“一”字型作业法，临探道路应选取最短路径与油田现有公路相连接，不开辟新路，以减少风蚀沙化活动的范围；</w:t>
            </w:r>
          </w:p>
          <w:p>
            <w:pPr>
              <w:pStyle w:val="16"/>
              <w:bidi w:val="0"/>
              <w:rPr>
                <w:rFonts w:hint="default"/>
                <w:color w:val="auto"/>
              </w:rPr>
            </w:pPr>
            <w:r>
              <w:rPr>
                <w:rFonts w:hint="default"/>
                <w:color w:val="auto"/>
              </w:rPr>
              <w:t>③应在施工场地外围迎风面一侧设置移动式围挡，最大限度减少因风力作用加重局部区域沙化；</w:t>
            </w:r>
          </w:p>
          <w:p>
            <w:pPr>
              <w:pStyle w:val="16"/>
              <w:bidi w:val="0"/>
              <w:rPr>
                <w:rFonts w:hint="default"/>
                <w:color w:val="auto"/>
              </w:rPr>
            </w:pPr>
            <w:r>
              <w:rPr>
                <w:rFonts w:hint="default"/>
                <w:color w:val="auto"/>
              </w:rPr>
              <w:t>④施工结束时，应拆除并移走全部施工设备，清理所有施工固废，将井场、道路等临时占地范围进行平整，并覆土压实覆盖一层砾石，防止风蚀现象发生；</w:t>
            </w:r>
          </w:p>
          <w:p>
            <w:pPr>
              <w:pStyle w:val="16"/>
              <w:bidi w:val="0"/>
              <w:rPr>
                <w:rFonts w:hint="default"/>
                <w:color w:val="auto"/>
              </w:rPr>
            </w:pPr>
            <w:r>
              <w:rPr>
                <w:rFonts w:hint="default"/>
                <w:color w:val="auto"/>
              </w:rPr>
              <w:t>⑤为减少因施工破坏植被造成局部区域的沙化，本环评要求建设单位和施工人员须征得当地林业管理部门的批准后方可开展施工作业。建议尽可能完整保存拟建选址区域的原生植株，在施工期结束后恢复原有植被或栽种同类沙地植物，最大限度减少沙化的可能性；</w:t>
            </w:r>
          </w:p>
          <w:p>
            <w:pPr>
              <w:pStyle w:val="16"/>
              <w:bidi w:val="0"/>
              <w:rPr>
                <w:rFonts w:hint="default"/>
                <w:color w:val="auto"/>
              </w:rPr>
            </w:pPr>
            <w:r>
              <w:rPr>
                <w:rFonts w:hint="default"/>
                <w:color w:val="auto"/>
              </w:rPr>
              <w:t>⑥对于无植被生长的纯沙地区域，在施工结束时建议对遭受扰动的临时占地区域设置草方格进行固沙，阻止沙化进一步发展；</w:t>
            </w:r>
          </w:p>
          <w:p>
            <w:pPr>
              <w:pStyle w:val="16"/>
              <w:bidi w:val="0"/>
              <w:rPr>
                <w:rFonts w:hint="default"/>
                <w:color w:val="auto"/>
              </w:rPr>
            </w:pPr>
            <w:r>
              <w:rPr>
                <w:rFonts w:hint="default"/>
                <w:color w:val="auto"/>
              </w:rPr>
              <w:t>⑦施工过程中及施工期结束土壤环境恢复过程中发现临时占用土地出现沙化或者沙化程度加重的，应当及时报告当地生态环境保护部门和人民政府，并根据专业意见开展防沙治沙措施；</w:t>
            </w:r>
          </w:p>
          <w:p>
            <w:pPr>
              <w:pStyle w:val="16"/>
              <w:bidi w:val="0"/>
              <w:rPr>
                <w:rFonts w:hint="default"/>
                <w:color w:val="auto"/>
              </w:rPr>
            </w:pPr>
            <w:r>
              <w:rPr>
                <w:rFonts w:hint="default"/>
                <w:color w:val="auto"/>
              </w:rPr>
              <w:t>通过采取上述措施，可将项目建设对所在区域土壤环境造成的水土流失和沙化影响降至可接受水平。</w:t>
            </w:r>
          </w:p>
          <w:p>
            <w:pPr>
              <w:pStyle w:val="16"/>
              <w:bidi w:val="0"/>
              <w:rPr>
                <w:rFonts w:hint="default"/>
                <w:color w:val="auto"/>
              </w:rPr>
            </w:pPr>
            <w:r>
              <w:rPr>
                <w:rFonts w:hint="default"/>
                <w:color w:val="auto"/>
              </w:rPr>
              <w:t>（5）闭井期生态修复措施</w:t>
            </w:r>
          </w:p>
          <w:p>
            <w:pPr>
              <w:pStyle w:val="16"/>
              <w:bidi w:val="0"/>
              <w:rPr>
                <w:rFonts w:hint="default"/>
                <w:color w:val="auto"/>
              </w:rPr>
            </w:pPr>
            <w:r>
              <w:rPr>
                <w:rFonts w:hint="default"/>
                <w:color w:val="auto"/>
              </w:rPr>
              <w:t>根据《矿山生态环境保护与恢复治理技术规范(试行)》(HJ651-2013)《陆上石油天然气开采业绿色矿山建设规范》（DZ/T0317-2018）和《废弃井封井回填集输指南（试行）》中的相关要求，勘探活动结束后，应根据景观相似原则，对勘探活动造成的土壤、植被和地表景观破坏进行恢复。对水文地质条件及道路安全有影响或重要建筑物附近的钻孔或坑井应予回填封闭，并恢复其原有生态功能。井场道路用地应严格控制占地面积和范围。道路建设及取弃土工程，均应根据道路施工进度有计划地进行表土剥离并保存，必要时应设置截排水沟、挡土墙等相应保护措施。井场道路取弃土工程结束后，弃土场应及时回填、整平、压实，并利用堆存的表土进行植被和景观恢复。道路建设施工结束后，临时占地应及时恢复，与原有地貌和景观协调。对项目区域不再使用的各项临时建（构）筑物和基础设施应全部拆除，并进行景观和植被恢复。转为其他用途的，应开展污染场地调查、风险评估与修复治理。试油期伴生气燃烧放空应远离</w:t>
            </w:r>
            <w:r>
              <w:rPr>
                <w:rFonts w:hint="eastAsia"/>
                <w:color w:val="auto"/>
                <w:highlight w:val="none"/>
                <w:lang w:val="en-US" w:eastAsia="zh-CN"/>
              </w:rPr>
              <w:t>耕地</w:t>
            </w:r>
            <w:r>
              <w:rPr>
                <w:rFonts w:hint="default"/>
                <w:color w:val="auto"/>
              </w:rPr>
              <w:t>、植被等。勘探后的封闭井应将井口封堵完整，采取遮挡和防护措施，并设立警示牌。建设单位将作为生态修复实施的主体。</w:t>
            </w:r>
          </w:p>
          <w:p>
            <w:pPr>
              <w:pStyle w:val="4"/>
              <w:bidi w:val="0"/>
              <w:rPr>
                <w:rFonts w:hint="default"/>
                <w:color w:val="auto"/>
              </w:rPr>
            </w:pPr>
            <w:r>
              <w:rPr>
                <w:rFonts w:hint="default"/>
                <w:color w:val="auto"/>
              </w:rPr>
              <w:t>2、大气污染防治措施</w:t>
            </w:r>
          </w:p>
          <w:p>
            <w:pPr>
              <w:pStyle w:val="16"/>
              <w:bidi w:val="0"/>
              <w:rPr>
                <w:rFonts w:hint="default"/>
                <w:color w:val="auto"/>
              </w:rPr>
            </w:pPr>
            <w:r>
              <w:rPr>
                <w:rFonts w:hint="default"/>
                <w:color w:val="auto"/>
              </w:rPr>
              <w:t>（1）尽量利用现有公路网络；其次是对使用频繁的道路路面进行洒水处理，运输车辆进入施工区域，应以中、低速行驶（速度＜40km/h）。</w:t>
            </w:r>
          </w:p>
          <w:p>
            <w:pPr>
              <w:pStyle w:val="16"/>
              <w:bidi w:val="0"/>
              <w:rPr>
                <w:rFonts w:hint="default"/>
                <w:color w:val="auto"/>
              </w:rPr>
            </w:pPr>
            <w:r>
              <w:rPr>
                <w:rFonts w:hint="default"/>
                <w:color w:val="auto"/>
              </w:rPr>
              <w:t>（2）井场设备的放置进行合理优化，尽可能少占土地，对工作区域外的场地严禁车辆和人员进入、占用，避免破坏植被和造成土地松动；作业场地保持一定湿度，进出车辆严格限速，装卸器材文明作业，防止沙尘飞扬。</w:t>
            </w:r>
          </w:p>
          <w:p>
            <w:pPr>
              <w:pStyle w:val="16"/>
              <w:bidi w:val="0"/>
              <w:rPr>
                <w:rFonts w:hint="default"/>
                <w:color w:val="auto"/>
              </w:rPr>
            </w:pPr>
            <w:r>
              <w:rPr>
                <w:rFonts w:hint="default"/>
                <w:color w:val="auto"/>
              </w:rPr>
              <w:t>（3）定期对钻机、柴油发电机等设备进行维护，定期对柴油发电机进行污染物排放检测，确保其污染物排放达到《非道路移动机械用柴油机排气污染物排放限值及测量方法(中国第三、四阶段)》(GB20891-2014)中的标准要求。</w:t>
            </w:r>
          </w:p>
          <w:p>
            <w:pPr>
              <w:pStyle w:val="16"/>
              <w:bidi w:val="0"/>
              <w:rPr>
                <w:rFonts w:hint="default"/>
                <w:color w:val="auto"/>
              </w:rPr>
            </w:pPr>
            <w:r>
              <w:rPr>
                <w:rFonts w:hint="default"/>
                <w:color w:val="auto"/>
              </w:rPr>
              <w:t>（4）禁止焚烧原油、废油品及各类废弃物，防止产生废气污染。</w:t>
            </w:r>
          </w:p>
          <w:p>
            <w:pPr>
              <w:pStyle w:val="16"/>
              <w:bidi w:val="0"/>
              <w:rPr>
                <w:rFonts w:hint="default"/>
                <w:color w:val="auto"/>
              </w:rPr>
            </w:pPr>
            <w:r>
              <w:rPr>
                <w:rFonts w:hint="default"/>
                <w:color w:val="auto"/>
              </w:rPr>
              <w:t>（5）钻井材料集中堆放，下垫上盖，防止起尘。</w:t>
            </w:r>
          </w:p>
          <w:p>
            <w:pPr>
              <w:pStyle w:val="16"/>
              <w:bidi w:val="0"/>
              <w:rPr>
                <w:rFonts w:hint="default"/>
                <w:color w:val="auto"/>
              </w:rPr>
            </w:pPr>
            <w:r>
              <w:rPr>
                <w:rFonts w:hint="default"/>
                <w:color w:val="auto"/>
              </w:rPr>
              <w:t xml:space="preserve">（6）试油期采用技术质量可靠的设备、仪表控制、阀门等，烃类机泵采用 </w:t>
            </w:r>
          </w:p>
          <w:p>
            <w:pPr>
              <w:pStyle w:val="16"/>
              <w:bidi w:val="0"/>
              <w:ind w:left="0" w:leftChars="0" w:firstLine="0" w:firstLineChars="0"/>
              <w:rPr>
                <w:rFonts w:hint="default"/>
                <w:color w:val="auto"/>
              </w:rPr>
            </w:pPr>
            <w:r>
              <w:rPr>
                <w:rFonts w:hint="default"/>
                <w:color w:val="auto"/>
              </w:rPr>
              <w:t>无泄漏屏蔽泵。</w:t>
            </w:r>
          </w:p>
          <w:p>
            <w:pPr>
              <w:pStyle w:val="16"/>
              <w:bidi w:val="0"/>
              <w:rPr>
                <w:rFonts w:hint="default"/>
                <w:color w:val="auto"/>
              </w:rPr>
            </w:pPr>
            <w:r>
              <w:rPr>
                <w:rFonts w:hint="default"/>
                <w:color w:val="auto"/>
              </w:rPr>
              <w:t>（7）试油期对各井场的设备、阀门等进行定期的检查、检修，以减少跑、冒、滴、漏的发生，消除事故隐患，防止油气泄漏进入大气环境。一旦发生泄漏事故，紧急切断油、气源，从而最大限度地减少烃类及油的排放量。</w:t>
            </w:r>
          </w:p>
          <w:p>
            <w:pPr>
              <w:pStyle w:val="16"/>
              <w:bidi w:val="0"/>
              <w:rPr>
                <w:rFonts w:hint="default"/>
                <w:color w:val="auto"/>
              </w:rPr>
            </w:pPr>
            <w:r>
              <w:rPr>
                <w:rFonts w:hint="default"/>
                <w:color w:val="auto"/>
              </w:rPr>
              <w:t>（8）试油期若伴生气量较小、不具备回收利用条件时，经过液气分离后通过放散管点火排放。若伴生气量较大时，应采取撬装天然气回收装置进行回收。</w:t>
            </w:r>
          </w:p>
          <w:p>
            <w:pPr>
              <w:pStyle w:val="16"/>
              <w:bidi w:val="0"/>
              <w:rPr>
                <w:rFonts w:hint="default"/>
                <w:color w:val="auto"/>
              </w:rPr>
            </w:pPr>
            <w:r>
              <w:rPr>
                <w:rFonts w:hint="default"/>
                <w:color w:val="auto"/>
              </w:rPr>
              <w:t>（9）试油期原油运载工具（汽车油罐车）加强管控，采用底部装载或顶部浸没式装载方式，采用顶部浸没式装载的，出口管口距离罐底部高度应小于200mm。</w:t>
            </w:r>
          </w:p>
          <w:p>
            <w:pPr>
              <w:pStyle w:val="16"/>
              <w:bidi w:val="0"/>
              <w:rPr>
                <w:rFonts w:hint="default"/>
                <w:color w:val="auto"/>
              </w:rPr>
            </w:pPr>
            <w:r>
              <w:rPr>
                <w:rFonts w:hint="default"/>
                <w:color w:val="auto"/>
              </w:rPr>
              <w:t>（</w:t>
            </w:r>
            <w:r>
              <w:rPr>
                <w:rFonts w:hint="eastAsia"/>
                <w:color w:val="auto"/>
                <w:lang w:val="en-US" w:eastAsia="zh-CN"/>
              </w:rPr>
              <w:t>10</w:t>
            </w:r>
            <w:r>
              <w:rPr>
                <w:rFonts w:hint="default"/>
                <w:color w:val="auto"/>
              </w:rPr>
              <w:t>）试油期储油罐为固定顶方罐，单罐容积60m</w:t>
            </w:r>
            <w:r>
              <w:rPr>
                <w:rFonts w:hint="default"/>
                <w:color w:val="auto"/>
                <w:vertAlign w:val="superscript"/>
              </w:rPr>
              <w:t>3</w:t>
            </w:r>
            <w:r>
              <w:rPr>
                <w:rFonts w:hint="default"/>
                <w:color w:val="auto"/>
              </w:rPr>
              <w:t>，原油储存真实蒸汽压＜27.6kPa，按照《挥发性有机物无组织排放控制标准》（GB37822-2019）无需采取油气回收措施。固定顶罐罐体应保持完好，不应有孔洞及缝隙，除计量、检查、维护等正常活动外，罐上开孔应密闭，并定期检查呼吸阀定压是否符合设定要求。试油期采出液储存及装载应符合《陆上石油天然气开采工业大气污染物排放标准》（GB39728-2020）要求。</w:t>
            </w:r>
          </w:p>
          <w:p>
            <w:pPr>
              <w:pStyle w:val="16"/>
              <w:bidi w:val="0"/>
              <w:rPr>
                <w:rFonts w:hint="default"/>
                <w:color w:val="auto"/>
              </w:rPr>
            </w:pPr>
            <w:r>
              <w:rPr>
                <w:rFonts w:hint="default"/>
                <w:color w:val="auto"/>
              </w:rPr>
              <w:t>在采取上述措施后，排放的大气污染物不会对周围环境空气产生明显影响。</w:t>
            </w:r>
          </w:p>
          <w:p>
            <w:pPr>
              <w:pStyle w:val="4"/>
              <w:bidi w:val="0"/>
              <w:rPr>
                <w:rFonts w:hint="default"/>
              </w:rPr>
            </w:pPr>
            <w:r>
              <w:rPr>
                <w:rFonts w:hint="default"/>
              </w:rPr>
              <w:t>3、水污染防治措施</w:t>
            </w:r>
          </w:p>
          <w:p>
            <w:pPr>
              <w:pStyle w:val="16"/>
              <w:bidi w:val="0"/>
              <w:rPr>
                <w:rFonts w:hint="default"/>
              </w:rPr>
            </w:pPr>
            <w:r>
              <w:rPr>
                <w:rFonts w:hint="default"/>
              </w:rPr>
              <w:t>（1）废水处理措施</w:t>
            </w:r>
          </w:p>
          <w:p>
            <w:pPr>
              <w:pStyle w:val="16"/>
              <w:bidi w:val="0"/>
              <w:rPr>
                <w:rFonts w:hint="default"/>
              </w:rPr>
            </w:pPr>
            <w:r>
              <w:rPr>
                <w:rFonts w:hint="default"/>
              </w:rPr>
              <w:t>①生活污水</w:t>
            </w:r>
          </w:p>
          <w:p>
            <w:pPr>
              <w:pStyle w:val="16"/>
              <w:bidi w:val="0"/>
              <w:rPr>
                <w:rFonts w:hint="default"/>
              </w:rPr>
            </w:pPr>
            <w:r>
              <w:rPr>
                <w:rFonts w:hint="default"/>
              </w:rPr>
              <w:t>施工期生活污水产生量约</w:t>
            </w:r>
            <w:r>
              <w:rPr>
                <w:rFonts w:hint="eastAsia"/>
                <w:color w:val="auto"/>
                <w:lang w:val="en-US" w:eastAsia="zh-CN"/>
              </w:rPr>
              <w:t>1075.2</w:t>
            </w:r>
            <w:r>
              <w:rPr>
                <w:rFonts w:hint="default"/>
              </w:rPr>
              <w:t>m</w:t>
            </w:r>
            <w:r>
              <w:rPr>
                <w:rFonts w:hint="default"/>
                <w:vertAlign w:val="superscript"/>
              </w:rPr>
              <w:t>3</w:t>
            </w:r>
            <w:r>
              <w:rPr>
                <w:rFonts w:hint="default"/>
              </w:rPr>
              <w:t>/a</w:t>
            </w:r>
            <w:r>
              <w:rPr>
                <w:rFonts w:hint="eastAsia"/>
                <w:lang w:eastAsia="zh-CN"/>
              </w:rPr>
              <w:t>，</w:t>
            </w:r>
            <w:r>
              <w:rPr>
                <w:rFonts w:hint="default"/>
              </w:rPr>
              <w:t>排入生活营地临时防渗收集池暂存，定期由密闭式吸污罐车抽出后运至</w:t>
            </w:r>
            <w:r>
              <w:rPr>
                <w:rFonts w:hint="eastAsia"/>
                <w:lang w:val="en-US" w:eastAsia="zh-CN"/>
              </w:rPr>
              <w:t>吉木萨尔</w:t>
            </w:r>
            <w:r>
              <w:rPr>
                <w:rFonts w:hint="default"/>
              </w:rPr>
              <w:t>县污水处理厂处理。生活污水收集池采用HDPE防渗膜防渗，完井后撤除防渗膜对防渗池进行填埋。</w:t>
            </w:r>
          </w:p>
          <w:p>
            <w:pPr>
              <w:pStyle w:val="16"/>
              <w:bidi w:val="0"/>
              <w:rPr>
                <w:rFonts w:hint="default"/>
                <w:color w:val="auto"/>
              </w:rPr>
            </w:pPr>
            <w:r>
              <w:rPr>
                <w:rFonts w:hint="default"/>
                <w:color w:val="auto"/>
              </w:rPr>
              <w:t>本项目生活污水经收集后由钻井技术服务公司拉运至吉木萨尔县污水处理厂。吉木萨尔县污水处理厂工程位于吉木萨尔县城东北15km处（张家庄子村北500m），距本项目约2</w:t>
            </w:r>
            <w:r>
              <w:rPr>
                <w:rFonts w:hint="eastAsia"/>
                <w:color w:val="auto"/>
                <w:lang w:val="en-US" w:eastAsia="zh-CN"/>
              </w:rPr>
              <w:t>0</w:t>
            </w:r>
            <w:r>
              <w:rPr>
                <w:rFonts w:hint="default"/>
                <w:color w:val="auto"/>
              </w:rPr>
              <w:t>km。设计规模为处理污水量3万m</w:t>
            </w:r>
            <w:r>
              <w:rPr>
                <w:rFonts w:hint="default"/>
                <w:color w:val="auto"/>
                <w:vertAlign w:val="superscript"/>
              </w:rPr>
              <w:t>3</w:t>
            </w:r>
            <w:r>
              <w:rPr>
                <w:rFonts w:hint="default"/>
                <w:color w:val="auto"/>
              </w:rPr>
              <w:t>/d处理设施，实际建设规模为处理污水量1万m</w:t>
            </w:r>
            <w:r>
              <w:rPr>
                <w:rFonts w:hint="default"/>
                <w:color w:val="auto"/>
                <w:vertAlign w:val="superscript"/>
              </w:rPr>
              <w:t>3</w:t>
            </w:r>
            <w:r>
              <w:rPr>
                <w:rFonts w:hint="default"/>
                <w:color w:val="auto"/>
              </w:rPr>
              <w:t>/d。污水处理工艺采用“强化脱氮改良A2/O+絮凝沉淀滤布滤池工艺”，污泥处理工艺采用带式压榨脱水一体机浓缩脱水，消毒工艺采用紫外线消毒。工程于2015年6月动工开建，2017年10月初建成，2017年10月16日进入试运行。项目处理能力1万m</w:t>
            </w:r>
            <w:r>
              <w:rPr>
                <w:rFonts w:hint="default"/>
                <w:color w:val="auto"/>
                <w:vertAlign w:val="superscript"/>
              </w:rPr>
              <w:t>3</w:t>
            </w:r>
            <w:r>
              <w:rPr>
                <w:rFonts w:hint="default"/>
                <w:color w:val="auto"/>
              </w:rPr>
              <w:t>/d，目前试运行中实际处理量在0.6~0.7万m</w:t>
            </w:r>
            <w:r>
              <w:rPr>
                <w:rFonts w:hint="default"/>
                <w:color w:val="auto"/>
                <w:vertAlign w:val="superscript"/>
              </w:rPr>
              <w:t>3</w:t>
            </w:r>
            <w:r>
              <w:rPr>
                <w:rFonts w:hint="default"/>
                <w:color w:val="auto"/>
              </w:rPr>
              <w:t>/d。尾水输入北部荒漠地带做生态林用水。吉木萨尔县污水处理厂由新疆绿格洁瑞环境检测技术有限公司进行验收，验收监测期间，尾水排放浓度符合《城镇污水处理厂污染物排放标准》（GB18918-2002）中的一级A标准的要求。</w:t>
            </w:r>
          </w:p>
          <w:p>
            <w:pPr>
              <w:pStyle w:val="16"/>
              <w:bidi w:val="0"/>
              <w:rPr>
                <w:rFonts w:hint="default"/>
              </w:rPr>
            </w:pPr>
            <w:r>
              <w:rPr>
                <w:rFonts w:hint="default"/>
                <w:color w:val="auto"/>
              </w:rPr>
              <w:t>本项目施工期生活污水量</w:t>
            </w:r>
            <w:r>
              <w:rPr>
                <w:rFonts w:hint="eastAsia"/>
                <w:color w:val="auto"/>
                <w:lang w:val="en-US" w:eastAsia="zh-CN"/>
              </w:rPr>
              <w:t>1075.2</w:t>
            </w:r>
            <w:r>
              <w:rPr>
                <w:color w:val="auto"/>
              </w:rPr>
              <w:t>m</w:t>
            </w:r>
            <w:r>
              <w:rPr>
                <w:color w:val="auto"/>
                <w:vertAlign w:val="superscript"/>
              </w:rPr>
              <w:t>3</w:t>
            </w:r>
            <w:r>
              <w:rPr>
                <w:color w:val="auto"/>
              </w:rPr>
              <w:t>/a</w:t>
            </w:r>
            <w:r>
              <w:rPr>
                <w:rFonts w:hint="default"/>
                <w:color w:val="auto"/>
              </w:rPr>
              <w:t>，吉木萨尔县污水处理厂剩余处理能力0.3~0.4万m</w:t>
            </w:r>
            <w:r>
              <w:rPr>
                <w:rFonts w:hint="default"/>
                <w:color w:val="auto"/>
                <w:vertAlign w:val="superscript"/>
              </w:rPr>
              <w:t>3</w:t>
            </w:r>
            <w:r>
              <w:rPr>
                <w:rFonts w:hint="default"/>
                <w:color w:val="auto"/>
              </w:rPr>
              <w:t>/d，可以满足本工程施工期生活污水处理需求。</w:t>
            </w:r>
          </w:p>
          <w:p>
            <w:pPr>
              <w:pStyle w:val="16"/>
              <w:bidi w:val="0"/>
              <w:rPr>
                <w:rFonts w:hint="default"/>
              </w:rPr>
            </w:pPr>
            <w:r>
              <w:rPr>
                <w:rFonts w:hint="default"/>
              </w:rPr>
              <w:t>②试油废水</w:t>
            </w:r>
          </w:p>
          <w:p>
            <w:pPr>
              <w:pStyle w:val="16"/>
              <w:bidi w:val="0"/>
              <w:rPr>
                <w:rFonts w:hint="default"/>
              </w:rPr>
            </w:pPr>
            <w:r>
              <w:rPr>
                <w:rFonts w:hint="default"/>
              </w:rPr>
              <w:t>试油期产生的洗井废水和压裂返排液由专用方罐收集后，拉运至吉祥联合站采出水处理系统进行处理，处理达标后全部回注油藏，不外排。</w:t>
            </w:r>
          </w:p>
          <w:p>
            <w:pPr>
              <w:pStyle w:val="16"/>
              <w:bidi w:val="0"/>
              <w:rPr>
                <w:rFonts w:hint="default"/>
              </w:rPr>
            </w:pPr>
            <w:r>
              <w:rPr>
                <w:rFonts w:hint="default"/>
              </w:rPr>
              <w:t>吉祥联合站采出水处理系统设计处理能力为1800m</w:t>
            </w:r>
            <w:r>
              <w:rPr>
                <w:rFonts w:hint="default"/>
                <w:vertAlign w:val="superscript"/>
              </w:rPr>
              <w:t>3</w:t>
            </w:r>
            <w:r>
              <w:rPr>
                <w:rFonts w:hint="default"/>
              </w:rPr>
              <w:t>/d，采用“重力沉降除油+微涡旋絮凝反应沉降+多介质过滤器、纤维束过滤器双料过滤处理技术”处理工艺。出水水质达到《碎屑岩油藏注水水质指标技术要求及分析方法》（SY/T5329-2022）要求后，进入注水系统回注油层。目前采出水处理系统实际处理能力为1500m</w:t>
            </w:r>
            <w:r>
              <w:rPr>
                <w:rFonts w:hint="default"/>
                <w:vertAlign w:val="superscript"/>
              </w:rPr>
              <w:t>3</w:t>
            </w:r>
            <w:r>
              <w:rPr>
                <w:rFonts w:hint="default"/>
              </w:rPr>
              <w:t>/d，吉祥联合站采出水处理系统余量可满足本项目试油废水处理需求，依托可行。</w:t>
            </w:r>
          </w:p>
          <w:p>
            <w:pPr>
              <w:pStyle w:val="16"/>
              <w:bidi w:val="0"/>
              <w:rPr>
                <w:rFonts w:hint="default"/>
              </w:rPr>
            </w:pPr>
            <w:r>
              <w:rPr>
                <w:rFonts w:hint="default"/>
              </w:rPr>
              <w:t>（2）地下水</w:t>
            </w:r>
            <w:r>
              <w:rPr>
                <w:rFonts w:hint="eastAsia"/>
                <w:lang w:val="en-US" w:eastAsia="zh-CN"/>
              </w:rPr>
              <w:t>环境</w:t>
            </w:r>
            <w:r>
              <w:rPr>
                <w:rFonts w:hint="default"/>
              </w:rPr>
              <w:t>保护措施</w:t>
            </w:r>
          </w:p>
          <w:p>
            <w:pPr>
              <w:pStyle w:val="16"/>
              <w:bidi w:val="0"/>
              <w:rPr>
                <w:rFonts w:hint="default"/>
              </w:rPr>
            </w:pPr>
            <w:r>
              <w:rPr>
                <w:rFonts w:hint="default"/>
              </w:rPr>
              <w:t>本次钻井过程中采用套管与地层隔离开、并在套管与地层之间注入水泥进行固井，水泥浆返至地面，封隔疏松地层和水层。本项目表层套管的深度为800m，有效隔断了井身与地下水之间的联系，可保护地下水环境不受污染。试油目的层与地下水处于不同层系，在施工过程中确保套管下入指定深度，有效避免试油作业对地下水环境的影响。钻井时严格落实套管下入深度合格和固井质量合格，对产生的废水进行严格管理，基本不会对所在区域地下水产生影响。</w:t>
            </w:r>
          </w:p>
          <w:p>
            <w:pPr>
              <w:pStyle w:val="16"/>
              <w:bidi w:val="0"/>
              <w:rPr>
                <w:rFonts w:hint="default"/>
              </w:rPr>
            </w:pPr>
            <w:r>
              <w:rPr>
                <w:rFonts w:hint="default"/>
              </w:rPr>
              <w:t>此外，施工期间井场内的油罐、废水储罐、岩屑储罐、发电机、材料堆场等区域均铺设HDPE防渗膜，其渗透系数≤1×10</w:t>
            </w:r>
            <w:r>
              <w:rPr>
                <w:rFonts w:hint="default"/>
                <w:vertAlign w:val="superscript"/>
              </w:rPr>
              <w:t>-7</w:t>
            </w:r>
            <w:r>
              <w:rPr>
                <w:rFonts w:hint="default"/>
              </w:rPr>
              <w:t>cm/s，施工过程中产生的废水能够得到妥善处理。</w:t>
            </w:r>
          </w:p>
          <w:p>
            <w:pPr>
              <w:pStyle w:val="16"/>
              <w:bidi w:val="0"/>
              <w:rPr>
                <w:rFonts w:hint="default"/>
              </w:rPr>
            </w:pPr>
            <w:r>
              <w:rPr>
                <w:rFonts w:hint="default"/>
              </w:rPr>
              <w:t>综上所述，项目废水在采取上述措施后不会对水环境产生不利影响。</w:t>
            </w:r>
          </w:p>
          <w:p>
            <w:pPr>
              <w:pStyle w:val="10"/>
              <w:spacing w:line="360" w:lineRule="auto"/>
              <w:ind w:left="0" w:firstLine="480" w:firstLineChars="200"/>
              <w:rPr>
                <w:rFonts w:hint="eastAsia"/>
                <w:color w:val="auto"/>
                <w:sz w:val="24"/>
                <w:szCs w:val="24"/>
              </w:rPr>
            </w:pPr>
            <w:r>
              <w:rPr>
                <w:rFonts w:hint="eastAsia"/>
                <w:color w:val="auto"/>
                <w:sz w:val="24"/>
                <w:szCs w:val="24"/>
              </w:rPr>
              <w:t>（</w:t>
            </w:r>
            <w:r>
              <w:rPr>
                <w:rFonts w:hint="eastAsia"/>
                <w:color w:val="auto"/>
                <w:sz w:val="24"/>
                <w:szCs w:val="24"/>
                <w:lang w:val="en-US" w:eastAsia="zh-CN"/>
              </w:rPr>
              <w:t>3</w:t>
            </w:r>
            <w:r>
              <w:rPr>
                <w:rFonts w:hint="eastAsia"/>
                <w:color w:val="auto"/>
                <w:sz w:val="24"/>
                <w:szCs w:val="24"/>
              </w:rPr>
              <w:t>）分区防渗措施</w:t>
            </w:r>
          </w:p>
          <w:p>
            <w:pPr>
              <w:pStyle w:val="16"/>
              <w:bidi w:val="0"/>
              <w:rPr>
                <w:rFonts w:hint="eastAsia"/>
                <w:bCs/>
                <w:color w:val="auto"/>
                <w:sz w:val="24"/>
                <w:lang w:eastAsia="zh-CN"/>
              </w:rPr>
            </w:pPr>
            <w:r>
              <w:rPr>
                <w:rFonts w:hint="eastAsia"/>
                <w:color w:val="auto"/>
                <w:sz w:val="24"/>
              </w:rPr>
              <w:t>根据《环境影响评价技术导则 地下水环境》（</w:t>
            </w:r>
            <w:r>
              <w:rPr>
                <w:color w:val="auto"/>
                <w:sz w:val="24"/>
              </w:rPr>
              <w:t>HJ610-2016</w:t>
            </w:r>
            <w:r>
              <w:rPr>
                <w:rFonts w:hint="eastAsia"/>
                <w:color w:val="auto"/>
                <w:sz w:val="24"/>
              </w:rPr>
              <w:t>）和《石油化工工程防渗技术规范》（</w:t>
            </w:r>
            <w:r>
              <w:rPr>
                <w:color w:val="auto"/>
                <w:sz w:val="24"/>
              </w:rPr>
              <w:t>GB/T 50934-2013</w:t>
            </w:r>
            <w:r>
              <w:rPr>
                <w:rFonts w:hint="eastAsia"/>
                <w:color w:val="auto"/>
                <w:sz w:val="24"/>
              </w:rPr>
              <w:t>）的相关规定，本工程拟对厂区进行分区地下水污染防治，</w:t>
            </w:r>
            <w:r>
              <w:rPr>
                <w:bCs/>
                <w:color w:val="auto"/>
                <w:sz w:val="24"/>
              </w:rPr>
              <w:t>井场储罐、发电机</w:t>
            </w:r>
            <w:r>
              <w:rPr>
                <w:rFonts w:hint="eastAsia"/>
                <w:bCs/>
                <w:color w:val="auto"/>
                <w:sz w:val="24"/>
              </w:rPr>
              <w:t>房</w:t>
            </w:r>
            <w:r>
              <w:rPr>
                <w:bCs/>
                <w:color w:val="auto"/>
                <w:sz w:val="24"/>
              </w:rPr>
              <w:t>、</w:t>
            </w:r>
            <w:r>
              <w:rPr>
                <w:rFonts w:hint="eastAsia"/>
                <w:bCs/>
                <w:color w:val="auto"/>
                <w:sz w:val="24"/>
              </w:rPr>
              <w:t>放喷池、</w:t>
            </w:r>
            <w:r>
              <w:rPr>
                <w:rFonts w:hint="eastAsia"/>
                <w:bCs/>
                <w:color w:val="auto"/>
                <w:sz w:val="24"/>
                <w:highlight w:val="none"/>
              </w:rPr>
              <w:t>生活污水</w:t>
            </w:r>
            <w:r>
              <w:rPr>
                <w:color w:val="auto"/>
                <w:kern w:val="0"/>
                <w:sz w:val="24"/>
                <w:highlight w:val="none"/>
              </w:rPr>
              <w:t>临时储集池</w:t>
            </w:r>
            <w:r>
              <w:rPr>
                <w:rFonts w:hint="eastAsia"/>
                <w:color w:val="auto"/>
                <w:kern w:val="0"/>
                <w:sz w:val="24"/>
                <w:lang w:eastAsia="zh-CN"/>
              </w:rPr>
              <w:t>、</w:t>
            </w:r>
            <w:r>
              <w:rPr>
                <w:rFonts w:hint="eastAsia"/>
                <w:bCs/>
                <w:color w:val="auto"/>
                <w:sz w:val="24"/>
                <w:lang w:val="en-US" w:eastAsia="zh-CN"/>
              </w:rPr>
              <w:t>应急放喷池、危废暂存间</w:t>
            </w:r>
            <w:r>
              <w:rPr>
                <w:rFonts w:hint="eastAsia"/>
                <w:bCs/>
                <w:color w:val="auto"/>
                <w:sz w:val="24"/>
              </w:rPr>
              <w:t>等</w:t>
            </w:r>
            <w:r>
              <w:rPr>
                <w:bCs/>
                <w:color w:val="auto"/>
                <w:sz w:val="24"/>
              </w:rPr>
              <w:t>关键部位均采用</w:t>
            </w:r>
            <w:r>
              <w:rPr>
                <w:rFonts w:hint="default" w:ascii="Times New Roman" w:hAnsi="Times New Roman" w:cs="Times New Roman"/>
                <w:color w:val="auto"/>
                <w:kern w:val="0"/>
                <w:sz w:val="24"/>
                <w:szCs w:val="24"/>
              </w:rPr>
              <w:t>HDPE</w:t>
            </w:r>
            <w:r>
              <w:rPr>
                <w:bCs/>
                <w:color w:val="auto"/>
                <w:sz w:val="24"/>
              </w:rPr>
              <w:t>防渗膜防渗，</w:t>
            </w:r>
            <w:r>
              <w:rPr>
                <w:rFonts w:hint="eastAsia"/>
                <w:bCs/>
                <w:color w:val="auto"/>
                <w:sz w:val="24"/>
              </w:rPr>
              <w:t>防渗效果参照重点防渗区防渗要求，</w:t>
            </w:r>
            <w:r>
              <w:rPr>
                <w:rFonts w:hint="default" w:ascii="Times New Roman" w:hAnsi="Times New Roman" w:cs="Times New Roman"/>
                <w:color w:val="auto"/>
                <w:kern w:val="0"/>
                <w:sz w:val="24"/>
                <w:szCs w:val="24"/>
              </w:rPr>
              <w:t>其渗透系数≤1×10</w:t>
            </w:r>
            <w:r>
              <w:rPr>
                <w:rFonts w:hint="default" w:ascii="Times New Roman" w:hAnsi="Times New Roman" w:cs="Times New Roman"/>
                <w:color w:val="auto"/>
                <w:kern w:val="0"/>
                <w:sz w:val="24"/>
                <w:szCs w:val="24"/>
                <w:vertAlign w:val="superscript"/>
              </w:rPr>
              <w:t>-7</w:t>
            </w:r>
            <w:r>
              <w:rPr>
                <w:rFonts w:hint="default" w:ascii="Times New Roman" w:hAnsi="Times New Roman" w:cs="Times New Roman"/>
                <w:color w:val="auto"/>
                <w:kern w:val="0"/>
                <w:sz w:val="24"/>
                <w:szCs w:val="24"/>
              </w:rPr>
              <w:t>cm/s</w:t>
            </w:r>
            <w:r>
              <w:rPr>
                <w:rFonts w:hint="eastAsia"/>
                <w:bCs/>
                <w:color w:val="auto"/>
                <w:sz w:val="24"/>
              </w:rPr>
              <w:t>。</w:t>
            </w:r>
            <w:r>
              <w:rPr>
                <w:bCs/>
                <w:color w:val="auto"/>
                <w:sz w:val="24"/>
              </w:rPr>
              <w:t>正常情况下不会对周围地下水产生影响。</w:t>
            </w:r>
            <w:r>
              <w:rPr>
                <w:rFonts w:hint="eastAsia"/>
                <w:bCs/>
                <w:color w:val="auto"/>
                <w:sz w:val="24"/>
              </w:rPr>
              <w:t>本项目分区防渗图如下</w:t>
            </w:r>
            <w:r>
              <w:rPr>
                <w:rFonts w:hint="eastAsia"/>
                <w:bCs/>
                <w:color w:val="auto"/>
                <w:sz w:val="24"/>
                <w:lang w:eastAsia="zh-CN"/>
              </w:rPr>
              <w:t>：</w:t>
            </w:r>
          </w:p>
          <w:p>
            <w:pPr>
              <w:pStyle w:val="16"/>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drawing>
                <wp:inline distT="0" distB="0" distL="114300" distR="114300">
                  <wp:extent cx="4064000" cy="3009900"/>
                  <wp:effectExtent l="0" t="0" r="1270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8"/>
                          <a:stretch>
                            <a:fillRect/>
                          </a:stretch>
                        </pic:blipFill>
                        <pic:spPr>
                          <a:xfrm>
                            <a:off x="0" y="0"/>
                            <a:ext cx="4064000" cy="3009900"/>
                          </a:xfrm>
                          <a:prstGeom prst="rect">
                            <a:avLst/>
                          </a:prstGeom>
                          <a:noFill/>
                          <a:ln>
                            <a:noFill/>
                          </a:ln>
                        </pic:spPr>
                      </pic:pic>
                    </a:graphicData>
                  </a:graphic>
                </wp:inline>
              </w:drawing>
            </w:r>
          </w:p>
          <w:p>
            <w:pPr>
              <w:pStyle w:val="16"/>
              <w:bidi w:val="0"/>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图11   分区防渗图</w:t>
            </w:r>
          </w:p>
          <w:p>
            <w:pPr>
              <w:pStyle w:val="4"/>
              <w:bidi w:val="0"/>
              <w:rPr>
                <w:rFonts w:hint="default"/>
              </w:rPr>
            </w:pPr>
            <w:r>
              <w:rPr>
                <w:rFonts w:hint="default"/>
              </w:rPr>
              <w:t>4、噪声污染防治措施</w:t>
            </w:r>
          </w:p>
          <w:p>
            <w:pPr>
              <w:pStyle w:val="16"/>
              <w:bidi w:val="0"/>
              <w:rPr>
                <w:rFonts w:hint="default"/>
              </w:rPr>
            </w:pPr>
            <w:r>
              <w:rPr>
                <w:rFonts w:hint="default"/>
              </w:rPr>
              <w:t>（1）钻井期做好泥浆泵、发电机和柴油机等高噪声设备的基础减振和设置隔声罩减少噪声传播，合理安排施工时间，高噪声施工设备减少夜间使用或禁止使用；避免形成污染影响；在不能对声源采取有效措施情况下，对可能受噪声影响的油田工作人员发放噪声个人防护器材，消除噪声污染影响。</w:t>
            </w:r>
          </w:p>
          <w:p>
            <w:pPr>
              <w:pStyle w:val="16"/>
              <w:bidi w:val="0"/>
              <w:rPr>
                <w:rFonts w:hint="default"/>
              </w:rPr>
            </w:pPr>
            <w:r>
              <w:rPr>
                <w:rFonts w:hint="default"/>
              </w:rPr>
              <w:t>（2）定期维护泥浆泵、钻机、柴油发电机、柴油动力机组、压裂车等高噪声设备；</w:t>
            </w:r>
          </w:p>
          <w:p>
            <w:pPr>
              <w:pStyle w:val="16"/>
              <w:bidi w:val="0"/>
              <w:rPr>
                <w:rFonts w:hint="default"/>
              </w:rPr>
            </w:pPr>
            <w:r>
              <w:rPr>
                <w:rFonts w:hint="default"/>
              </w:rPr>
              <w:t>（3）做好机械设备组织，尽量避免高噪声设备同时操作。</w:t>
            </w:r>
          </w:p>
          <w:p>
            <w:pPr>
              <w:pStyle w:val="16"/>
              <w:bidi w:val="0"/>
              <w:rPr>
                <w:rFonts w:hint="default"/>
              </w:rPr>
            </w:pPr>
            <w:r>
              <w:rPr>
                <w:rFonts w:hint="default"/>
              </w:rPr>
              <w:t>以上措施技术经济条件可行，且优先从噪声源采取合理的技术措施，可实现噪声主动控制，减轻噪声对环境的影响。</w:t>
            </w:r>
          </w:p>
          <w:p>
            <w:pPr>
              <w:pStyle w:val="4"/>
              <w:bidi w:val="0"/>
              <w:rPr>
                <w:rFonts w:hint="default"/>
              </w:rPr>
            </w:pPr>
            <w:r>
              <w:rPr>
                <w:rFonts w:hint="default"/>
                <w:lang w:val="en-US" w:eastAsia="zh-CN"/>
              </w:rPr>
              <w:t xml:space="preserve">5、固废污染防治措施 </w:t>
            </w:r>
          </w:p>
          <w:p>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本项目产生的固体废物主要为生活垃圾、水基钻井岩屑、油基钻井岩屑和废防渗材料。</w:t>
            </w:r>
          </w:p>
          <w:p>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（1）生活垃圾</w:t>
            </w:r>
          </w:p>
          <w:p>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井场和生活营地设置生活垃圾收集箱，集中收集后拉运至</w:t>
            </w:r>
            <w:r>
              <w:rPr>
                <w:rFonts w:hint="eastAsia" w:cs="Times New Roman"/>
                <w:sz w:val="24"/>
                <w:lang w:val="en-US" w:eastAsia="zh-CN"/>
              </w:rPr>
              <w:t>吉木萨尔</w:t>
            </w:r>
            <w:r>
              <w:rPr>
                <w:rFonts w:hint="default" w:ascii="Times New Roman" w:hAnsi="Times New Roman" w:cs="Times New Roman"/>
                <w:sz w:val="24"/>
              </w:rPr>
              <w:t>县生活垃圾填埋场处置。</w:t>
            </w:r>
          </w:p>
          <w:p>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（2）水基钻井岩屑</w:t>
            </w:r>
          </w:p>
          <w:p>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ascii="宋体" w:hAnsi="宋体" w:cs="宋体"/>
                <w:sz w:val="24"/>
              </w:rPr>
            </w:pPr>
            <w:r>
              <w:rPr>
                <w:rFonts w:hint="default" w:ascii="Times New Roman" w:hAnsi="Times New Roman" w:cs="Times New Roman"/>
                <w:sz w:val="24"/>
              </w:rPr>
              <w:t>一开钻井采用水基钻井液，钻井时井筒返排的钻井液及岩屑经不落地设备分离，分离出的液相回用于钻井液配置，分离出的水基钻井液进专用储罐暂存，</w:t>
            </w:r>
            <w:bookmarkStart w:id="8" w:name="_Hlk69139413"/>
            <w:r>
              <w:rPr>
                <w:rFonts w:hint="default" w:ascii="Times New Roman" w:hAnsi="Times New Roman" w:cs="Times New Roman"/>
                <w:sz w:val="24"/>
              </w:rPr>
              <w:t>委托</w:t>
            </w:r>
            <w:r>
              <w:rPr>
                <w:rFonts w:hint="eastAsia" w:cs="Times New Roman"/>
                <w:sz w:val="24"/>
                <w:lang w:eastAsia="zh-CN"/>
              </w:rPr>
              <w:t>有资质的</w:t>
            </w:r>
            <w:r>
              <w:rPr>
                <w:rFonts w:hint="default" w:ascii="Times New Roman" w:hAnsi="Times New Roman" w:cs="Times New Roman"/>
                <w:sz w:val="24"/>
              </w:rPr>
              <w:t>直接拉运</w:t>
            </w:r>
            <w:bookmarkEnd w:id="8"/>
            <w:r>
              <w:rPr>
                <w:rFonts w:hint="default" w:ascii="Times New Roman" w:hAnsi="Times New Roman" w:cs="Times New Roman"/>
                <w:sz w:val="24"/>
              </w:rPr>
              <w:t>处置。水基钻井岩屑处理工艺流程如</w:t>
            </w:r>
            <w:r>
              <w:rPr>
                <w:rFonts w:hint="eastAsia" w:cs="Times New Roman"/>
                <w:sz w:val="24"/>
                <w:lang w:val="en-US" w:eastAsia="zh-CN"/>
              </w:rPr>
              <w:t>下图</w:t>
            </w:r>
            <w:r>
              <w:rPr>
                <w:rFonts w:hint="default" w:ascii="Times New Roman" w:hAnsi="Times New Roman" w:cs="Times New Roman"/>
                <w:sz w:val="24"/>
              </w:rPr>
              <w:t>所示。</w:t>
            </w:r>
          </w:p>
          <w:p>
            <w:pPr>
              <w:bidi w:val="0"/>
              <w:jc w:val="center"/>
              <w:rPr>
                <w:rFonts w:hint="eastAsia" w:eastAsia="宋体"/>
                <w:lang w:eastAsia="zh-CN"/>
              </w:rPr>
            </w:pPr>
            <w:r>
              <w:rPr>
                <w:rFonts w:hint="eastAsia" w:eastAsia="宋体"/>
                <w:lang w:eastAsia="zh-CN"/>
              </w:rPr>
              <w:drawing>
                <wp:inline distT="0" distB="0" distL="114300" distR="114300">
                  <wp:extent cx="4467225" cy="1571625"/>
                  <wp:effectExtent l="0" t="0" r="9525" b="9525"/>
                  <wp:docPr id="28" name="图片 28" descr="岩屑处理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岩屑处理工艺流程图"/>
                          <pic:cNvPicPr>
                            <a:picLocks noChangeAspect="1"/>
                          </pic:cNvPicPr>
                        </pic:nvPicPr>
                        <pic:blipFill>
                          <a:blip r:embed="rId24"/>
                          <a:stretch>
                            <a:fillRect/>
                          </a:stretch>
                        </pic:blipFill>
                        <pic:spPr>
                          <a:xfrm>
                            <a:off x="0" y="0"/>
                            <a:ext cx="4467225" cy="1571625"/>
                          </a:xfrm>
                          <a:prstGeom prst="rect">
                            <a:avLst/>
                          </a:prstGeom>
                        </pic:spPr>
                      </pic:pic>
                    </a:graphicData>
                  </a:graphic>
                </wp:inline>
              </w:drawing>
            </w:r>
          </w:p>
          <w:p>
            <w:pPr>
              <w:pStyle w:val="14"/>
              <w:bidi w:val="0"/>
              <w:rPr>
                <w:rFonts w:hint="eastAsia"/>
              </w:rPr>
            </w:pPr>
            <w:r>
              <w:rPr>
                <w:rFonts w:hint="eastAsia"/>
              </w:rPr>
              <w:t>图</w:t>
            </w:r>
            <w:r>
              <w:rPr>
                <w:rFonts w:hint="eastAsia"/>
                <w:lang w:val="en-US" w:eastAsia="zh-CN"/>
              </w:rPr>
              <w:t xml:space="preserve">12  </w:t>
            </w:r>
            <w:r>
              <w:rPr>
                <w:rFonts w:hint="eastAsia"/>
              </w:rPr>
              <w:t xml:space="preserve"> 水基钻井岩屑处理工艺流程图</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（3）油基钻井岩屑</w:t>
            </w:r>
          </w:p>
          <w:p>
            <w:pPr>
              <w:pStyle w:val="16"/>
              <w:bidi w:val="0"/>
              <w:rPr>
                <w:rFonts w:hint="default" w:ascii="Times New Roman" w:hAnsi="Times New Roman" w:cs="Times New Roman"/>
                <w:sz w:val="24"/>
              </w:rPr>
            </w:pPr>
            <w:r>
              <w:rPr>
                <w:rFonts w:hint="default" w:ascii="Times New Roman" w:hAnsi="Times New Roman" w:cs="Times New Roman"/>
                <w:sz w:val="24"/>
              </w:rPr>
              <w:t>二开钻井采用油基钻井液，钻井时井筒返排的钻井液及岩屑经井口振动筛、清洁器、离心机等设备进行初步分离后，进入不落地系统处理，固体经甩干机进行第一次固液分离，再由离心机对甩干机排出的液体进行第二次固液分离，实现深度分离，分离出的液相回用于钻井液配制，分离出的固相属于HW08类危险废物（废物代码：071-002-08），</w:t>
            </w:r>
            <w:bookmarkStart w:id="9" w:name="_Hlk79489344"/>
            <w:r>
              <w:rPr>
                <w:rFonts w:hint="default" w:ascii="Times New Roman" w:hAnsi="Times New Roman" w:cs="Times New Roman"/>
                <w:sz w:val="24"/>
              </w:rPr>
              <w:t>采用专用的方罐进行收集，罐底底部铺设渗透系数不小于10</w:t>
            </w:r>
            <w:r>
              <w:rPr>
                <w:rFonts w:hint="default" w:ascii="Times New Roman" w:hAnsi="Times New Roman" w:cs="Times New Roman"/>
                <w:sz w:val="24"/>
                <w:vertAlign w:val="superscript"/>
              </w:rPr>
              <w:t>-7</w:t>
            </w:r>
            <w:r>
              <w:rPr>
                <w:rFonts w:hint="default" w:ascii="Times New Roman" w:hAnsi="Times New Roman" w:cs="Times New Roman"/>
                <w:sz w:val="24"/>
              </w:rPr>
              <w:t>cm/s的防渗膜，待方罐盛满后交由</w:t>
            </w:r>
            <w:bookmarkStart w:id="10" w:name="_Hlk69139460"/>
            <w:r>
              <w:rPr>
                <w:rFonts w:hint="default" w:ascii="Times New Roman" w:hAnsi="Times New Roman" w:cs="Times New Roman"/>
                <w:sz w:val="24"/>
              </w:rPr>
              <w:t>具有相关资质的危废处置单位进行接收、转运、处置</w:t>
            </w:r>
            <w:bookmarkEnd w:id="9"/>
            <w:bookmarkEnd w:id="10"/>
            <w:r>
              <w:rPr>
                <w:rFonts w:hint="default" w:ascii="Times New Roman" w:hAnsi="Times New Roman" w:cs="Times New Roman"/>
                <w:sz w:val="24"/>
              </w:rPr>
              <w:t>。工艺流程见</w:t>
            </w:r>
            <w:r>
              <w:rPr>
                <w:rFonts w:hint="eastAsia" w:cs="Times New Roman"/>
                <w:sz w:val="24"/>
                <w:lang w:val="en-US" w:eastAsia="zh-CN"/>
              </w:rPr>
              <w:t>下图</w:t>
            </w:r>
            <w:r>
              <w:rPr>
                <w:rFonts w:hint="default" w:ascii="Times New Roman" w:hAnsi="Times New Roman" w:cs="Times New Roman"/>
                <w:sz w:val="24"/>
              </w:rPr>
              <w:t>。</w:t>
            </w:r>
          </w:p>
          <w:p>
            <w:pPr>
              <w:pStyle w:val="16"/>
              <w:bidi w:val="0"/>
              <w:rPr>
                <w:rFonts w:hint="default" w:ascii="Times New Roman" w:hAnsi="Times New Roman" w:cs="Times New Roman"/>
                <w:sz w:val="24"/>
              </w:rPr>
            </w:pPr>
          </w:p>
          <w:p>
            <w:pPr>
              <w:pStyle w:val="16"/>
              <w:bidi w:val="0"/>
              <w:rPr>
                <w:rFonts w:hint="default" w:ascii="Times New Roman" w:hAnsi="Times New Roman" w:cs="Times New Roman"/>
                <w:sz w:val="24"/>
              </w:rPr>
            </w:pPr>
          </w:p>
          <w:p>
            <w:pPr>
              <w:pStyle w:val="16"/>
              <w:bidi w:val="0"/>
              <w:rPr>
                <w:rFonts w:hint="default" w:ascii="Times New Roman" w:hAnsi="Times New Roman" w:cs="Times New Roman"/>
                <w:sz w:val="24"/>
              </w:rPr>
            </w:pPr>
          </w:p>
          <w:p>
            <w:pPr>
              <w:pStyle w:val="16"/>
              <w:bidi w:val="0"/>
              <w:rPr>
                <w:rFonts w:hint="default" w:ascii="Times New Roman" w:hAnsi="Times New Roman" w:cs="Times New Roman"/>
                <w:sz w:val="24"/>
              </w:rPr>
            </w:pPr>
          </w:p>
          <w:p>
            <w:pPr>
              <w:pStyle w:val="16"/>
              <w:bidi w:val="0"/>
              <w:ind w:left="0" w:leftChars="0" w:firstLine="0" w:firstLineChars="0"/>
              <w:jc w:val="center"/>
              <w:rPr>
                <w:rFonts w:hint="default"/>
              </w:rPr>
            </w:pPr>
            <w:r>
              <w:drawing>
                <wp:inline distT="0" distB="0" distL="114300" distR="114300">
                  <wp:extent cx="4262755" cy="2006600"/>
                  <wp:effectExtent l="0" t="0" r="4445" b="1270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25"/>
                          <a:stretch>
                            <a:fillRect/>
                          </a:stretch>
                        </pic:blipFill>
                        <pic:spPr>
                          <a:xfrm>
                            <a:off x="0" y="0"/>
                            <a:ext cx="4262755" cy="2006600"/>
                          </a:xfrm>
                          <a:prstGeom prst="rect">
                            <a:avLst/>
                          </a:prstGeom>
                          <a:noFill/>
                          <a:ln>
                            <a:noFill/>
                          </a:ln>
                        </pic:spPr>
                      </pic:pic>
                    </a:graphicData>
                  </a:graphic>
                </wp:inline>
              </w:drawing>
            </w:r>
          </w:p>
          <w:p>
            <w:pPr>
              <w:pStyle w:val="14"/>
              <w:bidi w:val="0"/>
              <w:rPr>
                <w:rFonts w:hint="default"/>
              </w:rPr>
            </w:pPr>
            <w:r>
              <w:rPr>
                <w:rFonts w:hint="default"/>
              </w:rPr>
              <w:t>图</w:t>
            </w:r>
            <w:r>
              <w:rPr>
                <w:rFonts w:hint="eastAsia"/>
                <w:lang w:val="en-US" w:eastAsia="zh-CN"/>
              </w:rPr>
              <w:t>13</w:t>
            </w:r>
            <w:r>
              <w:rPr>
                <w:rFonts w:hint="default"/>
              </w:rPr>
              <w:t xml:space="preserve">  油基钻井岩屑不落地处理工艺流程图</w:t>
            </w:r>
          </w:p>
          <w:p>
            <w:pPr>
              <w:pStyle w:val="16"/>
              <w:bidi w:val="0"/>
              <w:rPr>
                <w:rFonts w:hint="default" w:eastAsia="宋体"/>
                <w:lang w:val="en-US" w:eastAsia="zh-CN"/>
              </w:rPr>
            </w:pPr>
            <w:r>
              <w:rPr>
                <w:rFonts w:hint="eastAsia"/>
                <w:lang w:eastAsia="zh-CN"/>
              </w:rPr>
              <w:t>（</w:t>
            </w:r>
            <w:r>
              <w:rPr>
                <w:rFonts w:hint="eastAsia"/>
                <w:lang w:val="en-US" w:eastAsia="zh-CN"/>
              </w:rPr>
              <w:t>4</w:t>
            </w:r>
            <w:r>
              <w:rPr>
                <w:rFonts w:hint="eastAsia"/>
                <w:lang w:eastAsia="zh-CN"/>
              </w:rPr>
              <w:t>）</w:t>
            </w:r>
            <w:r>
              <w:rPr>
                <w:rFonts w:hint="eastAsia"/>
                <w:lang w:val="en-US" w:eastAsia="zh-CN"/>
              </w:rPr>
              <w:t>废弃钻井泥浆</w:t>
            </w:r>
          </w:p>
          <w:p>
            <w:pPr>
              <w:pStyle w:val="16"/>
              <w:bidi w:val="0"/>
              <w:rPr>
                <w:rFonts w:hint="eastAsia"/>
                <w:lang w:eastAsia="zh-CN"/>
              </w:rPr>
            </w:pPr>
            <w:r>
              <w:rPr>
                <w:rFonts w:hint="eastAsia"/>
                <w:lang w:eastAsia="zh-CN"/>
              </w:rPr>
              <w:t>废弃钻井泥浆排放量为</w:t>
            </w:r>
            <w:r>
              <w:rPr>
                <w:rFonts w:hint="eastAsia"/>
                <w:color w:val="auto"/>
                <w:lang w:val="en-US" w:eastAsia="zh-CN"/>
              </w:rPr>
              <w:t>3074.56m</w:t>
            </w:r>
            <w:r>
              <w:rPr>
                <w:rFonts w:hint="eastAsia"/>
                <w:color w:val="auto"/>
                <w:vertAlign w:val="superscript"/>
                <w:lang w:val="en-US" w:eastAsia="zh-CN"/>
              </w:rPr>
              <w:t>3</w:t>
            </w:r>
            <w:r>
              <w:rPr>
                <w:rFonts w:hint="eastAsia"/>
                <w:color w:val="auto"/>
                <w:lang w:val="en-US" w:eastAsia="zh-CN"/>
              </w:rPr>
              <w:t>（其中：水基泥浆1113.44m</w:t>
            </w:r>
            <w:r>
              <w:rPr>
                <w:rFonts w:hint="eastAsia"/>
                <w:color w:val="auto"/>
                <w:vertAlign w:val="superscript"/>
                <w:lang w:val="en-US" w:eastAsia="zh-CN"/>
              </w:rPr>
              <w:t>3</w:t>
            </w:r>
            <w:r>
              <w:rPr>
                <w:rFonts w:hint="eastAsia"/>
                <w:color w:val="auto"/>
                <w:lang w:val="en-US" w:eastAsia="zh-CN"/>
              </w:rPr>
              <w:t>，油基泥浆1961.12m</w:t>
            </w:r>
            <w:r>
              <w:rPr>
                <w:rFonts w:hint="eastAsia"/>
                <w:color w:val="auto"/>
                <w:vertAlign w:val="superscript"/>
                <w:lang w:val="en-US" w:eastAsia="zh-CN"/>
              </w:rPr>
              <w:t>3</w:t>
            </w:r>
            <w:r>
              <w:rPr>
                <w:rFonts w:hint="eastAsia"/>
                <w:color w:val="auto"/>
                <w:lang w:val="en-US" w:eastAsia="zh-CN"/>
              </w:rPr>
              <w:t>）</w:t>
            </w:r>
            <w:r>
              <w:rPr>
                <w:rFonts w:hint="eastAsia"/>
                <w:color w:val="auto"/>
                <w:lang w:eastAsia="zh-CN"/>
              </w:rPr>
              <w:t>钻井泥浆采用泥浆不落地系统固液分离后，进入泥浆罐循环使用，泥浆循环利用率（重复利用）按95%计算，因此，废弃钻井泥浆排放量为</w:t>
            </w:r>
            <w:r>
              <w:rPr>
                <w:rFonts w:hint="eastAsia"/>
                <w:color w:val="auto"/>
                <w:lang w:val="en-US" w:eastAsia="zh-CN"/>
              </w:rPr>
              <w:t>153.73</w:t>
            </w:r>
            <w:r>
              <w:rPr>
                <w:rFonts w:hint="eastAsia"/>
                <w:color w:val="auto"/>
                <w:lang w:eastAsia="zh-CN"/>
              </w:rPr>
              <w:t>m</w:t>
            </w:r>
            <w:r>
              <w:rPr>
                <w:rFonts w:hint="eastAsia"/>
                <w:color w:val="auto"/>
                <w:vertAlign w:val="superscript"/>
                <w:lang w:eastAsia="zh-CN"/>
              </w:rPr>
              <w:t>3</w:t>
            </w:r>
            <w:r>
              <w:rPr>
                <w:rFonts w:hint="eastAsia"/>
                <w:color w:val="auto"/>
                <w:lang w:eastAsia="zh-CN"/>
              </w:rPr>
              <w:t>（其中：水基泥浆</w:t>
            </w:r>
            <w:r>
              <w:rPr>
                <w:rFonts w:hint="eastAsia"/>
                <w:color w:val="auto"/>
                <w:lang w:val="en-US" w:eastAsia="zh-CN"/>
              </w:rPr>
              <w:t>55.67</w:t>
            </w:r>
            <w:r>
              <w:rPr>
                <w:rFonts w:hint="eastAsia"/>
                <w:color w:val="auto"/>
                <w:lang w:eastAsia="zh-CN"/>
              </w:rPr>
              <w:t>m</w:t>
            </w:r>
            <w:r>
              <w:rPr>
                <w:rFonts w:hint="eastAsia"/>
                <w:color w:val="auto"/>
                <w:vertAlign w:val="superscript"/>
                <w:lang w:eastAsia="zh-CN"/>
              </w:rPr>
              <w:t>3</w:t>
            </w:r>
            <w:r>
              <w:rPr>
                <w:rFonts w:hint="eastAsia"/>
                <w:color w:val="auto"/>
                <w:lang w:eastAsia="zh-CN"/>
              </w:rPr>
              <w:t>，油基泥浆</w:t>
            </w:r>
            <w:r>
              <w:rPr>
                <w:rFonts w:hint="eastAsia"/>
                <w:color w:val="auto"/>
                <w:lang w:val="en-US" w:eastAsia="zh-CN"/>
              </w:rPr>
              <w:t>98.06</w:t>
            </w:r>
            <w:r>
              <w:rPr>
                <w:rFonts w:hint="eastAsia"/>
                <w:color w:val="auto"/>
                <w:lang w:eastAsia="zh-CN"/>
              </w:rPr>
              <w:t>m</w:t>
            </w:r>
            <w:r>
              <w:rPr>
                <w:rFonts w:hint="eastAsia"/>
                <w:color w:val="auto"/>
                <w:vertAlign w:val="superscript"/>
                <w:lang w:eastAsia="zh-CN"/>
              </w:rPr>
              <w:t>3</w:t>
            </w:r>
            <w:r>
              <w:rPr>
                <w:rFonts w:hint="eastAsia"/>
                <w:color w:val="auto"/>
                <w:lang w:eastAsia="zh-CN"/>
              </w:rPr>
              <w:t>）。</w:t>
            </w:r>
            <w:r>
              <w:rPr>
                <w:rFonts w:hint="eastAsia"/>
                <w:lang w:eastAsia="zh-CN"/>
              </w:rPr>
              <w:t>根据目前中国石油天然气股份有限公司吐哈油田分公司准东采油管理区钻井工程的要求，钻井过程中，水基和油基泥浆及岩屑产生与处置的责任主体单位为</w:t>
            </w:r>
            <w:r>
              <w:rPr>
                <w:rFonts w:hint="eastAsia"/>
                <w:lang w:val="en-US" w:eastAsia="zh-CN"/>
              </w:rPr>
              <w:t>建设</w:t>
            </w:r>
            <w:r>
              <w:rPr>
                <w:rFonts w:hint="eastAsia"/>
              </w:rPr>
              <w:t>单位</w:t>
            </w:r>
            <w:r>
              <w:rPr>
                <w:rFonts w:hint="eastAsia"/>
                <w:lang w:eastAsia="zh-CN"/>
              </w:rPr>
              <w:t>负责监管。</w:t>
            </w:r>
            <w:r>
              <w:rPr>
                <w:rFonts w:hint="eastAsia"/>
                <w:lang w:val="en-US" w:eastAsia="zh-CN"/>
              </w:rPr>
              <w:t>建设</w:t>
            </w:r>
            <w:r>
              <w:rPr>
                <w:rFonts w:hint="eastAsia"/>
              </w:rPr>
              <w:t>单位</w:t>
            </w:r>
            <w:r>
              <w:rPr>
                <w:rFonts w:hint="eastAsia"/>
                <w:lang w:eastAsia="zh-CN"/>
              </w:rPr>
              <w:t>采用泥浆不落地系统，一开为水基非磺化泥浆，同岩屑一起进入不落地系统进行处理，实现固液分离，分离后的液相由</w:t>
            </w:r>
            <w:r>
              <w:rPr>
                <w:rFonts w:hint="eastAsia"/>
                <w:lang w:val="en-US" w:eastAsia="zh-CN"/>
              </w:rPr>
              <w:t>建设</w:t>
            </w:r>
            <w:r>
              <w:rPr>
                <w:rFonts w:hint="eastAsia"/>
              </w:rPr>
              <w:t>单位</w:t>
            </w:r>
            <w:r>
              <w:rPr>
                <w:rFonts w:hint="eastAsia"/>
                <w:lang w:eastAsia="zh-CN"/>
              </w:rPr>
              <w:t>回收用于后续钻井循环使用，不外排；固相为一般工业固废，检测达到《油气田钻井固体废物综合利用污染控制要求》（DB65/T 3997-2017）相关标准限值后用于铺路、铺垫井场综合利用，不满足综合利用要求的委托有资质的岩屑处理单位进行处置。二开为油基泥浆，同岩屑一起进入泥浆不落地系统固液分离后，液相循环使用，固相按照危险废物进行管理（危废编号为HW08，废物代码为071-002-08），委托有危废处置资质的单位进行妥善处理。</w:t>
            </w:r>
          </w:p>
          <w:p>
            <w:pPr>
              <w:pStyle w:val="16"/>
              <w:bidi w:val="0"/>
              <w:rPr>
                <w:rFonts w:hint="default"/>
              </w:rPr>
            </w:pPr>
            <w:r>
              <w:rPr>
                <w:rFonts w:hint="default"/>
              </w:rPr>
              <w:t>（</w:t>
            </w:r>
            <w:r>
              <w:rPr>
                <w:rFonts w:hint="eastAsia"/>
                <w:lang w:val="en-US" w:eastAsia="zh-CN"/>
              </w:rPr>
              <w:t>5</w:t>
            </w:r>
            <w:r>
              <w:rPr>
                <w:rFonts w:hint="default"/>
              </w:rPr>
              <w:t>）废防渗材料</w:t>
            </w:r>
          </w:p>
          <w:p>
            <w:pPr>
              <w:pStyle w:val="16"/>
              <w:bidi w:val="0"/>
              <w:rPr>
                <w:rFonts w:hint="default"/>
              </w:rPr>
            </w:pPr>
            <w:r>
              <w:rPr>
                <w:rFonts w:hint="default"/>
              </w:rPr>
              <w:t>施工结束后清理场地时产生的未破损且未沾油防渗材料由</w:t>
            </w:r>
            <w:r>
              <w:rPr>
                <w:rFonts w:hint="eastAsia"/>
                <w:lang w:val="en-US" w:eastAsia="zh-CN"/>
              </w:rPr>
              <w:t>建设</w:t>
            </w:r>
            <w:r>
              <w:rPr>
                <w:rFonts w:hint="default"/>
              </w:rPr>
              <w:t>单位集中回收利用，沾油的废防渗材料委托具有相应危险废物处置资质的单位进行处置。</w:t>
            </w:r>
          </w:p>
          <w:p>
            <w:pPr>
              <w:pStyle w:val="16"/>
              <w:bidi w:val="0"/>
              <w:rPr>
                <w:rFonts w:hint="default"/>
              </w:rPr>
            </w:pPr>
            <w:r>
              <w:rPr>
                <w:rFonts w:hint="default"/>
              </w:rPr>
              <w:t>（6）落地油</w:t>
            </w:r>
          </w:p>
          <w:p>
            <w:pPr>
              <w:pStyle w:val="16"/>
              <w:bidi w:val="0"/>
              <w:rPr>
                <w:rFonts w:hint="eastAsia" w:eastAsia="宋体"/>
                <w:lang w:eastAsia="zh-CN"/>
              </w:rPr>
            </w:pPr>
            <w:r>
              <w:rPr>
                <w:rFonts w:hint="default"/>
              </w:rPr>
              <w:t>本工程钻井期和试油期间事故状态下可能产生少量落地原油和含油污泥，落地油要求100%回收，并且采取了严格的防控措施，产生的少量落地原油及含油污泥用专用罐收集，最终交由有危险废物处置资质的单位处置。</w:t>
            </w:r>
          </w:p>
          <w:p>
            <w:pPr>
              <w:pStyle w:val="16"/>
              <w:bidi w:val="0"/>
              <w:rPr>
                <w:rFonts w:hint="eastAsia" w:eastAsia="宋体"/>
                <w:lang w:eastAsia="zh-CN"/>
              </w:rPr>
            </w:pPr>
            <w:r>
              <w:rPr>
                <w:rFonts w:hint="default"/>
              </w:rPr>
              <w:t>落地原油和含油污泥按照《危险废物环境管理指南 陆上石油天然气开采》（公告[2021]第74号）的划分为废矿物油与含矿物油废物类，其危险废物编号为HW08071-001-08。考虑到转运期间的时间间隔，钻井期间收集的落地油收集后拉运至吉祥联合站污泥暂存池定期委托有危废处置资质的单位处理。</w:t>
            </w:r>
          </w:p>
          <w:p>
            <w:pPr>
              <w:pStyle w:val="16"/>
              <w:bidi w:val="0"/>
              <w:rPr>
                <w:rFonts w:hint="eastAsia" w:eastAsia="宋体"/>
                <w:lang w:eastAsia="zh-CN"/>
              </w:rPr>
            </w:pPr>
            <w:r>
              <w:rPr>
                <w:rFonts w:hint="default"/>
              </w:rPr>
              <w:t>（7）机械设备废油</w:t>
            </w:r>
          </w:p>
          <w:p>
            <w:pPr>
              <w:pStyle w:val="16"/>
              <w:bidi w:val="0"/>
              <w:rPr>
                <w:rFonts w:hint="eastAsia" w:eastAsia="宋体"/>
                <w:lang w:eastAsia="zh-CN"/>
              </w:rPr>
            </w:pPr>
            <w:r>
              <w:rPr>
                <w:rFonts w:hint="default"/>
              </w:rPr>
              <w:t>钻井期间使用的机械设备运行过程中需进行维护、保养、维修等工作，以使其能正常运转，此过程中将产生少量的废油，如废液压油、废润滑油、废机油等。类比调查一个钻井期机械设备产生的废油产生量不足0.5t，本工程</w:t>
            </w:r>
            <w:r>
              <w:rPr>
                <w:rFonts w:hint="eastAsia"/>
                <w:lang w:val="en-US" w:eastAsia="zh-CN"/>
              </w:rPr>
              <w:t>8</w:t>
            </w:r>
            <w:r>
              <w:rPr>
                <w:rFonts w:hint="default"/>
              </w:rPr>
              <w:t>口评价井产生量约</w:t>
            </w:r>
            <w:r>
              <w:rPr>
                <w:rFonts w:hint="eastAsia"/>
                <w:lang w:val="en-US" w:eastAsia="zh-CN"/>
              </w:rPr>
              <w:t>4</w:t>
            </w:r>
            <w:r>
              <w:rPr>
                <w:rFonts w:hint="default"/>
              </w:rPr>
              <w:t>t，钻井期间产生的废油由</w:t>
            </w:r>
            <w:r>
              <w:rPr>
                <w:rFonts w:hint="eastAsia"/>
                <w:lang w:val="en-US" w:eastAsia="zh-CN"/>
              </w:rPr>
              <w:t>建设</w:t>
            </w:r>
            <w:r>
              <w:rPr>
                <w:rFonts w:hint="eastAsia"/>
              </w:rPr>
              <w:t>单位</w:t>
            </w:r>
            <w:r>
              <w:rPr>
                <w:rFonts w:hint="default"/>
              </w:rPr>
              <w:t>委托有危险废物处理资质单位进行处置。</w:t>
            </w:r>
          </w:p>
          <w:p>
            <w:pPr>
              <w:pStyle w:val="16"/>
              <w:bidi w:val="0"/>
              <w:rPr>
                <w:rFonts w:hint="default"/>
              </w:rPr>
            </w:pPr>
            <w:r>
              <w:rPr>
                <w:rFonts w:hint="default"/>
              </w:rPr>
              <w:t>根据《危险废物环境管理指南 陆上石油天然气开采》，设备检修与维护过程间歇产生的废矿物油可自行利用处置，本工程钻井期产生的废油约</w:t>
            </w:r>
            <w:r>
              <w:rPr>
                <w:rFonts w:hint="eastAsia"/>
                <w:lang w:val="en-US" w:eastAsia="zh-CN"/>
              </w:rPr>
              <w:t>4</w:t>
            </w:r>
            <w:r>
              <w:rPr>
                <w:rFonts w:hint="default"/>
              </w:rPr>
              <w:t>t，由</w:t>
            </w:r>
            <w:r>
              <w:rPr>
                <w:rFonts w:hint="eastAsia"/>
                <w:lang w:val="en-US" w:eastAsia="zh-CN"/>
              </w:rPr>
              <w:t>建设</w:t>
            </w:r>
            <w:r>
              <w:rPr>
                <w:rFonts w:hint="eastAsia"/>
              </w:rPr>
              <w:t>单位</w:t>
            </w:r>
            <w:r>
              <w:rPr>
                <w:rFonts w:hint="default"/>
              </w:rPr>
              <w:t>委托有危险废物处理资质单位进行处置。</w:t>
            </w:r>
          </w:p>
          <w:p>
            <w:pPr>
              <w:pStyle w:val="16"/>
              <w:bidi w:val="0"/>
              <w:rPr>
                <w:rFonts w:hint="default"/>
                <w:color w:val="auto"/>
              </w:rPr>
            </w:pPr>
            <w:r>
              <w:rPr>
                <w:rFonts w:hint="default"/>
              </w:rPr>
              <w:t>（</w:t>
            </w:r>
            <w:r>
              <w:rPr>
                <w:rFonts w:hint="eastAsia"/>
                <w:lang w:val="en-US" w:eastAsia="zh-CN"/>
              </w:rPr>
              <w:t>8</w:t>
            </w:r>
            <w:r>
              <w:rPr>
                <w:rFonts w:hint="default"/>
              </w:rPr>
              <w:t>）危险废</w:t>
            </w:r>
            <w:r>
              <w:rPr>
                <w:rFonts w:hint="default"/>
                <w:color w:val="auto"/>
              </w:rPr>
              <w:t>物环境管理要求</w:t>
            </w:r>
          </w:p>
          <w:p>
            <w:pPr>
              <w:pStyle w:val="16"/>
              <w:bidi w:val="0"/>
              <w:rPr>
                <w:rFonts w:hint="default"/>
                <w:color w:val="auto"/>
              </w:rPr>
            </w:pPr>
            <w:r>
              <w:rPr>
                <w:rFonts w:hint="default"/>
                <w:color w:val="auto"/>
              </w:rPr>
              <w:t>施工期间应按照《危险废物环境管理指南  陆上石油天然气开采》中的危险废物环境管理要求：①落实污染环境防治责任制度。②落实危险废物识别标志制度，按照《环境保护图形标志 固体废物贮存（处置）场》（GB 15562.2）</w:t>
            </w:r>
            <w:r>
              <w:rPr>
                <w:rFonts w:hint="eastAsia"/>
                <w:color w:val="auto"/>
                <w:lang w:eastAsia="zh-CN"/>
              </w:rPr>
              <w:t>（</w:t>
            </w:r>
            <w:r>
              <w:rPr>
                <w:rFonts w:hint="eastAsia"/>
                <w:color w:val="auto"/>
                <w:lang w:val="en-US" w:eastAsia="zh-CN"/>
              </w:rPr>
              <w:t>含2023修改单</w:t>
            </w:r>
            <w:r>
              <w:rPr>
                <w:rFonts w:hint="eastAsia"/>
                <w:color w:val="auto"/>
                <w:lang w:eastAsia="zh-CN"/>
              </w:rPr>
              <w:t>）</w:t>
            </w:r>
            <w:r>
              <w:rPr>
                <w:rFonts w:hint="default"/>
                <w:color w:val="auto"/>
              </w:rPr>
              <w:t>等有关规定，对危险废物的容器和收集、贮存、危险废物的场所设置危险废物识别标志。③落实危险废物管理计划制度，按照《危险废物产生单位管理计划制定指南》等有关要求制定危险废物管理计划，并报所在地生态环境主管部门备案。④落实危险废物管理台账及申报制度，建立危险废物管理台账，如实记录有关信息，并通过国家危险废物信息管理系统向所在地生态环境主管部门申报危险废物的种类、产生量、流向、贮存、处置等有关资料。⑤落实危险废物转移联单制度，转移危险废物的，应当按照《危险废物转移管理办法》的有关规定填写、运行危险废物转移联单。</w:t>
            </w:r>
          </w:p>
          <w:p>
            <w:pPr>
              <w:pStyle w:val="16"/>
              <w:bidi w:val="0"/>
              <w:rPr>
                <w:rFonts w:hint="default"/>
                <w:color w:val="auto"/>
              </w:rPr>
            </w:pPr>
            <w:r>
              <w:rPr>
                <w:rFonts w:hint="default"/>
                <w:color w:val="auto"/>
              </w:rPr>
              <w:t>按照《危险废物收集 贮存 运输技术规范》（HJ 2025-2012）中有关规定，本项目产生的危险废物拉运应满足以下要求：</w:t>
            </w:r>
          </w:p>
          <w:p>
            <w:pPr>
              <w:pStyle w:val="16"/>
              <w:bidi w:val="0"/>
              <w:rPr>
                <w:rFonts w:hint="eastAsia" w:eastAsia="宋体"/>
                <w:color w:val="auto"/>
                <w:lang w:eastAsia="zh-CN"/>
              </w:rPr>
            </w:pPr>
            <w:r>
              <w:rPr>
                <w:rFonts w:hint="default"/>
                <w:color w:val="auto"/>
              </w:rPr>
              <w:t>①危险废物运输应由持有危险废物经营许可证的单位按照其许可证的经营范围组织实施，承担危险废物运输的单位应获得交通运输部门颁发的危险货物运输资质。</w:t>
            </w:r>
          </w:p>
          <w:p>
            <w:pPr>
              <w:pStyle w:val="16"/>
              <w:bidi w:val="0"/>
              <w:rPr>
                <w:rFonts w:hint="eastAsia" w:eastAsia="宋体"/>
                <w:color w:val="auto"/>
                <w:lang w:eastAsia="zh-CN"/>
              </w:rPr>
            </w:pPr>
            <w:r>
              <w:rPr>
                <w:rFonts w:hint="default"/>
                <w:color w:val="auto"/>
              </w:rPr>
              <w:t>②废弃危险化学品的运输应执行《危险化学品安全管理条例》有关运输的规定。</w:t>
            </w:r>
          </w:p>
          <w:p>
            <w:pPr>
              <w:pStyle w:val="16"/>
              <w:bidi w:val="0"/>
              <w:rPr>
                <w:rFonts w:hint="eastAsia"/>
                <w:color w:val="auto"/>
                <w:lang w:eastAsia="zh-CN"/>
              </w:rPr>
            </w:pPr>
            <w:r>
              <w:rPr>
                <w:rFonts w:hint="default"/>
                <w:color w:val="auto"/>
              </w:rPr>
              <w:t>③运输单位承运危险废物时，应在危险废物包装上按照</w:t>
            </w:r>
            <w:r>
              <w:rPr>
                <w:rFonts w:hint="eastAsia"/>
                <w:color w:val="auto"/>
              </w:rPr>
              <w:t>《危险废物贮存污染控制标准》（GB18597-20</w:t>
            </w:r>
            <w:r>
              <w:rPr>
                <w:rFonts w:hint="default"/>
                <w:color w:val="auto"/>
              </w:rPr>
              <w:t>23</w:t>
            </w:r>
            <w:r>
              <w:rPr>
                <w:rFonts w:hint="eastAsia"/>
                <w:color w:val="auto"/>
              </w:rPr>
              <w:t>）</w:t>
            </w:r>
            <w:r>
              <w:rPr>
                <w:rFonts w:hint="default"/>
                <w:color w:val="auto"/>
              </w:rPr>
              <w:t>附录A设置标志。</w:t>
            </w:r>
          </w:p>
          <w:p>
            <w:pPr>
              <w:pStyle w:val="16"/>
              <w:bidi w:val="0"/>
              <w:rPr>
                <w:rFonts w:hint="eastAsia" w:eastAsia="宋体"/>
                <w:color w:val="auto"/>
                <w:lang w:eastAsia="zh-CN"/>
              </w:rPr>
            </w:pPr>
            <w:r>
              <w:rPr>
                <w:rFonts w:hint="default"/>
                <w:color w:val="auto"/>
              </w:rPr>
              <w:t>④危险废物公路运输时，运输车辆应按《道路运输危险货物车辆标志》（GB13392-2005）设置车辆标志。</w:t>
            </w:r>
          </w:p>
          <w:p>
            <w:pPr>
              <w:pStyle w:val="16"/>
              <w:bidi w:val="0"/>
              <w:rPr>
                <w:rFonts w:hint="eastAsia" w:eastAsia="宋体"/>
                <w:color w:val="auto"/>
                <w:lang w:eastAsia="zh-CN"/>
              </w:rPr>
            </w:pPr>
            <w:r>
              <w:rPr>
                <w:rFonts w:hint="default"/>
                <w:color w:val="auto"/>
              </w:rPr>
              <w:t>危险废物运输时的中转、装卸过程应遵守如下技术要求：</w:t>
            </w:r>
          </w:p>
          <w:p>
            <w:pPr>
              <w:pStyle w:val="16"/>
              <w:bidi w:val="0"/>
              <w:rPr>
                <w:rFonts w:hint="eastAsia" w:eastAsia="宋体"/>
                <w:color w:val="auto"/>
                <w:lang w:eastAsia="zh-CN"/>
              </w:rPr>
            </w:pPr>
            <w:r>
              <w:rPr>
                <w:rFonts w:hint="default"/>
                <w:color w:val="auto"/>
              </w:rPr>
              <w:t>①卸载区的工作人员应熟悉废物的危险特性，并配备适当的个人防护装备，装卸剧毒废物应配备特殊的防护装备。</w:t>
            </w:r>
          </w:p>
          <w:p>
            <w:pPr>
              <w:pStyle w:val="16"/>
              <w:bidi w:val="0"/>
              <w:rPr>
                <w:rFonts w:hint="eastAsia" w:eastAsia="宋体"/>
                <w:color w:val="auto"/>
                <w:lang w:eastAsia="zh-CN"/>
              </w:rPr>
            </w:pPr>
            <w:r>
              <w:rPr>
                <w:rFonts w:hint="default"/>
                <w:color w:val="auto"/>
              </w:rPr>
              <w:t>②卸载区应配备必要的消防设备和设施，并设置明显的指示标志。</w:t>
            </w:r>
          </w:p>
          <w:p>
            <w:pPr>
              <w:pStyle w:val="16"/>
              <w:bidi w:val="0"/>
              <w:rPr>
                <w:rFonts w:hint="eastAsia" w:eastAsia="宋体"/>
                <w:color w:val="auto"/>
                <w:lang w:eastAsia="zh-CN"/>
              </w:rPr>
            </w:pPr>
            <w:r>
              <w:rPr>
                <w:rFonts w:hint="default"/>
                <w:color w:val="auto"/>
              </w:rPr>
              <w:t>③危险废物装卸区应设置隔离设施，液态废物卸载区应设置收集槽和缓冲罐。</w:t>
            </w:r>
          </w:p>
          <w:p>
            <w:pPr>
              <w:pStyle w:val="16"/>
              <w:bidi w:val="0"/>
              <w:rPr>
                <w:rFonts w:hint="eastAsia" w:eastAsia="宋体"/>
                <w:color w:val="auto"/>
                <w:lang w:eastAsia="zh-CN"/>
              </w:rPr>
            </w:pPr>
            <w:r>
              <w:rPr>
                <w:rFonts w:hint="default"/>
                <w:color w:val="auto"/>
              </w:rPr>
              <w:t>本项目产生的危险废物委托具有相应危废转运、处置资质的单位转运及处置。转运过程严格按照相关要求进行操作转运，严禁由不具备相应资质的单位私自转运。</w:t>
            </w:r>
          </w:p>
          <w:p>
            <w:pPr>
              <w:pStyle w:val="16"/>
              <w:bidi w:val="0"/>
              <w:rPr>
                <w:rFonts w:hint="default"/>
                <w:color w:val="auto"/>
              </w:rPr>
            </w:pPr>
            <w:r>
              <w:rPr>
                <w:rFonts w:hint="default"/>
                <w:color w:val="auto"/>
              </w:rPr>
              <w:t>完井后，井场废物全部进行清理、回收处理，做的“工完、料尽、场地清”。</w:t>
            </w:r>
          </w:p>
          <w:p>
            <w:pPr>
              <w:pStyle w:val="16"/>
              <w:bidi w:val="0"/>
              <w:rPr>
                <w:rFonts w:hint="default"/>
                <w:color w:val="auto"/>
              </w:rPr>
            </w:pPr>
            <w:r>
              <w:rPr>
                <w:rFonts w:hint="default"/>
                <w:color w:val="auto"/>
              </w:rPr>
              <w:t>综上所述，本项目产生的固体废物在采取上述措施后，不会对周围环境产生明显影响。</w:t>
            </w:r>
          </w:p>
          <w:p>
            <w:pPr>
              <w:pStyle w:val="4"/>
              <w:bidi w:val="0"/>
              <w:rPr>
                <w:rFonts w:hint="default"/>
              </w:rPr>
            </w:pPr>
            <w:r>
              <w:rPr>
                <w:rFonts w:hint="default"/>
              </w:rPr>
              <w:t>6、土壤污染防治措施</w:t>
            </w:r>
          </w:p>
          <w:p>
            <w:pPr>
              <w:pStyle w:val="16"/>
              <w:bidi w:val="0"/>
              <w:rPr>
                <w:rFonts w:hint="default"/>
              </w:rPr>
            </w:pPr>
            <w:r>
              <w:rPr>
                <w:rFonts w:hint="default"/>
              </w:rPr>
              <w:t>（1）应严格控制施工期临时占地面积，按设计及规划的施工范围进行施工作业，减少土壤扰动。</w:t>
            </w:r>
          </w:p>
          <w:p>
            <w:pPr>
              <w:pStyle w:val="16"/>
              <w:bidi w:val="0"/>
              <w:rPr>
                <w:rFonts w:hint="default"/>
              </w:rPr>
            </w:pPr>
            <w:r>
              <w:rPr>
                <w:rFonts w:hint="default"/>
              </w:rPr>
              <w:t>（2）施工机械及运输车辆应按规定的道路行驶，减少对土壤的碾压，减少碾压造成的土壤紧实度增加及养分流失。</w:t>
            </w:r>
          </w:p>
          <w:p>
            <w:pPr>
              <w:pStyle w:val="16"/>
              <w:bidi w:val="0"/>
              <w:rPr>
                <w:rFonts w:hint="default"/>
              </w:rPr>
            </w:pPr>
            <w:r>
              <w:rPr>
                <w:rFonts w:hint="default"/>
              </w:rPr>
              <w:t>（3）施工产生的建筑垃圾不得随意抛洒，应集中收集并及时清运，防止污染物进入土壤环境造成污染。</w:t>
            </w:r>
          </w:p>
          <w:p>
            <w:pPr>
              <w:pStyle w:val="16"/>
              <w:bidi w:val="0"/>
              <w:rPr>
                <w:rFonts w:hint="default"/>
              </w:rPr>
            </w:pPr>
            <w:r>
              <w:rPr>
                <w:rFonts w:hint="default"/>
              </w:rPr>
              <w:t>综上所述，正常情况下，钻井及试油工程不会污染土壤环境，非正常情况下，采取有效措施后可减轻对土壤环境的影响。在做好源头控制、过程防控等措施的前提下，可避免工程实施对土壤环境产生污染影响。</w:t>
            </w:r>
          </w:p>
          <w:p>
            <w:pPr>
              <w:pStyle w:val="4"/>
              <w:bidi w:val="0"/>
              <w:rPr>
                <w:rFonts w:hint="default"/>
              </w:rPr>
            </w:pPr>
            <w:r>
              <w:rPr>
                <w:rFonts w:hint="default"/>
              </w:rPr>
              <w:t>7、环境风险防范措施</w:t>
            </w:r>
          </w:p>
          <w:p>
            <w:pPr>
              <w:pStyle w:val="16"/>
              <w:bidi w:val="0"/>
              <w:rPr>
                <w:rFonts w:hint="default"/>
              </w:rPr>
            </w:pPr>
            <w:r>
              <w:rPr>
                <w:rFonts w:hint="eastAsia"/>
                <w:lang w:eastAsia="zh-CN"/>
              </w:rPr>
              <w:t>中国石油天然气股份有限公司吐哈油田分公司准东采油管理区</w:t>
            </w:r>
            <w:r>
              <w:rPr>
                <w:rFonts w:hint="default"/>
              </w:rPr>
              <w:t>已编制突发事件应急预案，本项目纳入现有应急预案，无需另行编制应急预案、增加应急物资。本项目突发事故灾难事件主要包括：钻井过程井喷失控、着火、有毒有害气体泄漏；交通运输事故；环境污染事件等。应在预防措施上严格执行各类管理制度。主要措施是安装防喷器和井控装置（简易封井器等），使用清洁无害的水基钻井液，严格控制使用有毒有害钻井液及化学处理剂，同时严格要求套管下入深度、确保固井质量等措施，最大限度地降低井喷、井漏及油水窜层事故的发生。</w:t>
            </w:r>
            <w:r>
              <w:rPr>
                <w:rFonts w:hint="eastAsia"/>
                <w:lang w:eastAsia="zh-CN"/>
              </w:rPr>
              <w:t>中国石油天然气股份有限公司吐哈油田分公司准东采油管理区</w:t>
            </w:r>
            <w:r>
              <w:rPr>
                <w:rFonts w:hint="default"/>
              </w:rPr>
              <w:t>突发环境事件应急预案应按照项目建设情况及有关规定定期开展应急预案修编工作。</w:t>
            </w:r>
          </w:p>
          <w:p>
            <w:pPr>
              <w:pStyle w:val="16"/>
              <w:bidi w:val="0"/>
              <w:rPr>
                <w:rFonts w:hint="default"/>
              </w:rPr>
            </w:pPr>
            <w:r>
              <w:rPr>
                <w:rFonts w:hint="default"/>
              </w:rPr>
              <w:t>本项目应在预防措施上严格执行各类管理制度。主要措施是安装防喷器和井控装置（简易封井器等），使用清洁无害的水基钻井液，严格控制使用有毒有害钻井液及化学处理剂，同时严格要求套管下入深度、确保固井质量等措施，最大限度地降低井喷、井漏及油水窜层事故的发生。</w:t>
            </w:r>
          </w:p>
          <w:p>
            <w:pPr>
              <w:pStyle w:val="16"/>
              <w:bidi w:val="0"/>
              <w:rPr>
                <w:rFonts w:hint="default"/>
              </w:rPr>
            </w:pPr>
            <w:r>
              <w:rPr>
                <w:rFonts w:hint="default"/>
              </w:rPr>
              <w:t>（1）钻井作业事故防范措施</w:t>
            </w:r>
          </w:p>
          <w:p>
            <w:pPr>
              <w:pStyle w:val="16"/>
              <w:bidi w:val="0"/>
              <w:rPr>
                <w:rFonts w:hint="default"/>
              </w:rPr>
            </w:pPr>
            <w:r>
              <w:rPr>
                <w:rFonts w:hint="default"/>
              </w:rPr>
              <w:t>①安装防喷器前认真检查闸板心子尺寸是否与使用钻杆尺寸相符，液控系统功能是否齐全、可靠，液控管线有无刺漏现象。</w:t>
            </w:r>
          </w:p>
          <w:p>
            <w:pPr>
              <w:pStyle w:val="16"/>
              <w:bidi w:val="0"/>
              <w:rPr>
                <w:rFonts w:hint="default"/>
              </w:rPr>
            </w:pPr>
            <w:r>
              <w:rPr>
                <w:rFonts w:hint="default"/>
              </w:rPr>
              <w:t>②防喷器顶部安装防溢管时用螺栓连接，不用的螺孔用丝堵堵住。防溢管与防喷器的连接密封可用金属密封垫环或专用橡胶圈。防溢管处应装挡泥伞，保证防喷器组及四通各闸阀清洁、无钻井液。</w:t>
            </w:r>
          </w:p>
          <w:p>
            <w:pPr>
              <w:pStyle w:val="16"/>
              <w:bidi w:val="0"/>
              <w:rPr>
                <w:rFonts w:hint="default"/>
              </w:rPr>
            </w:pPr>
            <w:r>
              <w:rPr>
                <w:rFonts w:hint="default"/>
              </w:rPr>
              <w:t>③远程控制台安装在面对井架大门左侧、距井口不少于25m的专用活动房内，距放喷管线或压井管线有2m以上距离，周围留有宽度不少于2m的人行通道，周围10m内不得堆放易燃、易爆、腐蚀物品。</w:t>
            </w:r>
          </w:p>
          <w:p>
            <w:pPr>
              <w:pStyle w:val="16"/>
              <w:bidi w:val="0"/>
              <w:rPr>
                <w:rFonts w:hint="default"/>
              </w:rPr>
            </w:pPr>
            <w:r>
              <w:rPr>
                <w:rFonts w:hint="default"/>
              </w:rPr>
              <w:t>④放喷管线接出井口15m以外，一般情况下管线应平直并向井场两侧或后场引出，转弯处应使用角度大于120°的铸（锻）钢弯头或具有缓冲垫的标准两通；若用钻杆，其公扣朝外；管线每隔9～11m、转弯处（前后基墩固定）、出口处用基墩或地锚固定牢靠；放喷管线出口处使用双基墩固定，距出口端不超过1.5m。辅助放喷管线执行主放喷管线标准。</w:t>
            </w:r>
          </w:p>
          <w:p>
            <w:pPr>
              <w:pStyle w:val="16"/>
              <w:bidi w:val="0"/>
              <w:rPr>
                <w:rFonts w:hint="default"/>
              </w:rPr>
            </w:pPr>
            <w:r>
              <w:rPr>
                <w:rFonts w:hint="default"/>
              </w:rPr>
              <w:t>⑤井控设备安装好后，按要求试压。</w:t>
            </w:r>
          </w:p>
          <w:p>
            <w:pPr>
              <w:pStyle w:val="16"/>
              <w:bidi w:val="0"/>
              <w:rPr>
                <w:rFonts w:hint="default"/>
              </w:rPr>
            </w:pPr>
            <w:r>
              <w:rPr>
                <w:rFonts w:hint="default"/>
              </w:rPr>
              <w:t>⑥作业班应按钻进、起下钻杆、起下钻铤和空井发生溢流四种工况，按“逢五逢十”进行防喷演习，防喷演习遵循“以司钻为中心，班自为战，从实战出发”的原则。</w:t>
            </w:r>
          </w:p>
          <w:p>
            <w:pPr>
              <w:pStyle w:val="16"/>
              <w:bidi w:val="0"/>
              <w:rPr>
                <w:rFonts w:hint="default"/>
              </w:rPr>
            </w:pPr>
            <w:r>
              <w:rPr>
                <w:rFonts w:hint="default"/>
              </w:rPr>
              <w:t>⑦钻进作业和空井状态应在2min、提下钻杆应在4min、提下钻铤（加重钻杆）应在5min内控制住井口。</w:t>
            </w:r>
          </w:p>
          <w:p>
            <w:pPr>
              <w:pStyle w:val="16"/>
              <w:bidi w:val="0"/>
              <w:rPr>
                <w:rFonts w:hint="default"/>
              </w:rPr>
            </w:pPr>
            <w:r>
              <w:rPr>
                <w:rFonts w:hint="default"/>
              </w:rPr>
              <w:t>⑧做好防硫、防喷演习讲评和记录。</w:t>
            </w:r>
          </w:p>
          <w:p>
            <w:pPr>
              <w:pStyle w:val="16"/>
              <w:bidi w:val="0"/>
              <w:rPr>
                <w:rFonts w:hint="default"/>
              </w:rPr>
            </w:pPr>
            <w:r>
              <w:rPr>
                <w:rFonts w:hint="default"/>
              </w:rPr>
              <w:t>⑨全井坐岗。非油、气层每小时测量一次钻井液增、减量。进入油层前50m开始每15min测量一次；提下钻杆每3-5柱（＜15min）测量一次；提下钻铤每15min测量一次。</w:t>
            </w:r>
          </w:p>
          <w:p>
            <w:pPr>
              <w:pStyle w:val="16"/>
              <w:bidi w:val="0"/>
              <w:rPr>
                <w:rFonts w:hint="default"/>
              </w:rPr>
            </w:pPr>
            <w:r>
              <w:rPr>
                <w:rFonts w:hint="default"/>
              </w:rPr>
              <w:t>⑩在井口安装防喷器和控制装置，杜绝井喷的发生。</w:t>
            </w:r>
          </w:p>
          <w:p>
            <w:pPr>
              <w:pStyle w:val="16"/>
              <w:bidi w:val="0"/>
              <w:rPr>
                <w:rFonts w:hint="default" w:ascii="Times New Roman" w:hAnsi="Times New Roman" w:cs="Times New Roman"/>
              </w:rPr>
            </w:pPr>
            <w:r>
              <w:rPr>
                <w:rFonts w:hint="default" w:ascii="Times New Roman" w:hAnsi="Times New Roman" w:eastAsia="宋体" w:cs="Times New Roman"/>
              </w:rPr>
              <w:t>⑪</w:t>
            </w:r>
            <w:r>
              <w:rPr>
                <w:rFonts w:hint="default" w:ascii="Times New Roman" w:hAnsi="Times New Roman" w:cs="Times New Roman"/>
              </w:rPr>
              <w:t>井控操作实行持证上岗，各岗位的钻井人员有明确的分工，并且应经过井控专业培训。</w:t>
            </w:r>
          </w:p>
          <w:p>
            <w:pPr>
              <w:pStyle w:val="16"/>
              <w:bidi w:val="0"/>
              <w:rPr>
                <w:rFonts w:hint="default" w:ascii="Times New Roman" w:hAnsi="Times New Roman" w:cs="Times New Roman"/>
              </w:rPr>
            </w:pPr>
            <w:r>
              <w:rPr>
                <w:rFonts w:hint="default" w:ascii="Times New Roman" w:hAnsi="Times New Roman" w:cs="Times New Roman"/>
              </w:rPr>
              <w:t>⑫井场设置明显的禁止烟火标志；井场钻井设备及电器设备、照明灯具符合防火防爆的安全要求，井场安装探照灯，以备井喷时钻台照明。</w:t>
            </w:r>
          </w:p>
          <w:p>
            <w:pPr>
              <w:pStyle w:val="16"/>
              <w:bidi w:val="0"/>
              <w:rPr>
                <w:rFonts w:hint="default" w:ascii="Times New Roman" w:hAnsi="Times New Roman" w:cs="Times New Roman"/>
              </w:rPr>
            </w:pPr>
            <w:r>
              <w:rPr>
                <w:rFonts w:hint="default" w:ascii="Times New Roman" w:hAnsi="Times New Roman" w:cs="Times New Roman"/>
              </w:rPr>
              <w:t>⑬在井架、井场路口等处设风向标，发生事故时人员迅速向上风向疏散。</w:t>
            </w:r>
          </w:p>
          <w:p>
            <w:pPr>
              <w:pStyle w:val="16"/>
              <w:bidi w:val="0"/>
              <w:rPr>
                <w:rFonts w:hint="default" w:ascii="Times New Roman" w:hAnsi="Times New Roman" w:cs="Times New Roman"/>
              </w:rPr>
            </w:pPr>
            <w:r>
              <w:rPr>
                <w:rFonts w:hint="default" w:ascii="Times New Roman" w:hAnsi="Times New Roman" w:cs="Times New Roman"/>
              </w:rPr>
              <w:t>⑭按消防规定配备灭火器、消防铁锹和其它消防器材。</w:t>
            </w:r>
          </w:p>
          <w:p>
            <w:pPr>
              <w:pStyle w:val="16"/>
              <w:bidi w:val="0"/>
              <w:rPr>
                <w:rFonts w:hint="default"/>
              </w:rPr>
            </w:pPr>
            <w:r>
              <w:rPr>
                <w:rFonts w:hint="default" w:ascii="Times New Roman" w:hAnsi="Times New Roman" w:cs="Times New Roman"/>
              </w:rPr>
              <w:t>⑮</w:t>
            </w:r>
            <w:r>
              <w:rPr>
                <w:rFonts w:hint="default"/>
              </w:rPr>
              <w:t>事故应急救援预案。</w:t>
            </w:r>
          </w:p>
          <w:p>
            <w:pPr>
              <w:pStyle w:val="16"/>
              <w:bidi w:val="0"/>
              <w:rPr>
                <w:rFonts w:hint="default"/>
              </w:rPr>
            </w:pPr>
            <w:r>
              <w:rPr>
                <w:rFonts w:hint="default"/>
              </w:rPr>
              <w:t>根据项目的生产特点，制定了相应的应急预案，由项目主要负责人按照应急预案中的要求定期组织职工学习并进行演习。</w:t>
            </w:r>
          </w:p>
          <w:p>
            <w:pPr>
              <w:pStyle w:val="16"/>
              <w:bidi w:val="0"/>
              <w:rPr>
                <w:rFonts w:hint="default"/>
              </w:rPr>
            </w:pPr>
            <w:r>
              <w:rPr>
                <w:rFonts w:hint="default"/>
              </w:rPr>
              <w:t>（2）井喷事故防范措施</w:t>
            </w:r>
          </w:p>
          <w:p>
            <w:pPr>
              <w:pStyle w:val="16"/>
              <w:bidi w:val="0"/>
              <w:rPr>
                <w:rFonts w:hint="default"/>
              </w:rPr>
            </w:pPr>
            <w:r>
              <w:rPr>
                <w:rFonts w:hint="default"/>
              </w:rPr>
              <w:t>①钻井工程中确保钻井液密度及其它性能符合设计要求，并按设计要求储备压井液、加重剂、堵漏材料和其它处理剂，对储备加重钻井液定期循环处理，防止沉淀；各岗位必须按分工规定，对井控装置进行维护、保养、检查，保证井控装置及工具灵活好用，始终处于待命状态；落实溢流监测岗位、关井操作岗位和钻井队干部24h值班制度；严格执行钻开油层前的申报、审批制度以及申报、审批程序。</w:t>
            </w:r>
          </w:p>
          <w:p>
            <w:pPr>
              <w:pStyle w:val="16"/>
              <w:bidi w:val="0"/>
              <w:rPr>
                <w:rFonts w:hint="default"/>
              </w:rPr>
            </w:pPr>
            <w:r>
              <w:rPr>
                <w:rFonts w:hint="default"/>
              </w:rPr>
              <w:t>②钻开油层后：落实专人坐岗观察井口和循环池液面变化，发现溢流、井漏及油气显示等异常情况，应立即报告司钻；每次起下钻（活动时间间隔超过5d）对闸板防喷器及手动锁紧装置开关活动一次，定期对井控装置进行试压；起钻杆时每3～5柱向环空灌满泥浆，起钻铤要连续灌浆，作好记录、校核，若灌入泥浆量大于或小于应灌入量，均应停止起钻作业，进行观察。如有溢流，应及时关井。如有井漏，应及时采取相应措施。安排专人观察出口管钻井液返出情况，严禁在空井情况下检修设备；所有车辆应停放在距井口以外，必须进入距井口30m以内的车辆，应安装阻火器，车头朝外停放。</w:t>
            </w:r>
          </w:p>
          <w:p>
            <w:pPr>
              <w:pStyle w:val="16"/>
              <w:bidi w:val="0"/>
              <w:rPr>
                <w:rFonts w:hint="default"/>
              </w:rPr>
            </w:pPr>
            <w:r>
              <w:rPr>
                <w:rFonts w:hint="default"/>
              </w:rPr>
              <w:t>③溢流处理和压井措施：最大允许关井套压不得超过井口装置额定工作压力、套管抗内压强度的80%和薄弱地层破裂压力所允许关井套压三者中的最小值。在允许关井套压内严禁放喷。天然气溢流不允许长时间关井而不作处理。在等候加重材料或在加重过程中，视情况间隔一段时间向井内灌注加重钻井液，同时用节流管汇控制回压，保持井底压力略大于地层压力，排放井口附近含气钻井液。若等候时间长，应及时实施司钻法第一步排除溢流，防止井口压力过高。空井溢流关井后，根据溢流的严重程度，可采用强行下钻分段压井法、置换法、压回法等方法进行处理。</w:t>
            </w:r>
          </w:p>
          <w:p>
            <w:pPr>
              <w:pStyle w:val="16"/>
              <w:bidi w:val="0"/>
              <w:rPr>
                <w:rFonts w:hint="default"/>
              </w:rPr>
            </w:pPr>
            <w:r>
              <w:rPr>
                <w:rFonts w:hint="default"/>
              </w:rPr>
              <w:t>④测井、固井、完井等作业时，要严格执行安全操作规程和井控措施，避免发生井下复杂情况和井喷失控事故。测井队到井后应向井队了解井况，确认后效时间，电测时发生溢流应立即停止电测，尽快起出井内电缆，当不具备起出电缆条件，钻井液涌出转盘面时，可以在井口实施剪断电缆。由钻井队队长决定何时切断电缆并进行关井作业，测井队专用剪切工具应放置在钻台上，测井中随时处于待命状态，测井队队长负责实施剪断电缆工作。</w:t>
            </w:r>
          </w:p>
          <w:p>
            <w:pPr>
              <w:pStyle w:val="16"/>
              <w:bidi w:val="0"/>
              <w:rPr>
                <w:rFonts w:hint="default"/>
              </w:rPr>
            </w:pPr>
            <w:r>
              <w:rPr>
                <w:rFonts w:hint="default"/>
              </w:rPr>
              <w:t>⑤一旦发生井喷突发事件，应立即启动相应的环境突发事件专项应急预案，立即关闭井口切断污染源。同时及时通知可能受影响的人员进行疏散；切断一切可能扩大污染范围的环节，严防污染区域的扩大。采取围、堵等措施限制固体废弃物和溢油扩散范围；将溢油最大限度地回收，对少量确实无法回收的油，采用铲除油泥层等有效方法，以降低残油对生态环境的污染程度；迅速布点监测，在第一时间确定污染物种类和浓度，出具监测数据，测量水体流速，评估污染物转移、扩散速率；对污染状况进行跟踪调查，根据监测数据分析，预测污染迁移强度、速度和影响范围及时调整对策。井喷事故发生后，需要对井喷的油泥等污染物进行收集处理，运送到有危险废物处理资质的单位进行处理。</w:t>
            </w:r>
          </w:p>
          <w:p>
            <w:pPr>
              <w:pStyle w:val="16"/>
              <w:bidi w:val="0"/>
              <w:rPr>
                <w:rFonts w:hint="default"/>
              </w:rPr>
            </w:pPr>
            <w:r>
              <w:rPr>
                <w:rFonts w:hint="default"/>
              </w:rPr>
              <w:t>（</w:t>
            </w:r>
            <w:r>
              <w:rPr>
                <w:rFonts w:hint="eastAsia"/>
                <w:lang w:val="en-US" w:eastAsia="zh-CN"/>
              </w:rPr>
              <w:t>3</w:t>
            </w:r>
            <w:r>
              <w:rPr>
                <w:rFonts w:hint="default"/>
              </w:rPr>
              <w:t>）硫化氢防范措施</w:t>
            </w:r>
          </w:p>
          <w:p>
            <w:pPr>
              <w:pStyle w:val="16"/>
              <w:bidi w:val="0"/>
              <w:rPr>
                <w:rFonts w:hint="default"/>
              </w:rPr>
            </w:pPr>
            <w:r>
              <w:rPr>
                <w:rFonts w:hint="default"/>
              </w:rPr>
              <w:t>应做好硫化氢监测和防范工作。施工井队应配至少3套的便携式硫化氢监测仪，做好硫化氢检测工作，制定防硫化氢应急预案。在井场大门口、钻台、振动筛、坐岗房、防喷器液控房等五处设立风向标（风袋、风飘带、风旗或其它适用的装置），并在不同方向上划定两个紧急集合点，一旦发生紧急情况，作业人员可向上风方向疏散。当监测到硫化氢浓度大于15mg/m</w:t>
            </w:r>
            <w:r>
              <w:rPr>
                <w:rFonts w:hint="default"/>
                <w:vertAlign w:val="superscript"/>
              </w:rPr>
              <w:t>3</w:t>
            </w:r>
            <w:r>
              <w:rPr>
                <w:rFonts w:hint="default"/>
              </w:rPr>
              <w:t>（10ppm）时，立即按照含硫油气井作业规定配置硫化氢监测仪、正压式呼吸器等设施，按照《含硫化氢油气井安全钻井推荐作法》（SY/T5087-20</w:t>
            </w:r>
            <w:r>
              <w:rPr>
                <w:rFonts w:hint="eastAsia"/>
                <w:lang w:val="en-US" w:eastAsia="zh-CN"/>
              </w:rPr>
              <w:t>17</w:t>
            </w:r>
            <w:r>
              <w:rPr>
                <w:rFonts w:hint="default"/>
              </w:rPr>
              <w:t>）标准规定执行。</w:t>
            </w:r>
          </w:p>
          <w:p>
            <w:pPr>
              <w:pStyle w:val="16"/>
              <w:bidi w:val="0"/>
              <w:rPr>
                <w:rFonts w:hint="default"/>
              </w:rPr>
            </w:pPr>
            <w:r>
              <w:rPr>
                <w:rFonts w:hint="default"/>
              </w:rPr>
              <w:t>（</w:t>
            </w:r>
            <w:r>
              <w:rPr>
                <w:rFonts w:hint="eastAsia"/>
                <w:lang w:val="en-US" w:eastAsia="zh-CN"/>
              </w:rPr>
              <w:t>4</w:t>
            </w:r>
            <w:r>
              <w:rPr>
                <w:rFonts w:hint="default"/>
              </w:rPr>
              <w:t>）钻井套管破损、泄漏事故风险防范措施</w:t>
            </w:r>
          </w:p>
          <w:p>
            <w:pPr>
              <w:pStyle w:val="16"/>
              <w:bidi w:val="0"/>
              <w:rPr>
                <w:rFonts w:hint="default"/>
              </w:rPr>
            </w:pPr>
            <w:r>
              <w:rPr>
                <w:rFonts w:hint="default"/>
              </w:rPr>
              <w:t>①钻井、固井、完井等作业严格执行各项安全操作规程，确保施工质量，防漏、防窜。</w:t>
            </w:r>
          </w:p>
          <w:p>
            <w:pPr>
              <w:pStyle w:val="16"/>
              <w:bidi w:val="0"/>
              <w:rPr>
                <w:rFonts w:hint="default"/>
              </w:rPr>
            </w:pPr>
            <w:r>
              <w:rPr>
                <w:rFonts w:hint="default"/>
              </w:rPr>
              <w:t>②压裂、酸化及调堵等施工作业前应将高低压管汇连接牢固，施工时应该严格控制不能超过设备额定压力；操作人员要密切注意设备运行状况，发现管件破裂刺漏等问题及时处理；作业现场应配备消防设备，以备应急救援。</w:t>
            </w:r>
          </w:p>
          <w:p>
            <w:pPr>
              <w:pStyle w:val="16"/>
              <w:bidi w:val="0"/>
              <w:rPr>
                <w:rFonts w:hint="default"/>
              </w:rPr>
            </w:pPr>
            <w:r>
              <w:rPr>
                <w:rFonts w:hint="default"/>
              </w:rPr>
              <w:t>③气井压裂、酸化解堵及冲砂等作业应按照设计要求均匀加砂，严禁中途停泵；冲砂管柱下放速度不宜过快，排量不能太小；更换油管速度要快并要防止井中落物。</w:t>
            </w:r>
          </w:p>
          <w:p>
            <w:pPr>
              <w:pStyle w:val="16"/>
              <w:bidi w:val="0"/>
              <w:rPr>
                <w:rFonts w:hint="default"/>
              </w:rPr>
            </w:pPr>
            <w:r>
              <w:rPr>
                <w:rFonts w:hint="default"/>
              </w:rPr>
              <w:t>④防腐蚀，做好地层水、天然气二氧化碳等的防腐工作。</w:t>
            </w:r>
          </w:p>
          <w:p>
            <w:pPr>
              <w:pStyle w:val="16"/>
              <w:bidi w:val="0"/>
              <w:rPr>
                <w:rFonts w:hint="default"/>
              </w:rPr>
            </w:pPr>
            <w:r>
              <w:rPr>
                <w:rFonts w:hint="default"/>
              </w:rPr>
              <w:t>⑤工程施工、监理单位需具备相应资质，加强对施工现场的安全组织管理和监督。</w:t>
            </w:r>
          </w:p>
          <w:p>
            <w:pPr>
              <w:pStyle w:val="16"/>
              <w:bidi w:val="0"/>
              <w:rPr>
                <w:rFonts w:hint="default"/>
              </w:rPr>
            </w:pPr>
            <w:r>
              <w:rPr>
                <w:rFonts w:hint="default"/>
              </w:rPr>
              <w:t>⑥建立、健全各项安全管理制度以及配套的工艺、设备安全操作规程，并严格执行。</w:t>
            </w:r>
          </w:p>
          <w:p>
            <w:pPr>
              <w:pStyle w:val="16"/>
              <w:bidi w:val="0"/>
              <w:rPr>
                <w:rFonts w:hint="default"/>
              </w:rPr>
            </w:pPr>
            <w:r>
              <w:rPr>
                <w:rFonts w:hint="default"/>
              </w:rPr>
              <w:t>（</w:t>
            </w:r>
            <w:r>
              <w:rPr>
                <w:rFonts w:hint="eastAsia"/>
                <w:lang w:val="en-US" w:eastAsia="zh-CN"/>
              </w:rPr>
              <w:t>5</w:t>
            </w:r>
            <w:r>
              <w:rPr>
                <w:rFonts w:hint="default"/>
              </w:rPr>
              <w:t>）储罐环境风险防范措施</w:t>
            </w:r>
          </w:p>
          <w:p>
            <w:pPr>
              <w:pStyle w:val="16"/>
              <w:bidi w:val="0"/>
              <w:rPr>
                <w:rFonts w:hint="default"/>
              </w:rPr>
            </w:pPr>
            <w:r>
              <w:rPr>
                <w:rFonts w:hint="default"/>
              </w:rPr>
              <w:t>柴油、原油罐区周边设置警示标识，严禁烟火和不相关人员靠近。日常加强油罐的管理及安全检查，防止发生泄漏等安全事故。为尽量避免管线破裂事故的发生，减轻泄漏事故对环境的影响，应该采取以下安全环保措施：</w:t>
            </w:r>
          </w:p>
          <w:p>
            <w:pPr>
              <w:pStyle w:val="16"/>
              <w:bidi w:val="0"/>
              <w:rPr>
                <w:rFonts w:hint="default"/>
              </w:rPr>
            </w:pPr>
            <w:r>
              <w:rPr>
                <w:rFonts w:hint="default"/>
              </w:rPr>
              <w:t>①地上储罐建立围堰，发现问题及时处理。</w:t>
            </w:r>
          </w:p>
          <w:p>
            <w:pPr>
              <w:pStyle w:val="16"/>
              <w:bidi w:val="0"/>
              <w:rPr>
                <w:rFonts w:hint="default"/>
              </w:rPr>
            </w:pPr>
            <w:r>
              <w:rPr>
                <w:rFonts w:hint="default"/>
              </w:rPr>
              <w:t>②加强防腐措施。金属腐蚀的本质在于金属原子在腐蚀介质的作用下，失去电子变成离子而转移到腐蚀介质中，导致金属发生破坏。本项目采用良好的绝缘涂层隔断金属表面与腐蚀介质的接触，阻止电子从金属表面流动腐蚀介质中，使金属免遭腐蚀。</w:t>
            </w:r>
          </w:p>
          <w:p>
            <w:pPr>
              <w:pStyle w:val="16"/>
              <w:bidi w:val="0"/>
              <w:rPr>
                <w:rFonts w:hint="default"/>
              </w:rPr>
            </w:pPr>
            <w:r>
              <w:rPr>
                <w:rFonts w:hint="default"/>
              </w:rPr>
              <w:t>③根据埋地管线所处的不同环境，采用相应的涂层防腐体系。</w:t>
            </w:r>
          </w:p>
          <w:p>
            <w:pPr>
              <w:pStyle w:val="16"/>
              <w:bidi w:val="0"/>
              <w:rPr>
                <w:rFonts w:hint="default"/>
              </w:rPr>
            </w:pPr>
            <w:r>
              <w:rPr>
                <w:rFonts w:hint="default"/>
              </w:rPr>
              <w:t>④建议建立防腐监测系统，随时监测介质的腐蚀状况，了解和掌握区域系统的腐蚀原因，有针对性地制定、调整和优化腐蚀控制措施。根据项目的特点，制定相应的应急预案，由项目主要负责人按照应急预案中的要求定期组织职工学习并进行演习。</w:t>
            </w:r>
          </w:p>
          <w:p>
            <w:pPr>
              <w:pStyle w:val="16"/>
              <w:bidi w:val="0"/>
              <w:rPr>
                <w:rFonts w:hint="default" w:eastAsia="宋体"/>
                <w:lang w:val="en-US" w:eastAsia="zh-CN"/>
              </w:rPr>
            </w:pPr>
            <w:r>
              <w:rPr>
                <w:rFonts w:hint="eastAsia"/>
                <w:lang w:eastAsia="zh-CN"/>
              </w:rPr>
              <w:t>（</w:t>
            </w:r>
            <w:r>
              <w:rPr>
                <w:rFonts w:hint="eastAsia"/>
                <w:lang w:val="en-US" w:eastAsia="zh-CN"/>
              </w:rPr>
              <w:t>6</w:t>
            </w:r>
            <w:r>
              <w:rPr>
                <w:rFonts w:hint="eastAsia"/>
                <w:lang w:eastAsia="zh-CN"/>
              </w:rPr>
              <w:t>）</w:t>
            </w:r>
            <w:r>
              <w:rPr>
                <w:rFonts w:hint="eastAsia"/>
                <w:lang w:val="en-US" w:eastAsia="zh-CN"/>
              </w:rPr>
              <w:t>结论</w:t>
            </w:r>
          </w:p>
          <w:p>
            <w:pPr>
              <w:pStyle w:val="16"/>
              <w:bidi w:val="0"/>
              <w:rPr>
                <w:rFonts w:hint="eastAsia" w:eastAsia="宋体"/>
                <w:lang w:eastAsia="zh-CN"/>
              </w:rPr>
            </w:pPr>
            <w:r>
              <w:rPr>
                <w:rFonts w:hint="default"/>
              </w:rPr>
              <w:t>本项目发生风险事故的概率较小，且制定了较为周全的风险事故防范措施和事故应急预案，当发生风险事故时立即启动事故应急预案，确保事故不扩大，避免对周边环境造成较大危害。在采取严格安全防护和风险防范措施后，环境风险可控</w:t>
            </w:r>
            <w:r>
              <w:rPr>
                <w:rFonts w:hint="eastAsia"/>
                <w:lang w:eastAsia="zh-CN"/>
              </w:rPr>
              <w:t>。</w:t>
            </w:r>
          </w:p>
          <w:p>
            <w:pPr>
              <w:pStyle w:val="4"/>
              <w:bidi w:val="0"/>
              <w:rPr>
                <w:rFonts w:hint="default"/>
              </w:rPr>
            </w:pPr>
            <w:r>
              <w:rPr>
                <w:rFonts w:hint="default"/>
              </w:rPr>
              <w:t>8、环境管理</w:t>
            </w:r>
          </w:p>
          <w:p>
            <w:pPr>
              <w:pStyle w:val="19"/>
              <w:bidi w:val="0"/>
              <w:rPr>
                <w:rFonts w:hint="default"/>
              </w:rPr>
            </w:pPr>
            <w:r>
              <w:rPr>
                <w:rFonts w:hint="default"/>
              </w:rPr>
              <w:t>8.1钻前准备环境管理要求</w:t>
            </w:r>
          </w:p>
          <w:p>
            <w:pPr>
              <w:pStyle w:val="16"/>
              <w:bidi w:val="0"/>
              <w:rPr>
                <w:rFonts w:hint="default"/>
              </w:rPr>
            </w:pPr>
            <w:r>
              <w:rPr>
                <w:rFonts w:hint="default"/>
              </w:rPr>
              <w:t>（1）在修建通往井场道路时，避免堵塞和填充任何自然排水通道，施工作业机具，不得在道路、井场以外的地方行驶和作业，禁止碾压和破坏植被，禁止乱扔废弃物。</w:t>
            </w:r>
          </w:p>
          <w:p>
            <w:pPr>
              <w:pStyle w:val="16"/>
              <w:bidi w:val="0"/>
              <w:rPr>
                <w:rFonts w:hint="default"/>
              </w:rPr>
            </w:pPr>
            <w:r>
              <w:rPr>
                <w:rFonts w:hint="default"/>
              </w:rPr>
              <w:t>（2）井场临时用地面积按设计划定，不得超过规定面积。</w:t>
            </w:r>
          </w:p>
          <w:p>
            <w:pPr>
              <w:pStyle w:val="16"/>
              <w:bidi w:val="0"/>
              <w:rPr>
                <w:rFonts w:hint="default"/>
              </w:rPr>
            </w:pPr>
            <w:r>
              <w:rPr>
                <w:rFonts w:hint="default"/>
              </w:rPr>
              <w:t>（3）安装泥浆泵冷却水循环系统和振动筛的污水循环系统，做好各种油、水管线的试运行工作，防止油、水跑、冒、滴、漏。</w:t>
            </w:r>
          </w:p>
          <w:p>
            <w:pPr>
              <w:pStyle w:val="16"/>
              <w:bidi w:val="0"/>
              <w:rPr>
                <w:rFonts w:hint="default"/>
              </w:rPr>
            </w:pPr>
            <w:r>
              <w:rPr>
                <w:rFonts w:hint="default"/>
              </w:rPr>
              <w:t>（4）井场应有排水沟。钻机底座下、机泵房、循环罐区应有排水沟，排水沟必须硬化防渗、防塌，过车地段沟上要铺钢板桥。</w:t>
            </w:r>
          </w:p>
          <w:p>
            <w:pPr>
              <w:pStyle w:val="19"/>
              <w:bidi w:val="0"/>
              <w:rPr>
                <w:rFonts w:hint="default"/>
              </w:rPr>
            </w:pPr>
            <w:r>
              <w:rPr>
                <w:rFonts w:hint="default"/>
              </w:rPr>
              <w:t>8.2钻井作业期间环境管理要求</w:t>
            </w:r>
          </w:p>
          <w:p>
            <w:pPr>
              <w:pStyle w:val="16"/>
              <w:bidi w:val="0"/>
              <w:rPr>
                <w:rFonts w:hint="default"/>
              </w:rPr>
            </w:pPr>
            <w:r>
              <w:rPr>
                <w:rFonts w:hint="default"/>
              </w:rPr>
              <w:t>（1）采用泥浆不落地工艺的井，岩屑应堆放在岩屑储罐内。</w:t>
            </w:r>
          </w:p>
          <w:p>
            <w:pPr>
              <w:pStyle w:val="16"/>
              <w:bidi w:val="0"/>
              <w:rPr>
                <w:rFonts w:hint="default"/>
              </w:rPr>
            </w:pPr>
            <w:r>
              <w:rPr>
                <w:rFonts w:hint="default"/>
              </w:rPr>
              <w:t>（2）不落地岩屑应有含水率检验台帐（日报）。</w:t>
            </w:r>
          </w:p>
          <w:p>
            <w:pPr>
              <w:pStyle w:val="16"/>
              <w:bidi w:val="0"/>
              <w:rPr>
                <w:rFonts w:hint="default"/>
              </w:rPr>
            </w:pPr>
            <w:r>
              <w:rPr>
                <w:rFonts w:hint="default"/>
              </w:rPr>
              <w:t>（3）现场岩屑分开存放，在同一堆场应有物理分割。</w:t>
            </w:r>
          </w:p>
          <w:p>
            <w:pPr>
              <w:pStyle w:val="16"/>
              <w:bidi w:val="0"/>
              <w:rPr>
                <w:rFonts w:hint="default"/>
              </w:rPr>
            </w:pPr>
            <w:r>
              <w:rPr>
                <w:rFonts w:hint="default"/>
              </w:rPr>
              <w:t>（4）发生井喷后地面处理措施及要求：调查因井喷事故造成的地面污染情况，积极组织清除地面环境污染，恢复地貌。</w:t>
            </w:r>
          </w:p>
          <w:p>
            <w:pPr>
              <w:pStyle w:val="19"/>
              <w:bidi w:val="0"/>
              <w:rPr>
                <w:rFonts w:hint="default"/>
              </w:rPr>
            </w:pPr>
            <w:r>
              <w:rPr>
                <w:rFonts w:hint="default"/>
              </w:rPr>
              <w:t>8.3完井后环境管理要求</w:t>
            </w:r>
          </w:p>
          <w:p>
            <w:pPr>
              <w:pStyle w:val="16"/>
              <w:bidi w:val="0"/>
              <w:rPr>
                <w:rFonts w:hint="default"/>
              </w:rPr>
            </w:pPr>
            <w:r>
              <w:rPr>
                <w:rFonts w:hint="default"/>
              </w:rPr>
              <w:t>（1）妥善存放泥浆材料等化学品，不得失散在井场。废弃包装袋等应及时加以回收。</w:t>
            </w:r>
          </w:p>
          <w:p>
            <w:pPr>
              <w:pStyle w:val="16"/>
              <w:bidi w:val="0"/>
              <w:rPr>
                <w:rFonts w:hint="default"/>
              </w:rPr>
            </w:pPr>
            <w:r>
              <w:rPr>
                <w:rFonts w:hint="default"/>
              </w:rPr>
              <w:t>（2）推平柴油、机油及水罐坡道，井场应平整。</w:t>
            </w:r>
          </w:p>
          <w:p>
            <w:pPr>
              <w:pStyle w:val="16"/>
              <w:bidi w:val="0"/>
              <w:rPr>
                <w:rFonts w:hint="default"/>
              </w:rPr>
            </w:pPr>
            <w:r>
              <w:rPr>
                <w:rFonts w:hint="default"/>
              </w:rPr>
              <w:t>（3）井场、基地不得随处丢弃垃圾，有利用价值的废料应回收，没有利用价值的废料应送至垃圾场填埋。</w:t>
            </w:r>
          </w:p>
          <w:p>
            <w:pPr>
              <w:pStyle w:val="4"/>
              <w:bidi w:val="0"/>
              <w:rPr>
                <w:rFonts w:hint="default"/>
              </w:rPr>
            </w:pPr>
            <w:r>
              <w:rPr>
                <w:rFonts w:hint="default"/>
              </w:rPr>
              <w:t>9、环境监理</w:t>
            </w:r>
          </w:p>
          <w:p>
            <w:pPr>
              <w:pStyle w:val="16"/>
              <w:bidi w:val="0"/>
              <w:rPr>
                <w:rFonts w:hint="default"/>
              </w:rPr>
            </w:pPr>
            <w:r>
              <w:rPr>
                <w:rFonts w:hint="default"/>
              </w:rPr>
              <w:t>本项目应进行施工期监理，对象主要是对作业场所及其附近植被和土壤，对作业场所控制监测可视具体情况、当地生态环境部门要求等情况而定。</w:t>
            </w:r>
          </w:p>
          <w:p>
            <w:pPr>
              <w:pStyle w:val="16"/>
              <w:bidi w:val="0"/>
              <w:rPr>
                <w:rFonts w:hint="default"/>
              </w:rPr>
            </w:pPr>
            <w:r>
              <w:rPr>
                <w:rFonts w:hint="default"/>
              </w:rPr>
              <w:t>施工期环境监理要求如下：</w:t>
            </w:r>
          </w:p>
          <w:p>
            <w:pPr>
              <w:pStyle w:val="16"/>
              <w:bidi w:val="0"/>
              <w:rPr>
                <w:rFonts w:hint="default"/>
              </w:rPr>
            </w:pPr>
            <w:r>
              <w:rPr>
                <w:rFonts w:hint="default"/>
              </w:rPr>
              <w:t>钻井作业环境管理，应有明确的环境管理方针和目标、环境管理机构和职责、环境管理程序、环境警示标志、环境培训等。钻井作业环境管理应达到以下要求：</w:t>
            </w:r>
          </w:p>
          <w:p>
            <w:pPr>
              <w:pStyle w:val="16"/>
              <w:bidi w:val="0"/>
              <w:rPr>
                <w:rFonts w:hint="default"/>
              </w:rPr>
            </w:pPr>
            <w:r>
              <w:rPr>
                <w:rFonts w:hint="default"/>
              </w:rPr>
              <w:t>（1）钻前工程</w:t>
            </w:r>
          </w:p>
          <w:p>
            <w:pPr>
              <w:pStyle w:val="14"/>
              <w:bidi w:val="0"/>
              <w:rPr>
                <w:rFonts w:hint="default"/>
              </w:rPr>
            </w:pPr>
            <w:r>
              <w:rPr>
                <w:rFonts w:hint="default"/>
              </w:rPr>
              <w:t>表</w:t>
            </w:r>
            <w:r>
              <w:rPr>
                <w:rFonts w:hint="eastAsia"/>
                <w:lang w:val="en-US" w:eastAsia="zh-CN"/>
              </w:rPr>
              <w:t xml:space="preserve">5-1   </w:t>
            </w:r>
            <w:r>
              <w:rPr>
                <w:rFonts w:hint="default"/>
              </w:rPr>
              <w:t>钻井工程开工环境监理检查指导表</w:t>
            </w:r>
          </w:p>
          <w:tbl>
            <w:tblPr>
              <w:tblStyle w:val="1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8"/>
              <w:gridCol w:w="7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2" w:type="pct"/>
                  <w:noWrap w:val="0"/>
                  <w:vAlign w:val="center"/>
                </w:tcPr>
                <w:p>
                  <w:pPr>
                    <w:pStyle w:val="17"/>
                    <w:widowControl w:val="0"/>
                    <w:bidi w:val="0"/>
                  </w:pPr>
                  <w:r>
                    <w:rPr>
                      <w:rFonts w:hint="eastAsia"/>
                      <w:lang w:val="en-US" w:eastAsia="zh-CN"/>
                    </w:rPr>
                    <w:t>项目</w:t>
                  </w:r>
                </w:p>
              </w:tc>
              <w:tc>
                <w:tcPr>
                  <w:tcW w:w="4357" w:type="pct"/>
                  <w:noWrap w:val="0"/>
                  <w:vAlign w:val="center"/>
                </w:tcPr>
                <w:p>
                  <w:pPr>
                    <w:pStyle w:val="17"/>
                    <w:widowControl w:val="0"/>
                    <w:bidi w:val="0"/>
                  </w:pPr>
                  <w:r>
                    <w:rPr>
                      <w:rFonts w:hint="eastAsia"/>
                      <w:lang w:val="en-US" w:eastAsia="zh-CN"/>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2" w:type="pct"/>
                  <w:vMerge w:val="restart"/>
                  <w:noWrap w:val="0"/>
                  <w:vAlign w:val="center"/>
                </w:tcPr>
                <w:p>
                  <w:pPr>
                    <w:pStyle w:val="17"/>
                    <w:widowControl w:val="0"/>
                    <w:bidi w:val="0"/>
                  </w:pPr>
                  <w:r>
                    <w:rPr>
                      <w:rFonts w:hint="eastAsia"/>
                      <w:lang w:val="en-US" w:eastAsia="zh-CN"/>
                    </w:rPr>
                    <w:t>资料</w:t>
                  </w:r>
                </w:p>
              </w:tc>
              <w:tc>
                <w:tcPr>
                  <w:tcW w:w="4357" w:type="pct"/>
                  <w:noWrap w:val="0"/>
                  <w:vAlign w:val="center"/>
                </w:tcPr>
                <w:p>
                  <w:pPr>
                    <w:pStyle w:val="17"/>
                    <w:widowControl w:val="0"/>
                    <w:bidi w:val="0"/>
                  </w:pPr>
                  <w:r>
                    <w:rPr>
                      <w:rFonts w:hint="eastAsia"/>
                      <w:lang w:val="en-US" w:eastAsia="zh-CN"/>
                    </w:rPr>
                    <w:t>有上钻前井场周围环境原始地貌影像资料，重点关注周围有无碾压等现象。包括：钻井上钻前对井场四个方向外延、正大门方向（明示井号）影像资料。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2" w:type="pct"/>
                  <w:vMerge w:val="continue"/>
                  <w:noWrap w:val="0"/>
                  <w:vAlign w:val="center"/>
                </w:tcPr>
                <w:p>
                  <w:pPr>
                    <w:pStyle w:val="17"/>
                    <w:widowControl w:val="0"/>
                    <w:bidi w:val="0"/>
                  </w:pPr>
                </w:p>
              </w:tc>
              <w:tc>
                <w:tcPr>
                  <w:tcW w:w="4357" w:type="pct"/>
                  <w:noWrap w:val="0"/>
                  <w:vAlign w:val="center"/>
                </w:tcPr>
                <w:p>
                  <w:pPr>
                    <w:pStyle w:val="17"/>
                    <w:widowControl w:val="0"/>
                    <w:bidi w:val="0"/>
                  </w:pPr>
                  <w:r>
                    <w:rPr>
                      <w:rFonts w:hint="eastAsia"/>
                      <w:lang w:val="en-US" w:eastAsia="zh-CN"/>
                    </w:rPr>
                    <w:t>钻井工程设计中环保措施和设施符合环评报告及批复要求。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642" w:type="pct"/>
                  <w:vMerge w:val="continue"/>
                  <w:noWrap w:val="0"/>
                  <w:vAlign w:val="center"/>
                </w:tcPr>
                <w:p>
                  <w:pPr>
                    <w:pStyle w:val="17"/>
                    <w:widowControl w:val="0"/>
                    <w:bidi w:val="0"/>
                  </w:pPr>
                </w:p>
              </w:tc>
              <w:tc>
                <w:tcPr>
                  <w:tcW w:w="4357" w:type="pct"/>
                  <w:noWrap w:val="0"/>
                  <w:vAlign w:val="center"/>
                </w:tcPr>
                <w:p>
                  <w:pPr>
                    <w:pStyle w:val="17"/>
                    <w:widowControl w:val="0"/>
                    <w:bidi w:val="0"/>
                  </w:pPr>
                  <w:r>
                    <w:rPr>
                      <w:rFonts w:hint="eastAsia"/>
                      <w:lang w:val="en-US" w:eastAsia="zh-CN"/>
                    </w:rPr>
                    <w:t>有针对性的环境突发事件应急预案。有井喷事故应急预案。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2" w:type="pct"/>
                  <w:vMerge w:val="restart"/>
                  <w:noWrap w:val="0"/>
                  <w:vAlign w:val="center"/>
                </w:tcPr>
                <w:p>
                  <w:pPr>
                    <w:pStyle w:val="17"/>
                    <w:widowControl w:val="0"/>
                    <w:bidi w:val="0"/>
                  </w:pPr>
                  <w:r>
                    <w:rPr>
                      <w:rFonts w:hint="eastAsia"/>
                      <w:lang w:val="en-US" w:eastAsia="zh-CN"/>
                    </w:rPr>
                    <w:t>垃圾处理</w:t>
                  </w:r>
                </w:p>
              </w:tc>
              <w:tc>
                <w:tcPr>
                  <w:tcW w:w="4357" w:type="pct"/>
                  <w:noWrap w:val="0"/>
                  <w:vAlign w:val="center"/>
                </w:tcPr>
                <w:p>
                  <w:pPr>
                    <w:pStyle w:val="17"/>
                    <w:widowControl w:val="0"/>
                    <w:bidi w:val="0"/>
                  </w:pPr>
                  <w:r>
                    <w:rPr>
                      <w:rFonts w:hint="eastAsia"/>
                      <w:lang w:val="en-US" w:eastAsia="zh-CN"/>
                    </w:rPr>
                    <w:t>井场应设置工业垃圾存储设施，上加遮盖防止风吹飘散。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2" w:type="pct"/>
                  <w:vMerge w:val="continue"/>
                  <w:noWrap w:val="0"/>
                  <w:vAlign w:val="center"/>
                </w:tcPr>
                <w:p>
                  <w:pPr>
                    <w:pStyle w:val="17"/>
                    <w:widowControl w:val="0"/>
                    <w:bidi w:val="0"/>
                  </w:pPr>
                </w:p>
              </w:tc>
              <w:tc>
                <w:tcPr>
                  <w:tcW w:w="4357" w:type="pct"/>
                  <w:noWrap w:val="0"/>
                  <w:vAlign w:val="center"/>
                </w:tcPr>
                <w:p>
                  <w:pPr>
                    <w:pStyle w:val="17"/>
                    <w:widowControl w:val="0"/>
                    <w:bidi w:val="0"/>
                  </w:pPr>
                  <w:r>
                    <w:rPr>
                      <w:rFonts w:hint="eastAsia"/>
                      <w:lang w:val="en-US" w:eastAsia="zh-CN"/>
                    </w:rPr>
                    <w:t>工业垃圾固定堆放。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2" w:type="pct"/>
                  <w:vMerge w:val="restart"/>
                  <w:noWrap w:val="0"/>
                  <w:vAlign w:val="center"/>
                </w:tcPr>
                <w:p>
                  <w:pPr>
                    <w:pStyle w:val="17"/>
                    <w:widowControl w:val="0"/>
                    <w:bidi w:val="0"/>
                  </w:pPr>
                  <w:r>
                    <w:rPr>
                      <w:rFonts w:hint="eastAsia"/>
                      <w:lang w:val="en-US" w:eastAsia="zh-CN"/>
                    </w:rPr>
                    <w:t>固废管理</w:t>
                  </w:r>
                </w:p>
              </w:tc>
              <w:tc>
                <w:tcPr>
                  <w:tcW w:w="4357" w:type="pct"/>
                  <w:noWrap w:val="0"/>
                  <w:vAlign w:val="center"/>
                </w:tcPr>
                <w:p>
                  <w:pPr>
                    <w:pStyle w:val="17"/>
                    <w:widowControl w:val="0"/>
                    <w:bidi w:val="0"/>
                  </w:pPr>
                  <w:r>
                    <w:rPr>
                      <w:rFonts w:hint="eastAsia"/>
                      <w:lang w:val="en-US" w:eastAsia="zh-CN"/>
                    </w:rPr>
                    <w:t>跑、冒、滴、漏设备区域应采取防渗处理措施，防止污染地面。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642" w:type="pct"/>
                  <w:vMerge w:val="continue"/>
                  <w:noWrap w:val="0"/>
                  <w:vAlign w:val="center"/>
                </w:tcPr>
                <w:p>
                  <w:pPr>
                    <w:pStyle w:val="17"/>
                    <w:widowControl w:val="0"/>
                    <w:bidi w:val="0"/>
                  </w:pPr>
                </w:p>
              </w:tc>
              <w:tc>
                <w:tcPr>
                  <w:tcW w:w="4357" w:type="pct"/>
                  <w:noWrap w:val="0"/>
                  <w:vAlign w:val="center"/>
                </w:tcPr>
                <w:p>
                  <w:pPr>
                    <w:pStyle w:val="17"/>
                    <w:widowControl w:val="0"/>
                    <w:bidi w:val="0"/>
                  </w:pPr>
                  <w:r>
                    <w:rPr>
                      <w:rFonts w:hint="eastAsia"/>
                      <w:lang w:val="en-US" w:eastAsia="zh-CN"/>
                    </w:rPr>
                    <w:t>配套不落地装置到位。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642" w:type="pct"/>
                  <w:vMerge w:val="restart"/>
                  <w:noWrap w:val="0"/>
                  <w:vAlign w:val="center"/>
                </w:tcPr>
                <w:p>
                  <w:pPr>
                    <w:pStyle w:val="17"/>
                    <w:widowControl w:val="0"/>
                    <w:bidi w:val="0"/>
                  </w:pPr>
                  <w:r>
                    <w:rPr>
                      <w:rFonts w:hint="eastAsia"/>
                      <w:lang w:val="en-US" w:eastAsia="zh-CN"/>
                    </w:rPr>
                    <w:t>生态保护</w:t>
                  </w:r>
                </w:p>
              </w:tc>
              <w:tc>
                <w:tcPr>
                  <w:tcW w:w="4357" w:type="pct"/>
                  <w:noWrap w:val="0"/>
                  <w:vAlign w:val="center"/>
                </w:tcPr>
                <w:p>
                  <w:pPr>
                    <w:pStyle w:val="17"/>
                    <w:widowControl w:val="0"/>
                    <w:bidi w:val="0"/>
                  </w:pPr>
                  <w:r>
                    <w:rPr>
                      <w:rFonts w:hint="eastAsia"/>
                      <w:lang w:val="en-US" w:eastAsia="zh-CN"/>
                    </w:rPr>
                    <w:t>钻井材料存储应下垫上盖。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642" w:type="pct"/>
                  <w:vMerge w:val="continue"/>
                  <w:noWrap w:val="0"/>
                  <w:vAlign w:val="center"/>
                </w:tcPr>
                <w:p>
                  <w:pPr>
                    <w:pStyle w:val="17"/>
                    <w:widowControl w:val="0"/>
                    <w:bidi w:val="0"/>
                  </w:pPr>
                </w:p>
              </w:tc>
              <w:tc>
                <w:tcPr>
                  <w:tcW w:w="4357" w:type="pct"/>
                  <w:noWrap w:val="0"/>
                  <w:vAlign w:val="center"/>
                </w:tcPr>
                <w:p>
                  <w:pPr>
                    <w:pStyle w:val="17"/>
                    <w:widowControl w:val="0"/>
                    <w:bidi w:val="0"/>
                  </w:pPr>
                  <w:r>
                    <w:rPr>
                      <w:rFonts w:hint="eastAsia"/>
                      <w:lang w:val="en-US" w:eastAsia="zh-CN"/>
                    </w:rPr>
                    <w:t>井场占地符合环境影响评价报告及批复要求。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642" w:type="pct"/>
                  <w:vMerge w:val="continue"/>
                  <w:noWrap w:val="0"/>
                  <w:vAlign w:val="center"/>
                </w:tcPr>
                <w:p>
                  <w:pPr>
                    <w:pStyle w:val="17"/>
                    <w:widowControl w:val="0"/>
                    <w:bidi w:val="0"/>
                  </w:pPr>
                </w:p>
              </w:tc>
              <w:tc>
                <w:tcPr>
                  <w:tcW w:w="4357" w:type="pct"/>
                  <w:noWrap w:val="0"/>
                  <w:vAlign w:val="center"/>
                </w:tcPr>
                <w:p>
                  <w:pPr>
                    <w:pStyle w:val="17"/>
                    <w:widowControl w:val="0"/>
                    <w:bidi w:val="0"/>
                  </w:pPr>
                  <w:r>
                    <w:rPr>
                      <w:rFonts w:hint="eastAsia"/>
                      <w:lang w:val="en-US" w:eastAsia="zh-CN"/>
                    </w:rPr>
                    <w:t>危险化学品分类摆放、标识（化学品安全技术说明书）清楚。</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）设备器材搬迁</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制定合适的工作计划和车辆加油计划，减少沿线行驶次数和油料泄漏机会，定期检查所有车辆的泄漏情况，被污染的土壤要清除，并进行适当处理，不得向车外乱扔废弃物。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）钻井施工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①封闭式井场管理，制定</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钻井工程防治污染规定</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，所有污染物不能出井场规定的范围；钻井过程中，严格控制用水量，节约用水；要严格实施清污分流，杜绝跑、冒、滴、漏常流水现象的发生。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②钻井材料和油料要集中管理，减少散失或漏失，对被污染的土壤应及时妥善处理，将其清除、回收；为将钻井废弃物减至最低限度，应采用有利于环境的三级废物处理方法：调整钻井工艺或使用合适的钻井液，使钻井过程产生的废弃物最少；将已经降至最低限度的钻井废弃物尽可能地循环再利用；通过合适的方式处理不能再循环利用的钻井废弃物；防止井喷、油料泄漏、污水收集池垮塌，避免发生污染事故；采取有效措施，减轻噪声污染。</w:t>
            </w:r>
          </w:p>
          <w:p>
            <w:pPr>
              <w:keepNext w:val="0"/>
              <w:keepLines w:val="0"/>
              <w:widowControl/>
              <w:suppressLineNumbers w:val="0"/>
              <w:jc w:val="center"/>
              <w:rPr>
                <w:sz w:val="21"/>
                <w:szCs w:val="21"/>
              </w:rPr>
            </w:pPr>
            <w:r>
              <w:rPr>
                <w:rFonts w:hint="eastAsia" w:ascii="宋体" w:hAnsi="宋体" w:eastAsia="宋体" w:cs="宋体"/>
                <w:b/>
                <w:bCs/>
                <w:color w:val="000000"/>
                <w:kern w:val="0"/>
                <w:sz w:val="21"/>
                <w:szCs w:val="21"/>
                <w:lang w:val="en-US" w:eastAsia="zh-CN" w:bidi="ar"/>
              </w:rPr>
              <w:t>表</w:t>
            </w:r>
            <w:r>
              <w:rPr>
                <w:rFonts w:hint="eastAsia" w:ascii="宋体" w:cs="Times New Roman"/>
                <w:b/>
                <w:bCs/>
                <w:color w:val="000000"/>
                <w:kern w:val="0"/>
                <w:sz w:val="21"/>
                <w:szCs w:val="21"/>
                <w:lang w:val="en-US" w:eastAsia="zh-CN" w:bidi="ar"/>
              </w:rPr>
              <w:t>5-2</w:t>
            </w:r>
            <w:r>
              <w:rPr>
                <w:rFonts w:hint="eastAsia" w:cs="Times New Roman"/>
                <w:b/>
                <w:bCs/>
                <w:color w:val="000000"/>
                <w:kern w:val="0"/>
                <w:sz w:val="21"/>
                <w:szCs w:val="21"/>
                <w:lang w:val="en-US" w:eastAsia="zh-CN" w:bidi="ar"/>
              </w:rPr>
              <w:t xml:space="preserve">   </w:t>
            </w:r>
            <w:r>
              <w:rPr>
                <w:rFonts w:hint="eastAsia" w:ascii="宋体" w:hAnsi="宋体" w:eastAsia="宋体" w:cs="宋体"/>
                <w:b/>
                <w:bCs/>
                <w:color w:val="000000"/>
                <w:kern w:val="0"/>
                <w:sz w:val="21"/>
                <w:szCs w:val="21"/>
                <w:lang w:val="en-US" w:eastAsia="zh-CN" w:bidi="ar"/>
              </w:rPr>
              <w:t>钻井作业期间日常环境监理检查指导表</w:t>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7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9" w:type="pct"/>
                  <w:noWrap w:val="0"/>
                  <w:vAlign w:val="center"/>
                </w:tcPr>
                <w:p>
                  <w:pPr>
                    <w:pStyle w:val="17"/>
                    <w:widowControl w:val="0"/>
                    <w:bidi w:val="0"/>
                  </w:pPr>
                  <w:r>
                    <w:rPr>
                      <w:rFonts w:hint="eastAsia"/>
                      <w:lang w:val="en-US" w:eastAsia="zh-CN"/>
                    </w:rPr>
                    <w:t>项目</w:t>
                  </w:r>
                </w:p>
              </w:tc>
              <w:tc>
                <w:tcPr>
                  <w:tcW w:w="4510" w:type="pct"/>
                  <w:noWrap w:val="0"/>
                  <w:vAlign w:val="center"/>
                </w:tcPr>
                <w:p>
                  <w:pPr>
                    <w:pStyle w:val="17"/>
                    <w:widowControl w:val="0"/>
                    <w:bidi w:val="0"/>
                  </w:pPr>
                  <w:r>
                    <w:rPr>
                      <w:rFonts w:hint="eastAsia"/>
                      <w:lang w:val="en-US" w:eastAsia="zh-CN"/>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9" w:type="pct"/>
                  <w:vMerge w:val="restart"/>
                  <w:noWrap w:val="0"/>
                  <w:vAlign w:val="center"/>
                </w:tcPr>
                <w:p>
                  <w:pPr>
                    <w:pStyle w:val="17"/>
                    <w:widowControl w:val="0"/>
                    <w:bidi w:val="0"/>
                  </w:pPr>
                  <w:r>
                    <w:rPr>
                      <w:rFonts w:hint="eastAsia"/>
                      <w:lang w:val="en-US" w:eastAsia="zh-CN"/>
                    </w:rPr>
                    <w:t>固废防治</w:t>
                  </w:r>
                </w:p>
              </w:tc>
              <w:tc>
                <w:tcPr>
                  <w:tcW w:w="4510" w:type="pct"/>
                  <w:noWrap w:val="0"/>
                  <w:vAlign w:val="center"/>
                </w:tcPr>
                <w:p>
                  <w:pPr>
                    <w:pStyle w:val="17"/>
                    <w:widowControl w:val="0"/>
                    <w:bidi w:val="0"/>
                  </w:pPr>
                  <w:r>
                    <w:rPr>
                      <w:rFonts w:hint="eastAsia"/>
                      <w:lang w:val="en-US" w:eastAsia="zh-CN"/>
                    </w:rPr>
                    <w:t>采用泥浆不落地工艺的井，岩屑应堆放在采取防渗措施的场地。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9" w:type="pct"/>
                  <w:vMerge w:val="continue"/>
                  <w:noWrap w:val="0"/>
                  <w:vAlign w:val="center"/>
                </w:tcPr>
                <w:p>
                  <w:pPr>
                    <w:pStyle w:val="17"/>
                    <w:widowControl w:val="0"/>
                    <w:bidi w:val="0"/>
                  </w:pPr>
                </w:p>
              </w:tc>
              <w:tc>
                <w:tcPr>
                  <w:tcW w:w="4510" w:type="pct"/>
                  <w:noWrap w:val="0"/>
                  <w:vAlign w:val="center"/>
                </w:tcPr>
                <w:p>
                  <w:pPr>
                    <w:pStyle w:val="17"/>
                    <w:widowControl w:val="0"/>
                    <w:bidi w:val="0"/>
                  </w:pPr>
                  <w:r>
                    <w:rPr>
                      <w:rFonts w:hint="eastAsia"/>
                      <w:lang w:val="en-US" w:eastAsia="zh-CN"/>
                    </w:rPr>
                    <w:t>不落地岩屑应有检测台帐。岩屑检测指标及频次按照《油气田钻井固体废物综合利用污染控制要求》（</w:t>
                  </w:r>
                  <w:r>
                    <w:rPr>
                      <w:rFonts w:hint="default"/>
                      <w:lang w:val="en-US" w:eastAsia="zh-CN"/>
                    </w:rPr>
                    <w:t>DB65/T3997-2017</w:t>
                  </w:r>
                  <w:r>
                    <w:rPr>
                      <w:rFonts w:hint="eastAsia"/>
                      <w:lang w:val="en-US" w:eastAsia="zh-CN"/>
                    </w:rPr>
                    <w:t>）要求执行。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9" w:type="pct"/>
                  <w:vMerge w:val="continue"/>
                  <w:noWrap w:val="0"/>
                  <w:vAlign w:val="center"/>
                </w:tcPr>
                <w:p>
                  <w:pPr>
                    <w:pStyle w:val="17"/>
                    <w:widowControl w:val="0"/>
                    <w:bidi w:val="0"/>
                  </w:pPr>
                </w:p>
              </w:tc>
              <w:tc>
                <w:tcPr>
                  <w:tcW w:w="4510" w:type="pct"/>
                  <w:noWrap w:val="0"/>
                  <w:vAlign w:val="center"/>
                </w:tcPr>
                <w:p>
                  <w:pPr>
                    <w:pStyle w:val="17"/>
                    <w:widowControl w:val="0"/>
                    <w:bidi w:val="0"/>
                  </w:pPr>
                  <w:r>
                    <w:rPr>
                      <w:rFonts w:hint="eastAsia"/>
                      <w:lang w:val="en-US" w:eastAsia="zh-CN"/>
                    </w:rPr>
                    <w:t>井场工业垃圾分类存储，上加遮盖防止风吹飘散，严禁现场抛洒、焚烧、掩埋。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9" w:type="pct"/>
                  <w:vMerge w:val="continue"/>
                  <w:noWrap w:val="0"/>
                  <w:vAlign w:val="center"/>
                </w:tcPr>
                <w:p>
                  <w:pPr>
                    <w:pStyle w:val="17"/>
                    <w:widowControl w:val="0"/>
                    <w:bidi w:val="0"/>
                  </w:pPr>
                </w:p>
              </w:tc>
              <w:tc>
                <w:tcPr>
                  <w:tcW w:w="4510" w:type="pct"/>
                  <w:noWrap w:val="0"/>
                  <w:vAlign w:val="center"/>
                </w:tcPr>
                <w:p>
                  <w:pPr>
                    <w:pStyle w:val="17"/>
                    <w:widowControl w:val="0"/>
                    <w:bidi w:val="0"/>
                  </w:pPr>
                  <w:r>
                    <w:rPr>
                      <w:rFonts w:hint="eastAsia"/>
                      <w:lang w:val="en-US" w:eastAsia="zh-CN"/>
                    </w:rPr>
                    <w:t>严禁废水、泥浆、废油乱排乱放。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9" w:type="pct"/>
                  <w:vMerge w:val="restart"/>
                  <w:noWrap w:val="0"/>
                  <w:vAlign w:val="center"/>
                </w:tcPr>
                <w:p>
                  <w:pPr>
                    <w:pStyle w:val="17"/>
                    <w:widowControl w:val="0"/>
                    <w:bidi w:val="0"/>
                  </w:pPr>
                  <w:r>
                    <w:rPr>
                      <w:rFonts w:hint="eastAsia"/>
                      <w:lang w:val="en-US" w:eastAsia="zh-CN"/>
                    </w:rPr>
                    <w:t>废气防治</w:t>
                  </w:r>
                </w:p>
              </w:tc>
              <w:tc>
                <w:tcPr>
                  <w:tcW w:w="4510" w:type="pct"/>
                  <w:noWrap w:val="0"/>
                  <w:vAlign w:val="center"/>
                </w:tcPr>
                <w:p>
                  <w:pPr>
                    <w:pStyle w:val="17"/>
                    <w:widowControl w:val="0"/>
                    <w:bidi w:val="0"/>
                    <w:rPr>
                      <w:rFonts w:hint="eastAsia"/>
                      <w:lang w:eastAsia="zh-CN"/>
                    </w:rPr>
                  </w:pPr>
                  <w:r>
                    <w:rPr>
                      <w:rFonts w:hint="eastAsia"/>
                      <w:lang w:val="en-US" w:eastAsia="zh-CN"/>
                    </w:rPr>
                    <w:t>严禁焚烧各类废弃物。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9" w:type="pct"/>
                  <w:vMerge w:val="continue"/>
                  <w:noWrap w:val="0"/>
                  <w:vAlign w:val="center"/>
                </w:tcPr>
                <w:p>
                  <w:pPr>
                    <w:pStyle w:val="17"/>
                    <w:widowControl w:val="0"/>
                    <w:bidi w:val="0"/>
                  </w:pPr>
                </w:p>
              </w:tc>
              <w:tc>
                <w:tcPr>
                  <w:tcW w:w="4510" w:type="pct"/>
                  <w:noWrap w:val="0"/>
                  <w:vAlign w:val="center"/>
                </w:tcPr>
                <w:p>
                  <w:pPr>
                    <w:pStyle w:val="17"/>
                    <w:widowControl w:val="0"/>
                    <w:bidi w:val="0"/>
                    <w:rPr>
                      <w:rFonts w:hint="eastAsia"/>
                      <w:lang w:eastAsia="zh-CN"/>
                    </w:rPr>
                  </w:pPr>
                  <w:r>
                    <w:rPr>
                      <w:rFonts w:hint="eastAsia"/>
                      <w:lang w:val="en-US" w:eastAsia="zh-CN"/>
                    </w:rPr>
                    <w:t>柴油机燃烧充分，合理匹配载荷。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9" w:type="pct"/>
                  <w:noWrap w:val="0"/>
                  <w:vAlign w:val="center"/>
                </w:tcPr>
                <w:p>
                  <w:pPr>
                    <w:pStyle w:val="17"/>
                    <w:widowControl w:val="0"/>
                    <w:bidi w:val="0"/>
                  </w:pPr>
                  <w:r>
                    <w:rPr>
                      <w:rFonts w:hint="eastAsia"/>
                      <w:lang w:val="en-US" w:eastAsia="zh-CN"/>
                    </w:rPr>
                    <w:t>噪声防治</w:t>
                  </w:r>
                </w:p>
              </w:tc>
              <w:tc>
                <w:tcPr>
                  <w:tcW w:w="4510" w:type="pct"/>
                  <w:noWrap w:val="0"/>
                  <w:vAlign w:val="center"/>
                </w:tcPr>
                <w:p>
                  <w:pPr>
                    <w:pStyle w:val="17"/>
                    <w:widowControl w:val="0"/>
                    <w:bidi w:val="0"/>
                    <w:rPr>
                      <w:rFonts w:hint="eastAsia"/>
                      <w:lang w:val="en-US" w:eastAsia="zh-CN"/>
                    </w:rPr>
                  </w:pPr>
                  <w:r>
                    <w:rPr>
                      <w:rFonts w:hint="eastAsia"/>
                      <w:lang w:val="en-US" w:eastAsia="zh-CN"/>
                    </w:rPr>
                    <w:t>受噪声影响的工作人员应佩戴个人防护用品。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9" w:type="pct"/>
                  <w:vMerge w:val="restart"/>
                  <w:noWrap w:val="0"/>
                  <w:vAlign w:val="center"/>
                </w:tcPr>
                <w:p>
                  <w:pPr>
                    <w:pStyle w:val="17"/>
                    <w:widowControl w:val="0"/>
                    <w:bidi w:val="0"/>
                  </w:pPr>
                  <w:r>
                    <w:rPr>
                      <w:rFonts w:hint="eastAsia"/>
                      <w:lang w:val="en-US" w:eastAsia="zh-CN"/>
                    </w:rPr>
                    <w:t>生态保护</w:t>
                  </w:r>
                </w:p>
              </w:tc>
              <w:tc>
                <w:tcPr>
                  <w:tcW w:w="4510" w:type="pct"/>
                  <w:noWrap w:val="0"/>
                  <w:vAlign w:val="center"/>
                </w:tcPr>
                <w:p>
                  <w:pPr>
                    <w:pStyle w:val="17"/>
                    <w:widowControl w:val="0"/>
                    <w:bidi w:val="0"/>
                    <w:rPr>
                      <w:rFonts w:hint="eastAsia"/>
                      <w:lang w:val="en-US" w:eastAsia="zh-CN"/>
                    </w:rPr>
                  </w:pPr>
                  <w:r>
                    <w:rPr>
                      <w:rFonts w:hint="eastAsia"/>
                      <w:lang w:val="en-US" w:eastAsia="zh-CN"/>
                    </w:rPr>
                    <w:t>钻井材料储存应下垫上盖，井场周围及道路严禁洒落化工料。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9" w:type="pct"/>
                  <w:vMerge w:val="continue"/>
                  <w:noWrap w:val="0"/>
                  <w:vAlign w:val="center"/>
                </w:tcPr>
                <w:p>
                  <w:pPr>
                    <w:pStyle w:val="17"/>
                    <w:widowControl w:val="0"/>
                    <w:bidi w:val="0"/>
                  </w:pPr>
                </w:p>
              </w:tc>
              <w:tc>
                <w:tcPr>
                  <w:tcW w:w="4510" w:type="pct"/>
                  <w:noWrap w:val="0"/>
                  <w:vAlign w:val="center"/>
                </w:tcPr>
                <w:p>
                  <w:pPr>
                    <w:pStyle w:val="17"/>
                    <w:widowControl w:val="0"/>
                    <w:bidi w:val="0"/>
                    <w:rPr>
                      <w:rFonts w:hint="eastAsia"/>
                      <w:lang w:val="en-US" w:eastAsia="zh-CN"/>
                    </w:rPr>
                  </w:pPr>
                  <w:r>
                    <w:rPr>
                      <w:rFonts w:hint="eastAsia"/>
                      <w:lang w:val="en-US" w:eastAsia="zh-CN"/>
                    </w:rPr>
                    <w:t>严禁施工车辆随意开道，碾压植被、扰动土壤。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9" w:type="pct"/>
                  <w:vMerge w:val="continue"/>
                  <w:noWrap w:val="0"/>
                  <w:vAlign w:val="center"/>
                </w:tcPr>
                <w:p>
                  <w:pPr>
                    <w:pStyle w:val="17"/>
                    <w:widowControl w:val="0"/>
                    <w:bidi w:val="0"/>
                  </w:pPr>
                </w:p>
              </w:tc>
              <w:tc>
                <w:tcPr>
                  <w:tcW w:w="4510" w:type="pct"/>
                  <w:noWrap w:val="0"/>
                  <w:vAlign w:val="center"/>
                </w:tcPr>
                <w:p>
                  <w:pPr>
                    <w:pStyle w:val="17"/>
                    <w:widowControl w:val="0"/>
                    <w:bidi w:val="0"/>
                    <w:rPr>
                      <w:rFonts w:hint="eastAsia"/>
                      <w:lang w:val="en-US" w:eastAsia="zh-CN"/>
                    </w:rPr>
                  </w:pPr>
                  <w:r>
                    <w:rPr>
                      <w:rFonts w:hint="eastAsia"/>
                      <w:lang w:val="en-US" w:eastAsia="zh-CN"/>
                    </w:rPr>
                    <w:t>危险化学品分类摆放、标识（化学品安全技术说明书）清楚。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9" w:type="pct"/>
                  <w:vMerge w:val="continue"/>
                  <w:noWrap w:val="0"/>
                  <w:vAlign w:val="center"/>
                </w:tcPr>
                <w:p>
                  <w:pPr>
                    <w:pStyle w:val="17"/>
                    <w:widowControl w:val="0"/>
                    <w:bidi w:val="0"/>
                  </w:pPr>
                </w:p>
              </w:tc>
              <w:tc>
                <w:tcPr>
                  <w:tcW w:w="4510" w:type="pct"/>
                  <w:noWrap w:val="0"/>
                  <w:vAlign w:val="center"/>
                </w:tcPr>
                <w:p>
                  <w:pPr>
                    <w:pStyle w:val="17"/>
                    <w:widowControl w:val="0"/>
                    <w:bidi w:val="0"/>
                    <w:rPr>
                      <w:rFonts w:hint="eastAsia"/>
                      <w:lang w:val="en-US" w:eastAsia="zh-CN"/>
                    </w:rPr>
                  </w:pPr>
                  <w:r>
                    <w:rPr>
                      <w:rFonts w:hint="eastAsia"/>
                      <w:lang w:val="en-US" w:eastAsia="zh-CN"/>
                    </w:rPr>
                    <w:t>严禁破坏植被、捕杀野生动物。</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）施工完成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施工完成后，做到井场整洁、无杂物；剩余污水、污泥应妥善处理。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（5）其它规定</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在野外施工现场不得乱扔废弃物，乱倒废油、废液；不允许破坏动物巢穴，追杀、捕猎和有意骚扰野生动物；减少施工对当地野生动、植物的影响。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（6）环境监测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本次施工期监测对象主要是作业场所及其附近植被和土壤，对作业场所监测可视具体情况、当地生态环境保护部门要求等情况而定。施工期环境监测计划见表</w:t>
            </w:r>
            <w:r>
              <w:rPr>
                <w:rFonts w:hint="eastAsia" w:cs="Times New Roman"/>
                <w:color w:val="000000"/>
                <w:kern w:val="0"/>
                <w:sz w:val="24"/>
                <w:szCs w:val="24"/>
                <w:lang w:val="en-US" w:eastAsia="zh-CN" w:bidi="ar"/>
              </w:rPr>
              <w:t>5-3</w:t>
            </w:r>
            <w:r>
              <w:rPr>
                <w:rFonts w:hint="default" w:ascii="Times New Roman" w:hAnsi="Times New Roman" w:eastAsia="宋体" w:cs="Times New Roman"/>
                <w:color w:val="000000"/>
                <w:kern w:val="0"/>
                <w:sz w:val="24"/>
                <w:szCs w:val="24"/>
                <w:lang w:val="en-US" w:eastAsia="zh-CN" w:bidi="ar"/>
              </w:rPr>
              <w:t>。</w:t>
            </w:r>
          </w:p>
          <w:p>
            <w:pPr>
              <w:pStyle w:val="14"/>
              <w:bidi w:val="0"/>
              <w:rPr>
                <w:rFonts w:hint="default"/>
                <w:lang w:val="en-US" w:eastAsia="zh-CN"/>
              </w:rPr>
            </w:pPr>
            <w:r>
              <w:rPr>
                <w:rFonts w:hint="eastAsia"/>
                <w:lang w:val="en-US" w:eastAsia="zh-CN"/>
              </w:rPr>
              <w:t xml:space="preserve">表5-3   </w:t>
            </w:r>
            <w:r>
              <w:rPr>
                <w:rFonts w:hint="default"/>
                <w:lang w:val="en-US" w:eastAsia="zh-CN"/>
              </w:rPr>
              <w:t>施工期环境监测计划</w:t>
            </w:r>
          </w:p>
          <w:tbl>
            <w:tblPr>
              <w:tblStyle w:val="12"/>
              <w:tblW w:w="82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1"/>
              <w:gridCol w:w="1218"/>
              <w:gridCol w:w="2261"/>
              <w:gridCol w:w="1407"/>
              <w:gridCol w:w="1367"/>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3" w:type="dxa"/>
                  <w:noWrap w:val="0"/>
                  <w:vAlign w:val="center"/>
                </w:tcPr>
                <w:p>
                  <w:pPr>
                    <w:pStyle w:val="17"/>
                    <w:widowControl w:val="0"/>
                    <w:bidi w:val="0"/>
                    <w:rPr>
                      <w:color w:val="auto"/>
                    </w:rPr>
                  </w:pPr>
                  <w:r>
                    <w:rPr>
                      <w:rFonts w:hint="eastAsia"/>
                      <w:color w:val="auto"/>
                      <w:lang w:val="en-US" w:eastAsia="zh-CN"/>
                    </w:rPr>
                    <w:t>序号</w:t>
                  </w:r>
                </w:p>
              </w:tc>
              <w:tc>
                <w:tcPr>
                  <w:tcW w:w="1224" w:type="dxa"/>
                  <w:noWrap w:val="0"/>
                  <w:vAlign w:val="center"/>
                </w:tcPr>
                <w:p>
                  <w:pPr>
                    <w:pStyle w:val="17"/>
                    <w:widowControl w:val="0"/>
                    <w:bidi w:val="0"/>
                    <w:rPr>
                      <w:color w:val="auto"/>
                    </w:rPr>
                  </w:pPr>
                  <w:r>
                    <w:rPr>
                      <w:rFonts w:hint="eastAsia"/>
                      <w:color w:val="auto"/>
                      <w:lang w:val="en-US" w:eastAsia="zh-CN"/>
                    </w:rPr>
                    <w:t>环境要素</w:t>
                  </w:r>
                </w:p>
              </w:tc>
              <w:tc>
                <w:tcPr>
                  <w:tcW w:w="2272" w:type="dxa"/>
                  <w:noWrap w:val="0"/>
                  <w:vAlign w:val="center"/>
                </w:tcPr>
                <w:p>
                  <w:pPr>
                    <w:pStyle w:val="17"/>
                    <w:widowControl w:val="0"/>
                    <w:bidi w:val="0"/>
                    <w:rPr>
                      <w:color w:val="auto"/>
                    </w:rPr>
                  </w:pPr>
                  <w:r>
                    <w:rPr>
                      <w:rFonts w:hint="eastAsia"/>
                      <w:color w:val="auto"/>
                      <w:lang w:val="en-US" w:eastAsia="zh-CN"/>
                    </w:rPr>
                    <w:t>监测地点</w:t>
                  </w:r>
                </w:p>
              </w:tc>
              <w:tc>
                <w:tcPr>
                  <w:tcW w:w="1374" w:type="dxa"/>
                  <w:noWrap w:val="0"/>
                  <w:vAlign w:val="center"/>
                </w:tcPr>
                <w:p>
                  <w:pPr>
                    <w:pStyle w:val="17"/>
                    <w:widowControl w:val="0"/>
                    <w:bidi w:val="0"/>
                    <w:rPr>
                      <w:color w:val="auto"/>
                    </w:rPr>
                  </w:pPr>
                  <w:r>
                    <w:rPr>
                      <w:rFonts w:hint="eastAsia"/>
                      <w:color w:val="auto"/>
                      <w:lang w:val="en-US" w:eastAsia="zh-CN"/>
                    </w:rPr>
                    <w:t>监测项目</w:t>
                  </w:r>
                </w:p>
              </w:tc>
              <w:tc>
                <w:tcPr>
                  <w:tcW w:w="1374" w:type="dxa"/>
                  <w:noWrap w:val="0"/>
                  <w:vAlign w:val="center"/>
                </w:tcPr>
                <w:p>
                  <w:pPr>
                    <w:pStyle w:val="17"/>
                    <w:widowControl w:val="0"/>
                    <w:bidi w:val="0"/>
                    <w:rPr>
                      <w:color w:val="auto"/>
                    </w:rPr>
                  </w:pPr>
                  <w:r>
                    <w:rPr>
                      <w:rFonts w:hint="eastAsia"/>
                      <w:color w:val="auto"/>
                      <w:lang w:val="en-US" w:eastAsia="zh-CN"/>
                    </w:rPr>
                    <w:t>监测频次</w:t>
                  </w:r>
                </w:p>
              </w:tc>
              <w:tc>
                <w:tcPr>
                  <w:tcW w:w="1374" w:type="dxa"/>
                  <w:noWrap w:val="0"/>
                  <w:vAlign w:val="center"/>
                </w:tcPr>
                <w:p>
                  <w:pPr>
                    <w:pStyle w:val="17"/>
                    <w:widowControl w:val="0"/>
                    <w:bidi w:val="0"/>
                    <w:rPr>
                      <w:color w:val="auto"/>
                    </w:rPr>
                  </w:pPr>
                  <w:r>
                    <w:rPr>
                      <w:rFonts w:hint="eastAsia"/>
                      <w:color w:val="auto"/>
                      <w:lang w:val="en-US" w:eastAsia="zh-CN"/>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623" w:type="dxa"/>
                  <w:noWrap w:val="0"/>
                  <w:vAlign w:val="center"/>
                </w:tcPr>
                <w:p>
                  <w:pPr>
                    <w:pStyle w:val="17"/>
                    <w:widowControl w:val="0"/>
                    <w:bidi w:val="0"/>
                    <w:rPr>
                      <w:rFonts w:hint="eastAsia"/>
                      <w:color w:val="auto"/>
                      <w:lang w:val="en-US" w:eastAsia="zh-CN"/>
                    </w:rPr>
                  </w:pPr>
                  <w:r>
                    <w:rPr>
                      <w:rFonts w:hint="eastAsia"/>
                      <w:color w:val="auto"/>
                      <w:lang w:val="en-US" w:eastAsia="zh-CN"/>
                    </w:rPr>
                    <w:t>1</w:t>
                  </w:r>
                </w:p>
              </w:tc>
              <w:tc>
                <w:tcPr>
                  <w:tcW w:w="1224" w:type="dxa"/>
                  <w:noWrap w:val="0"/>
                  <w:vAlign w:val="center"/>
                </w:tcPr>
                <w:p>
                  <w:pPr>
                    <w:pStyle w:val="17"/>
                    <w:widowControl w:val="0"/>
                    <w:bidi w:val="0"/>
                    <w:rPr>
                      <w:color w:val="auto"/>
                    </w:rPr>
                  </w:pPr>
                  <w:r>
                    <w:rPr>
                      <w:rFonts w:hint="eastAsia"/>
                      <w:color w:val="auto"/>
                      <w:lang w:val="en-US" w:eastAsia="zh-CN"/>
                    </w:rPr>
                    <w:t>井场土壤</w:t>
                  </w:r>
                </w:p>
              </w:tc>
              <w:tc>
                <w:tcPr>
                  <w:tcW w:w="2272" w:type="dxa"/>
                  <w:noWrap w:val="0"/>
                  <w:vAlign w:val="center"/>
                </w:tcPr>
                <w:p>
                  <w:pPr>
                    <w:pStyle w:val="17"/>
                    <w:widowControl w:val="0"/>
                    <w:bidi w:val="0"/>
                    <w:rPr>
                      <w:color w:val="auto"/>
                    </w:rPr>
                  </w:pPr>
                  <w:r>
                    <w:rPr>
                      <w:rFonts w:hint="eastAsia"/>
                      <w:color w:val="auto"/>
                      <w:lang w:val="en-US" w:eastAsia="zh-CN"/>
                    </w:rPr>
                    <w:t>井场及井场周围</w:t>
                  </w:r>
                  <w:r>
                    <w:rPr>
                      <w:rFonts w:hint="default"/>
                      <w:color w:val="auto"/>
                      <w:lang w:val="en-US" w:eastAsia="zh-CN"/>
                    </w:rPr>
                    <w:t>10m</w:t>
                  </w:r>
                  <w:r>
                    <w:rPr>
                      <w:rFonts w:hint="eastAsia"/>
                      <w:color w:val="auto"/>
                      <w:lang w:val="en-US" w:eastAsia="zh-CN"/>
                    </w:rPr>
                    <w:t>、</w:t>
                  </w:r>
                  <w:r>
                    <w:rPr>
                      <w:rFonts w:hint="default"/>
                      <w:color w:val="auto"/>
                      <w:lang w:val="en-US" w:eastAsia="zh-CN"/>
                    </w:rPr>
                    <w:t>20m</w:t>
                  </w:r>
                  <w:r>
                    <w:rPr>
                      <w:rFonts w:hint="eastAsia"/>
                      <w:color w:val="auto"/>
                      <w:lang w:val="en-US" w:eastAsia="zh-CN"/>
                    </w:rPr>
                    <w:t>、</w:t>
                  </w:r>
                  <w:r>
                    <w:rPr>
                      <w:rFonts w:hint="default"/>
                      <w:color w:val="auto"/>
                      <w:lang w:val="en-US" w:eastAsia="zh-CN"/>
                    </w:rPr>
                    <w:t>30m</w:t>
                  </w:r>
                  <w:r>
                    <w:rPr>
                      <w:rFonts w:hint="eastAsia"/>
                      <w:color w:val="auto"/>
                      <w:lang w:val="en-US" w:eastAsia="zh-CN"/>
                    </w:rPr>
                    <w:t>和</w:t>
                  </w:r>
                  <w:r>
                    <w:rPr>
                      <w:rFonts w:hint="default"/>
                      <w:color w:val="auto"/>
                      <w:lang w:val="en-US" w:eastAsia="zh-CN"/>
                    </w:rPr>
                    <w:t>50m</w:t>
                  </w:r>
                </w:p>
              </w:tc>
              <w:tc>
                <w:tcPr>
                  <w:tcW w:w="1374" w:type="dxa"/>
                  <w:noWrap w:val="0"/>
                  <w:vAlign w:val="center"/>
                </w:tcPr>
                <w:p>
                  <w:pPr>
                    <w:pStyle w:val="17"/>
                    <w:widowControl w:val="0"/>
                    <w:bidi w:val="0"/>
                    <w:rPr>
                      <w:color w:val="auto"/>
                    </w:rPr>
                  </w:pPr>
                  <w:r>
                    <w:rPr>
                      <w:rFonts w:hint="eastAsia"/>
                      <w:color w:val="auto"/>
                      <w:lang w:val="en-US" w:eastAsia="zh-CN"/>
                    </w:rPr>
                    <w:t>石油烃（</w:t>
                  </w:r>
                  <w:r>
                    <w:rPr>
                      <w:rFonts w:hint="default"/>
                      <w:color w:val="auto"/>
                      <w:lang w:val="en-US" w:eastAsia="zh-CN"/>
                    </w:rPr>
                    <w:t>C10-C40</w:t>
                  </w:r>
                  <w:r>
                    <w:rPr>
                      <w:rFonts w:hint="eastAsia"/>
                      <w:color w:val="auto"/>
                      <w:lang w:val="en-US" w:eastAsia="zh-CN"/>
                    </w:rPr>
                    <w:t>）</w:t>
                  </w:r>
                </w:p>
              </w:tc>
              <w:tc>
                <w:tcPr>
                  <w:tcW w:w="1374" w:type="dxa"/>
                  <w:noWrap w:val="0"/>
                  <w:vAlign w:val="center"/>
                </w:tcPr>
                <w:p>
                  <w:pPr>
                    <w:pStyle w:val="17"/>
                    <w:widowControl w:val="0"/>
                    <w:bidi w:val="0"/>
                    <w:rPr>
                      <w:color w:val="auto"/>
                    </w:rPr>
                  </w:pPr>
                  <w:r>
                    <w:rPr>
                      <w:rFonts w:hint="default"/>
                      <w:color w:val="auto"/>
                      <w:lang w:val="en-US" w:eastAsia="zh-CN"/>
                    </w:rPr>
                    <w:t>1</w:t>
                  </w:r>
                  <w:r>
                    <w:rPr>
                      <w:rFonts w:hint="eastAsia"/>
                      <w:color w:val="auto"/>
                      <w:lang w:val="en-US" w:eastAsia="zh-CN"/>
                    </w:rPr>
                    <w:t>次</w:t>
                  </w:r>
                  <w:r>
                    <w:rPr>
                      <w:rFonts w:hint="default"/>
                      <w:color w:val="auto"/>
                      <w:lang w:val="en-US" w:eastAsia="zh-CN"/>
                    </w:rPr>
                    <w:t>/</w:t>
                  </w:r>
                  <w:r>
                    <w:rPr>
                      <w:rFonts w:hint="eastAsia"/>
                      <w:color w:val="auto"/>
                      <w:lang w:val="en-US" w:eastAsia="zh-CN"/>
                    </w:rPr>
                    <w:t>钻井周期</w:t>
                  </w:r>
                </w:p>
              </w:tc>
              <w:tc>
                <w:tcPr>
                  <w:tcW w:w="1374" w:type="dxa"/>
                  <w:noWrap w:val="0"/>
                  <w:vAlign w:val="center"/>
                </w:tcPr>
                <w:p>
                  <w:pPr>
                    <w:pStyle w:val="17"/>
                    <w:widowControl w:val="0"/>
                    <w:bidi w:val="0"/>
                    <w:rPr>
                      <w:color w:val="auto"/>
                    </w:rPr>
                  </w:pPr>
                  <w:r>
                    <w:rPr>
                      <w:rFonts w:hint="eastAsia"/>
                      <w:color w:val="auto"/>
                      <w:lang w:val="en-US" w:eastAsia="zh-CN"/>
                    </w:rPr>
                    <w:t>完井后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3" w:type="dxa"/>
                  <w:noWrap w:val="0"/>
                  <w:vAlign w:val="center"/>
                </w:tcPr>
                <w:p>
                  <w:pPr>
                    <w:pStyle w:val="17"/>
                    <w:widowControl w:val="0"/>
                    <w:bidi w:val="0"/>
                    <w:rPr>
                      <w:rFonts w:hint="eastAsia"/>
                      <w:color w:val="auto"/>
                      <w:lang w:val="en-US" w:eastAsia="zh-CN"/>
                    </w:rPr>
                  </w:pPr>
                  <w:r>
                    <w:rPr>
                      <w:rFonts w:hint="eastAsia"/>
                      <w:color w:val="auto"/>
                      <w:lang w:val="en-US" w:eastAsia="zh-CN"/>
                    </w:rPr>
                    <w:t>2</w:t>
                  </w:r>
                </w:p>
              </w:tc>
              <w:tc>
                <w:tcPr>
                  <w:tcW w:w="1224" w:type="dxa"/>
                  <w:noWrap w:val="0"/>
                  <w:vAlign w:val="center"/>
                </w:tcPr>
                <w:p>
                  <w:pPr>
                    <w:pStyle w:val="17"/>
                    <w:widowControl w:val="0"/>
                    <w:bidi w:val="0"/>
                    <w:rPr>
                      <w:color w:val="auto"/>
                    </w:rPr>
                  </w:pPr>
                  <w:r>
                    <w:rPr>
                      <w:rFonts w:hint="eastAsia"/>
                      <w:color w:val="auto"/>
                      <w:lang w:val="en-US" w:eastAsia="zh-CN"/>
                    </w:rPr>
                    <w:t>大气环境</w:t>
                  </w:r>
                </w:p>
              </w:tc>
              <w:tc>
                <w:tcPr>
                  <w:tcW w:w="2272" w:type="dxa"/>
                  <w:noWrap w:val="0"/>
                  <w:vAlign w:val="center"/>
                </w:tcPr>
                <w:p>
                  <w:pPr>
                    <w:pStyle w:val="17"/>
                    <w:widowControl w:val="0"/>
                    <w:bidi w:val="0"/>
                    <w:rPr>
                      <w:color w:val="auto"/>
                    </w:rPr>
                  </w:pPr>
                  <w:r>
                    <w:rPr>
                      <w:rFonts w:hint="eastAsia"/>
                      <w:color w:val="auto"/>
                      <w:lang w:val="en-US" w:eastAsia="zh-CN"/>
                    </w:rPr>
                    <w:t>项目区</w:t>
                  </w:r>
                </w:p>
              </w:tc>
              <w:tc>
                <w:tcPr>
                  <w:tcW w:w="1374" w:type="dxa"/>
                  <w:noWrap w:val="0"/>
                  <w:vAlign w:val="center"/>
                </w:tcPr>
                <w:p>
                  <w:pPr>
                    <w:pStyle w:val="17"/>
                    <w:widowControl w:val="0"/>
                    <w:bidi w:val="0"/>
                    <w:rPr>
                      <w:rFonts w:hint="default"/>
                      <w:color w:val="auto"/>
                      <w:lang w:val="en-US"/>
                    </w:rPr>
                  </w:pPr>
                  <w:r>
                    <w:rPr>
                      <w:rFonts w:hint="eastAsia"/>
                      <w:color w:val="auto"/>
                      <w:lang w:val="en-US" w:eastAsia="zh-CN"/>
                    </w:rPr>
                    <w:t>非甲烷总烃、TSP、H</w:t>
                  </w:r>
                  <w:r>
                    <w:rPr>
                      <w:rFonts w:hint="eastAsia"/>
                      <w:color w:val="auto"/>
                      <w:vertAlign w:val="subscript"/>
                      <w:lang w:val="en-US" w:eastAsia="zh-CN"/>
                    </w:rPr>
                    <w:t>2</w:t>
                  </w:r>
                  <w:r>
                    <w:rPr>
                      <w:rFonts w:hint="eastAsia"/>
                      <w:color w:val="auto"/>
                      <w:lang w:val="en-US" w:eastAsia="zh-CN"/>
                    </w:rPr>
                    <w:t>S</w:t>
                  </w:r>
                </w:p>
              </w:tc>
              <w:tc>
                <w:tcPr>
                  <w:tcW w:w="1374" w:type="dxa"/>
                  <w:noWrap w:val="0"/>
                  <w:vAlign w:val="center"/>
                </w:tcPr>
                <w:p>
                  <w:pPr>
                    <w:pStyle w:val="17"/>
                    <w:widowControl w:val="0"/>
                    <w:bidi w:val="0"/>
                    <w:rPr>
                      <w:color w:val="auto"/>
                    </w:rPr>
                  </w:pPr>
                  <w:r>
                    <w:rPr>
                      <w:rFonts w:hint="default"/>
                      <w:color w:val="auto"/>
                      <w:lang w:val="en-US" w:eastAsia="zh-CN"/>
                    </w:rPr>
                    <w:t>1</w:t>
                  </w:r>
                  <w:r>
                    <w:rPr>
                      <w:rFonts w:hint="eastAsia"/>
                      <w:color w:val="auto"/>
                      <w:lang w:val="en-US" w:eastAsia="zh-CN"/>
                    </w:rPr>
                    <w:t>次</w:t>
                  </w:r>
                  <w:r>
                    <w:rPr>
                      <w:rFonts w:hint="default"/>
                      <w:color w:val="auto"/>
                      <w:lang w:val="en-US" w:eastAsia="zh-CN"/>
                    </w:rPr>
                    <w:t>/</w:t>
                  </w:r>
                  <w:r>
                    <w:rPr>
                      <w:rFonts w:hint="eastAsia"/>
                      <w:color w:val="auto"/>
                      <w:lang w:val="en-US" w:eastAsia="zh-CN"/>
                    </w:rPr>
                    <w:t>钻井周期内</w:t>
                  </w:r>
                </w:p>
              </w:tc>
              <w:tc>
                <w:tcPr>
                  <w:tcW w:w="1374" w:type="dxa"/>
                  <w:noWrap w:val="0"/>
                  <w:vAlign w:val="center"/>
                </w:tcPr>
                <w:p>
                  <w:pPr>
                    <w:pStyle w:val="17"/>
                    <w:widowControl w:val="0"/>
                    <w:bidi w:val="0"/>
                    <w:rPr>
                      <w:color w:val="auto"/>
                    </w:rPr>
                  </w:pPr>
                  <w:r>
                    <w:rPr>
                      <w:rFonts w:hint="eastAsia"/>
                      <w:color w:val="auto"/>
                      <w:lang w:val="en-US" w:eastAsia="zh-CN"/>
                    </w:rPr>
                    <w:t>整个钻井期间监测</w:t>
                  </w:r>
                  <w:r>
                    <w:rPr>
                      <w:rFonts w:hint="default"/>
                      <w:color w:val="auto"/>
                      <w:lang w:val="en-US" w:eastAsia="zh-CN"/>
                    </w:rPr>
                    <w:t>1</w:t>
                  </w:r>
                  <w:r>
                    <w:rPr>
                      <w:rFonts w:hint="eastAsia"/>
                      <w:color w:val="auto"/>
                      <w:lang w:val="en-US" w:eastAsia="zh-C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3" w:type="dxa"/>
                  <w:noWrap w:val="0"/>
                  <w:vAlign w:val="center"/>
                </w:tcPr>
                <w:p>
                  <w:pPr>
                    <w:pStyle w:val="17"/>
                    <w:widowControl w:val="0"/>
                    <w:bidi w:val="0"/>
                    <w:rPr>
                      <w:rFonts w:hint="eastAsia"/>
                      <w:color w:val="auto"/>
                      <w:lang w:val="en-US" w:eastAsia="zh-CN"/>
                    </w:rPr>
                  </w:pPr>
                  <w:r>
                    <w:rPr>
                      <w:rFonts w:hint="eastAsia"/>
                      <w:color w:val="auto"/>
                      <w:lang w:val="en-US" w:eastAsia="zh-CN"/>
                    </w:rPr>
                    <w:t>3</w:t>
                  </w:r>
                </w:p>
              </w:tc>
              <w:tc>
                <w:tcPr>
                  <w:tcW w:w="1224" w:type="dxa"/>
                  <w:noWrap w:val="0"/>
                  <w:vAlign w:val="center"/>
                </w:tcPr>
                <w:p>
                  <w:pPr>
                    <w:pStyle w:val="17"/>
                    <w:widowControl w:val="0"/>
                    <w:bidi w:val="0"/>
                    <w:rPr>
                      <w:color w:val="auto"/>
                    </w:rPr>
                  </w:pPr>
                  <w:r>
                    <w:rPr>
                      <w:rFonts w:hint="eastAsia"/>
                      <w:color w:val="auto"/>
                      <w:lang w:val="en-US" w:eastAsia="zh-CN"/>
                    </w:rPr>
                    <w:t>水环境</w:t>
                  </w:r>
                </w:p>
              </w:tc>
              <w:tc>
                <w:tcPr>
                  <w:tcW w:w="2272" w:type="dxa"/>
                  <w:noWrap w:val="0"/>
                  <w:vAlign w:val="center"/>
                </w:tcPr>
                <w:p>
                  <w:pPr>
                    <w:pStyle w:val="17"/>
                    <w:widowControl w:val="0"/>
                    <w:bidi w:val="0"/>
                    <w:rPr>
                      <w:color w:val="auto"/>
                    </w:rPr>
                  </w:pPr>
                  <w:r>
                    <w:rPr>
                      <w:rFonts w:hint="eastAsia"/>
                      <w:color w:val="auto"/>
                      <w:lang w:val="en-US" w:eastAsia="zh-CN"/>
                    </w:rPr>
                    <w:t>项目区地下水</w:t>
                  </w:r>
                </w:p>
              </w:tc>
              <w:tc>
                <w:tcPr>
                  <w:tcW w:w="1374" w:type="dxa"/>
                  <w:noWrap w:val="0"/>
                  <w:vAlign w:val="center"/>
                </w:tcPr>
                <w:p>
                  <w:pPr>
                    <w:pStyle w:val="17"/>
                    <w:widowControl w:val="0"/>
                    <w:bidi w:val="0"/>
                    <w:rPr>
                      <w:color w:val="auto"/>
                    </w:rPr>
                  </w:pPr>
                  <w:r>
                    <w:rPr>
                      <w:rFonts w:hint="eastAsia"/>
                      <w:color w:val="auto"/>
                      <w:lang w:val="en-US" w:eastAsia="zh-CN"/>
                    </w:rPr>
                    <w:t>石油类、耗氧量、氨氮</w:t>
                  </w:r>
                </w:p>
              </w:tc>
              <w:tc>
                <w:tcPr>
                  <w:tcW w:w="1374" w:type="dxa"/>
                  <w:noWrap w:val="0"/>
                  <w:vAlign w:val="center"/>
                </w:tcPr>
                <w:p>
                  <w:pPr>
                    <w:pStyle w:val="17"/>
                    <w:widowControl w:val="0"/>
                    <w:bidi w:val="0"/>
                    <w:rPr>
                      <w:color w:val="auto"/>
                    </w:rPr>
                  </w:pPr>
                  <w:r>
                    <w:rPr>
                      <w:rFonts w:hint="default"/>
                      <w:color w:val="auto"/>
                      <w:lang w:val="en-US" w:eastAsia="zh-CN"/>
                    </w:rPr>
                    <w:t>1</w:t>
                  </w:r>
                  <w:r>
                    <w:rPr>
                      <w:rFonts w:hint="eastAsia"/>
                      <w:color w:val="auto"/>
                      <w:lang w:val="en-US" w:eastAsia="zh-CN"/>
                    </w:rPr>
                    <w:t>次</w:t>
                  </w:r>
                  <w:r>
                    <w:rPr>
                      <w:rFonts w:hint="default"/>
                      <w:color w:val="auto"/>
                      <w:lang w:val="en-US" w:eastAsia="zh-CN"/>
                    </w:rPr>
                    <w:t>/</w:t>
                  </w:r>
                  <w:r>
                    <w:rPr>
                      <w:rFonts w:hint="eastAsia"/>
                      <w:color w:val="auto"/>
                      <w:lang w:val="en-US" w:eastAsia="zh-CN"/>
                    </w:rPr>
                    <w:t>季度</w:t>
                  </w:r>
                </w:p>
              </w:tc>
              <w:tc>
                <w:tcPr>
                  <w:tcW w:w="1374" w:type="dxa"/>
                  <w:noWrap w:val="0"/>
                  <w:vAlign w:val="center"/>
                </w:tcPr>
                <w:p>
                  <w:pPr>
                    <w:pStyle w:val="17"/>
                    <w:widowControl w:val="0"/>
                    <w:bidi w:val="0"/>
                    <w:rPr>
                      <w:rFonts w:hint="eastAsia"/>
                      <w:color w:val="auto"/>
                      <w:lang w:val="en-US" w:eastAsia="zh-CN"/>
                    </w:rPr>
                  </w:pPr>
                  <w:r>
                    <w:rPr>
                      <w:rFonts w:hint="eastAsia"/>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3" w:type="dxa"/>
                  <w:noWrap w:val="0"/>
                  <w:vAlign w:val="center"/>
                </w:tcPr>
                <w:p>
                  <w:pPr>
                    <w:pStyle w:val="17"/>
                    <w:widowControl w:val="0"/>
                    <w:bidi w:val="0"/>
                    <w:rPr>
                      <w:rFonts w:hint="eastAsia"/>
                      <w:color w:val="auto"/>
                      <w:lang w:val="en-US" w:eastAsia="zh-CN"/>
                    </w:rPr>
                  </w:pPr>
                  <w:r>
                    <w:rPr>
                      <w:rFonts w:hint="eastAsia"/>
                      <w:color w:val="auto"/>
                      <w:lang w:val="en-US" w:eastAsia="zh-CN"/>
                    </w:rPr>
                    <w:t>4</w:t>
                  </w:r>
                </w:p>
              </w:tc>
              <w:tc>
                <w:tcPr>
                  <w:tcW w:w="1224" w:type="dxa"/>
                  <w:noWrap w:val="0"/>
                  <w:vAlign w:val="center"/>
                </w:tcPr>
                <w:p>
                  <w:pPr>
                    <w:pStyle w:val="17"/>
                    <w:widowControl w:val="0"/>
                    <w:bidi w:val="0"/>
                    <w:rPr>
                      <w:color w:val="auto"/>
                    </w:rPr>
                  </w:pPr>
                  <w:r>
                    <w:rPr>
                      <w:rFonts w:hint="eastAsia"/>
                      <w:color w:val="auto"/>
                      <w:lang w:val="en-US" w:eastAsia="zh-CN"/>
                    </w:rPr>
                    <w:t>钻井和试油废水</w:t>
                  </w:r>
                </w:p>
              </w:tc>
              <w:tc>
                <w:tcPr>
                  <w:tcW w:w="2272" w:type="dxa"/>
                  <w:noWrap w:val="0"/>
                  <w:vAlign w:val="center"/>
                </w:tcPr>
                <w:p>
                  <w:pPr>
                    <w:pStyle w:val="17"/>
                    <w:widowControl w:val="0"/>
                    <w:bidi w:val="0"/>
                    <w:rPr>
                      <w:color w:val="auto"/>
                    </w:rPr>
                  </w:pPr>
                  <w:r>
                    <w:rPr>
                      <w:rFonts w:hint="eastAsia"/>
                      <w:color w:val="auto"/>
                      <w:lang w:val="en-US" w:eastAsia="zh-CN"/>
                    </w:rPr>
                    <w:t>吉祥联合站污水处理系统总出口</w:t>
                  </w:r>
                </w:p>
              </w:tc>
              <w:tc>
                <w:tcPr>
                  <w:tcW w:w="1374" w:type="dxa"/>
                  <w:noWrap w:val="0"/>
                  <w:vAlign w:val="center"/>
                </w:tcPr>
                <w:p>
                  <w:pPr>
                    <w:pStyle w:val="17"/>
                    <w:widowControl w:val="0"/>
                    <w:bidi w:val="0"/>
                    <w:rPr>
                      <w:color w:val="auto"/>
                    </w:rPr>
                  </w:pPr>
                  <w:r>
                    <w:rPr>
                      <w:rFonts w:hint="default"/>
                      <w:color w:val="auto"/>
                      <w:lang w:val="en-US" w:eastAsia="zh-CN"/>
                    </w:rPr>
                    <w:t>SS</w:t>
                  </w:r>
                  <w:r>
                    <w:rPr>
                      <w:rFonts w:hint="eastAsia"/>
                      <w:color w:val="auto"/>
                      <w:lang w:val="en-US" w:eastAsia="zh-CN"/>
                    </w:rPr>
                    <w:t>、石油类等</w:t>
                  </w:r>
                </w:p>
              </w:tc>
              <w:tc>
                <w:tcPr>
                  <w:tcW w:w="1374" w:type="dxa"/>
                  <w:noWrap w:val="0"/>
                  <w:vAlign w:val="center"/>
                </w:tcPr>
                <w:p>
                  <w:pPr>
                    <w:pStyle w:val="17"/>
                    <w:widowControl w:val="0"/>
                    <w:bidi w:val="0"/>
                    <w:rPr>
                      <w:color w:val="auto"/>
                    </w:rPr>
                  </w:pPr>
                  <w:r>
                    <w:rPr>
                      <w:rFonts w:hint="eastAsia"/>
                      <w:color w:val="auto"/>
                      <w:lang w:val="en-US" w:eastAsia="zh-CN"/>
                    </w:rPr>
                    <w:t>对污水处理系统出水进行检测</w:t>
                  </w:r>
                </w:p>
              </w:tc>
              <w:tc>
                <w:tcPr>
                  <w:tcW w:w="1374" w:type="dxa"/>
                  <w:noWrap w:val="0"/>
                  <w:vAlign w:val="center"/>
                </w:tcPr>
                <w:p>
                  <w:pPr>
                    <w:pStyle w:val="17"/>
                    <w:widowControl w:val="0"/>
                    <w:bidi w:val="0"/>
                    <w:rPr>
                      <w:rFonts w:hint="eastAsia"/>
                      <w:color w:val="auto"/>
                      <w:lang w:val="en-US" w:eastAsia="zh-CN"/>
                    </w:rPr>
                  </w:pPr>
                  <w:r>
                    <w:rPr>
                      <w:rFonts w:hint="eastAsia"/>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3" w:type="dxa"/>
                  <w:noWrap w:val="0"/>
                  <w:vAlign w:val="center"/>
                </w:tcPr>
                <w:p>
                  <w:pPr>
                    <w:pStyle w:val="17"/>
                    <w:widowControl w:val="0"/>
                    <w:bidi w:val="0"/>
                    <w:rPr>
                      <w:rFonts w:hint="eastAsia"/>
                      <w:color w:val="auto"/>
                      <w:lang w:val="en-US" w:eastAsia="zh-CN"/>
                    </w:rPr>
                  </w:pPr>
                  <w:r>
                    <w:rPr>
                      <w:rFonts w:hint="eastAsia"/>
                      <w:color w:val="auto"/>
                      <w:lang w:val="en-US" w:eastAsia="zh-CN"/>
                    </w:rPr>
                    <w:t>5</w:t>
                  </w:r>
                </w:p>
              </w:tc>
              <w:tc>
                <w:tcPr>
                  <w:tcW w:w="1224" w:type="dxa"/>
                  <w:noWrap w:val="0"/>
                  <w:vAlign w:val="center"/>
                </w:tcPr>
                <w:p>
                  <w:pPr>
                    <w:pStyle w:val="17"/>
                    <w:widowControl w:val="0"/>
                    <w:bidi w:val="0"/>
                    <w:rPr>
                      <w:color w:val="auto"/>
                    </w:rPr>
                  </w:pPr>
                  <w:r>
                    <w:rPr>
                      <w:rFonts w:hint="eastAsia"/>
                      <w:color w:val="auto"/>
                      <w:lang w:val="en-US" w:eastAsia="zh-CN"/>
                    </w:rPr>
                    <w:t>噪声</w:t>
                  </w:r>
                </w:p>
              </w:tc>
              <w:tc>
                <w:tcPr>
                  <w:tcW w:w="2272" w:type="dxa"/>
                  <w:noWrap w:val="0"/>
                  <w:vAlign w:val="center"/>
                </w:tcPr>
                <w:p>
                  <w:pPr>
                    <w:pStyle w:val="17"/>
                    <w:widowControl w:val="0"/>
                    <w:bidi w:val="0"/>
                    <w:rPr>
                      <w:color w:val="auto"/>
                    </w:rPr>
                  </w:pPr>
                  <w:r>
                    <w:rPr>
                      <w:rFonts w:hint="eastAsia"/>
                      <w:color w:val="auto"/>
                      <w:lang w:val="en-US" w:eastAsia="zh-CN"/>
                    </w:rPr>
                    <w:t>井场周围</w:t>
                  </w:r>
                </w:p>
              </w:tc>
              <w:tc>
                <w:tcPr>
                  <w:tcW w:w="1374" w:type="dxa"/>
                  <w:noWrap w:val="0"/>
                  <w:vAlign w:val="center"/>
                </w:tcPr>
                <w:p>
                  <w:pPr>
                    <w:pStyle w:val="17"/>
                    <w:widowControl w:val="0"/>
                    <w:bidi w:val="0"/>
                    <w:rPr>
                      <w:color w:val="auto"/>
                    </w:rPr>
                  </w:pPr>
                  <w:r>
                    <w:rPr>
                      <w:rFonts w:hint="eastAsia"/>
                      <w:color w:val="auto"/>
                      <w:lang w:val="en-US" w:eastAsia="zh-CN"/>
                    </w:rPr>
                    <w:t>等效连续</w:t>
                  </w:r>
                  <w:r>
                    <w:rPr>
                      <w:rFonts w:hint="default"/>
                      <w:color w:val="auto"/>
                      <w:lang w:val="en-US" w:eastAsia="zh-CN"/>
                    </w:rPr>
                    <w:t>A</w:t>
                  </w:r>
                  <w:r>
                    <w:rPr>
                      <w:rFonts w:hint="eastAsia"/>
                      <w:color w:val="auto"/>
                      <w:lang w:val="en-US" w:eastAsia="zh-CN"/>
                    </w:rPr>
                    <w:t>声级</w:t>
                  </w:r>
                </w:p>
              </w:tc>
              <w:tc>
                <w:tcPr>
                  <w:tcW w:w="1374" w:type="dxa"/>
                  <w:noWrap w:val="0"/>
                  <w:vAlign w:val="center"/>
                </w:tcPr>
                <w:p>
                  <w:pPr>
                    <w:pStyle w:val="17"/>
                    <w:widowControl w:val="0"/>
                    <w:bidi w:val="0"/>
                    <w:rPr>
                      <w:color w:val="auto"/>
                    </w:rPr>
                  </w:pPr>
                  <w:r>
                    <w:rPr>
                      <w:rFonts w:hint="default"/>
                      <w:color w:val="auto"/>
                      <w:lang w:val="en-US" w:eastAsia="zh-CN"/>
                    </w:rPr>
                    <w:t>1</w:t>
                  </w:r>
                  <w:r>
                    <w:rPr>
                      <w:rFonts w:hint="eastAsia"/>
                      <w:color w:val="auto"/>
                      <w:lang w:val="en-US" w:eastAsia="zh-CN"/>
                    </w:rPr>
                    <w:t>次</w:t>
                  </w:r>
                  <w:r>
                    <w:rPr>
                      <w:rFonts w:hint="default"/>
                      <w:color w:val="auto"/>
                      <w:lang w:val="en-US" w:eastAsia="zh-CN"/>
                    </w:rPr>
                    <w:t>/</w:t>
                  </w:r>
                  <w:r>
                    <w:rPr>
                      <w:rFonts w:hint="eastAsia"/>
                      <w:color w:val="auto"/>
                      <w:lang w:val="en-US" w:eastAsia="zh-CN"/>
                    </w:rPr>
                    <w:t>钻井周期内</w:t>
                  </w:r>
                </w:p>
              </w:tc>
              <w:tc>
                <w:tcPr>
                  <w:tcW w:w="1374" w:type="dxa"/>
                  <w:noWrap w:val="0"/>
                  <w:vAlign w:val="center"/>
                </w:tcPr>
                <w:p>
                  <w:pPr>
                    <w:pStyle w:val="17"/>
                    <w:widowControl w:val="0"/>
                    <w:bidi w:val="0"/>
                    <w:rPr>
                      <w:color w:val="auto"/>
                    </w:rPr>
                  </w:pPr>
                  <w:r>
                    <w:rPr>
                      <w:rFonts w:hint="eastAsia"/>
                      <w:color w:val="auto"/>
                      <w:lang w:val="en-US" w:eastAsia="zh-CN"/>
                    </w:rPr>
                    <w:t>整个钻井期间监测</w:t>
                  </w:r>
                  <w:r>
                    <w:rPr>
                      <w:rFonts w:hint="default"/>
                      <w:color w:val="auto"/>
                      <w:lang w:val="en-US" w:eastAsia="zh-CN"/>
                    </w:rPr>
                    <w:t>1</w:t>
                  </w:r>
                  <w:r>
                    <w:rPr>
                      <w:rFonts w:hint="eastAsia"/>
                      <w:color w:val="auto"/>
                      <w:lang w:val="en-US" w:eastAsia="zh-CN"/>
                    </w:rPr>
                    <w:t>次</w:t>
                  </w:r>
                </w:p>
              </w:tc>
            </w:tr>
          </w:tbl>
          <w:p>
            <w:pPr>
              <w:pStyle w:val="16"/>
              <w:bidi w:val="0"/>
              <w:ind w:left="0" w:leftChars="0" w:firstLine="0" w:firstLineChars="0"/>
              <w:rPr>
                <w:rFonts w:hint="default"/>
                <w:color w:val="auto"/>
              </w:rPr>
            </w:pPr>
          </w:p>
          <w:p>
            <w:pPr>
              <w:pStyle w:val="16"/>
              <w:bidi w:val="0"/>
              <w:ind w:left="0" w:leftChars="0" w:firstLine="0" w:firstLineChars="0"/>
              <w:rPr>
                <w:rFonts w:hint="default"/>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82" w:hRule="atLeast"/>
        </w:trPr>
        <w:tc>
          <w:tcPr>
            <w:tcW w:w="951" w:type="dxa"/>
            <w:tcBorders>
              <w:left w:val="single" w:color="000000" w:sz="6" w:space="0"/>
            </w:tcBorders>
            <w:vAlign w:val="center"/>
          </w:tcPr>
          <w:p>
            <w:pPr>
              <w:bidi w:val="0"/>
              <w:jc w:val="center"/>
              <w:rPr>
                <w:rFonts w:hint="default"/>
                <w:color w:val="auto"/>
              </w:rPr>
            </w:pPr>
            <w:r>
              <w:rPr>
                <w:rFonts w:hint="eastAsia"/>
                <w:color w:val="auto"/>
                <w:lang w:eastAsia="zh-CN"/>
              </w:rPr>
              <w:t>运营期生态环境保护措施</w:t>
            </w:r>
          </w:p>
        </w:tc>
        <w:tc>
          <w:tcPr>
            <w:tcW w:w="8263" w:type="dxa"/>
            <w:tcBorders>
              <w:right w:val="single" w:color="000000" w:sz="6" w:space="0"/>
            </w:tcBorders>
            <w:vAlign w:val="center"/>
          </w:tcPr>
          <w:p>
            <w:pPr>
              <w:pStyle w:val="16"/>
              <w:bidi w:val="0"/>
              <w:rPr>
                <w:rFonts w:hint="default"/>
              </w:rPr>
            </w:pPr>
            <w:r>
              <w:rPr>
                <w:rFonts w:hint="default"/>
              </w:rPr>
              <w:t>本项目无</w:t>
            </w:r>
            <w:r>
              <w:rPr>
                <w:rFonts w:hint="eastAsia"/>
                <w:lang w:val="en-US" w:eastAsia="zh-CN"/>
              </w:rPr>
              <w:t>运营</w:t>
            </w:r>
            <w:r>
              <w:rPr>
                <w:rFonts w:hint="default"/>
              </w:rPr>
              <w:t>期，试油结束后视试油结果决定是否转为生产井，若可转为生产井，则应当在产能开发建设前开展其环境影响评价工作。如发现该井不具开发价值或目的层不含油，则进行封井拆除井口装置，清理场地，清除各种固体废物，恢复至相对自然的地貌。</w:t>
            </w:r>
          </w:p>
          <w:p>
            <w:pPr>
              <w:pStyle w:val="16"/>
              <w:bidi w:val="0"/>
              <w:rPr>
                <w:rFonts w:hint="default"/>
                <w:color w:val="auto"/>
              </w:rPr>
            </w:pPr>
            <w:r>
              <w:rPr>
                <w:rFonts w:hint="default"/>
              </w:rPr>
              <w:t>建设单位应严格根据《关于加强沙区建设项目环境影响评价工作的通知》(新环环评发〔2020〕138号)、《矿山生态环境保护与恢复治理技术规范（试行）》（HJ651-2013）、《陆上石油天然气开采业绿色矿山建设规范》(DZ/T0317-2018)对项目区进行针对性防沙治沙治理、生态恢复治理。在试油、试采后，立即拆除井场一切无用的临时构筑物，做到“工完、料尽、场地清”，确保采取的封井措施有效可行及时对施工场地进行平整，尽量利用井场及临时道路施工时产生的表层土对临时占地进行覆盖，通过区域内的植被依靠自然恢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106" w:hRule="atLeast"/>
        </w:trPr>
        <w:tc>
          <w:tcPr>
            <w:tcW w:w="951" w:type="dxa"/>
            <w:tcBorders>
              <w:left w:val="single" w:color="000000" w:sz="6" w:space="0"/>
            </w:tcBorders>
            <w:vAlign w:val="center"/>
          </w:tcPr>
          <w:p>
            <w:pPr>
              <w:bidi w:val="0"/>
              <w:jc w:val="center"/>
              <w:rPr>
                <w:rFonts w:hint="default"/>
                <w:color w:val="auto"/>
              </w:rPr>
            </w:pPr>
            <w:r>
              <w:rPr>
                <w:rFonts w:hint="default"/>
                <w:color w:val="auto"/>
              </w:rPr>
              <w:t>其他</w:t>
            </w:r>
          </w:p>
        </w:tc>
        <w:tc>
          <w:tcPr>
            <w:tcW w:w="8263" w:type="dxa"/>
            <w:tcBorders>
              <w:right w:val="single" w:color="000000" w:sz="6" w:space="0"/>
            </w:tcBorders>
            <w:vAlign w:val="center"/>
          </w:tcPr>
          <w:p>
            <w:pPr>
              <w:pStyle w:val="16"/>
              <w:bidi w:val="0"/>
              <w:rPr>
                <w:rFonts w:hint="default" w:eastAsia="宋体"/>
                <w:lang w:val="en-US" w:eastAsia="zh-CN"/>
              </w:rPr>
            </w:pPr>
            <w:r>
              <w:rPr>
                <w:rFonts w:hint="eastAsia"/>
              </w:rPr>
              <w:t>本项目实施过程中，将根据</w:t>
            </w:r>
            <w:r>
              <w:rPr>
                <w:rFonts w:hint="eastAsia"/>
                <w:lang w:eastAsia="zh-CN"/>
              </w:rPr>
              <w:t>中国石油天然气股份有限公司吐哈油田分公司准东采油管理区</w:t>
            </w:r>
            <w:r>
              <w:rPr>
                <w:rFonts w:hint="eastAsia"/>
              </w:rPr>
              <w:t>在环境管理上建立的健康、安全与环境管理体系（HSE管理体系），落实各项环保和安全措施，减少项目开发对周围环境的影响。本报告提出的环境管理主要内容见下表</w:t>
            </w:r>
            <w:r>
              <w:rPr>
                <w:rFonts w:hint="eastAsia"/>
                <w:lang w:val="en-US" w:eastAsia="zh-CN"/>
              </w:rPr>
              <w:t>5-4</w:t>
            </w:r>
          </w:p>
          <w:p>
            <w:pPr>
              <w:pStyle w:val="14"/>
              <w:bidi w:val="0"/>
              <w:rPr>
                <w:rFonts w:hint="default"/>
              </w:rPr>
            </w:pPr>
            <w:r>
              <w:rPr>
                <w:rFonts w:hint="default"/>
              </w:rPr>
              <w:t>表</w:t>
            </w:r>
            <w:r>
              <w:rPr>
                <w:rFonts w:hint="eastAsia"/>
                <w:lang w:val="en-US" w:eastAsia="zh-CN"/>
              </w:rPr>
              <w:t>5-</w:t>
            </w:r>
            <w:r>
              <w:rPr>
                <w:rFonts w:hint="default"/>
                <w:lang w:eastAsia="zh-CN"/>
              </w:rPr>
              <w:t>4</w:t>
            </w:r>
            <w:r>
              <w:rPr>
                <w:rFonts w:hint="default"/>
              </w:rPr>
              <w:t xml:space="preserve">   施工期环境保护行动计划</w:t>
            </w:r>
          </w:p>
          <w:tbl>
            <w:tblPr>
              <w:tblStyle w:val="11"/>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59"/>
              <w:gridCol w:w="550"/>
              <w:gridCol w:w="744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 w:hRule="atLeast"/>
                <w:jc w:val="center"/>
              </w:trPr>
              <w:tc>
                <w:tcPr>
                  <w:tcW w:w="157" w:type="pct"/>
                  <w:tcMar>
                    <w:left w:w="0" w:type="dxa"/>
                    <w:right w:w="0" w:type="dxa"/>
                  </w:tcMar>
                  <w:vAlign w:val="center"/>
                </w:tcPr>
                <w:p>
                  <w:pPr>
                    <w:pStyle w:val="17"/>
                    <w:bidi w:val="0"/>
                  </w:pPr>
                  <w:r>
                    <w:rPr>
                      <w:rFonts w:hint="eastAsia"/>
                    </w:rPr>
                    <w:t>序号</w:t>
                  </w:r>
                </w:p>
              </w:tc>
              <w:tc>
                <w:tcPr>
                  <w:tcW w:w="333" w:type="pct"/>
                  <w:tcMar>
                    <w:left w:w="0" w:type="dxa"/>
                    <w:right w:w="0" w:type="dxa"/>
                  </w:tcMar>
                  <w:vAlign w:val="center"/>
                </w:tcPr>
                <w:p>
                  <w:pPr>
                    <w:pStyle w:val="17"/>
                    <w:bidi w:val="0"/>
                  </w:pPr>
                  <w:r>
                    <w:rPr>
                      <w:rFonts w:hint="eastAsia"/>
                    </w:rPr>
                    <w:t>影响因素</w:t>
                  </w:r>
                </w:p>
              </w:tc>
              <w:tc>
                <w:tcPr>
                  <w:tcW w:w="4508" w:type="pct"/>
                  <w:tcMar>
                    <w:left w:w="0" w:type="dxa"/>
                    <w:right w:w="0" w:type="dxa"/>
                  </w:tcMar>
                  <w:vAlign w:val="center"/>
                </w:tcPr>
                <w:p>
                  <w:pPr>
                    <w:pStyle w:val="17"/>
                    <w:bidi w:val="0"/>
                  </w:pPr>
                  <w:r>
                    <w:rPr>
                      <w:rFonts w:hint="eastAsia"/>
                    </w:rPr>
                    <w:t>环保措施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57" w:type="pct"/>
                  <w:tcMar>
                    <w:left w:w="0" w:type="dxa"/>
                    <w:right w:w="0" w:type="dxa"/>
                  </w:tcMar>
                  <w:vAlign w:val="center"/>
                </w:tcPr>
                <w:p>
                  <w:pPr>
                    <w:pStyle w:val="17"/>
                    <w:bidi w:val="0"/>
                  </w:pPr>
                  <w:r>
                    <w:rPr>
                      <w:rFonts w:hint="eastAsia"/>
                    </w:rPr>
                    <w:t>1</w:t>
                  </w:r>
                </w:p>
              </w:tc>
              <w:tc>
                <w:tcPr>
                  <w:tcW w:w="333" w:type="pct"/>
                  <w:tcMar>
                    <w:left w:w="0" w:type="dxa"/>
                    <w:right w:w="0" w:type="dxa"/>
                  </w:tcMar>
                  <w:vAlign w:val="center"/>
                </w:tcPr>
                <w:p>
                  <w:pPr>
                    <w:pStyle w:val="17"/>
                    <w:bidi w:val="0"/>
                  </w:pPr>
                  <w:r>
                    <w:rPr>
                      <w:rFonts w:hint="eastAsia"/>
                    </w:rPr>
                    <w:t>大气环境</w:t>
                  </w:r>
                </w:p>
              </w:tc>
              <w:tc>
                <w:tcPr>
                  <w:tcW w:w="4508" w:type="pct"/>
                  <w:tcMar>
                    <w:left w:w="0" w:type="dxa"/>
                    <w:right w:w="0" w:type="dxa"/>
                  </w:tcMar>
                  <w:vAlign w:val="center"/>
                </w:tcPr>
                <w:p>
                  <w:pPr>
                    <w:pStyle w:val="17"/>
                    <w:bidi w:val="0"/>
                  </w:pPr>
                  <w:r>
                    <w:rPr>
                      <w:rFonts w:hint="eastAsia"/>
                      <w:lang w:val="en-US" w:eastAsia="zh-CN"/>
                    </w:rPr>
                    <w:t>建设</w:t>
                  </w:r>
                  <w:r>
                    <w:rPr>
                      <w:rFonts w:hint="eastAsia"/>
                    </w:rPr>
                    <w:t>单位在钻井时应使用符合国家标准的柴油，并定期对设备进行保养维护，柴油机燃烧充分，合理匹配载荷。施工现场运输车辆应低速慢行、不得超载，逸散性材料在井场堆放时，采用苫布遮盖，试油期伴生气经排气管线充分燃烧后排放；加强采出液储罐管理、并采取密闭装载方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87" w:hRule="atLeast"/>
                <w:jc w:val="center"/>
              </w:trPr>
              <w:tc>
                <w:tcPr>
                  <w:tcW w:w="157" w:type="pct"/>
                  <w:tcMar>
                    <w:left w:w="0" w:type="dxa"/>
                    <w:right w:w="0" w:type="dxa"/>
                  </w:tcMar>
                  <w:vAlign w:val="center"/>
                </w:tcPr>
                <w:p>
                  <w:pPr>
                    <w:pStyle w:val="17"/>
                    <w:bidi w:val="0"/>
                  </w:pPr>
                  <w:r>
                    <w:rPr>
                      <w:rFonts w:hint="eastAsia"/>
                    </w:rPr>
                    <w:t>2</w:t>
                  </w:r>
                </w:p>
              </w:tc>
              <w:tc>
                <w:tcPr>
                  <w:tcW w:w="333" w:type="pct"/>
                  <w:tcMar>
                    <w:left w:w="0" w:type="dxa"/>
                    <w:right w:w="0" w:type="dxa"/>
                  </w:tcMar>
                  <w:vAlign w:val="center"/>
                </w:tcPr>
                <w:p>
                  <w:pPr>
                    <w:pStyle w:val="17"/>
                    <w:bidi w:val="0"/>
                  </w:pPr>
                  <w:r>
                    <w:rPr>
                      <w:rFonts w:hint="eastAsia"/>
                    </w:rPr>
                    <w:t>声环境</w:t>
                  </w:r>
                </w:p>
              </w:tc>
              <w:tc>
                <w:tcPr>
                  <w:tcW w:w="4508" w:type="pct"/>
                  <w:tcMar>
                    <w:left w:w="0" w:type="dxa"/>
                    <w:right w:w="0" w:type="dxa"/>
                  </w:tcMar>
                  <w:vAlign w:val="center"/>
                </w:tcPr>
                <w:p>
                  <w:pPr>
                    <w:pStyle w:val="17"/>
                    <w:bidi w:val="0"/>
                  </w:pPr>
                  <w:r>
                    <w:rPr>
                      <w:rFonts w:hint="eastAsia"/>
                      <w:lang w:val="en-US" w:eastAsia="zh-CN"/>
                    </w:rPr>
                    <w:t>建设</w:t>
                  </w:r>
                  <w:r>
                    <w:rPr>
                      <w:rFonts w:hint="eastAsia"/>
                    </w:rPr>
                    <w:t>单位应使用低噪声的施工设备、机械，并定期进行检修和维护，使其处于运行良好的状态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09" w:hRule="atLeast"/>
                <w:jc w:val="center"/>
              </w:trPr>
              <w:tc>
                <w:tcPr>
                  <w:tcW w:w="157" w:type="pct"/>
                  <w:tcMar>
                    <w:left w:w="0" w:type="dxa"/>
                    <w:right w:w="0" w:type="dxa"/>
                  </w:tcMar>
                  <w:vAlign w:val="center"/>
                </w:tcPr>
                <w:p>
                  <w:pPr>
                    <w:pStyle w:val="17"/>
                    <w:bidi w:val="0"/>
                  </w:pPr>
                  <w:r>
                    <w:rPr>
                      <w:rFonts w:hint="eastAsia"/>
                    </w:rPr>
                    <w:t>3</w:t>
                  </w:r>
                </w:p>
              </w:tc>
              <w:tc>
                <w:tcPr>
                  <w:tcW w:w="333" w:type="pct"/>
                  <w:tcMar>
                    <w:left w:w="0" w:type="dxa"/>
                    <w:right w:w="0" w:type="dxa"/>
                  </w:tcMar>
                  <w:vAlign w:val="center"/>
                </w:tcPr>
                <w:p>
                  <w:pPr>
                    <w:pStyle w:val="17"/>
                    <w:bidi w:val="0"/>
                  </w:pPr>
                  <w:r>
                    <w:rPr>
                      <w:rFonts w:hint="eastAsia"/>
                    </w:rPr>
                    <w:t>水环境和土壤环境</w:t>
                  </w:r>
                </w:p>
              </w:tc>
              <w:tc>
                <w:tcPr>
                  <w:tcW w:w="4508" w:type="pct"/>
                  <w:tcMar>
                    <w:left w:w="0" w:type="dxa"/>
                    <w:right w:w="0" w:type="dxa"/>
                  </w:tcMar>
                  <w:vAlign w:val="center"/>
                </w:tcPr>
                <w:p>
                  <w:pPr>
                    <w:pStyle w:val="17"/>
                    <w:bidi w:val="0"/>
                  </w:pPr>
                  <w:r>
                    <w:rPr>
                      <w:rFonts w:hint="eastAsia"/>
                    </w:rPr>
                    <w:t>钻井液采用不落地设备进行处理后回用于钻井液配置，不外排；试油期产生的废水收集至地面储罐后由罐车拉运至</w:t>
                  </w:r>
                  <w:r>
                    <w:rPr>
                      <w:rFonts w:hint="eastAsia"/>
                      <w:lang w:eastAsia="zh-CN"/>
                    </w:rPr>
                    <w:t>吉祥联合站</w:t>
                  </w:r>
                  <w:r>
                    <w:rPr>
                      <w:rFonts w:hint="eastAsia"/>
                    </w:rPr>
                    <w:t>处理；生活污水经临时防渗收集池收集暂存，施工结束后由吸污车抽出后委托拉运至</w:t>
                  </w:r>
                  <w:r>
                    <w:rPr>
                      <w:rFonts w:hint="eastAsia"/>
                      <w:lang w:val="en-US" w:eastAsia="zh-CN"/>
                    </w:rPr>
                    <w:t>吉木萨尔县</w:t>
                  </w:r>
                  <w:r>
                    <w:rPr>
                      <w:rFonts w:hint="eastAsia"/>
                    </w:rPr>
                    <w:t>污水处理厂处理。关键区域做好符合相关环保要求的防渗措施；提高施工效率，缩短施工时间；工程结束后，做好施工场地的恢复工作。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6" w:hRule="atLeast"/>
                <w:jc w:val="center"/>
              </w:trPr>
              <w:tc>
                <w:tcPr>
                  <w:tcW w:w="157" w:type="pct"/>
                  <w:tcMar>
                    <w:left w:w="0" w:type="dxa"/>
                    <w:right w:w="0" w:type="dxa"/>
                  </w:tcMar>
                  <w:vAlign w:val="center"/>
                </w:tcPr>
                <w:p>
                  <w:pPr>
                    <w:pStyle w:val="17"/>
                    <w:bidi w:val="0"/>
                  </w:pPr>
                  <w:r>
                    <w:rPr>
                      <w:rFonts w:hint="eastAsia"/>
                    </w:rPr>
                    <w:t>4</w:t>
                  </w:r>
                </w:p>
              </w:tc>
              <w:tc>
                <w:tcPr>
                  <w:tcW w:w="333" w:type="pct"/>
                  <w:tcMar>
                    <w:left w:w="0" w:type="dxa"/>
                    <w:right w:w="0" w:type="dxa"/>
                  </w:tcMar>
                  <w:vAlign w:val="center"/>
                </w:tcPr>
                <w:p>
                  <w:pPr>
                    <w:pStyle w:val="17"/>
                    <w:bidi w:val="0"/>
                  </w:pPr>
                  <w:r>
                    <w:rPr>
                      <w:rFonts w:hint="eastAsia"/>
                    </w:rPr>
                    <w:t>固体废物</w:t>
                  </w:r>
                </w:p>
              </w:tc>
              <w:tc>
                <w:tcPr>
                  <w:tcW w:w="4508" w:type="pct"/>
                  <w:tcMar>
                    <w:left w:w="0" w:type="dxa"/>
                    <w:right w:w="0" w:type="dxa"/>
                  </w:tcMar>
                  <w:vAlign w:val="center"/>
                </w:tcPr>
                <w:p>
                  <w:pPr>
                    <w:pStyle w:val="17"/>
                    <w:bidi w:val="0"/>
                  </w:pPr>
                  <w:r>
                    <w:rPr>
                      <w:rFonts w:hint="eastAsia"/>
                    </w:rPr>
                    <w:t>生活垃圾由垃圾箱集中收集后清运至</w:t>
                  </w:r>
                  <w:r>
                    <w:rPr>
                      <w:rFonts w:hint="eastAsia"/>
                      <w:lang w:val="en-US" w:eastAsia="zh-CN"/>
                    </w:rPr>
                    <w:t>吉木萨尔县</w:t>
                  </w:r>
                  <w:r>
                    <w:rPr>
                      <w:rFonts w:hint="eastAsia"/>
                    </w:rPr>
                    <w:t>生活垃圾填埋场处置。钻井期产生的水基钻井岩屑、油基钻井岩屑分别暂存于专用储罐，水基钻井岩屑委托</w:t>
                  </w:r>
                  <w:r>
                    <w:rPr>
                      <w:rFonts w:hint="eastAsia"/>
                      <w:lang w:val="en-US" w:eastAsia="zh-CN"/>
                    </w:rPr>
                    <w:t>有资质的</w:t>
                  </w:r>
                  <w:r>
                    <w:rPr>
                      <w:rFonts w:hint="eastAsia"/>
                    </w:rPr>
                    <w:t>单位处置；油基钻井岩屑和沾油废防渗膜委托具有相应危废处理资质的单位负责接收、转运、处置。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09" w:hRule="atLeast"/>
                <w:jc w:val="center"/>
              </w:trPr>
              <w:tc>
                <w:tcPr>
                  <w:tcW w:w="157" w:type="pct"/>
                  <w:tcMar>
                    <w:left w:w="0" w:type="dxa"/>
                    <w:right w:w="0" w:type="dxa"/>
                  </w:tcMar>
                  <w:vAlign w:val="center"/>
                </w:tcPr>
                <w:p>
                  <w:pPr>
                    <w:pStyle w:val="17"/>
                    <w:bidi w:val="0"/>
                  </w:pPr>
                  <w:r>
                    <w:rPr>
                      <w:rFonts w:hint="eastAsia"/>
                    </w:rPr>
                    <w:t>5</w:t>
                  </w:r>
                </w:p>
              </w:tc>
              <w:tc>
                <w:tcPr>
                  <w:tcW w:w="333" w:type="pct"/>
                  <w:tcMar>
                    <w:left w:w="0" w:type="dxa"/>
                    <w:right w:w="0" w:type="dxa"/>
                  </w:tcMar>
                  <w:vAlign w:val="center"/>
                </w:tcPr>
                <w:p>
                  <w:pPr>
                    <w:pStyle w:val="17"/>
                    <w:bidi w:val="0"/>
                  </w:pPr>
                  <w:r>
                    <w:rPr>
                      <w:rFonts w:hint="eastAsia"/>
                    </w:rPr>
                    <w:t>生态环境</w:t>
                  </w:r>
                </w:p>
              </w:tc>
              <w:tc>
                <w:tcPr>
                  <w:tcW w:w="4508" w:type="pct"/>
                  <w:tcMar>
                    <w:left w:w="0" w:type="dxa"/>
                    <w:right w:w="0" w:type="dxa"/>
                  </w:tcMar>
                  <w:vAlign w:val="center"/>
                </w:tcPr>
                <w:p>
                  <w:pPr>
                    <w:pStyle w:val="17"/>
                    <w:bidi w:val="0"/>
                  </w:pPr>
                  <w:r>
                    <w:rPr>
                      <w:rFonts w:hint="eastAsia"/>
                    </w:rPr>
                    <w:t>用地面积按实际征地面积划定，不得超过规定面积；施工车辆严格按规定路线行驶，严禁随意开道，碾压植被、破坏周边农作物、野生植被、扰动土壤，严禁捕杀野生动物；施工结束后应对临时占地进行清理、平整，植被自然恢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09" w:hRule="atLeast"/>
                <w:jc w:val="center"/>
              </w:trPr>
              <w:tc>
                <w:tcPr>
                  <w:tcW w:w="157" w:type="pct"/>
                  <w:tcMar>
                    <w:left w:w="0" w:type="dxa"/>
                    <w:right w:w="0" w:type="dxa"/>
                  </w:tcMar>
                  <w:vAlign w:val="center"/>
                </w:tcPr>
                <w:p>
                  <w:pPr>
                    <w:pStyle w:val="17"/>
                    <w:bidi w:val="0"/>
                  </w:pPr>
                  <w:r>
                    <w:rPr>
                      <w:rFonts w:hint="eastAsia"/>
                    </w:rPr>
                    <w:t>6</w:t>
                  </w:r>
                </w:p>
              </w:tc>
              <w:tc>
                <w:tcPr>
                  <w:tcW w:w="333" w:type="pct"/>
                  <w:tcMar>
                    <w:left w:w="0" w:type="dxa"/>
                    <w:right w:w="0" w:type="dxa"/>
                  </w:tcMar>
                  <w:vAlign w:val="center"/>
                </w:tcPr>
                <w:p>
                  <w:pPr>
                    <w:pStyle w:val="17"/>
                    <w:bidi w:val="0"/>
                  </w:pPr>
                  <w:r>
                    <w:rPr>
                      <w:rFonts w:hint="eastAsia"/>
                    </w:rPr>
                    <w:t>环境管理</w:t>
                  </w:r>
                </w:p>
              </w:tc>
              <w:tc>
                <w:tcPr>
                  <w:tcW w:w="4508" w:type="pct"/>
                  <w:tcMar>
                    <w:left w:w="0" w:type="dxa"/>
                    <w:right w:w="0" w:type="dxa"/>
                  </w:tcMar>
                  <w:vAlign w:val="center"/>
                </w:tcPr>
                <w:p>
                  <w:pPr>
                    <w:pStyle w:val="17"/>
                    <w:bidi w:val="0"/>
                  </w:pPr>
                  <w:r>
                    <w:rPr>
                      <w:rFonts w:hint="eastAsia"/>
                      <w:lang w:val="en-US" w:eastAsia="zh-CN"/>
                    </w:rPr>
                    <w:t>建设</w:t>
                  </w:r>
                  <w:r>
                    <w:rPr>
                      <w:rFonts w:hint="eastAsia"/>
                    </w:rPr>
                    <w:t>单位应建立环境保护档案，保存施工前后项目区的影像资料，使施工全过程各类污染物产生、去向和各个污染措施及实施情况均记录在案。建设单位要求在钻井工程开工前进行环保自查，建设单位钻井期间进行环保日常检查并做好记录；完工交井前，建设单位主管部门现场验收，合格后方可记录为完工，做到工完料净场地清，并做好记录</w:t>
                  </w:r>
                </w:p>
              </w:tc>
            </w:tr>
          </w:tbl>
          <w:p>
            <w:pPr>
              <w:keepNext w:val="0"/>
              <w:keepLines w:val="0"/>
              <w:suppressLineNumbers w:val="0"/>
              <w:adjustRightInd w:val="0"/>
              <w:snapToGrid w:val="0"/>
              <w:spacing w:before="0" w:beforeAutospacing="0" w:after="0" w:afterAutospacing="0" w:line="360" w:lineRule="auto"/>
              <w:ind w:left="0" w:leftChars="0" w:right="0" w:firstLine="436" w:firstLineChars="182"/>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本评价建议施工期环境监测类别、项目、频次等见</w:t>
            </w:r>
            <w:r>
              <w:rPr>
                <w:rFonts w:hint="eastAsia" w:cs="Times New Roman"/>
                <w:color w:val="auto"/>
                <w:kern w:val="0"/>
                <w:sz w:val="24"/>
                <w:szCs w:val="24"/>
                <w:lang w:val="en-US" w:eastAsia="zh-CN" w:bidi="ar-SA"/>
              </w:rPr>
              <w:t>下表</w:t>
            </w:r>
            <w:r>
              <w:rPr>
                <w:rFonts w:hint="eastAsia" w:ascii="Times New Roman" w:hAnsi="Times New Roman" w:eastAsia="宋体" w:cs="Times New Roman"/>
                <w:color w:val="auto"/>
                <w:kern w:val="0"/>
                <w:sz w:val="24"/>
                <w:szCs w:val="24"/>
                <w:lang w:val="en-US" w:eastAsia="zh-CN" w:bidi="ar-SA"/>
              </w:rPr>
              <w:t>。</w:t>
            </w:r>
          </w:p>
          <w:p>
            <w:pPr>
              <w:pStyle w:val="14"/>
              <w:bidi w:val="0"/>
              <w:rPr>
                <w:rFonts w:hint="eastAsia"/>
                <w:color w:val="auto"/>
                <w:lang w:val="en-US" w:eastAsia="zh-CN"/>
              </w:rPr>
            </w:pPr>
            <w:r>
              <w:rPr>
                <w:rFonts w:hint="eastAsia"/>
                <w:color w:val="auto"/>
                <w:lang w:val="en-US" w:eastAsia="zh-CN"/>
              </w:rPr>
              <w:t>表5-5   环境监测计划表</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800"/>
              <w:gridCol w:w="2127"/>
              <w:gridCol w:w="2003"/>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31" w:type="pct"/>
                  <w:tcBorders>
                    <w:tl2br w:val="nil"/>
                    <w:tr2bl w:val="nil"/>
                  </w:tcBorders>
                  <w:noWrap w:val="0"/>
                  <w:vAlign w:val="center"/>
                </w:tcPr>
                <w:p>
                  <w:pPr>
                    <w:pStyle w:val="17"/>
                    <w:bidi w:val="0"/>
                    <w:rPr>
                      <w:rFonts w:hint="default"/>
                      <w:color w:val="auto"/>
                      <w:lang w:val="en-US" w:eastAsia="zh-CN"/>
                    </w:rPr>
                  </w:pPr>
                  <w:r>
                    <w:rPr>
                      <w:rFonts w:hint="eastAsia"/>
                      <w:color w:val="auto"/>
                      <w:lang w:val="en-US" w:eastAsia="zh-CN"/>
                    </w:rPr>
                    <w:t>监测对象</w:t>
                  </w:r>
                </w:p>
              </w:tc>
              <w:tc>
                <w:tcPr>
                  <w:tcW w:w="1092" w:type="pct"/>
                  <w:tcBorders>
                    <w:tl2br w:val="nil"/>
                    <w:tr2bl w:val="nil"/>
                  </w:tcBorders>
                  <w:noWrap w:val="0"/>
                  <w:vAlign w:val="center"/>
                </w:tcPr>
                <w:p>
                  <w:pPr>
                    <w:pStyle w:val="17"/>
                    <w:bidi w:val="0"/>
                    <w:rPr>
                      <w:rFonts w:hint="default"/>
                      <w:color w:val="auto"/>
                      <w:lang w:val="en-US" w:eastAsia="zh-CN"/>
                    </w:rPr>
                  </w:pPr>
                  <w:r>
                    <w:rPr>
                      <w:rFonts w:hint="eastAsia"/>
                      <w:color w:val="auto"/>
                      <w:lang w:val="en-US" w:eastAsia="zh-CN"/>
                    </w:rPr>
                    <w:t>监测频率</w:t>
                  </w:r>
                </w:p>
              </w:tc>
              <w:tc>
                <w:tcPr>
                  <w:tcW w:w="1290" w:type="pct"/>
                  <w:tcBorders>
                    <w:tl2br w:val="nil"/>
                    <w:tr2bl w:val="nil"/>
                  </w:tcBorders>
                  <w:noWrap w:val="0"/>
                  <w:vAlign w:val="center"/>
                </w:tcPr>
                <w:p>
                  <w:pPr>
                    <w:pStyle w:val="17"/>
                    <w:bidi w:val="0"/>
                    <w:rPr>
                      <w:rFonts w:hint="default"/>
                      <w:color w:val="auto"/>
                      <w:lang w:val="en-US" w:eastAsia="zh-CN"/>
                    </w:rPr>
                  </w:pPr>
                  <w:r>
                    <w:rPr>
                      <w:rFonts w:hint="eastAsia"/>
                      <w:color w:val="auto"/>
                      <w:lang w:val="en-US" w:eastAsia="zh-CN"/>
                    </w:rPr>
                    <w:t>监测项目</w:t>
                  </w:r>
                </w:p>
              </w:tc>
              <w:tc>
                <w:tcPr>
                  <w:tcW w:w="1215" w:type="pct"/>
                  <w:tcBorders>
                    <w:tl2br w:val="nil"/>
                    <w:tr2bl w:val="nil"/>
                  </w:tcBorders>
                  <w:noWrap w:val="0"/>
                  <w:vAlign w:val="center"/>
                </w:tcPr>
                <w:p>
                  <w:pPr>
                    <w:pStyle w:val="17"/>
                    <w:bidi w:val="0"/>
                    <w:rPr>
                      <w:rFonts w:hint="default"/>
                      <w:color w:val="auto"/>
                      <w:lang w:val="en-US" w:eastAsia="zh-CN"/>
                    </w:rPr>
                  </w:pPr>
                  <w:r>
                    <w:rPr>
                      <w:rFonts w:hint="eastAsia"/>
                      <w:color w:val="auto"/>
                      <w:lang w:val="en-US" w:eastAsia="zh-CN"/>
                    </w:rPr>
                    <w:t>监测地点</w:t>
                  </w:r>
                </w:p>
              </w:tc>
              <w:tc>
                <w:tcPr>
                  <w:tcW w:w="669" w:type="pct"/>
                  <w:tcBorders>
                    <w:tl2br w:val="nil"/>
                    <w:tr2bl w:val="nil"/>
                  </w:tcBorders>
                  <w:noWrap w:val="0"/>
                  <w:vAlign w:val="center"/>
                </w:tcPr>
                <w:p>
                  <w:pPr>
                    <w:pStyle w:val="17"/>
                    <w:bidi w:val="0"/>
                    <w:rPr>
                      <w:rFonts w:hint="default"/>
                      <w:color w:val="auto"/>
                    </w:rPr>
                  </w:pPr>
                  <w:r>
                    <w:rPr>
                      <w:rFonts w:hint="eastAsia"/>
                      <w:color w:val="auto"/>
                    </w:rPr>
                    <w:t>监测</w:t>
                  </w:r>
                </w:p>
                <w:p>
                  <w:pPr>
                    <w:pStyle w:val="17"/>
                    <w:bidi w:val="0"/>
                    <w:rPr>
                      <w:rFonts w:hint="default"/>
                      <w:color w:val="auto"/>
                    </w:rPr>
                  </w:pPr>
                  <w:r>
                    <w:rPr>
                      <w:rFonts w:hint="eastAsia"/>
                      <w:color w:val="auto"/>
                    </w:rPr>
                    <w:t>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731" w:type="pct"/>
                  <w:tcBorders>
                    <w:tl2br w:val="nil"/>
                    <w:tr2bl w:val="nil"/>
                  </w:tcBorders>
                  <w:noWrap w:val="0"/>
                  <w:vAlign w:val="center"/>
                </w:tcPr>
                <w:p>
                  <w:pPr>
                    <w:pStyle w:val="17"/>
                    <w:bidi w:val="0"/>
                    <w:rPr>
                      <w:rFonts w:hint="default"/>
                      <w:color w:val="auto"/>
                      <w:lang w:val="en-US" w:eastAsia="zh-CN"/>
                    </w:rPr>
                  </w:pPr>
                  <w:r>
                    <w:rPr>
                      <w:rFonts w:hint="eastAsia"/>
                      <w:color w:val="auto"/>
                      <w:lang w:val="en-US" w:eastAsia="zh-CN"/>
                    </w:rPr>
                    <w:t>井下作业废水</w:t>
                  </w:r>
                </w:p>
              </w:tc>
              <w:tc>
                <w:tcPr>
                  <w:tcW w:w="1092" w:type="pct"/>
                  <w:tcBorders>
                    <w:tl2br w:val="nil"/>
                    <w:tr2bl w:val="nil"/>
                  </w:tcBorders>
                  <w:noWrap w:val="0"/>
                  <w:vAlign w:val="center"/>
                </w:tcPr>
                <w:p>
                  <w:pPr>
                    <w:pStyle w:val="17"/>
                    <w:bidi w:val="0"/>
                    <w:rPr>
                      <w:rFonts w:hint="default"/>
                      <w:color w:val="auto"/>
                      <w:lang w:val="en-US" w:eastAsia="zh-CN"/>
                    </w:rPr>
                  </w:pPr>
                  <w:r>
                    <w:rPr>
                      <w:rFonts w:hint="eastAsia"/>
                      <w:color w:val="auto"/>
                      <w:lang w:val="en-US" w:eastAsia="zh-CN"/>
                    </w:rPr>
                    <w:t>由吉祥联合站统一对污水处理系统出水进行检测</w:t>
                  </w:r>
                </w:p>
              </w:tc>
              <w:tc>
                <w:tcPr>
                  <w:tcW w:w="1290" w:type="pct"/>
                  <w:tcBorders>
                    <w:tl2br w:val="nil"/>
                    <w:tr2bl w:val="nil"/>
                  </w:tcBorders>
                  <w:noWrap w:val="0"/>
                  <w:vAlign w:val="center"/>
                </w:tcPr>
                <w:p>
                  <w:pPr>
                    <w:pStyle w:val="17"/>
                    <w:bidi w:val="0"/>
                    <w:rPr>
                      <w:rFonts w:hint="default"/>
                      <w:color w:val="auto"/>
                      <w:lang w:val="en-US" w:eastAsia="zh-CN"/>
                    </w:rPr>
                  </w:pPr>
                  <w:r>
                    <w:rPr>
                      <w:rFonts w:hint="default"/>
                      <w:color w:val="auto"/>
                      <w:lang w:val="en-US" w:eastAsia="zh-CN"/>
                    </w:rPr>
                    <w:t>SS</w:t>
                  </w:r>
                  <w:r>
                    <w:rPr>
                      <w:rFonts w:hint="eastAsia"/>
                      <w:color w:val="auto"/>
                      <w:lang w:val="en-US" w:eastAsia="zh-CN"/>
                    </w:rPr>
                    <w:t>、石油类、硫化物、挥发酚等</w:t>
                  </w:r>
                </w:p>
              </w:tc>
              <w:tc>
                <w:tcPr>
                  <w:tcW w:w="1215" w:type="pct"/>
                  <w:tcBorders>
                    <w:tl2br w:val="nil"/>
                    <w:tr2bl w:val="nil"/>
                  </w:tcBorders>
                  <w:noWrap w:val="0"/>
                  <w:vAlign w:val="center"/>
                </w:tcPr>
                <w:p>
                  <w:pPr>
                    <w:pStyle w:val="17"/>
                    <w:bidi w:val="0"/>
                    <w:rPr>
                      <w:rFonts w:hint="default"/>
                      <w:color w:val="auto"/>
                      <w:lang w:val="en-US" w:eastAsia="zh-CN"/>
                    </w:rPr>
                  </w:pPr>
                  <w:r>
                    <w:rPr>
                      <w:rFonts w:hint="eastAsia"/>
                      <w:color w:val="auto"/>
                      <w:lang w:val="en-US" w:eastAsia="zh-CN"/>
                    </w:rPr>
                    <w:t>吉祥联合站污水处理系统总出口</w:t>
                  </w:r>
                </w:p>
              </w:tc>
              <w:tc>
                <w:tcPr>
                  <w:tcW w:w="669" w:type="pct"/>
                  <w:vMerge w:val="restart"/>
                  <w:tcBorders>
                    <w:tl2br w:val="nil"/>
                    <w:tr2bl w:val="nil"/>
                  </w:tcBorders>
                  <w:noWrap w:val="0"/>
                  <w:vAlign w:val="center"/>
                </w:tcPr>
                <w:p>
                  <w:pPr>
                    <w:pStyle w:val="17"/>
                    <w:bidi w:val="0"/>
                    <w:rPr>
                      <w:rFonts w:hint="default"/>
                      <w:color w:val="auto"/>
                    </w:rPr>
                  </w:pPr>
                  <w:r>
                    <w:rPr>
                      <w:rFonts w:hint="eastAsia"/>
                      <w:color w:val="auto"/>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31" w:type="pct"/>
                  <w:vMerge w:val="restart"/>
                  <w:tcBorders>
                    <w:tl2br w:val="nil"/>
                    <w:tr2bl w:val="nil"/>
                  </w:tcBorders>
                  <w:noWrap w:val="0"/>
                  <w:vAlign w:val="center"/>
                </w:tcPr>
                <w:p>
                  <w:pPr>
                    <w:pStyle w:val="17"/>
                    <w:bidi w:val="0"/>
                    <w:rPr>
                      <w:rFonts w:hint="default"/>
                      <w:color w:val="auto"/>
                      <w:lang w:val="en-US" w:eastAsia="zh-CN"/>
                    </w:rPr>
                  </w:pPr>
                  <w:r>
                    <w:rPr>
                      <w:rFonts w:hint="eastAsia"/>
                      <w:color w:val="auto"/>
                      <w:lang w:val="en-US" w:eastAsia="zh-CN"/>
                    </w:rPr>
                    <w:t>大气</w:t>
                  </w:r>
                </w:p>
              </w:tc>
              <w:tc>
                <w:tcPr>
                  <w:tcW w:w="1092" w:type="pct"/>
                  <w:tcBorders>
                    <w:tl2br w:val="nil"/>
                    <w:tr2bl w:val="nil"/>
                  </w:tcBorders>
                  <w:noWrap w:val="0"/>
                  <w:vAlign w:val="center"/>
                </w:tcPr>
                <w:p>
                  <w:pPr>
                    <w:pStyle w:val="17"/>
                    <w:bidi w:val="0"/>
                    <w:rPr>
                      <w:rFonts w:hint="default"/>
                      <w:color w:val="auto"/>
                      <w:lang w:val="en-US" w:eastAsia="zh-CN"/>
                    </w:rPr>
                  </w:pPr>
                  <w:r>
                    <w:rPr>
                      <w:rFonts w:hint="eastAsia"/>
                      <w:color w:val="auto"/>
                      <w:lang w:val="en-US" w:eastAsia="zh-CN"/>
                    </w:rPr>
                    <w:t>施工期一次</w:t>
                  </w:r>
                </w:p>
              </w:tc>
              <w:tc>
                <w:tcPr>
                  <w:tcW w:w="1290" w:type="pct"/>
                  <w:tcBorders>
                    <w:tl2br w:val="nil"/>
                    <w:tr2bl w:val="nil"/>
                  </w:tcBorders>
                  <w:noWrap w:val="0"/>
                  <w:vAlign w:val="center"/>
                </w:tcPr>
                <w:p>
                  <w:pPr>
                    <w:pStyle w:val="17"/>
                    <w:bidi w:val="0"/>
                    <w:rPr>
                      <w:rFonts w:hint="default"/>
                      <w:color w:val="auto"/>
                      <w:lang w:val="en-US" w:eastAsia="zh-CN"/>
                    </w:rPr>
                  </w:pPr>
                  <w:r>
                    <w:rPr>
                      <w:rFonts w:hint="default"/>
                      <w:color w:val="auto"/>
                      <w:lang w:val="en-US" w:eastAsia="zh-CN"/>
                    </w:rPr>
                    <w:t>TSP</w:t>
                  </w:r>
                  <w:r>
                    <w:rPr>
                      <w:rFonts w:hint="eastAsia"/>
                      <w:color w:val="auto"/>
                      <w:lang w:val="en-US" w:eastAsia="zh-CN"/>
                    </w:rPr>
                    <w:t>、H</w:t>
                  </w:r>
                  <w:r>
                    <w:rPr>
                      <w:rFonts w:hint="eastAsia"/>
                      <w:color w:val="auto"/>
                      <w:vertAlign w:val="subscript"/>
                      <w:lang w:val="en-US" w:eastAsia="zh-CN"/>
                    </w:rPr>
                    <w:t>2</w:t>
                  </w:r>
                  <w:r>
                    <w:rPr>
                      <w:rFonts w:hint="eastAsia"/>
                      <w:color w:val="auto"/>
                      <w:lang w:val="en-US" w:eastAsia="zh-CN"/>
                    </w:rPr>
                    <w:t>S</w:t>
                  </w:r>
                </w:p>
              </w:tc>
              <w:tc>
                <w:tcPr>
                  <w:tcW w:w="1215" w:type="pct"/>
                  <w:tcBorders>
                    <w:tl2br w:val="nil"/>
                    <w:tr2bl w:val="nil"/>
                  </w:tcBorders>
                  <w:noWrap w:val="0"/>
                  <w:vAlign w:val="center"/>
                </w:tcPr>
                <w:p>
                  <w:pPr>
                    <w:pStyle w:val="17"/>
                    <w:bidi w:val="0"/>
                    <w:rPr>
                      <w:rFonts w:hint="default"/>
                      <w:color w:val="auto"/>
                      <w:lang w:val="en-US" w:eastAsia="zh-CN"/>
                    </w:rPr>
                  </w:pPr>
                  <w:r>
                    <w:rPr>
                      <w:rFonts w:hint="eastAsia"/>
                      <w:color w:val="auto"/>
                      <w:lang w:val="en-US" w:eastAsia="zh-CN"/>
                    </w:rPr>
                    <w:t>井场周围</w:t>
                  </w:r>
                </w:p>
              </w:tc>
              <w:tc>
                <w:tcPr>
                  <w:tcW w:w="669" w:type="pct"/>
                  <w:vMerge w:val="continue"/>
                  <w:tcBorders>
                    <w:tl2br w:val="nil"/>
                    <w:tr2bl w:val="nil"/>
                  </w:tcBorders>
                  <w:noWrap w:val="0"/>
                  <w:vAlign w:val="top"/>
                </w:tcPr>
                <w:p>
                  <w:pPr>
                    <w:pStyle w:val="17"/>
                    <w:bidi w:val="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31" w:type="pct"/>
                  <w:vMerge w:val="continue"/>
                  <w:tcBorders>
                    <w:tl2br w:val="nil"/>
                    <w:tr2bl w:val="nil"/>
                  </w:tcBorders>
                  <w:noWrap w:val="0"/>
                  <w:vAlign w:val="center"/>
                </w:tcPr>
                <w:p>
                  <w:pPr>
                    <w:pStyle w:val="17"/>
                    <w:bidi w:val="0"/>
                    <w:rPr>
                      <w:rFonts w:hint="default"/>
                      <w:color w:val="auto"/>
                      <w:lang w:val="en-US" w:eastAsia="zh-CN"/>
                    </w:rPr>
                  </w:pPr>
                </w:p>
              </w:tc>
              <w:tc>
                <w:tcPr>
                  <w:tcW w:w="1092" w:type="pct"/>
                  <w:tcBorders>
                    <w:tl2br w:val="nil"/>
                    <w:tr2bl w:val="nil"/>
                  </w:tcBorders>
                  <w:noWrap w:val="0"/>
                  <w:vAlign w:val="center"/>
                </w:tcPr>
                <w:p>
                  <w:pPr>
                    <w:pStyle w:val="17"/>
                    <w:bidi w:val="0"/>
                    <w:rPr>
                      <w:rFonts w:hint="default"/>
                      <w:color w:val="auto"/>
                      <w:lang w:val="en-US" w:eastAsia="zh-CN"/>
                    </w:rPr>
                  </w:pPr>
                  <w:r>
                    <w:rPr>
                      <w:rFonts w:hint="eastAsia"/>
                      <w:color w:val="auto"/>
                      <w:lang w:val="en-US" w:eastAsia="zh-CN"/>
                    </w:rPr>
                    <w:t>试油期一次</w:t>
                  </w:r>
                </w:p>
              </w:tc>
              <w:tc>
                <w:tcPr>
                  <w:tcW w:w="1290" w:type="pct"/>
                  <w:tcBorders>
                    <w:tl2br w:val="nil"/>
                    <w:tr2bl w:val="nil"/>
                  </w:tcBorders>
                  <w:noWrap w:val="0"/>
                  <w:vAlign w:val="center"/>
                </w:tcPr>
                <w:p>
                  <w:pPr>
                    <w:pStyle w:val="17"/>
                    <w:bidi w:val="0"/>
                    <w:rPr>
                      <w:rFonts w:hint="eastAsia"/>
                      <w:color w:val="auto"/>
                      <w:lang w:val="en-US" w:eastAsia="zh-CN"/>
                    </w:rPr>
                  </w:pPr>
                  <w:r>
                    <w:rPr>
                      <w:rFonts w:hint="default"/>
                      <w:color w:val="auto"/>
                      <w:lang w:val="en-US" w:eastAsia="zh-CN"/>
                    </w:rPr>
                    <w:t>NOx、SO2</w:t>
                  </w:r>
                  <w:r>
                    <w:rPr>
                      <w:rFonts w:hint="eastAsia"/>
                      <w:color w:val="auto"/>
                      <w:lang w:val="en-US" w:eastAsia="zh-CN"/>
                    </w:rPr>
                    <w:t>、颗粒物</w:t>
                  </w:r>
                </w:p>
              </w:tc>
              <w:tc>
                <w:tcPr>
                  <w:tcW w:w="1215" w:type="pct"/>
                  <w:tcBorders>
                    <w:tl2br w:val="nil"/>
                    <w:tr2bl w:val="nil"/>
                  </w:tcBorders>
                  <w:noWrap w:val="0"/>
                  <w:vAlign w:val="center"/>
                </w:tcPr>
                <w:p>
                  <w:pPr>
                    <w:pStyle w:val="17"/>
                    <w:bidi w:val="0"/>
                    <w:rPr>
                      <w:rFonts w:hint="default"/>
                      <w:color w:val="auto"/>
                      <w:lang w:val="en-US" w:eastAsia="zh-CN"/>
                    </w:rPr>
                  </w:pPr>
                  <w:r>
                    <w:rPr>
                      <w:rFonts w:hint="default"/>
                      <w:color w:val="auto"/>
                      <w:lang w:val="en-US" w:eastAsia="zh-CN"/>
                    </w:rPr>
                    <w:t>井场周围</w:t>
                  </w:r>
                </w:p>
              </w:tc>
              <w:tc>
                <w:tcPr>
                  <w:tcW w:w="669" w:type="pct"/>
                  <w:vMerge w:val="continue"/>
                  <w:tcBorders>
                    <w:tl2br w:val="nil"/>
                    <w:tr2bl w:val="nil"/>
                  </w:tcBorders>
                  <w:noWrap w:val="0"/>
                  <w:vAlign w:val="top"/>
                </w:tcPr>
                <w:p>
                  <w:pPr>
                    <w:pStyle w:val="17"/>
                    <w:bidi w:val="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31" w:type="pct"/>
                  <w:tcBorders>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噪声</w:t>
                  </w:r>
                </w:p>
              </w:tc>
              <w:tc>
                <w:tcPr>
                  <w:tcW w:w="1092" w:type="pct"/>
                  <w:tcBorders>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施工期一次</w:t>
                  </w:r>
                </w:p>
              </w:tc>
              <w:tc>
                <w:tcPr>
                  <w:tcW w:w="1290" w:type="pct"/>
                  <w:tcBorders>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等效连续A声级</w:t>
                  </w:r>
                </w:p>
              </w:tc>
              <w:tc>
                <w:tcPr>
                  <w:tcW w:w="1215" w:type="pct"/>
                  <w:tcBorders>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井场周围</w:t>
                  </w:r>
                </w:p>
              </w:tc>
              <w:tc>
                <w:tcPr>
                  <w:tcW w:w="669" w:type="pct"/>
                  <w:vMerge w:val="continue"/>
                  <w:tcBorders>
                    <w:tl2br w:val="nil"/>
                    <w:tr2bl w:val="nil"/>
                  </w:tcBorders>
                  <w:noWrap w:val="0"/>
                  <w:vAlign w:val="top"/>
                </w:tcPr>
                <w:p>
                  <w:pPr>
                    <w:pStyle w:val="17"/>
                    <w:bidi w:val="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31" w:type="pct"/>
                  <w:tcBorders>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土壤</w:t>
                  </w:r>
                </w:p>
              </w:tc>
              <w:tc>
                <w:tcPr>
                  <w:tcW w:w="1092" w:type="pct"/>
                  <w:tcBorders>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施工结束后一次</w:t>
                  </w:r>
                </w:p>
              </w:tc>
              <w:tc>
                <w:tcPr>
                  <w:tcW w:w="1290" w:type="pct"/>
                  <w:tcBorders>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石油烃</w:t>
                  </w:r>
                </w:p>
              </w:tc>
              <w:tc>
                <w:tcPr>
                  <w:tcW w:w="1215" w:type="pct"/>
                  <w:tcBorders>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钻井区域</w:t>
                  </w:r>
                </w:p>
              </w:tc>
              <w:tc>
                <w:tcPr>
                  <w:tcW w:w="669" w:type="pct"/>
                  <w:vMerge w:val="continue"/>
                  <w:tcBorders>
                    <w:tl2br w:val="nil"/>
                    <w:tr2bl w:val="nil"/>
                  </w:tcBorders>
                  <w:noWrap w:val="0"/>
                  <w:vAlign w:val="top"/>
                </w:tcPr>
                <w:p>
                  <w:pPr>
                    <w:pStyle w:val="17"/>
                    <w:bidi w:val="0"/>
                    <w:rPr>
                      <w:rFonts w:hint="default"/>
                      <w:color w:val="auto"/>
                    </w:rPr>
                  </w:pPr>
                </w:p>
              </w:tc>
            </w:tr>
          </w:tbl>
          <w:p>
            <w:pPr>
              <w:pStyle w:val="16"/>
              <w:bidi w:val="0"/>
              <w:rPr>
                <w:rFonts w:hint="eastAsia"/>
              </w:rPr>
            </w:pPr>
          </w:p>
          <w:p>
            <w:pPr>
              <w:pStyle w:val="16"/>
              <w:bidi w:val="0"/>
              <w:rPr>
                <w:rFonts w:hint="default"/>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39" w:hRule="atLeast"/>
        </w:trPr>
        <w:tc>
          <w:tcPr>
            <w:tcW w:w="951" w:type="dxa"/>
            <w:tcBorders>
              <w:left w:val="single" w:color="000000" w:sz="6" w:space="0"/>
            </w:tcBorders>
            <w:vAlign w:val="center"/>
          </w:tcPr>
          <w:p>
            <w:pPr>
              <w:bidi w:val="0"/>
              <w:jc w:val="center"/>
              <w:rPr>
                <w:rFonts w:hint="eastAsia"/>
                <w:color w:val="auto"/>
                <w:lang w:eastAsia="zh-CN"/>
              </w:rPr>
            </w:pPr>
            <w:r>
              <w:rPr>
                <w:rFonts w:hint="eastAsia"/>
                <w:color w:val="auto"/>
                <w:lang w:eastAsia="zh-CN"/>
              </w:rPr>
              <w:t>环保投资</w:t>
            </w:r>
          </w:p>
        </w:tc>
        <w:tc>
          <w:tcPr>
            <w:tcW w:w="8263" w:type="dxa"/>
            <w:tcBorders>
              <w:right w:val="single" w:color="000000" w:sz="6" w:space="0"/>
            </w:tcBorders>
            <w:vAlign w:val="center"/>
          </w:tcPr>
          <w:p>
            <w:pPr>
              <w:pStyle w:val="16"/>
              <w:bidi w:val="0"/>
              <w:rPr>
                <w:color w:val="auto"/>
              </w:rPr>
            </w:pPr>
            <w:bookmarkStart w:id="11" w:name="_Hlk129690209"/>
            <w:bookmarkStart w:id="12" w:name="_Hlk129689014"/>
            <w:r>
              <w:rPr>
                <w:rFonts w:hint="eastAsia"/>
                <w:color w:val="auto"/>
              </w:rPr>
              <w:t>本项目总投资约为</w:t>
            </w:r>
            <w:r>
              <w:rPr>
                <w:rFonts w:hint="eastAsia"/>
                <w:color w:val="auto"/>
                <w:lang w:val="en-US" w:eastAsia="zh-CN"/>
              </w:rPr>
              <w:t>9096</w:t>
            </w:r>
            <w:r>
              <w:rPr>
                <w:rFonts w:hint="eastAsia"/>
                <w:color w:val="auto"/>
              </w:rPr>
              <w:t>万元，环保投资共为</w:t>
            </w:r>
            <w:r>
              <w:rPr>
                <w:rFonts w:hint="eastAsia"/>
                <w:color w:val="auto"/>
                <w:lang w:val="en-US" w:eastAsia="zh-CN"/>
              </w:rPr>
              <w:t>237</w:t>
            </w:r>
            <w:r>
              <w:rPr>
                <w:rFonts w:hint="eastAsia"/>
                <w:color w:val="auto"/>
              </w:rPr>
              <w:t>万元，占总投资的</w:t>
            </w:r>
            <w:r>
              <w:rPr>
                <w:rFonts w:hint="eastAsia"/>
                <w:color w:val="auto"/>
                <w:lang w:val="en-US" w:eastAsia="zh-CN"/>
              </w:rPr>
              <w:t>2.6</w:t>
            </w:r>
            <w:r>
              <w:rPr>
                <w:rFonts w:hint="eastAsia"/>
                <w:color w:val="auto"/>
              </w:rPr>
              <w:t>%</w:t>
            </w:r>
            <w:bookmarkEnd w:id="11"/>
            <w:r>
              <w:rPr>
                <w:rFonts w:hint="eastAsia"/>
                <w:color w:val="auto"/>
              </w:rPr>
              <w:t>，详见表</w:t>
            </w:r>
            <w:r>
              <w:rPr>
                <w:rFonts w:hint="eastAsia"/>
                <w:color w:val="auto"/>
                <w:lang w:val="en-US" w:eastAsia="zh-CN"/>
              </w:rPr>
              <w:t>5-</w:t>
            </w:r>
            <w:r>
              <w:rPr>
                <w:rFonts w:hint="default"/>
                <w:color w:val="auto"/>
                <w:lang w:eastAsia="zh-CN"/>
              </w:rPr>
              <w:t>6</w:t>
            </w:r>
            <w:r>
              <w:rPr>
                <w:rFonts w:hint="eastAsia"/>
                <w:color w:val="auto"/>
              </w:rPr>
              <w:t>。</w:t>
            </w:r>
          </w:p>
          <w:p>
            <w:pPr>
              <w:pStyle w:val="14"/>
              <w:bidi w:val="0"/>
            </w:pPr>
            <w:r>
              <w:rPr>
                <w:rFonts w:hint="eastAsia"/>
              </w:rPr>
              <w:t>表</w:t>
            </w:r>
            <w:r>
              <w:rPr>
                <w:rFonts w:hint="eastAsia"/>
                <w:lang w:val="en-US" w:eastAsia="zh-CN"/>
              </w:rPr>
              <w:t xml:space="preserve">5-6 </w:t>
            </w:r>
            <w:r>
              <w:t xml:space="preserve">  环保治理设施环保投资表</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
              <w:gridCol w:w="1427"/>
              <w:gridCol w:w="4859"/>
              <w:gridCol w:w="900"/>
              <w:gridCol w:w="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pct"/>
                  <w:gridSpan w:val="2"/>
                  <w:tcMar>
                    <w:left w:w="0" w:type="dxa"/>
                    <w:right w:w="0" w:type="dxa"/>
                  </w:tcMar>
                  <w:vAlign w:val="center"/>
                </w:tcPr>
                <w:p>
                  <w:pPr>
                    <w:pStyle w:val="17"/>
                    <w:bidi w:val="0"/>
                  </w:pPr>
                  <w:r>
                    <w:rPr>
                      <w:rFonts w:hint="eastAsia"/>
                    </w:rPr>
                    <w:t>工程名称</w:t>
                  </w:r>
                </w:p>
              </w:tc>
              <w:tc>
                <w:tcPr>
                  <w:tcW w:w="2948" w:type="pct"/>
                  <w:tcMar>
                    <w:left w:w="0" w:type="dxa"/>
                    <w:right w:w="0" w:type="dxa"/>
                  </w:tcMar>
                  <w:vAlign w:val="center"/>
                </w:tcPr>
                <w:p>
                  <w:pPr>
                    <w:pStyle w:val="17"/>
                    <w:bidi w:val="0"/>
                  </w:pPr>
                  <w:r>
                    <w:rPr>
                      <w:rFonts w:hint="eastAsia"/>
                    </w:rPr>
                    <w:t>拟采取的环保措施</w:t>
                  </w:r>
                </w:p>
              </w:tc>
              <w:tc>
                <w:tcPr>
                  <w:tcW w:w="546" w:type="pct"/>
                  <w:tcMar>
                    <w:left w:w="0" w:type="dxa"/>
                    <w:right w:w="0" w:type="dxa"/>
                  </w:tcMar>
                  <w:vAlign w:val="center"/>
                </w:tcPr>
                <w:p>
                  <w:pPr>
                    <w:pStyle w:val="17"/>
                    <w:bidi w:val="0"/>
                  </w:pPr>
                  <w:r>
                    <w:rPr>
                      <w:rFonts w:hint="eastAsia"/>
                    </w:rPr>
                    <w:t>环保投资</w:t>
                  </w:r>
                </w:p>
                <w:p>
                  <w:pPr>
                    <w:pStyle w:val="17"/>
                    <w:bidi w:val="0"/>
                  </w:pPr>
                  <w:r>
                    <w:rPr>
                      <w:rFonts w:hint="eastAsia"/>
                    </w:rPr>
                    <w:t>（万元）</w:t>
                  </w:r>
                </w:p>
              </w:tc>
              <w:tc>
                <w:tcPr>
                  <w:tcW w:w="393" w:type="pct"/>
                  <w:tcMar>
                    <w:left w:w="0" w:type="dxa"/>
                    <w:right w:w="0" w:type="dxa"/>
                  </w:tcMar>
                  <w:vAlign w:val="center"/>
                </w:tcPr>
                <w:p>
                  <w:pPr>
                    <w:pStyle w:val="17"/>
                    <w:bidi w:val="0"/>
                  </w:pPr>
                  <w:r>
                    <w:rPr>
                      <w:rFonts w:hint="eastAsia"/>
                    </w:rPr>
                    <w:t>实施时间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vMerge w:val="restart"/>
                  <w:tcMar>
                    <w:left w:w="0" w:type="dxa"/>
                    <w:right w:w="0" w:type="dxa"/>
                  </w:tcMar>
                  <w:vAlign w:val="center"/>
                </w:tcPr>
                <w:p>
                  <w:pPr>
                    <w:pStyle w:val="17"/>
                    <w:bidi w:val="0"/>
                  </w:pPr>
                  <w:r>
                    <w:rPr>
                      <w:rFonts w:hint="eastAsia"/>
                    </w:rPr>
                    <w:t>废水处理</w:t>
                  </w:r>
                </w:p>
              </w:tc>
              <w:tc>
                <w:tcPr>
                  <w:tcW w:w="866" w:type="pct"/>
                  <w:tcMar>
                    <w:left w:w="0" w:type="dxa"/>
                    <w:right w:w="0" w:type="dxa"/>
                  </w:tcMar>
                  <w:vAlign w:val="center"/>
                </w:tcPr>
                <w:p>
                  <w:pPr>
                    <w:pStyle w:val="17"/>
                    <w:bidi w:val="0"/>
                  </w:pPr>
                  <w:r>
                    <w:rPr>
                      <w:rFonts w:hint="eastAsia"/>
                    </w:rPr>
                    <w:t>生活污水</w:t>
                  </w:r>
                </w:p>
              </w:tc>
              <w:tc>
                <w:tcPr>
                  <w:tcW w:w="2948" w:type="pct"/>
                  <w:tcMar>
                    <w:left w:w="0" w:type="dxa"/>
                    <w:right w:w="0" w:type="dxa"/>
                  </w:tcMar>
                  <w:vAlign w:val="center"/>
                </w:tcPr>
                <w:p>
                  <w:pPr>
                    <w:pStyle w:val="17"/>
                    <w:bidi w:val="0"/>
                  </w:pPr>
                  <w:r>
                    <w:rPr>
                      <w:rFonts w:hint="eastAsia"/>
                    </w:rPr>
                    <w:t>设1座临时防渗收集池收集暂存，定期由吸污车抽出并拉运至</w:t>
                  </w:r>
                  <w:r>
                    <w:rPr>
                      <w:rFonts w:hint="eastAsia"/>
                      <w:lang w:val="en-US" w:eastAsia="zh-CN"/>
                    </w:rPr>
                    <w:t>吉木萨尔县</w:t>
                  </w:r>
                  <w:r>
                    <w:rPr>
                      <w:rFonts w:hint="eastAsia"/>
                    </w:rPr>
                    <w:t>污水处理厂处理</w:t>
                  </w:r>
                </w:p>
              </w:tc>
              <w:tc>
                <w:tcPr>
                  <w:tcW w:w="546" w:type="pct"/>
                  <w:vMerge w:val="restart"/>
                  <w:tcMar>
                    <w:left w:w="0" w:type="dxa"/>
                    <w:right w:w="0" w:type="dxa"/>
                  </w:tcMar>
                  <w:vAlign w:val="center"/>
                </w:tcPr>
                <w:p>
                  <w:pPr>
                    <w:pStyle w:val="17"/>
                    <w:bidi w:val="0"/>
                  </w:pPr>
                  <w:r>
                    <w:rPr>
                      <w:rFonts w:hint="eastAsia"/>
                    </w:rPr>
                    <w:t>3</w:t>
                  </w:r>
                </w:p>
              </w:tc>
              <w:tc>
                <w:tcPr>
                  <w:tcW w:w="393" w:type="pct"/>
                  <w:vMerge w:val="restart"/>
                  <w:tcMar>
                    <w:left w:w="0" w:type="dxa"/>
                    <w:right w:w="0" w:type="dxa"/>
                  </w:tcMar>
                  <w:vAlign w:val="center"/>
                </w:tcPr>
                <w:p>
                  <w:pPr>
                    <w:pStyle w:val="17"/>
                    <w:bidi w:val="0"/>
                  </w:pPr>
                  <w:r>
                    <w:rPr>
                      <w:rFonts w:hint="eastAsia"/>
                    </w:rPr>
                    <w:t>与钻井、试油期同步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vMerge w:val="continue"/>
                  <w:tcMar>
                    <w:left w:w="0" w:type="dxa"/>
                    <w:right w:w="0" w:type="dxa"/>
                  </w:tcMar>
                  <w:vAlign w:val="center"/>
                </w:tcPr>
                <w:p>
                  <w:pPr>
                    <w:pStyle w:val="17"/>
                    <w:bidi w:val="0"/>
                  </w:pPr>
                </w:p>
              </w:tc>
              <w:tc>
                <w:tcPr>
                  <w:tcW w:w="866" w:type="pct"/>
                  <w:tcMar>
                    <w:left w:w="0" w:type="dxa"/>
                    <w:right w:w="0" w:type="dxa"/>
                  </w:tcMar>
                  <w:vAlign w:val="center"/>
                </w:tcPr>
                <w:p>
                  <w:pPr>
                    <w:pStyle w:val="17"/>
                    <w:bidi w:val="0"/>
                  </w:pPr>
                  <w:r>
                    <w:rPr>
                      <w:rFonts w:hint="eastAsia"/>
                    </w:rPr>
                    <w:t>洗井废水、压裂返排液</w:t>
                  </w:r>
                </w:p>
              </w:tc>
              <w:tc>
                <w:tcPr>
                  <w:tcW w:w="2948" w:type="pct"/>
                  <w:tcMar>
                    <w:left w:w="0" w:type="dxa"/>
                    <w:right w:w="0" w:type="dxa"/>
                  </w:tcMar>
                  <w:vAlign w:val="center"/>
                </w:tcPr>
                <w:p>
                  <w:pPr>
                    <w:pStyle w:val="17"/>
                    <w:bidi w:val="0"/>
                  </w:pPr>
                  <w:r>
                    <w:rPr>
                      <w:rFonts w:hint="eastAsia"/>
                    </w:rPr>
                    <w:t>由地面储罐收集后，依托</w:t>
                  </w:r>
                  <w:r>
                    <w:rPr>
                      <w:rFonts w:hint="eastAsia"/>
                      <w:lang w:eastAsia="zh-CN"/>
                    </w:rPr>
                    <w:t>吉祥联合站</w:t>
                  </w:r>
                  <w:r>
                    <w:rPr>
                      <w:rFonts w:hint="eastAsia"/>
                    </w:rPr>
                    <w:t>处理</w:t>
                  </w:r>
                </w:p>
              </w:tc>
              <w:tc>
                <w:tcPr>
                  <w:tcW w:w="546" w:type="pct"/>
                  <w:vMerge w:val="continue"/>
                  <w:tcMar>
                    <w:left w:w="0" w:type="dxa"/>
                    <w:right w:w="0" w:type="dxa"/>
                  </w:tcMar>
                  <w:vAlign w:val="center"/>
                </w:tcPr>
                <w:p>
                  <w:pPr>
                    <w:pStyle w:val="17"/>
                    <w:bidi w:val="0"/>
                  </w:pPr>
                </w:p>
              </w:tc>
              <w:tc>
                <w:tcPr>
                  <w:tcW w:w="393" w:type="pct"/>
                  <w:vMerge w:val="continue"/>
                  <w:tcMar>
                    <w:left w:w="0" w:type="dxa"/>
                    <w:right w:w="0" w:type="dxa"/>
                  </w:tcMar>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vMerge w:val="restart"/>
                  <w:tcMar>
                    <w:left w:w="0" w:type="dxa"/>
                    <w:right w:w="0" w:type="dxa"/>
                  </w:tcMar>
                  <w:vAlign w:val="center"/>
                </w:tcPr>
                <w:p>
                  <w:pPr>
                    <w:pStyle w:val="17"/>
                    <w:bidi w:val="0"/>
                  </w:pPr>
                  <w:r>
                    <w:rPr>
                      <w:rFonts w:hint="eastAsia"/>
                    </w:rPr>
                    <w:t>固废处置</w:t>
                  </w:r>
                </w:p>
              </w:tc>
              <w:tc>
                <w:tcPr>
                  <w:tcW w:w="866" w:type="pct"/>
                  <w:tcMar>
                    <w:left w:w="0" w:type="dxa"/>
                    <w:right w:w="0" w:type="dxa"/>
                  </w:tcMar>
                  <w:vAlign w:val="center"/>
                </w:tcPr>
                <w:p>
                  <w:pPr>
                    <w:pStyle w:val="17"/>
                    <w:bidi w:val="0"/>
                  </w:pPr>
                  <w:r>
                    <w:rPr>
                      <w:rFonts w:hint="eastAsia"/>
                    </w:rPr>
                    <w:t>生活垃圾</w:t>
                  </w:r>
                </w:p>
              </w:tc>
              <w:tc>
                <w:tcPr>
                  <w:tcW w:w="2948" w:type="pct"/>
                  <w:tcMar>
                    <w:left w:w="0" w:type="dxa"/>
                    <w:right w:w="0" w:type="dxa"/>
                  </w:tcMar>
                  <w:vAlign w:val="center"/>
                </w:tcPr>
                <w:p>
                  <w:pPr>
                    <w:pStyle w:val="17"/>
                    <w:bidi w:val="0"/>
                  </w:pPr>
                  <w:r>
                    <w:rPr>
                      <w:rFonts w:hint="eastAsia"/>
                    </w:rPr>
                    <w:t>设有垃圾箱集中收集，施工结束后清运至</w:t>
                  </w:r>
                  <w:r>
                    <w:rPr>
                      <w:rFonts w:hint="eastAsia"/>
                      <w:lang w:val="en-US" w:eastAsia="zh-CN"/>
                    </w:rPr>
                    <w:t>吉木萨尔县</w:t>
                  </w:r>
                  <w:r>
                    <w:rPr>
                      <w:rFonts w:hint="eastAsia"/>
                    </w:rPr>
                    <w:t>生活垃圾填埋场处置</w:t>
                  </w:r>
                </w:p>
              </w:tc>
              <w:tc>
                <w:tcPr>
                  <w:tcW w:w="546" w:type="pct"/>
                  <w:tcMar>
                    <w:left w:w="0" w:type="dxa"/>
                    <w:right w:w="0" w:type="dxa"/>
                  </w:tcMar>
                  <w:vAlign w:val="center"/>
                </w:tcPr>
                <w:p>
                  <w:pPr>
                    <w:pStyle w:val="17"/>
                    <w:bidi w:val="0"/>
                    <w:rPr>
                      <w:rFonts w:hint="eastAsia" w:eastAsia="宋体"/>
                      <w:lang w:eastAsia="zh-CN"/>
                    </w:rPr>
                  </w:pPr>
                  <w:r>
                    <w:rPr>
                      <w:rFonts w:hint="eastAsia"/>
                      <w:lang w:val="en-US" w:eastAsia="zh-CN"/>
                    </w:rPr>
                    <w:t>3</w:t>
                  </w:r>
                </w:p>
              </w:tc>
              <w:tc>
                <w:tcPr>
                  <w:tcW w:w="393" w:type="pct"/>
                  <w:vMerge w:val="continue"/>
                  <w:tcMar>
                    <w:left w:w="0" w:type="dxa"/>
                    <w:right w:w="0" w:type="dxa"/>
                  </w:tcMar>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vMerge w:val="continue"/>
                  <w:tcMar>
                    <w:left w:w="0" w:type="dxa"/>
                    <w:right w:w="0" w:type="dxa"/>
                  </w:tcMar>
                  <w:vAlign w:val="center"/>
                </w:tcPr>
                <w:p>
                  <w:pPr>
                    <w:pStyle w:val="17"/>
                    <w:bidi w:val="0"/>
                  </w:pPr>
                </w:p>
              </w:tc>
              <w:tc>
                <w:tcPr>
                  <w:tcW w:w="866" w:type="pct"/>
                  <w:tcMar>
                    <w:left w:w="0" w:type="dxa"/>
                    <w:right w:w="0" w:type="dxa"/>
                  </w:tcMar>
                  <w:vAlign w:val="center"/>
                </w:tcPr>
                <w:p>
                  <w:pPr>
                    <w:pStyle w:val="17"/>
                    <w:bidi w:val="0"/>
                  </w:pPr>
                  <w:r>
                    <w:rPr>
                      <w:rFonts w:hint="eastAsia"/>
                    </w:rPr>
                    <w:t>水基钻井岩屑</w:t>
                  </w:r>
                </w:p>
              </w:tc>
              <w:tc>
                <w:tcPr>
                  <w:tcW w:w="2948" w:type="pct"/>
                  <w:vMerge w:val="restart"/>
                  <w:tcMar>
                    <w:left w:w="0" w:type="dxa"/>
                    <w:right w:w="0" w:type="dxa"/>
                  </w:tcMar>
                  <w:vAlign w:val="center"/>
                </w:tcPr>
                <w:p>
                  <w:pPr>
                    <w:pStyle w:val="17"/>
                    <w:bidi w:val="0"/>
                  </w:pPr>
                  <w:r>
                    <w:rPr>
                      <w:rFonts w:hint="eastAsia"/>
                    </w:rPr>
                    <w:t>井场设1套钻井液不落地设备，</w:t>
                  </w:r>
                  <w:r>
                    <w:rPr>
                      <w:rFonts w:hint="eastAsia"/>
                      <w:lang w:val="en-US" w:eastAsia="zh-CN"/>
                    </w:rPr>
                    <w:t>建设</w:t>
                  </w:r>
                  <w:r>
                    <w:rPr>
                      <w:rFonts w:hint="eastAsia"/>
                    </w:rPr>
                    <w:t>单位采用泥浆不落地系统，一开为水基非磺化泥浆，同岩屑一起进入不落地系统进行处理，实现固液分离，分离后的液相由</w:t>
                  </w:r>
                  <w:r>
                    <w:rPr>
                      <w:rFonts w:hint="eastAsia"/>
                      <w:lang w:val="en-US" w:eastAsia="zh-CN"/>
                    </w:rPr>
                    <w:t>建设</w:t>
                  </w:r>
                  <w:r>
                    <w:rPr>
                      <w:rFonts w:hint="eastAsia"/>
                    </w:rPr>
                    <w:t>单位回收用于后续钻井循环使用，不外排；固相为一般工业固废，检测达到《油气田钻井固体废物综合利用污染控制要求》（DB65/T 3997-2017）相关标准限值后用于铺路、铺垫井场综合利用，不满足综合利用要求的委托有资质的岩屑处理单位进行处置。二开为油基泥浆，同岩屑一起进入泥浆不落地系统固液分离后，液相循环使用，固相按照危险废物进行管理（危废编号为HW08，废物代码为071-002-08），委托有危废处置资质的单位进行妥善处理。</w:t>
                  </w:r>
                </w:p>
              </w:tc>
              <w:tc>
                <w:tcPr>
                  <w:tcW w:w="546" w:type="pct"/>
                  <w:vMerge w:val="restart"/>
                  <w:tcMar>
                    <w:left w:w="0" w:type="dxa"/>
                    <w:right w:w="0" w:type="dxa"/>
                  </w:tcMar>
                  <w:vAlign w:val="center"/>
                </w:tcPr>
                <w:p>
                  <w:pPr>
                    <w:pStyle w:val="17"/>
                    <w:bidi w:val="0"/>
                    <w:rPr>
                      <w:rFonts w:hint="default" w:eastAsia="宋体"/>
                      <w:lang w:val="en-US" w:eastAsia="zh-CN"/>
                    </w:rPr>
                  </w:pPr>
                  <w:r>
                    <w:rPr>
                      <w:rFonts w:hint="eastAsia"/>
                      <w:lang w:val="en-US" w:eastAsia="zh-CN"/>
                    </w:rPr>
                    <w:t>200</w:t>
                  </w:r>
                </w:p>
              </w:tc>
              <w:tc>
                <w:tcPr>
                  <w:tcW w:w="393" w:type="pct"/>
                  <w:vMerge w:val="continue"/>
                  <w:tcMar>
                    <w:left w:w="0" w:type="dxa"/>
                    <w:right w:w="0" w:type="dxa"/>
                  </w:tcMar>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vMerge w:val="continue"/>
                  <w:tcMar>
                    <w:left w:w="0" w:type="dxa"/>
                    <w:right w:w="0" w:type="dxa"/>
                  </w:tcMar>
                  <w:vAlign w:val="center"/>
                </w:tcPr>
                <w:p>
                  <w:pPr>
                    <w:pStyle w:val="17"/>
                    <w:bidi w:val="0"/>
                  </w:pPr>
                </w:p>
              </w:tc>
              <w:tc>
                <w:tcPr>
                  <w:tcW w:w="866" w:type="pct"/>
                  <w:tcMar>
                    <w:left w:w="0" w:type="dxa"/>
                    <w:right w:w="0" w:type="dxa"/>
                  </w:tcMar>
                  <w:vAlign w:val="center"/>
                </w:tcPr>
                <w:p>
                  <w:pPr>
                    <w:pStyle w:val="17"/>
                    <w:bidi w:val="0"/>
                  </w:pPr>
                  <w:r>
                    <w:rPr>
                      <w:rFonts w:hint="eastAsia"/>
                    </w:rPr>
                    <w:t>废弃油基钻井泥浆和油基钻井岩屑</w:t>
                  </w:r>
                </w:p>
              </w:tc>
              <w:tc>
                <w:tcPr>
                  <w:tcW w:w="2948" w:type="pct"/>
                  <w:vMerge w:val="continue"/>
                  <w:tcMar>
                    <w:left w:w="0" w:type="dxa"/>
                    <w:right w:w="0" w:type="dxa"/>
                  </w:tcMar>
                  <w:vAlign w:val="center"/>
                </w:tcPr>
                <w:p>
                  <w:pPr>
                    <w:pStyle w:val="17"/>
                    <w:bidi w:val="0"/>
                  </w:pPr>
                </w:p>
              </w:tc>
              <w:tc>
                <w:tcPr>
                  <w:tcW w:w="546" w:type="pct"/>
                  <w:vMerge w:val="continue"/>
                  <w:tcMar>
                    <w:left w:w="0" w:type="dxa"/>
                    <w:right w:w="0" w:type="dxa"/>
                  </w:tcMar>
                  <w:vAlign w:val="center"/>
                </w:tcPr>
                <w:p>
                  <w:pPr>
                    <w:pStyle w:val="17"/>
                    <w:bidi w:val="0"/>
                  </w:pPr>
                </w:p>
              </w:tc>
              <w:tc>
                <w:tcPr>
                  <w:tcW w:w="393" w:type="pct"/>
                  <w:vMerge w:val="continue"/>
                  <w:tcMar>
                    <w:left w:w="0" w:type="dxa"/>
                    <w:right w:w="0" w:type="dxa"/>
                  </w:tcMar>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vMerge w:val="continue"/>
                  <w:tcMar>
                    <w:left w:w="0" w:type="dxa"/>
                    <w:right w:w="0" w:type="dxa"/>
                  </w:tcMar>
                  <w:vAlign w:val="center"/>
                </w:tcPr>
                <w:p>
                  <w:pPr>
                    <w:pStyle w:val="17"/>
                    <w:bidi w:val="0"/>
                  </w:pPr>
                </w:p>
              </w:tc>
              <w:tc>
                <w:tcPr>
                  <w:tcW w:w="866" w:type="pct"/>
                  <w:tcMar>
                    <w:left w:w="0" w:type="dxa"/>
                    <w:right w:w="0" w:type="dxa"/>
                  </w:tcMar>
                  <w:vAlign w:val="center"/>
                </w:tcPr>
                <w:p>
                  <w:pPr>
                    <w:pStyle w:val="17"/>
                    <w:bidi w:val="0"/>
                  </w:pPr>
                  <w:r>
                    <w:rPr>
                      <w:rFonts w:hint="eastAsia"/>
                    </w:rPr>
                    <w:t>废防渗材料</w:t>
                  </w:r>
                </w:p>
              </w:tc>
              <w:tc>
                <w:tcPr>
                  <w:tcW w:w="2948" w:type="pct"/>
                  <w:tcMar>
                    <w:left w:w="0" w:type="dxa"/>
                    <w:right w:w="0" w:type="dxa"/>
                  </w:tcMar>
                  <w:vAlign w:val="center"/>
                </w:tcPr>
                <w:p>
                  <w:pPr>
                    <w:pStyle w:val="17"/>
                    <w:bidi w:val="0"/>
                  </w:pPr>
                  <w:r>
                    <w:rPr>
                      <w:rFonts w:hint="eastAsia"/>
                    </w:rPr>
                    <w:t>施工结束后将沾油废防渗膜委托具有相应危险废物处置资质的单位进行处置</w:t>
                  </w:r>
                </w:p>
              </w:tc>
              <w:tc>
                <w:tcPr>
                  <w:tcW w:w="546" w:type="pct"/>
                  <w:tcMar>
                    <w:left w:w="0" w:type="dxa"/>
                    <w:right w:w="0" w:type="dxa"/>
                  </w:tcMar>
                  <w:vAlign w:val="center"/>
                </w:tcPr>
                <w:p>
                  <w:pPr>
                    <w:pStyle w:val="17"/>
                    <w:bidi w:val="0"/>
                  </w:pPr>
                  <w:r>
                    <w:rPr>
                      <w:rFonts w:hint="eastAsia"/>
                    </w:rPr>
                    <w:t>2</w:t>
                  </w:r>
                </w:p>
              </w:tc>
              <w:tc>
                <w:tcPr>
                  <w:tcW w:w="393" w:type="pct"/>
                  <w:vMerge w:val="continue"/>
                  <w:tcMar>
                    <w:left w:w="0" w:type="dxa"/>
                    <w:right w:w="0" w:type="dxa"/>
                  </w:tcMar>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vMerge w:val="continue"/>
                  <w:tcMar>
                    <w:left w:w="0" w:type="dxa"/>
                    <w:right w:w="0" w:type="dxa"/>
                  </w:tcMar>
                  <w:vAlign w:val="center"/>
                </w:tcPr>
                <w:p>
                  <w:pPr>
                    <w:pStyle w:val="17"/>
                    <w:bidi w:val="0"/>
                  </w:pPr>
                </w:p>
              </w:tc>
              <w:tc>
                <w:tcPr>
                  <w:tcW w:w="866" w:type="pct"/>
                  <w:tcMar>
                    <w:left w:w="0" w:type="dxa"/>
                    <w:right w:w="0" w:type="dxa"/>
                  </w:tcMar>
                  <w:vAlign w:val="center"/>
                </w:tcPr>
                <w:p>
                  <w:pPr>
                    <w:pStyle w:val="17"/>
                    <w:bidi w:val="0"/>
                    <w:rPr>
                      <w:rFonts w:hint="eastAsia"/>
                    </w:rPr>
                  </w:pPr>
                  <w:r>
                    <w:rPr>
                      <w:rFonts w:hint="eastAsia"/>
                    </w:rPr>
                    <w:t>落地油</w:t>
                  </w:r>
                </w:p>
              </w:tc>
              <w:tc>
                <w:tcPr>
                  <w:tcW w:w="2948" w:type="pct"/>
                  <w:tcMar>
                    <w:left w:w="0" w:type="dxa"/>
                    <w:right w:w="0" w:type="dxa"/>
                  </w:tcMar>
                  <w:vAlign w:val="center"/>
                </w:tcPr>
                <w:p>
                  <w:pPr>
                    <w:pStyle w:val="17"/>
                    <w:bidi w:val="0"/>
                    <w:rPr>
                      <w:rFonts w:hint="eastAsia"/>
                    </w:rPr>
                  </w:pPr>
                  <w:r>
                    <w:rPr>
                      <w:rFonts w:hint="eastAsia"/>
                    </w:rPr>
                    <w:t>落地油100%回收，集中收集后委托有危险废物处理资质单位进行处置。</w:t>
                  </w:r>
                </w:p>
              </w:tc>
              <w:tc>
                <w:tcPr>
                  <w:tcW w:w="546" w:type="pct"/>
                  <w:tcMar>
                    <w:left w:w="0" w:type="dxa"/>
                    <w:right w:w="0" w:type="dxa"/>
                  </w:tcMar>
                  <w:vAlign w:val="center"/>
                </w:tcPr>
                <w:p>
                  <w:pPr>
                    <w:pStyle w:val="17"/>
                    <w:bidi w:val="0"/>
                    <w:rPr>
                      <w:rFonts w:hint="default" w:eastAsia="宋体"/>
                      <w:lang w:val="en-US" w:eastAsia="zh-CN"/>
                    </w:rPr>
                  </w:pPr>
                  <w:r>
                    <w:rPr>
                      <w:rFonts w:hint="eastAsia"/>
                      <w:lang w:val="en-US" w:eastAsia="zh-CN"/>
                    </w:rPr>
                    <w:t>5</w:t>
                  </w:r>
                </w:p>
              </w:tc>
              <w:tc>
                <w:tcPr>
                  <w:tcW w:w="393" w:type="pct"/>
                  <w:vMerge w:val="continue"/>
                  <w:tcMar>
                    <w:left w:w="0" w:type="dxa"/>
                    <w:right w:w="0" w:type="dxa"/>
                  </w:tcMar>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vMerge w:val="continue"/>
                  <w:tcMar>
                    <w:left w:w="0" w:type="dxa"/>
                    <w:right w:w="0" w:type="dxa"/>
                  </w:tcMar>
                  <w:vAlign w:val="center"/>
                </w:tcPr>
                <w:p>
                  <w:pPr>
                    <w:pStyle w:val="17"/>
                    <w:bidi w:val="0"/>
                  </w:pPr>
                </w:p>
              </w:tc>
              <w:tc>
                <w:tcPr>
                  <w:tcW w:w="866" w:type="pct"/>
                  <w:tcMar>
                    <w:left w:w="0" w:type="dxa"/>
                    <w:right w:w="0" w:type="dxa"/>
                  </w:tcMar>
                  <w:vAlign w:val="center"/>
                </w:tcPr>
                <w:p>
                  <w:pPr>
                    <w:pStyle w:val="17"/>
                    <w:bidi w:val="0"/>
                    <w:rPr>
                      <w:rFonts w:hint="default" w:eastAsia="宋体"/>
                      <w:lang w:val="en-US" w:eastAsia="zh-CN"/>
                    </w:rPr>
                  </w:pPr>
                  <w:r>
                    <w:rPr>
                      <w:rFonts w:hint="eastAsia"/>
                      <w:lang w:val="en-US" w:eastAsia="zh-CN"/>
                    </w:rPr>
                    <w:t>机械设备废油</w:t>
                  </w:r>
                </w:p>
              </w:tc>
              <w:tc>
                <w:tcPr>
                  <w:tcW w:w="2948" w:type="pct"/>
                  <w:tcMar>
                    <w:left w:w="0" w:type="dxa"/>
                    <w:right w:w="0" w:type="dxa"/>
                  </w:tcMar>
                  <w:vAlign w:val="center"/>
                </w:tcPr>
                <w:p>
                  <w:pPr>
                    <w:pStyle w:val="17"/>
                    <w:bidi w:val="0"/>
                    <w:rPr>
                      <w:rFonts w:hint="eastAsia"/>
                    </w:rPr>
                  </w:pPr>
                  <w:r>
                    <w:rPr>
                      <w:rFonts w:hint="eastAsia"/>
                    </w:rPr>
                    <w:t>在临时危废贮存间暂存后，由</w:t>
                  </w:r>
                  <w:r>
                    <w:rPr>
                      <w:rFonts w:hint="eastAsia"/>
                      <w:lang w:val="en-US" w:eastAsia="zh-CN"/>
                    </w:rPr>
                    <w:t>建设</w:t>
                  </w:r>
                  <w:r>
                    <w:rPr>
                      <w:rFonts w:hint="eastAsia"/>
                    </w:rPr>
                    <w:t>单位委托有资质的单位进行处置</w:t>
                  </w:r>
                </w:p>
              </w:tc>
              <w:tc>
                <w:tcPr>
                  <w:tcW w:w="546" w:type="pct"/>
                  <w:tcMar>
                    <w:left w:w="0" w:type="dxa"/>
                    <w:right w:w="0" w:type="dxa"/>
                  </w:tcMar>
                  <w:vAlign w:val="center"/>
                </w:tcPr>
                <w:p>
                  <w:pPr>
                    <w:pStyle w:val="17"/>
                    <w:bidi w:val="0"/>
                    <w:rPr>
                      <w:rFonts w:hint="eastAsia" w:eastAsia="宋体"/>
                      <w:lang w:val="en-US" w:eastAsia="zh-CN"/>
                    </w:rPr>
                  </w:pPr>
                  <w:r>
                    <w:rPr>
                      <w:rFonts w:hint="eastAsia"/>
                      <w:lang w:val="en-US" w:eastAsia="zh-CN"/>
                    </w:rPr>
                    <w:t>2</w:t>
                  </w:r>
                </w:p>
              </w:tc>
              <w:tc>
                <w:tcPr>
                  <w:tcW w:w="393" w:type="pct"/>
                  <w:vMerge w:val="continue"/>
                  <w:tcMar>
                    <w:left w:w="0" w:type="dxa"/>
                    <w:right w:w="0" w:type="dxa"/>
                  </w:tcMar>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pct"/>
                  <w:gridSpan w:val="2"/>
                  <w:tcMar>
                    <w:left w:w="0" w:type="dxa"/>
                    <w:right w:w="0" w:type="dxa"/>
                  </w:tcMar>
                  <w:vAlign w:val="center"/>
                </w:tcPr>
                <w:p>
                  <w:pPr>
                    <w:pStyle w:val="17"/>
                    <w:bidi w:val="0"/>
                  </w:pPr>
                  <w:r>
                    <w:rPr>
                      <w:rFonts w:hint="eastAsia"/>
                    </w:rPr>
                    <w:t>生态恢复</w:t>
                  </w:r>
                </w:p>
              </w:tc>
              <w:tc>
                <w:tcPr>
                  <w:tcW w:w="2948" w:type="pct"/>
                  <w:tcMar>
                    <w:left w:w="0" w:type="dxa"/>
                    <w:right w:w="0" w:type="dxa"/>
                  </w:tcMar>
                  <w:vAlign w:val="center"/>
                </w:tcPr>
                <w:p>
                  <w:pPr>
                    <w:pStyle w:val="17"/>
                    <w:bidi w:val="0"/>
                  </w:pPr>
                  <w:r>
                    <w:rPr>
                      <w:rFonts w:hint="eastAsia"/>
                    </w:rPr>
                    <w:t>对临时占地进行清理、平整和征地补偿</w:t>
                  </w:r>
                </w:p>
              </w:tc>
              <w:tc>
                <w:tcPr>
                  <w:tcW w:w="546" w:type="pct"/>
                  <w:tcMar>
                    <w:left w:w="0" w:type="dxa"/>
                    <w:right w:w="0" w:type="dxa"/>
                  </w:tcMar>
                  <w:vAlign w:val="center"/>
                </w:tcPr>
                <w:p>
                  <w:pPr>
                    <w:pStyle w:val="17"/>
                    <w:bidi w:val="0"/>
                  </w:pPr>
                  <w:r>
                    <w:rPr>
                      <w:rFonts w:hint="eastAsia"/>
                    </w:rPr>
                    <w:t>5</w:t>
                  </w:r>
                </w:p>
              </w:tc>
              <w:tc>
                <w:tcPr>
                  <w:tcW w:w="393" w:type="pct"/>
                  <w:vMerge w:val="continue"/>
                  <w:tcMar>
                    <w:left w:w="0" w:type="dxa"/>
                    <w:right w:w="0" w:type="dxa"/>
                  </w:tcMar>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pct"/>
                  <w:gridSpan w:val="2"/>
                  <w:vMerge w:val="restart"/>
                  <w:tcMar>
                    <w:left w:w="0" w:type="dxa"/>
                    <w:right w:w="0" w:type="dxa"/>
                  </w:tcMar>
                  <w:vAlign w:val="center"/>
                </w:tcPr>
                <w:p>
                  <w:pPr>
                    <w:pStyle w:val="17"/>
                    <w:bidi w:val="0"/>
                    <w:rPr>
                      <w:rFonts w:hint="eastAsia" w:eastAsia="宋体"/>
                      <w:lang w:eastAsia="zh-CN"/>
                    </w:rPr>
                  </w:pPr>
                  <w:r>
                    <w:rPr>
                      <w:rFonts w:hint="eastAsia"/>
                      <w:lang w:val="en-US" w:eastAsia="zh-CN"/>
                    </w:rPr>
                    <w:t>环境风险</w:t>
                  </w:r>
                </w:p>
              </w:tc>
              <w:tc>
                <w:tcPr>
                  <w:tcW w:w="2948" w:type="pct"/>
                  <w:tcMar>
                    <w:left w:w="0" w:type="dxa"/>
                    <w:right w:w="0" w:type="dxa"/>
                  </w:tcMar>
                  <w:vAlign w:val="center"/>
                </w:tcPr>
                <w:p>
                  <w:pPr>
                    <w:pStyle w:val="17"/>
                    <w:bidi w:val="0"/>
                  </w:pPr>
                  <w:r>
                    <w:rPr>
                      <w:rFonts w:hint="eastAsia"/>
                    </w:rPr>
                    <w:t>井控装置；防止井喷；柴油罐、原油罐等储罐底部铺设防渗材料或设置围</w:t>
                  </w:r>
                  <w:r>
                    <w:rPr>
                      <w:rFonts w:hint="eastAsia"/>
                      <w:color w:val="auto"/>
                    </w:rPr>
                    <w:t>堰；井场建设应急放喷池</w:t>
                  </w:r>
                </w:p>
              </w:tc>
              <w:tc>
                <w:tcPr>
                  <w:tcW w:w="546" w:type="pct"/>
                  <w:tcMar>
                    <w:left w:w="0" w:type="dxa"/>
                    <w:right w:w="0" w:type="dxa"/>
                  </w:tcMar>
                  <w:vAlign w:val="center"/>
                </w:tcPr>
                <w:p>
                  <w:pPr>
                    <w:pStyle w:val="17"/>
                    <w:bidi w:val="0"/>
                  </w:pPr>
                  <w:r>
                    <w:t>15</w:t>
                  </w:r>
                </w:p>
              </w:tc>
              <w:tc>
                <w:tcPr>
                  <w:tcW w:w="393" w:type="pct"/>
                  <w:vMerge w:val="continue"/>
                  <w:tcMar>
                    <w:left w:w="0" w:type="dxa"/>
                    <w:right w:w="0" w:type="dxa"/>
                  </w:tcMar>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pct"/>
                  <w:gridSpan w:val="2"/>
                  <w:vMerge w:val="continue"/>
                  <w:tcMar>
                    <w:left w:w="0" w:type="dxa"/>
                    <w:right w:w="0" w:type="dxa"/>
                  </w:tcMar>
                  <w:vAlign w:val="center"/>
                </w:tcPr>
                <w:p>
                  <w:pPr>
                    <w:pStyle w:val="17"/>
                    <w:bidi w:val="0"/>
                  </w:pPr>
                </w:p>
              </w:tc>
              <w:tc>
                <w:tcPr>
                  <w:tcW w:w="2948" w:type="pct"/>
                  <w:tcMar>
                    <w:left w:w="0" w:type="dxa"/>
                    <w:right w:w="0" w:type="dxa"/>
                  </w:tcMar>
                  <w:vAlign w:val="center"/>
                </w:tcPr>
                <w:p>
                  <w:pPr>
                    <w:pStyle w:val="17"/>
                    <w:bidi w:val="0"/>
                  </w:pPr>
                  <w:r>
                    <w:rPr>
                      <w:rFonts w:hint="eastAsia"/>
                    </w:rPr>
                    <w:t>对硫化氢气体浓度进行检测</w:t>
                  </w:r>
                </w:p>
              </w:tc>
              <w:tc>
                <w:tcPr>
                  <w:tcW w:w="546" w:type="pct"/>
                  <w:tcMar>
                    <w:left w:w="0" w:type="dxa"/>
                    <w:right w:w="0" w:type="dxa"/>
                  </w:tcMar>
                  <w:vAlign w:val="center"/>
                </w:tcPr>
                <w:p>
                  <w:pPr>
                    <w:pStyle w:val="17"/>
                    <w:bidi w:val="0"/>
                  </w:pPr>
                  <w:r>
                    <w:rPr>
                      <w:rFonts w:hint="eastAsia"/>
                    </w:rPr>
                    <w:t>2</w:t>
                  </w:r>
                </w:p>
              </w:tc>
              <w:tc>
                <w:tcPr>
                  <w:tcW w:w="393" w:type="pct"/>
                  <w:vMerge w:val="continue"/>
                  <w:tcMar>
                    <w:left w:w="0" w:type="dxa"/>
                    <w:right w:w="0" w:type="dxa"/>
                  </w:tcMar>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60" w:type="pct"/>
                  <w:gridSpan w:val="3"/>
                  <w:tcMar>
                    <w:left w:w="0" w:type="dxa"/>
                    <w:right w:w="0" w:type="dxa"/>
                  </w:tcMar>
                  <w:vAlign w:val="center"/>
                </w:tcPr>
                <w:p>
                  <w:pPr>
                    <w:pStyle w:val="17"/>
                    <w:bidi w:val="0"/>
                  </w:pPr>
                  <w:r>
                    <w:rPr>
                      <w:rFonts w:hint="eastAsia"/>
                    </w:rPr>
                    <w:t>合计</w:t>
                  </w:r>
                </w:p>
              </w:tc>
              <w:tc>
                <w:tcPr>
                  <w:tcW w:w="546" w:type="pct"/>
                  <w:tcMar>
                    <w:left w:w="0" w:type="dxa"/>
                    <w:right w:w="0" w:type="dxa"/>
                  </w:tcMar>
                  <w:vAlign w:val="center"/>
                </w:tcPr>
                <w:p>
                  <w:pPr>
                    <w:pStyle w:val="17"/>
                    <w:bidi w:val="0"/>
                    <w:rPr>
                      <w:rFonts w:hint="default" w:eastAsia="宋体"/>
                      <w:lang w:val="en-US" w:eastAsia="zh-CN"/>
                    </w:rPr>
                  </w:pPr>
                  <w:r>
                    <w:rPr>
                      <w:rFonts w:hint="eastAsia" w:eastAsia="宋体"/>
                      <w:lang w:val="en-US" w:eastAsia="zh-CN"/>
                    </w:rPr>
                    <w:t>237</w:t>
                  </w:r>
                </w:p>
              </w:tc>
              <w:tc>
                <w:tcPr>
                  <w:tcW w:w="393" w:type="pct"/>
                  <w:tcMar>
                    <w:left w:w="0" w:type="dxa"/>
                    <w:right w:w="0" w:type="dxa"/>
                  </w:tcMar>
                  <w:vAlign w:val="center"/>
                </w:tcPr>
                <w:p>
                  <w:pPr>
                    <w:pStyle w:val="17"/>
                    <w:bidi w:val="0"/>
                  </w:pPr>
                  <w:r>
                    <w:rPr>
                      <w:rFonts w:hint="eastAsia"/>
                    </w:rPr>
                    <w:t>/</w:t>
                  </w:r>
                </w:p>
              </w:tc>
            </w:tr>
            <w:bookmarkEnd w:id="12"/>
          </w:tbl>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tc>
      </w:tr>
    </w:tbl>
    <w:p>
      <w:pPr>
        <w:rPr>
          <w:rFonts w:hint="default" w:ascii="Times New Roman" w:hAnsi="Times New Roman" w:cs="Times New Roman"/>
          <w:sz w:val="21"/>
        </w:rPr>
      </w:pPr>
    </w:p>
    <w:p>
      <w:pPr>
        <w:rPr>
          <w:rFonts w:hint="default" w:ascii="Times New Roman" w:hAnsi="Times New Roman" w:cs="Times New Roman"/>
        </w:rPr>
        <w:sectPr>
          <w:footerReference r:id="rId10" w:type="default"/>
          <w:pgSz w:w="11907" w:h="16840"/>
          <w:pgMar w:top="1431" w:right="1339" w:bottom="1185" w:left="1338" w:header="0" w:footer="918" w:gutter="0"/>
          <w:pgNumType w:fmt="decimal"/>
          <w:cols w:space="720" w:num="1"/>
        </w:sectPr>
      </w:pPr>
    </w:p>
    <w:p>
      <w:pPr>
        <w:pStyle w:val="3"/>
        <w:bidi w:val="0"/>
        <w:rPr>
          <w:rFonts w:hint="default"/>
        </w:rPr>
      </w:pPr>
      <w:r>
        <w:rPr>
          <w:rFonts w:hint="default"/>
        </w:rPr>
        <w:t>六、生态环境保护措施监督检查清单</w:t>
      </w:r>
    </w:p>
    <w:p>
      <w:pPr>
        <w:spacing w:line="16" w:lineRule="exact"/>
        <w:rPr>
          <w:rFonts w:hint="default" w:ascii="Times New Roman" w:hAnsi="Times New Roman" w:cs="Times New Roman"/>
        </w:rPr>
      </w:pPr>
    </w:p>
    <w:tbl>
      <w:tblPr>
        <w:tblStyle w:val="15"/>
        <w:tblW w:w="852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9"/>
        <w:gridCol w:w="3467"/>
        <w:gridCol w:w="2500"/>
        <w:gridCol w:w="733"/>
        <w:gridCol w:w="5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99" w:hRule="atLeast"/>
        </w:trPr>
        <w:tc>
          <w:tcPr>
            <w:tcW w:w="1289" w:type="dxa"/>
            <w:vMerge w:val="restart"/>
            <w:tcBorders>
              <w:left w:val="single" w:color="000000" w:sz="6" w:space="0"/>
              <w:bottom w:val="nil"/>
              <w:tl2br w:val="single" w:color="000000" w:sz="4" w:space="0"/>
            </w:tcBorders>
            <w:vAlign w:val="center"/>
          </w:tcPr>
          <w:p>
            <w:pPr>
              <w:pStyle w:val="17"/>
              <w:bidi w:val="0"/>
              <w:rPr>
                <w:rFonts w:hint="default"/>
                <w:color w:val="auto"/>
              </w:rPr>
            </w:pPr>
            <w:r>
              <w:rPr>
                <w:rFonts w:hint="eastAsia"/>
                <w:color w:val="auto"/>
                <w:lang w:val="en-US" w:eastAsia="zh-CN"/>
              </w:rPr>
              <w:t xml:space="preserve">      </w:t>
            </w:r>
            <w:r>
              <w:rPr>
                <w:rFonts w:hint="default"/>
                <w:color w:val="auto"/>
              </w:rPr>
              <w:t>内容</w:t>
            </w:r>
          </w:p>
          <w:p>
            <w:pPr>
              <w:pStyle w:val="17"/>
              <w:bidi w:val="0"/>
              <w:jc w:val="both"/>
              <w:rPr>
                <w:rFonts w:hint="default"/>
                <w:color w:val="auto"/>
              </w:rPr>
            </w:pPr>
            <w:r>
              <w:rPr>
                <w:rFonts w:hint="default"/>
                <w:color w:val="auto"/>
              </w:rPr>
              <w:t>要素</w:t>
            </w:r>
          </w:p>
        </w:tc>
        <w:tc>
          <w:tcPr>
            <w:tcW w:w="5967" w:type="dxa"/>
            <w:gridSpan w:val="2"/>
            <w:vAlign w:val="center"/>
          </w:tcPr>
          <w:p>
            <w:pPr>
              <w:pStyle w:val="17"/>
              <w:bidi w:val="0"/>
              <w:rPr>
                <w:rFonts w:hint="default"/>
                <w:color w:val="auto"/>
              </w:rPr>
            </w:pPr>
            <w:r>
              <w:rPr>
                <w:rFonts w:hint="default"/>
                <w:color w:val="auto"/>
              </w:rPr>
              <w:t>施工期</w:t>
            </w:r>
          </w:p>
        </w:tc>
        <w:tc>
          <w:tcPr>
            <w:tcW w:w="1270" w:type="dxa"/>
            <w:gridSpan w:val="2"/>
            <w:tcBorders>
              <w:right w:val="single" w:color="000000" w:sz="6" w:space="0"/>
            </w:tcBorders>
            <w:vAlign w:val="center"/>
          </w:tcPr>
          <w:p>
            <w:pPr>
              <w:pStyle w:val="17"/>
              <w:bidi w:val="0"/>
              <w:rPr>
                <w:rFonts w:hint="default"/>
                <w:color w:val="auto"/>
              </w:rPr>
            </w:pPr>
            <w:r>
              <w:rPr>
                <w:rFonts w:hint="eastAsia"/>
                <w:color w:val="auto"/>
                <w:lang w:val="en-US" w:eastAsia="zh-CN"/>
              </w:rPr>
              <w:t>试油</w:t>
            </w:r>
            <w:r>
              <w:rPr>
                <w:rFonts w:hint="default"/>
                <w:color w:val="auto"/>
              </w:rPr>
              <w:t>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289" w:type="dxa"/>
            <w:vMerge w:val="continue"/>
            <w:tcBorders>
              <w:top w:val="nil"/>
              <w:left w:val="single" w:color="000000" w:sz="6" w:space="0"/>
              <w:tl2br w:val="single" w:color="000000" w:sz="4" w:space="0"/>
            </w:tcBorders>
            <w:vAlign w:val="center"/>
          </w:tcPr>
          <w:p>
            <w:pPr>
              <w:pStyle w:val="17"/>
              <w:bidi w:val="0"/>
              <w:rPr>
                <w:rFonts w:hint="default"/>
                <w:color w:val="auto"/>
              </w:rPr>
            </w:pPr>
          </w:p>
        </w:tc>
        <w:tc>
          <w:tcPr>
            <w:tcW w:w="3467" w:type="dxa"/>
            <w:vAlign w:val="center"/>
          </w:tcPr>
          <w:p>
            <w:pPr>
              <w:pStyle w:val="17"/>
              <w:bidi w:val="0"/>
              <w:rPr>
                <w:rFonts w:hint="default"/>
                <w:color w:val="auto"/>
              </w:rPr>
            </w:pPr>
            <w:r>
              <w:rPr>
                <w:rFonts w:hint="default"/>
                <w:color w:val="auto"/>
              </w:rPr>
              <w:t>环境保护措施</w:t>
            </w:r>
          </w:p>
        </w:tc>
        <w:tc>
          <w:tcPr>
            <w:tcW w:w="2500" w:type="dxa"/>
            <w:vAlign w:val="center"/>
          </w:tcPr>
          <w:p>
            <w:pPr>
              <w:pStyle w:val="17"/>
              <w:bidi w:val="0"/>
              <w:rPr>
                <w:rFonts w:hint="default"/>
                <w:color w:val="auto"/>
              </w:rPr>
            </w:pPr>
            <w:r>
              <w:rPr>
                <w:rFonts w:hint="default"/>
                <w:color w:val="auto"/>
              </w:rPr>
              <w:t>验收要求</w:t>
            </w:r>
          </w:p>
        </w:tc>
        <w:tc>
          <w:tcPr>
            <w:tcW w:w="733" w:type="dxa"/>
            <w:vAlign w:val="center"/>
          </w:tcPr>
          <w:p>
            <w:pPr>
              <w:pStyle w:val="17"/>
              <w:bidi w:val="0"/>
              <w:rPr>
                <w:rFonts w:hint="default"/>
                <w:color w:val="auto"/>
              </w:rPr>
            </w:pPr>
            <w:r>
              <w:rPr>
                <w:rFonts w:hint="default"/>
                <w:color w:val="auto"/>
              </w:rPr>
              <w:t>环境保护措施</w:t>
            </w:r>
          </w:p>
        </w:tc>
        <w:tc>
          <w:tcPr>
            <w:tcW w:w="537" w:type="dxa"/>
            <w:tcBorders>
              <w:right w:val="single" w:color="000000" w:sz="6" w:space="0"/>
            </w:tcBorders>
            <w:vAlign w:val="center"/>
          </w:tcPr>
          <w:p>
            <w:pPr>
              <w:pStyle w:val="17"/>
              <w:bidi w:val="0"/>
              <w:rPr>
                <w:rFonts w:hint="default"/>
                <w:color w:val="auto"/>
              </w:rPr>
            </w:pPr>
            <w:r>
              <w:rPr>
                <w:rFonts w:hint="default"/>
                <w:color w:val="auto"/>
              </w:rPr>
              <w:t>验收要求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4" w:hRule="atLeast"/>
        </w:trPr>
        <w:tc>
          <w:tcPr>
            <w:tcW w:w="1289" w:type="dxa"/>
            <w:tcBorders>
              <w:left w:val="single" w:color="000000" w:sz="6" w:space="0"/>
            </w:tcBorders>
            <w:vAlign w:val="center"/>
          </w:tcPr>
          <w:p>
            <w:pPr>
              <w:pStyle w:val="17"/>
              <w:bidi w:val="0"/>
              <w:rPr>
                <w:rFonts w:hint="default"/>
                <w:color w:val="auto"/>
              </w:rPr>
            </w:pPr>
            <w:r>
              <w:rPr>
                <w:rFonts w:hint="default"/>
                <w:color w:val="auto"/>
              </w:rPr>
              <w:t>陆生生态</w:t>
            </w:r>
          </w:p>
        </w:tc>
        <w:tc>
          <w:tcPr>
            <w:tcW w:w="3467" w:type="dxa"/>
            <w:vAlign w:val="center"/>
          </w:tcPr>
          <w:p>
            <w:pPr>
              <w:pStyle w:val="17"/>
              <w:bidi w:val="0"/>
              <w:rPr>
                <w:rFonts w:hint="default"/>
                <w:color w:val="auto"/>
              </w:rPr>
            </w:pPr>
            <w:r>
              <w:rPr>
                <w:color w:val="auto"/>
              </w:rPr>
              <w:fldChar w:fldCharType="begin"/>
            </w:r>
            <w:r>
              <w:rPr>
                <w:color w:val="auto"/>
              </w:rPr>
              <w:instrText xml:space="preserve"> </w:instrText>
            </w:r>
            <w:r>
              <w:rPr>
                <w:rFonts w:hint="eastAsia"/>
                <w:color w:val="auto"/>
              </w:rPr>
              <w:instrText xml:space="preserve">= 1 \* GB3</w:instrText>
            </w:r>
            <w:r>
              <w:rPr>
                <w:color w:val="auto"/>
              </w:rPr>
              <w:instrText xml:space="preserve"> </w:instrText>
            </w:r>
            <w:r>
              <w:rPr>
                <w:color w:val="auto"/>
              </w:rPr>
              <w:fldChar w:fldCharType="separate"/>
            </w:r>
            <w:r>
              <w:rPr>
                <w:rFonts w:hint="eastAsia"/>
                <w:color w:val="auto"/>
              </w:rPr>
              <w:t>①</w:t>
            </w:r>
            <w:r>
              <w:rPr>
                <w:color w:val="auto"/>
              </w:rPr>
              <w:fldChar w:fldCharType="end"/>
            </w:r>
            <w:r>
              <w:rPr>
                <w:rFonts w:hint="eastAsia"/>
                <w:color w:val="auto"/>
              </w:rPr>
              <w:t>严格划定路线，禁止乱碾乱轧；确保各环保设施正常运行，避免各种污染物对土壤环境的影响；②严格控制占地，严格规定各类工作人员的活动范围；③完井后施工机械、设备及时撤离，废水和固体废物全部妥善处置，现场禁止遗留，占地应清理平整；</w:t>
            </w:r>
            <w:r>
              <w:rPr>
                <w:color w:val="auto"/>
              </w:rPr>
              <w:fldChar w:fldCharType="begin"/>
            </w:r>
            <w:r>
              <w:rPr>
                <w:color w:val="auto"/>
              </w:rPr>
              <w:instrText xml:space="preserve"> </w:instrText>
            </w:r>
            <w:r>
              <w:rPr>
                <w:rFonts w:hint="eastAsia"/>
                <w:color w:val="auto"/>
              </w:rPr>
              <w:instrText xml:space="preserve">= 4 \* GB3</w:instrText>
            </w:r>
            <w:r>
              <w:rPr>
                <w:color w:val="auto"/>
              </w:rPr>
              <w:instrText xml:space="preserve"> </w:instrText>
            </w:r>
            <w:r>
              <w:rPr>
                <w:color w:val="auto"/>
              </w:rPr>
              <w:fldChar w:fldCharType="separate"/>
            </w:r>
            <w:r>
              <w:rPr>
                <w:rFonts w:hint="eastAsia"/>
                <w:color w:val="auto"/>
              </w:rPr>
              <w:t>④</w:t>
            </w:r>
            <w:r>
              <w:rPr>
                <w:color w:val="auto"/>
              </w:rPr>
              <w:fldChar w:fldCharType="end"/>
            </w:r>
            <w:r>
              <w:rPr>
                <w:rFonts w:hint="eastAsia"/>
                <w:color w:val="auto"/>
              </w:rPr>
              <w:t>建设单位按照相关要求办理临时占地经济补偿协议。⑤</w:t>
            </w:r>
            <w:r>
              <w:rPr>
                <w:color w:val="auto"/>
              </w:rPr>
              <w:t>施工结束后</w:t>
            </w:r>
            <w:r>
              <w:rPr>
                <w:rFonts w:hint="eastAsia"/>
                <w:color w:val="auto"/>
              </w:rPr>
              <w:t>及时</w:t>
            </w:r>
            <w:r>
              <w:rPr>
                <w:color w:val="auto"/>
              </w:rPr>
              <w:t>对场地进行清理、平整并压实</w:t>
            </w:r>
            <w:r>
              <w:rPr>
                <w:rFonts w:hint="eastAsia"/>
                <w:color w:val="auto"/>
              </w:rPr>
              <w:t>。</w:t>
            </w:r>
          </w:p>
        </w:tc>
        <w:tc>
          <w:tcPr>
            <w:tcW w:w="2500" w:type="dxa"/>
            <w:vAlign w:val="center"/>
          </w:tcPr>
          <w:p>
            <w:pPr>
              <w:pStyle w:val="17"/>
              <w:bidi w:val="0"/>
              <w:rPr>
                <w:rFonts w:hint="default"/>
                <w:color w:val="auto"/>
              </w:rPr>
            </w:pPr>
            <w:r>
              <w:rPr>
                <w:rFonts w:hint="eastAsia"/>
                <w:color w:val="auto"/>
              </w:rPr>
              <w:t>生态保护措施落实情况；现场无废水和固体废物遗留；井场及周边占地恢复情况。</w:t>
            </w:r>
            <w:r>
              <w:rPr>
                <w:color w:val="auto"/>
              </w:rPr>
              <w:t>施工结束后清理、平整并压实</w:t>
            </w:r>
            <w:r>
              <w:rPr>
                <w:rFonts w:hint="eastAsia"/>
                <w:color w:val="auto"/>
              </w:rPr>
              <w:t>临时占地</w:t>
            </w:r>
            <w:r>
              <w:rPr>
                <w:color w:val="auto"/>
              </w:rPr>
              <w:t>，以利于植被自然恢复</w:t>
            </w:r>
          </w:p>
        </w:tc>
        <w:tc>
          <w:tcPr>
            <w:tcW w:w="733" w:type="dxa"/>
            <w:vAlign w:val="center"/>
          </w:tcPr>
          <w:p>
            <w:pPr>
              <w:pStyle w:val="17"/>
              <w:bidi w:val="0"/>
              <w:rPr>
                <w:rFonts w:hint="eastAsia" w:eastAsia="宋体"/>
                <w:color w:val="auto"/>
                <w:lang w:val="en-US" w:eastAsia="zh-CN"/>
              </w:rPr>
            </w:pPr>
            <w:r>
              <w:rPr>
                <w:rFonts w:hint="eastAsia"/>
                <w:color w:val="auto"/>
                <w:lang w:val="en-US" w:eastAsia="zh-CN"/>
              </w:rPr>
              <w:t>/</w:t>
            </w:r>
          </w:p>
        </w:tc>
        <w:tc>
          <w:tcPr>
            <w:tcW w:w="537" w:type="dxa"/>
            <w:tcBorders>
              <w:right w:val="single" w:color="000000" w:sz="6" w:space="0"/>
            </w:tcBorders>
            <w:vAlign w:val="center"/>
          </w:tcPr>
          <w:p>
            <w:pPr>
              <w:pStyle w:val="17"/>
              <w:bidi w:val="0"/>
              <w:rPr>
                <w:rFonts w:hint="eastAsia" w:eastAsia="宋体"/>
                <w:color w:val="auto"/>
                <w:lang w:val="en-US" w:eastAsia="zh-CN"/>
              </w:rPr>
            </w:pPr>
            <w:r>
              <w:rPr>
                <w:rFonts w:hint="eastAsia"/>
                <w:color w:val="auto"/>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4" w:hRule="atLeast"/>
        </w:trPr>
        <w:tc>
          <w:tcPr>
            <w:tcW w:w="1289" w:type="dxa"/>
            <w:tcBorders>
              <w:left w:val="single" w:color="000000" w:sz="6" w:space="0"/>
            </w:tcBorders>
            <w:vAlign w:val="center"/>
          </w:tcPr>
          <w:p>
            <w:pPr>
              <w:pStyle w:val="17"/>
              <w:bidi w:val="0"/>
              <w:rPr>
                <w:rFonts w:hint="default"/>
                <w:color w:val="auto"/>
              </w:rPr>
            </w:pPr>
            <w:r>
              <w:rPr>
                <w:rFonts w:hint="default"/>
                <w:color w:val="auto"/>
              </w:rPr>
              <w:t>水生生态</w:t>
            </w:r>
          </w:p>
        </w:tc>
        <w:tc>
          <w:tcPr>
            <w:tcW w:w="3467" w:type="dxa"/>
            <w:vAlign w:val="center"/>
          </w:tcPr>
          <w:p>
            <w:pPr>
              <w:pStyle w:val="17"/>
              <w:bidi w:val="0"/>
              <w:rPr>
                <w:rFonts w:hint="eastAsia" w:eastAsia="宋体"/>
                <w:color w:val="auto"/>
                <w:lang w:val="en-US" w:eastAsia="zh-CN"/>
              </w:rPr>
            </w:pPr>
            <w:r>
              <w:rPr>
                <w:rFonts w:hint="eastAsia"/>
                <w:color w:val="auto"/>
                <w:lang w:val="en-US" w:eastAsia="zh-CN"/>
              </w:rPr>
              <w:t>/</w:t>
            </w:r>
          </w:p>
        </w:tc>
        <w:tc>
          <w:tcPr>
            <w:tcW w:w="2500" w:type="dxa"/>
            <w:vAlign w:val="center"/>
          </w:tcPr>
          <w:p>
            <w:pPr>
              <w:pStyle w:val="17"/>
              <w:bidi w:val="0"/>
              <w:rPr>
                <w:rFonts w:hint="eastAsia" w:eastAsia="宋体"/>
                <w:color w:val="auto"/>
                <w:lang w:val="en-US" w:eastAsia="zh-CN"/>
              </w:rPr>
            </w:pPr>
            <w:r>
              <w:rPr>
                <w:rFonts w:hint="eastAsia"/>
                <w:color w:val="auto"/>
                <w:lang w:val="en-US" w:eastAsia="zh-CN"/>
              </w:rPr>
              <w:t>/</w:t>
            </w:r>
          </w:p>
        </w:tc>
        <w:tc>
          <w:tcPr>
            <w:tcW w:w="733" w:type="dxa"/>
            <w:vAlign w:val="center"/>
          </w:tcPr>
          <w:p>
            <w:pPr>
              <w:pStyle w:val="17"/>
              <w:bidi w:val="0"/>
              <w:rPr>
                <w:rFonts w:hint="default"/>
                <w:color w:val="auto"/>
              </w:rPr>
            </w:pPr>
            <w:r>
              <w:rPr>
                <w:rFonts w:hint="eastAsia"/>
                <w:color w:val="auto"/>
                <w:lang w:val="en-US" w:eastAsia="zh-CN"/>
              </w:rPr>
              <w:t>/</w:t>
            </w:r>
          </w:p>
        </w:tc>
        <w:tc>
          <w:tcPr>
            <w:tcW w:w="537" w:type="dxa"/>
            <w:tcBorders>
              <w:right w:val="single" w:color="000000" w:sz="6" w:space="0"/>
            </w:tcBorders>
            <w:vAlign w:val="center"/>
          </w:tcPr>
          <w:p>
            <w:pPr>
              <w:pStyle w:val="17"/>
              <w:bidi w:val="0"/>
              <w:rPr>
                <w:rFonts w:hint="default"/>
                <w:color w:val="auto"/>
              </w:rPr>
            </w:pPr>
            <w:r>
              <w:rPr>
                <w:rFonts w:hint="eastAsia"/>
                <w:color w:val="auto"/>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4" w:hRule="atLeast"/>
        </w:trPr>
        <w:tc>
          <w:tcPr>
            <w:tcW w:w="1289" w:type="dxa"/>
            <w:tcBorders>
              <w:left w:val="single" w:color="000000" w:sz="6" w:space="0"/>
            </w:tcBorders>
            <w:vAlign w:val="center"/>
          </w:tcPr>
          <w:p>
            <w:pPr>
              <w:pStyle w:val="17"/>
              <w:bidi w:val="0"/>
              <w:rPr>
                <w:rFonts w:hint="default"/>
                <w:color w:val="auto"/>
              </w:rPr>
            </w:pPr>
            <w:r>
              <w:rPr>
                <w:rFonts w:hint="default"/>
                <w:color w:val="auto"/>
              </w:rPr>
              <w:t>地表水环境</w:t>
            </w:r>
          </w:p>
        </w:tc>
        <w:tc>
          <w:tcPr>
            <w:tcW w:w="3467" w:type="dxa"/>
            <w:vAlign w:val="center"/>
          </w:tcPr>
          <w:p>
            <w:pPr>
              <w:pStyle w:val="17"/>
              <w:bidi w:val="0"/>
              <w:rPr>
                <w:rFonts w:hint="eastAsia" w:eastAsia="宋体"/>
                <w:color w:val="auto"/>
                <w:lang w:val="en-US" w:eastAsia="zh-CN"/>
              </w:rPr>
            </w:pPr>
            <w:r>
              <w:rPr>
                <w:rFonts w:hint="eastAsia"/>
                <w:color w:val="auto"/>
                <w:lang w:val="en-US" w:eastAsia="zh-CN"/>
              </w:rPr>
              <w:t>/</w:t>
            </w:r>
          </w:p>
        </w:tc>
        <w:tc>
          <w:tcPr>
            <w:tcW w:w="2500" w:type="dxa"/>
            <w:vAlign w:val="center"/>
          </w:tcPr>
          <w:p>
            <w:pPr>
              <w:pStyle w:val="17"/>
              <w:bidi w:val="0"/>
              <w:rPr>
                <w:rFonts w:hint="eastAsia" w:eastAsia="宋体"/>
                <w:color w:val="auto"/>
                <w:lang w:val="en-US" w:eastAsia="zh-CN"/>
              </w:rPr>
            </w:pPr>
            <w:r>
              <w:rPr>
                <w:rFonts w:hint="eastAsia"/>
                <w:color w:val="auto"/>
                <w:lang w:val="en-US" w:eastAsia="zh-CN"/>
              </w:rPr>
              <w:t>/</w:t>
            </w:r>
          </w:p>
        </w:tc>
        <w:tc>
          <w:tcPr>
            <w:tcW w:w="733" w:type="dxa"/>
            <w:vAlign w:val="center"/>
          </w:tcPr>
          <w:p>
            <w:pPr>
              <w:pStyle w:val="17"/>
              <w:bidi w:val="0"/>
              <w:rPr>
                <w:rFonts w:hint="default"/>
                <w:color w:val="auto"/>
              </w:rPr>
            </w:pPr>
            <w:r>
              <w:rPr>
                <w:rFonts w:hint="eastAsia"/>
                <w:color w:val="auto"/>
                <w:lang w:val="en-US" w:eastAsia="zh-CN"/>
              </w:rPr>
              <w:t>/</w:t>
            </w:r>
          </w:p>
        </w:tc>
        <w:tc>
          <w:tcPr>
            <w:tcW w:w="537" w:type="dxa"/>
            <w:tcBorders>
              <w:right w:val="single" w:color="000000" w:sz="6" w:space="0"/>
            </w:tcBorders>
            <w:vAlign w:val="center"/>
          </w:tcPr>
          <w:p>
            <w:pPr>
              <w:pStyle w:val="17"/>
              <w:bidi w:val="0"/>
              <w:rPr>
                <w:rFonts w:hint="default"/>
                <w:color w:val="auto"/>
              </w:rPr>
            </w:pPr>
            <w:r>
              <w:rPr>
                <w:rFonts w:hint="eastAsia"/>
                <w:color w:val="auto"/>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5" w:hRule="atLeast"/>
        </w:trPr>
        <w:tc>
          <w:tcPr>
            <w:tcW w:w="1289" w:type="dxa"/>
            <w:tcBorders>
              <w:left w:val="single" w:color="000000" w:sz="6" w:space="0"/>
            </w:tcBorders>
            <w:vAlign w:val="center"/>
          </w:tcPr>
          <w:p>
            <w:pPr>
              <w:pStyle w:val="17"/>
              <w:bidi w:val="0"/>
              <w:rPr>
                <w:rFonts w:hint="default"/>
                <w:color w:val="auto"/>
              </w:rPr>
            </w:pPr>
            <w:r>
              <w:rPr>
                <w:rFonts w:hint="default"/>
                <w:color w:val="auto"/>
              </w:rPr>
              <w:t>地下水及土壤环境</w:t>
            </w:r>
          </w:p>
        </w:tc>
        <w:tc>
          <w:tcPr>
            <w:tcW w:w="3467" w:type="dxa"/>
            <w:vAlign w:val="center"/>
          </w:tcPr>
          <w:p>
            <w:pPr>
              <w:pStyle w:val="17"/>
              <w:bidi w:val="0"/>
              <w:rPr>
                <w:rFonts w:hint="default"/>
                <w:color w:val="auto"/>
              </w:rPr>
            </w:pPr>
            <w:r>
              <w:rPr>
                <w:rFonts w:hint="eastAsia"/>
                <w:color w:val="auto"/>
              </w:rPr>
              <w:t>生活污水经临时防渗收集池收集和暂存，完工后由吸污车拉运至</w:t>
            </w:r>
            <w:r>
              <w:rPr>
                <w:rFonts w:hint="eastAsia"/>
                <w:color w:val="auto"/>
                <w:lang w:val="en-US" w:eastAsia="zh-CN"/>
              </w:rPr>
              <w:t>吉木萨尔县</w:t>
            </w:r>
            <w:r>
              <w:rPr>
                <w:rFonts w:hint="eastAsia"/>
                <w:color w:val="auto"/>
              </w:rPr>
              <w:t>污水处理厂处理；②洗井废水和压裂返排液收集至专用储罐后由罐车拉运至</w:t>
            </w:r>
            <w:r>
              <w:rPr>
                <w:rFonts w:hint="eastAsia"/>
                <w:color w:val="auto"/>
                <w:lang w:eastAsia="zh-CN"/>
              </w:rPr>
              <w:t>吉祥联合站</w:t>
            </w:r>
            <w:r>
              <w:rPr>
                <w:rFonts w:hint="eastAsia"/>
                <w:color w:val="auto"/>
              </w:rPr>
              <w:t>处理。</w:t>
            </w:r>
          </w:p>
        </w:tc>
        <w:tc>
          <w:tcPr>
            <w:tcW w:w="2500" w:type="dxa"/>
            <w:vAlign w:val="center"/>
          </w:tcPr>
          <w:p>
            <w:pPr>
              <w:pStyle w:val="17"/>
              <w:bidi w:val="0"/>
              <w:rPr>
                <w:rFonts w:hint="default"/>
                <w:color w:val="auto"/>
              </w:rPr>
            </w:pPr>
            <w:r>
              <w:rPr>
                <w:rFonts w:hint="eastAsia"/>
                <w:color w:val="auto"/>
              </w:rPr>
              <w:t>①生活污水签订清运协议；②洗井废水和压裂返排液现场无遗留。</w:t>
            </w:r>
          </w:p>
        </w:tc>
        <w:tc>
          <w:tcPr>
            <w:tcW w:w="733" w:type="dxa"/>
            <w:vAlign w:val="center"/>
          </w:tcPr>
          <w:p>
            <w:pPr>
              <w:pStyle w:val="17"/>
              <w:bidi w:val="0"/>
              <w:rPr>
                <w:rFonts w:hint="default"/>
                <w:color w:val="auto"/>
              </w:rPr>
            </w:pPr>
            <w:r>
              <w:rPr>
                <w:rFonts w:hint="eastAsia"/>
                <w:color w:val="auto"/>
                <w:lang w:val="en-US" w:eastAsia="zh-CN"/>
              </w:rPr>
              <w:t>/</w:t>
            </w:r>
          </w:p>
        </w:tc>
        <w:tc>
          <w:tcPr>
            <w:tcW w:w="537" w:type="dxa"/>
            <w:tcBorders>
              <w:right w:val="single" w:color="000000" w:sz="6" w:space="0"/>
            </w:tcBorders>
            <w:vAlign w:val="center"/>
          </w:tcPr>
          <w:p>
            <w:pPr>
              <w:pStyle w:val="17"/>
              <w:bidi w:val="0"/>
              <w:rPr>
                <w:rFonts w:hint="default"/>
                <w:color w:val="auto"/>
              </w:rPr>
            </w:pPr>
            <w:r>
              <w:rPr>
                <w:rFonts w:hint="eastAsia"/>
                <w:color w:val="auto"/>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5" w:hRule="atLeast"/>
        </w:trPr>
        <w:tc>
          <w:tcPr>
            <w:tcW w:w="1289" w:type="dxa"/>
            <w:tcBorders>
              <w:left w:val="single" w:color="000000" w:sz="6" w:space="0"/>
            </w:tcBorders>
            <w:vAlign w:val="center"/>
          </w:tcPr>
          <w:p>
            <w:pPr>
              <w:pStyle w:val="17"/>
              <w:bidi w:val="0"/>
              <w:rPr>
                <w:rFonts w:hint="default"/>
                <w:color w:val="auto"/>
              </w:rPr>
            </w:pPr>
            <w:r>
              <w:rPr>
                <w:rFonts w:hint="default"/>
                <w:color w:val="auto"/>
              </w:rPr>
              <w:t>声环境</w:t>
            </w:r>
          </w:p>
        </w:tc>
        <w:tc>
          <w:tcPr>
            <w:tcW w:w="3467" w:type="dxa"/>
            <w:vAlign w:val="center"/>
          </w:tcPr>
          <w:p>
            <w:pPr>
              <w:pStyle w:val="17"/>
              <w:bidi w:val="0"/>
              <w:rPr>
                <w:rFonts w:hint="default"/>
                <w:color w:val="auto"/>
              </w:rPr>
            </w:pPr>
            <w:r>
              <w:rPr>
                <w:rFonts w:hint="eastAsia"/>
                <w:color w:val="auto"/>
              </w:rPr>
              <w:t>在设备选型上要求采用低噪声的设备，施工设备定期检查维修，对噪声较大的设备采取基础减震措施；加强施工场地管理，合理疏导进入施工区的车辆，禁止运输车辆随意高声鸣笛。</w:t>
            </w:r>
          </w:p>
        </w:tc>
        <w:tc>
          <w:tcPr>
            <w:tcW w:w="2500" w:type="dxa"/>
            <w:vAlign w:val="center"/>
          </w:tcPr>
          <w:p>
            <w:pPr>
              <w:pStyle w:val="17"/>
              <w:bidi w:val="0"/>
              <w:rPr>
                <w:rFonts w:hint="default"/>
                <w:color w:val="auto"/>
              </w:rPr>
            </w:pPr>
            <w:bookmarkStart w:id="13" w:name="_GoBack"/>
            <w:bookmarkEnd w:id="13"/>
            <w:r>
              <w:rPr>
                <w:rFonts w:hint="eastAsia"/>
                <w:color w:val="auto"/>
              </w:rPr>
              <w:t>/</w:t>
            </w:r>
          </w:p>
        </w:tc>
        <w:tc>
          <w:tcPr>
            <w:tcW w:w="733" w:type="dxa"/>
            <w:vAlign w:val="center"/>
          </w:tcPr>
          <w:p>
            <w:pPr>
              <w:pStyle w:val="17"/>
              <w:bidi w:val="0"/>
              <w:rPr>
                <w:rFonts w:hint="default"/>
                <w:color w:val="auto"/>
              </w:rPr>
            </w:pPr>
            <w:r>
              <w:rPr>
                <w:rFonts w:hint="eastAsia"/>
                <w:color w:val="auto"/>
                <w:lang w:val="en-US" w:eastAsia="zh-CN"/>
              </w:rPr>
              <w:t>/</w:t>
            </w:r>
          </w:p>
        </w:tc>
        <w:tc>
          <w:tcPr>
            <w:tcW w:w="537" w:type="dxa"/>
            <w:tcBorders>
              <w:right w:val="single" w:color="000000" w:sz="6" w:space="0"/>
            </w:tcBorders>
            <w:vAlign w:val="center"/>
          </w:tcPr>
          <w:p>
            <w:pPr>
              <w:pStyle w:val="17"/>
              <w:bidi w:val="0"/>
              <w:rPr>
                <w:rFonts w:hint="default"/>
                <w:color w:val="auto"/>
              </w:rPr>
            </w:pPr>
            <w:r>
              <w:rPr>
                <w:rFonts w:hint="eastAsia"/>
                <w:color w:val="auto"/>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5" w:hRule="atLeast"/>
        </w:trPr>
        <w:tc>
          <w:tcPr>
            <w:tcW w:w="1289" w:type="dxa"/>
            <w:tcBorders>
              <w:left w:val="single" w:color="000000" w:sz="6" w:space="0"/>
            </w:tcBorders>
            <w:vAlign w:val="center"/>
          </w:tcPr>
          <w:p>
            <w:pPr>
              <w:pStyle w:val="17"/>
              <w:bidi w:val="0"/>
              <w:rPr>
                <w:rFonts w:hint="default"/>
                <w:color w:val="auto"/>
              </w:rPr>
            </w:pPr>
            <w:r>
              <w:rPr>
                <w:rFonts w:hint="default"/>
                <w:color w:val="auto"/>
              </w:rPr>
              <w:t>振动</w:t>
            </w:r>
          </w:p>
        </w:tc>
        <w:tc>
          <w:tcPr>
            <w:tcW w:w="3467" w:type="dxa"/>
            <w:vAlign w:val="center"/>
          </w:tcPr>
          <w:p>
            <w:pPr>
              <w:pStyle w:val="17"/>
              <w:bidi w:val="0"/>
              <w:rPr>
                <w:rFonts w:hint="default"/>
                <w:color w:val="auto"/>
              </w:rPr>
            </w:pPr>
            <w:r>
              <w:rPr>
                <w:rFonts w:hint="eastAsia"/>
                <w:color w:val="auto"/>
              </w:rPr>
              <w:t>/</w:t>
            </w:r>
          </w:p>
        </w:tc>
        <w:tc>
          <w:tcPr>
            <w:tcW w:w="2500" w:type="dxa"/>
            <w:vAlign w:val="center"/>
          </w:tcPr>
          <w:p>
            <w:pPr>
              <w:pStyle w:val="17"/>
              <w:bidi w:val="0"/>
              <w:rPr>
                <w:rFonts w:hint="default"/>
                <w:color w:val="auto"/>
              </w:rPr>
            </w:pPr>
            <w:r>
              <w:rPr>
                <w:rFonts w:hint="eastAsia"/>
                <w:color w:val="auto"/>
              </w:rPr>
              <w:t>/</w:t>
            </w:r>
          </w:p>
        </w:tc>
        <w:tc>
          <w:tcPr>
            <w:tcW w:w="733" w:type="dxa"/>
            <w:vAlign w:val="center"/>
          </w:tcPr>
          <w:p>
            <w:pPr>
              <w:pStyle w:val="17"/>
              <w:bidi w:val="0"/>
              <w:rPr>
                <w:rFonts w:hint="default"/>
                <w:color w:val="auto"/>
              </w:rPr>
            </w:pPr>
            <w:r>
              <w:rPr>
                <w:rFonts w:hint="eastAsia"/>
                <w:color w:val="auto"/>
                <w:lang w:val="en-US" w:eastAsia="zh-CN"/>
              </w:rPr>
              <w:t>/</w:t>
            </w:r>
          </w:p>
        </w:tc>
        <w:tc>
          <w:tcPr>
            <w:tcW w:w="537" w:type="dxa"/>
            <w:tcBorders>
              <w:right w:val="single" w:color="000000" w:sz="6" w:space="0"/>
            </w:tcBorders>
            <w:vAlign w:val="center"/>
          </w:tcPr>
          <w:p>
            <w:pPr>
              <w:pStyle w:val="17"/>
              <w:bidi w:val="0"/>
              <w:rPr>
                <w:rFonts w:hint="default"/>
                <w:color w:val="auto"/>
              </w:rPr>
            </w:pPr>
            <w:r>
              <w:rPr>
                <w:rFonts w:hint="eastAsia"/>
                <w:color w:val="auto"/>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5" w:hRule="atLeast"/>
        </w:trPr>
        <w:tc>
          <w:tcPr>
            <w:tcW w:w="1289" w:type="dxa"/>
            <w:tcBorders>
              <w:left w:val="single" w:color="000000" w:sz="6" w:space="0"/>
            </w:tcBorders>
            <w:vAlign w:val="center"/>
          </w:tcPr>
          <w:p>
            <w:pPr>
              <w:pStyle w:val="17"/>
              <w:bidi w:val="0"/>
              <w:rPr>
                <w:rFonts w:hint="default"/>
                <w:color w:val="auto"/>
              </w:rPr>
            </w:pPr>
            <w:r>
              <w:rPr>
                <w:rFonts w:hint="default"/>
                <w:color w:val="auto"/>
              </w:rPr>
              <w:t>大气环境</w:t>
            </w:r>
          </w:p>
        </w:tc>
        <w:tc>
          <w:tcPr>
            <w:tcW w:w="3467" w:type="dxa"/>
            <w:vAlign w:val="center"/>
          </w:tcPr>
          <w:p>
            <w:pPr>
              <w:pStyle w:val="17"/>
              <w:bidi w:val="0"/>
              <w:rPr>
                <w:rFonts w:hint="default"/>
                <w:color w:val="auto"/>
              </w:rPr>
            </w:pPr>
            <w:r>
              <w:rPr>
                <w:rFonts w:hint="eastAsia"/>
                <w:color w:val="auto"/>
              </w:rPr>
              <w:t>①使用达标柴油，加强设备维护；②试油期产生的伴生气不稳定无法进行回收，经排气管线燃烧后排放；③对易起尘物料遮盖，加强车辆管理</w:t>
            </w:r>
          </w:p>
        </w:tc>
        <w:tc>
          <w:tcPr>
            <w:tcW w:w="2500" w:type="dxa"/>
            <w:vAlign w:val="center"/>
          </w:tcPr>
          <w:p>
            <w:pPr>
              <w:pStyle w:val="17"/>
              <w:bidi w:val="0"/>
              <w:rPr>
                <w:rFonts w:hint="default"/>
                <w:color w:val="auto"/>
              </w:rPr>
            </w:pPr>
            <w:r>
              <w:rPr>
                <w:rFonts w:hint="eastAsia"/>
                <w:color w:val="auto"/>
              </w:rPr>
              <w:t>/</w:t>
            </w:r>
          </w:p>
        </w:tc>
        <w:tc>
          <w:tcPr>
            <w:tcW w:w="733" w:type="dxa"/>
            <w:vAlign w:val="center"/>
          </w:tcPr>
          <w:p>
            <w:pPr>
              <w:pStyle w:val="17"/>
              <w:bidi w:val="0"/>
              <w:rPr>
                <w:rFonts w:hint="default"/>
                <w:color w:val="auto"/>
              </w:rPr>
            </w:pPr>
            <w:r>
              <w:rPr>
                <w:rFonts w:hint="eastAsia"/>
                <w:color w:val="auto"/>
                <w:lang w:val="en-US" w:eastAsia="zh-CN"/>
              </w:rPr>
              <w:t>/</w:t>
            </w:r>
          </w:p>
        </w:tc>
        <w:tc>
          <w:tcPr>
            <w:tcW w:w="537" w:type="dxa"/>
            <w:tcBorders>
              <w:right w:val="single" w:color="000000" w:sz="6" w:space="0"/>
            </w:tcBorders>
            <w:vAlign w:val="center"/>
          </w:tcPr>
          <w:p>
            <w:pPr>
              <w:pStyle w:val="17"/>
              <w:bidi w:val="0"/>
              <w:rPr>
                <w:rFonts w:hint="default"/>
                <w:color w:val="auto"/>
              </w:rPr>
            </w:pPr>
            <w:r>
              <w:rPr>
                <w:rFonts w:hint="eastAsia"/>
                <w:color w:val="auto"/>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5" w:hRule="atLeast"/>
        </w:trPr>
        <w:tc>
          <w:tcPr>
            <w:tcW w:w="1289" w:type="dxa"/>
            <w:tcBorders>
              <w:left w:val="single" w:color="000000" w:sz="6" w:space="0"/>
            </w:tcBorders>
            <w:vAlign w:val="center"/>
          </w:tcPr>
          <w:p>
            <w:pPr>
              <w:pStyle w:val="17"/>
              <w:bidi w:val="0"/>
              <w:rPr>
                <w:rFonts w:hint="default"/>
                <w:color w:val="auto"/>
              </w:rPr>
            </w:pPr>
            <w:r>
              <w:rPr>
                <w:rFonts w:hint="default"/>
                <w:color w:val="auto"/>
              </w:rPr>
              <w:t>固体废物</w:t>
            </w:r>
          </w:p>
        </w:tc>
        <w:tc>
          <w:tcPr>
            <w:tcW w:w="3467" w:type="dxa"/>
            <w:vAlign w:val="center"/>
          </w:tcPr>
          <w:p>
            <w:pPr>
              <w:pStyle w:val="17"/>
              <w:bidi w:val="0"/>
              <w:rPr>
                <w:rFonts w:hint="default"/>
                <w:color w:val="auto"/>
              </w:rPr>
            </w:pPr>
            <w:r>
              <w:rPr>
                <w:rFonts w:hint="eastAsia"/>
                <w:color w:val="auto"/>
              </w:rPr>
              <w:t>①水基钻井岩屑：采用不落地系统进行处理，实现固液分离，分离后的固相为一般工业固废，检测达到《油气田钻井固体废物综合利用污染控制要求》（DB65/T 3997-2017）相关标准限值后用于铺路、铺垫井场综合利用；②废弃油基钻井泥浆和油基钻井岩屑：经不落地系统处理后，由具有相关资质的危废处置单位负责接收、转运、处置；③废防渗材料：未破损、未沾油防渗材料由</w:t>
            </w:r>
            <w:r>
              <w:rPr>
                <w:rFonts w:hint="eastAsia"/>
                <w:color w:val="auto"/>
                <w:lang w:val="en-US" w:eastAsia="zh-CN"/>
              </w:rPr>
              <w:t>建设</w:t>
            </w:r>
            <w:r>
              <w:rPr>
                <w:rFonts w:hint="eastAsia"/>
                <w:color w:val="auto"/>
              </w:rPr>
              <w:t>单位集中回收利用，沾油的废防渗材料委托具有相应危险废物处置资质的单位进行处置；④落地油 100%回收，集中收集后委托有危险废物处理资质单位进行处置。⑤机械设备废油由</w:t>
            </w:r>
            <w:r>
              <w:rPr>
                <w:rFonts w:hint="eastAsia"/>
                <w:color w:val="auto"/>
                <w:lang w:val="en-US" w:eastAsia="zh-CN"/>
              </w:rPr>
              <w:t>建设</w:t>
            </w:r>
            <w:r>
              <w:rPr>
                <w:rFonts w:hint="eastAsia"/>
                <w:color w:val="auto"/>
              </w:rPr>
              <w:t>单位委托有危险废物处理资质单位进行处置⑥生活垃圾：集中收集后定期送至</w:t>
            </w:r>
            <w:r>
              <w:rPr>
                <w:rFonts w:hint="eastAsia"/>
                <w:color w:val="auto"/>
                <w:lang w:val="en-US" w:eastAsia="zh-CN"/>
              </w:rPr>
              <w:t>吉木萨尔</w:t>
            </w:r>
            <w:r>
              <w:rPr>
                <w:rFonts w:hint="eastAsia"/>
                <w:color w:val="auto"/>
              </w:rPr>
              <w:t>县生活垃圾填埋场填埋处置。</w:t>
            </w:r>
          </w:p>
        </w:tc>
        <w:tc>
          <w:tcPr>
            <w:tcW w:w="2500" w:type="dxa"/>
            <w:vAlign w:val="center"/>
          </w:tcPr>
          <w:p>
            <w:pPr>
              <w:pStyle w:val="17"/>
              <w:bidi w:val="0"/>
              <w:rPr>
                <w:rFonts w:hint="default"/>
                <w:color w:val="auto"/>
              </w:rPr>
            </w:pPr>
            <w:r>
              <w:rPr>
                <w:rFonts w:hint="eastAsia"/>
                <w:color w:val="auto"/>
              </w:rPr>
              <w:t>①水基钻井岩屑查阅综合利用情况或委托处置情况；②废弃油基钻井泥浆、油基钻井岩屑、废防渗材料、落地油和沾油废防渗材料、机械设备废油由</w:t>
            </w:r>
            <w:r>
              <w:rPr>
                <w:rFonts w:hint="eastAsia"/>
                <w:color w:val="auto"/>
                <w:lang w:val="en-US" w:eastAsia="zh-CN"/>
              </w:rPr>
              <w:t>建设</w:t>
            </w:r>
            <w:r>
              <w:rPr>
                <w:rFonts w:hint="eastAsia"/>
                <w:color w:val="auto"/>
              </w:rPr>
              <w:t>单位委托有危险废物处理资质单位进行处置并签订处置协议，查阅危险废物台账，检查现场是否有遗留；③生活垃圾签订接收协议。</w:t>
            </w:r>
          </w:p>
        </w:tc>
        <w:tc>
          <w:tcPr>
            <w:tcW w:w="733" w:type="dxa"/>
            <w:vAlign w:val="center"/>
          </w:tcPr>
          <w:p>
            <w:pPr>
              <w:pStyle w:val="17"/>
              <w:bidi w:val="0"/>
              <w:rPr>
                <w:rFonts w:hint="default"/>
                <w:color w:val="auto"/>
              </w:rPr>
            </w:pPr>
            <w:r>
              <w:rPr>
                <w:rFonts w:hint="eastAsia"/>
                <w:color w:val="auto"/>
                <w:lang w:val="en-US" w:eastAsia="zh-CN"/>
              </w:rPr>
              <w:t>/</w:t>
            </w:r>
          </w:p>
        </w:tc>
        <w:tc>
          <w:tcPr>
            <w:tcW w:w="537" w:type="dxa"/>
            <w:tcBorders>
              <w:right w:val="single" w:color="000000" w:sz="6" w:space="0"/>
            </w:tcBorders>
            <w:vAlign w:val="center"/>
          </w:tcPr>
          <w:p>
            <w:pPr>
              <w:pStyle w:val="17"/>
              <w:bidi w:val="0"/>
              <w:rPr>
                <w:rFonts w:hint="default"/>
                <w:color w:val="auto"/>
              </w:rPr>
            </w:pPr>
            <w:r>
              <w:rPr>
                <w:rFonts w:hint="eastAsia"/>
                <w:color w:val="auto"/>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5" w:hRule="atLeast"/>
        </w:trPr>
        <w:tc>
          <w:tcPr>
            <w:tcW w:w="1289" w:type="dxa"/>
            <w:tcBorders>
              <w:left w:val="single" w:color="000000" w:sz="6" w:space="0"/>
            </w:tcBorders>
            <w:vAlign w:val="center"/>
          </w:tcPr>
          <w:p>
            <w:pPr>
              <w:pStyle w:val="17"/>
              <w:bidi w:val="0"/>
              <w:rPr>
                <w:rFonts w:hint="default"/>
                <w:color w:val="auto"/>
              </w:rPr>
            </w:pPr>
            <w:r>
              <w:rPr>
                <w:rFonts w:hint="default"/>
                <w:color w:val="auto"/>
              </w:rPr>
              <w:t>电磁环境</w:t>
            </w:r>
          </w:p>
        </w:tc>
        <w:tc>
          <w:tcPr>
            <w:tcW w:w="3467" w:type="dxa"/>
            <w:vAlign w:val="center"/>
          </w:tcPr>
          <w:p>
            <w:pPr>
              <w:pStyle w:val="17"/>
              <w:bidi w:val="0"/>
              <w:rPr>
                <w:rFonts w:hint="default"/>
                <w:color w:val="auto"/>
              </w:rPr>
            </w:pPr>
            <w:r>
              <w:rPr>
                <w:rFonts w:hint="eastAsia"/>
                <w:color w:val="auto"/>
              </w:rPr>
              <w:t>/</w:t>
            </w:r>
          </w:p>
        </w:tc>
        <w:tc>
          <w:tcPr>
            <w:tcW w:w="2500" w:type="dxa"/>
            <w:vAlign w:val="center"/>
          </w:tcPr>
          <w:p>
            <w:pPr>
              <w:pStyle w:val="17"/>
              <w:bidi w:val="0"/>
              <w:rPr>
                <w:rFonts w:hint="default"/>
                <w:color w:val="auto"/>
              </w:rPr>
            </w:pPr>
            <w:r>
              <w:rPr>
                <w:rFonts w:hint="eastAsia"/>
                <w:color w:val="auto"/>
              </w:rPr>
              <w:t>/</w:t>
            </w:r>
          </w:p>
        </w:tc>
        <w:tc>
          <w:tcPr>
            <w:tcW w:w="733" w:type="dxa"/>
            <w:vAlign w:val="center"/>
          </w:tcPr>
          <w:p>
            <w:pPr>
              <w:pStyle w:val="17"/>
              <w:bidi w:val="0"/>
              <w:rPr>
                <w:rFonts w:hint="default"/>
                <w:color w:val="auto"/>
              </w:rPr>
            </w:pPr>
            <w:r>
              <w:rPr>
                <w:rFonts w:hint="eastAsia"/>
                <w:color w:val="auto"/>
              </w:rPr>
              <w:t>/</w:t>
            </w:r>
          </w:p>
        </w:tc>
        <w:tc>
          <w:tcPr>
            <w:tcW w:w="537" w:type="dxa"/>
            <w:tcBorders>
              <w:right w:val="single" w:color="000000" w:sz="6" w:space="0"/>
            </w:tcBorders>
            <w:vAlign w:val="center"/>
          </w:tcPr>
          <w:p>
            <w:pPr>
              <w:pStyle w:val="17"/>
              <w:bidi w:val="0"/>
              <w:rPr>
                <w:rFonts w:hint="default"/>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5" w:hRule="atLeast"/>
        </w:trPr>
        <w:tc>
          <w:tcPr>
            <w:tcW w:w="1289" w:type="dxa"/>
            <w:tcBorders>
              <w:left w:val="single" w:color="000000" w:sz="6" w:space="0"/>
            </w:tcBorders>
            <w:vAlign w:val="center"/>
          </w:tcPr>
          <w:p>
            <w:pPr>
              <w:pStyle w:val="17"/>
              <w:bidi w:val="0"/>
              <w:rPr>
                <w:rFonts w:hint="default"/>
                <w:color w:val="auto"/>
              </w:rPr>
            </w:pPr>
            <w:r>
              <w:rPr>
                <w:rFonts w:hint="default"/>
                <w:color w:val="auto"/>
              </w:rPr>
              <w:t>环境风险</w:t>
            </w:r>
          </w:p>
        </w:tc>
        <w:tc>
          <w:tcPr>
            <w:tcW w:w="3467" w:type="dxa"/>
            <w:vAlign w:val="center"/>
          </w:tcPr>
          <w:p>
            <w:pPr>
              <w:pStyle w:val="17"/>
              <w:bidi w:val="0"/>
              <w:rPr>
                <w:rFonts w:hint="default"/>
                <w:color w:val="auto"/>
              </w:rPr>
            </w:pPr>
            <w:r>
              <w:rPr>
                <w:rFonts w:hint="eastAsia"/>
                <w:color w:val="auto"/>
              </w:rPr>
              <w:t>①施工时应严格执行相关风险防范措施和规章制度，严禁违规操作加强设备维修与巡检，避免储罐泄漏事故的发生；②在井口安装井控装置，杜绝井喷的发生；如果钻井过程发现油气时，需在井场范围内建设1座应急放喷池（15m×20m×2m），应急放喷池铺设HDPE防渗材料。可以有效收集事故状态下的放喷液，防止污染地下水和土壤；③定期检查固井质量，发现固井质量不合格应及时采取措施，保证固井质量合格；④柴油罐、原油罐等储罐底部铺设防渗材料或设置围堰，加强各类储罐及放喷管线的日常管理及安全检查；⑤应将本项目纳入《</w:t>
            </w:r>
            <w:r>
              <w:rPr>
                <w:rFonts w:hint="eastAsia"/>
                <w:color w:val="auto"/>
                <w:lang w:eastAsia="zh-CN"/>
              </w:rPr>
              <w:t>中国石油天然气股份有限公司吐哈油田分公司准东采油管理区</w:t>
            </w:r>
            <w:r>
              <w:rPr>
                <w:rFonts w:hint="eastAsia"/>
                <w:color w:val="auto"/>
              </w:rPr>
              <w:t>突发环境事件应急预案》。</w:t>
            </w:r>
          </w:p>
        </w:tc>
        <w:tc>
          <w:tcPr>
            <w:tcW w:w="2500" w:type="dxa"/>
            <w:vAlign w:val="center"/>
          </w:tcPr>
          <w:p>
            <w:pPr>
              <w:pStyle w:val="17"/>
              <w:bidi w:val="0"/>
              <w:rPr>
                <w:rFonts w:hint="default"/>
                <w:color w:val="auto"/>
              </w:rPr>
            </w:pPr>
            <w:r>
              <w:rPr>
                <w:rFonts w:hint="eastAsia"/>
                <w:color w:val="auto"/>
              </w:rPr>
              <w:t>/</w:t>
            </w:r>
          </w:p>
        </w:tc>
        <w:tc>
          <w:tcPr>
            <w:tcW w:w="733" w:type="dxa"/>
            <w:vAlign w:val="center"/>
          </w:tcPr>
          <w:p>
            <w:pPr>
              <w:pStyle w:val="17"/>
              <w:bidi w:val="0"/>
              <w:rPr>
                <w:rFonts w:hint="default"/>
                <w:color w:val="auto"/>
              </w:rPr>
            </w:pPr>
            <w:r>
              <w:rPr>
                <w:rFonts w:hint="eastAsia"/>
                <w:color w:val="auto"/>
              </w:rPr>
              <w:t>/</w:t>
            </w:r>
          </w:p>
        </w:tc>
        <w:tc>
          <w:tcPr>
            <w:tcW w:w="537" w:type="dxa"/>
            <w:tcBorders>
              <w:right w:val="single" w:color="000000" w:sz="6" w:space="0"/>
            </w:tcBorders>
            <w:vAlign w:val="center"/>
          </w:tcPr>
          <w:p>
            <w:pPr>
              <w:pStyle w:val="17"/>
              <w:bidi w:val="0"/>
              <w:rPr>
                <w:rFonts w:hint="default"/>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5" w:hRule="atLeast"/>
        </w:trPr>
        <w:tc>
          <w:tcPr>
            <w:tcW w:w="1289" w:type="dxa"/>
            <w:tcBorders>
              <w:left w:val="single" w:color="000000" w:sz="6" w:space="0"/>
            </w:tcBorders>
            <w:vAlign w:val="center"/>
          </w:tcPr>
          <w:p>
            <w:pPr>
              <w:pStyle w:val="17"/>
              <w:bidi w:val="0"/>
              <w:rPr>
                <w:rFonts w:hint="default"/>
                <w:color w:val="auto"/>
              </w:rPr>
            </w:pPr>
            <w:r>
              <w:rPr>
                <w:rFonts w:hint="default"/>
                <w:color w:val="auto"/>
              </w:rPr>
              <w:t>环境监测</w:t>
            </w:r>
          </w:p>
        </w:tc>
        <w:tc>
          <w:tcPr>
            <w:tcW w:w="3467" w:type="dxa"/>
            <w:vAlign w:val="center"/>
          </w:tcPr>
          <w:p>
            <w:pPr>
              <w:pStyle w:val="17"/>
              <w:bidi w:val="0"/>
              <w:rPr>
                <w:rFonts w:hint="default"/>
                <w:color w:val="auto"/>
              </w:rPr>
            </w:pPr>
            <w:r>
              <w:rPr>
                <w:rFonts w:hint="eastAsia"/>
                <w:color w:val="auto"/>
              </w:rPr>
              <w:t>/</w:t>
            </w:r>
          </w:p>
        </w:tc>
        <w:tc>
          <w:tcPr>
            <w:tcW w:w="2500" w:type="dxa"/>
            <w:vAlign w:val="center"/>
          </w:tcPr>
          <w:p>
            <w:pPr>
              <w:pStyle w:val="17"/>
              <w:bidi w:val="0"/>
              <w:rPr>
                <w:rFonts w:hint="default"/>
                <w:color w:val="auto"/>
              </w:rPr>
            </w:pPr>
            <w:r>
              <w:rPr>
                <w:rFonts w:hint="eastAsia"/>
                <w:color w:val="auto"/>
              </w:rPr>
              <w:t>/</w:t>
            </w:r>
          </w:p>
        </w:tc>
        <w:tc>
          <w:tcPr>
            <w:tcW w:w="733" w:type="dxa"/>
            <w:vAlign w:val="center"/>
          </w:tcPr>
          <w:p>
            <w:pPr>
              <w:pStyle w:val="17"/>
              <w:bidi w:val="0"/>
              <w:rPr>
                <w:rFonts w:hint="default"/>
                <w:color w:val="auto"/>
              </w:rPr>
            </w:pPr>
            <w:r>
              <w:rPr>
                <w:rFonts w:hint="eastAsia"/>
                <w:color w:val="auto"/>
              </w:rPr>
              <w:t>/</w:t>
            </w:r>
          </w:p>
        </w:tc>
        <w:tc>
          <w:tcPr>
            <w:tcW w:w="537" w:type="dxa"/>
            <w:tcBorders>
              <w:right w:val="single" w:color="000000" w:sz="6" w:space="0"/>
            </w:tcBorders>
            <w:vAlign w:val="center"/>
          </w:tcPr>
          <w:p>
            <w:pPr>
              <w:pStyle w:val="17"/>
              <w:bidi w:val="0"/>
              <w:rPr>
                <w:rFonts w:hint="default"/>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99" w:hRule="atLeast"/>
        </w:trPr>
        <w:tc>
          <w:tcPr>
            <w:tcW w:w="1289" w:type="dxa"/>
            <w:tcBorders>
              <w:left w:val="single" w:color="000000" w:sz="6" w:space="0"/>
            </w:tcBorders>
            <w:vAlign w:val="center"/>
          </w:tcPr>
          <w:p>
            <w:pPr>
              <w:pStyle w:val="17"/>
              <w:bidi w:val="0"/>
              <w:rPr>
                <w:rFonts w:hint="default"/>
                <w:color w:val="auto"/>
              </w:rPr>
            </w:pPr>
            <w:r>
              <w:rPr>
                <w:rFonts w:hint="default"/>
                <w:color w:val="auto"/>
              </w:rPr>
              <w:t>其他</w:t>
            </w:r>
          </w:p>
        </w:tc>
        <w:tc>
          <w:tcPr>
            <w:tcW w:w="3467" w:type="dxa"/>
            <w:vAlign w:val="center"/>
          </w:tcPr>
          <w:p>
            <w:pPr>
              <w:pStyle w:val="17"/>
              <w:bidi w:val="0"/>
              <w:rPr>
                <w:rFonts w:hint="default"/>
                <w:color w:val="auto"/>
              </w:rPr>
            </w:pPr>
            <w:r>
              <w:rPr>
                <w:rFonts w:hint="eastAsia"/>
                <w:color w:val="auto"/>
                <w:lang w:val="en-US" w:eastAsia="zh-CN"/>
              </w:rPr>
              <w:t>建设</w:t>
            </w:r>
            <w:r>
              <w:rPr>
                <w:rFonts w:hint="eastAsia"/>
                <w:color w:val="auto"/>
              </w:rPr>
              <w:t>单位</w:t>
            </w:r>
            <w:r>
              <w:rPr>
                <w:color w:val="auto"/>
              </w:rPr>
              <w:t>应建立环境保护档案，保存施工前后项目区的影像资料，使施工全过程各类污染物产生、去向和各个污染措施及实施情况均记录在案。建设单位钻井期间进行环保日常检查并做好记录；完工交井前，建设单位主管部门现场验收，合格后方可记录为完工，做到工完料净场地清，并做好记录</w:t>
            </w:r>
            <w:r>
              <w:rPr>
                <w:rFonts w:hint="eastAsia"/>
                <w:color w:val="auto"/>
              </w:rPr>
              <w:t>。</w:t>
            </w:r>
          </w:p>
        </w:tc>
        <w:tc>
          <w:tcPr>
            <w:tcW w:w="2500" w:type="dxa"/>
            <w:vAlign w:val="center"/>
          </w:tcPr>
          <w:p>
            <w:pPr>
              <w:pStyle w:val="17"/>
              <w:bidi w:val="0"/>
              <w:rPr>
                <w:rFonts w:hint="default"/>
                <w:color w:val="auto"/>
              </w:rPr>
            </w:pPr>
            <w:r>
              <w:rPr>
                <w:rFonts w:hint="eastAsia"/>
                <w:color w:val="auto"/>
              </w:rPr>
              <w:t>环境管理制度是否建立并完善，环保机构及人员是否设置到位；是否保留必要的影像资料。</w:t>
            </w:r>
          </w:p>
        </w:tc>
        <w:tc>
          <w:tcPr>
            <w:tcW w:w="733" w:type="dxa"/>
            <w:vAlign w:val="center"/>
          </w:tcPr>
          <w:p>
            <w:pPr>
              <w:pStyle w:val="17"/>
              <w:bidi w:val="0"/>
              <w:rPr>
                <w:rFonts w:hint="default"/>
                <w:color w:val="auto"/>
              </w:rPr>
            </w:pPr>
            <w:r>
              <w:rPr>
                <w:rFonts w:hint="eastAsia"/>
                <w:color w:val="auto"/>
              </w:rPr>
              <w:t>/</w:t>
            </w:r>
          </w:p>
        </w:tc>
        <w:tc>
          <w:tcPr>
            <w:tcW w:w="537" w:type="dxa"/>
            <w:tcBorders>
              <w:right w:val="single" w:color="000000" w:sz="6" w:space="0"/>
            </w:tcBorders>
            <w:vAlign w:val="center"/>
          </w:tcPr>
          <w:p>
            <w:pPr>
              <w:pStyle w:val="17"/>
              <w:bidi w:val="0"/>
              <w:rPr>
                <w:rFonts w:hint="default"/>
                <w:color w:val="auto"/>
              </w:rPr>
            </w:pPr>
          </w:p>
        </w:tc>
      </w:tr>
    </w:tbl>
    <w:p>
      <w:pPr>
        <w:rPr>
          <w:rFonts w:hint="default" w:ascii="Times New Roman" w:hAnsi="Times New Roman" w:cs="Times New Roman"/>
          <w:sz w:val="21"/>
        </w:rPr>
      </w:pPr>
    </w:p>
    <w:p>
      <w:pPr>
        <w:rPr>
          <w:rFonts w:hint="default" w:ascii="Times New Roman" w:hAnsi="Times New Roman" w:cs="Times New Roman"/>
        </w:rPr>
        <w:sectPr>
          <w:footerReference r:id="rId11" w:type="default"/>
          <w:pgSz w:w="11906" w:h="16839"/>
          <w:pgMar w:top="1431" w:right="1682" w:bottom="1185" w:left="1682" w:header="0" w:footer="918" w:gutter="0"/>
          <w:pgNumType w:fmt="decimal"/>
          <w:cols w:space="720" w:num="1"/>
        </w:sectPr>
      </w:pPr>
    </w:p>
    <w:p>
      <w:pPr>
        <w:pStyle w:val="3"/>
        <w:bidi w:val="0"/>
        <w:rPr>
          <w:rFonts w:hint="default"/>
        </w:rPr>
      </w:pPr>
      <w:r>
        <w:rPr>
          <w:rFonts w:hint="default"/>
        </w:rPr>
        <w:t>七、结论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198" w:hRule="atLeast"/>
        </w:trPr>
        <w:tc>
          <w:tcPr>
            <w:tcW w:w="8522" w:type="dxa"/>
          </w:tcPr>
          <w:p>
            <w:pPr>
              <w:pStyle w:val="16"/>
              <w:widowControl w:val="0"/>
              <w:bidi w:val="0"/>
              <w:rPr>
                <w:rFonts w:hint="default"/>
                <w:color w:val="auto"/>
              </w:rPr>
            </w:pPr>
            <w:r>
              <w:rPr>
                <w:rFonts w:hint="default"/>
                <w:color w:val="auto"/>
              </w:rPr>
              <w:t>本项目符合国家产业政策，选址较为合理，项目建设清洁生产，符合达标排放、总量控制及维持环境质量原则；符合风险防范措施要求。通过加强管理，严格落实本报告表中所提出的各项环境保护措施及生态恢复方案，该项目产生的废气、噪声可以实现达标排放，固废得到妥善处置。项目开采会导致自然景观和地形地貌发生变化，造随着开采的结束，对开采区域进行生态恢复治理后，生态及景观会逐步恢复，对区域整体环境影响不大，各项污染治理措施实施且确保全部污染物达标排放的前提下，本次项目的建设从环境影响角度而言，项目实施是可行的。</w:t>
            </w:r>
          </w:p>
          <w:p>
            <w:pPr>
              <w:widowControl w:val="0"/>
              <w:rPr>
                <w:rFonts w:hint="default" w:ascii="Times New Roman" w:hAnsi="Times New Roman" w:cs="Times New Roman"/>
                <w:color w:val="auto"/>
                <w:vertAlign w:val="baseline"/>
              </w:rPr>
            </w:pPr>
          </w:p>
          <w:p>
            <w:pPr>
              <w:widowControl w:val="0"/>
              <w:rPr>
                <w:rFonts w:hint="default" w:ascii="Times New Roman" w:hAnsi="Times New Roman" w:cs="Times New Roman"/>
                <w:vertAlign w:val="baseline"/>
              </w:rPr>
            </w:pPr>
          </w:p>
          <w:p>
            <w:pPr>
              <w:widowControl w:val="0"/>
              <w:rPr>
                <w:rFonts w:hint="default" w:ascii="Times New Roman" w:hAnsi="Times New Roman" w:cs="Times New Roman"/>
                <w:vertAlign w:val="baseline"/>
              </w:rPr>
            </w:pPr>
          </w:p>
          <w:p>
            <w:pPr>
              <w:widowControl w:val="0"/>
              <w:rPr>
                <w:rFonts w:hint="default" w:ascii="Times New Roman" w:hAnsi="Times New Roman" w:cs="Times New Roman"/>
                <w:vertAlign w:val="baseline"/>
              </w:rPr>
            </w:pPr>
          </w:p>
          <w:p>
            <w:pPr>
              <w:widowControl w:val="0"/>
              <w:rPr>
                <w:rFonts w:hint="default" w:ascii="Times New Roman" w:hAnsi="Times New Roman" w:cs="Times New Roman"/>
                <w:vertAlign w:val="baseline"/>
              </w:rPr>
            </w:pPr>
          </w:p>
          <w:p>
            <w:pPr>
              <w:widowControl w:val="0"/>
              <w:rPr>
                <w:rFonts w:hint="default" w:ascii="Times New Roman" w:hAnsi="Times New Roman" w:cs="Times New Roman"/>
                <w:vertAlign w:val="baseline"/>
              </w:rPr>
            </w:pPr>
          </w:p>
          <w:p>
            <w:pPr>
              <w:widowControl w:val="0"/>
              <w:rPr>
                <w:rFonts w:hint="default" w:ascii="Times New Roman" w:hAnsi="Times New Roman" w:cs="Times New Roman"/>
                <w:vertAlign w:val="baseline"/>
              </w:rPr>
            </w:pPr>
          </w:p>
          <w:p>
            <w:pPr>
              <w:widowControl w:val="0"/>
              <w:rPr>
                <w:rFonts w:hint="default" w:ascii="Times New Roman" w:hAnsi="Times New Roman" w:cs="Times New Roman"/>
                <w:vertAlign w:val="baseline"/>
              </w:rPr>
            </w:pPr>
          </w:p>
          <w:p>
            <w:pPr>
              <w:widowControl w:val="0"/>
              <w:rPr>
                <w:rFonts w:hint="default" w:ascii="Times New Roman" w:hAnsi="Times New Roman" w:cs="Times New Roman"/>
                <w:vertAlign w:val="baseline"/>
              </w:rPr>
            </w:pPr>
          </w:p>
          <w:p>
            <w:pPr>
              <w:widowControl w:val="0"/>
              <w:rPr>
                <w:rFonts w:hint="default" w:ascii="Times New Roman" w:hAnsi="Times New Roman" w:cs="Times New Roman"/>
                <w:vertAlign w:val="baseline"/>
              </w:rPr>
            </w:pPr>
          </w:p>
          <w:p>
            <w:pPr>
              <w:widowControl w:val="0"/>
              <w:rPr>
                <w:rFonts w:hint="default" w:ascii="Times New Roman" w:hAnsi="Times New Roman" w:cs="Times New Roman"/>
                <w:vertAlign w:val="baseline"/>
              </w:rPr>
            </w:pPr>
          </w:p>
        </w:tc>
      </w:tr>
    </w:tbl>
    <w:p>
      <w:pPr>
        <w:rPr>
          <w:rFonts w:hint="default" w:ascii="Times New Roman" w:hAnsi="Times New Roman" w:cs="Times New Roman"/>
        </w:rPr>
      </w:pP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jc w:val="right"/>
      <w:rPr>
        <w:rFonts w:ascii="宋体" w:hAnsi="宋体" w:eastAsia="宋体" w:cs="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18"/>
      <w:rPr>
        <w:rFonts w:ascii="宋体" w:hAnsi="宋体" w:eastAsia="宋体" w:cs="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right="393"/>
      <w:jc w:val="right"/>
      <w:outlineLvl w:val="2"/>
      <w:rPr>
        <w:rFonts w:ascii="宋体" w:hAnsi="宋体" w:eastAsia="宋体" w:cs="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44"/>
      <w:outlineLvl w:val="2"/>
      <w:rPr>
        <w:rFonts w:ascii="宋体" w:hAnsi="宋体" w:eastAsia="宋体" w:cs="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571"/>
      <w:rPr>
        <w:rFonts w:ascii="宋体" w:hAnsi="宋体" w:eastAsia="宋体" w:cs="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7"/>
      <w:rPr>
        <w:rFonts w:ascii="宋体" w:hAnsi="宋体" w:eastAsia="宋体" w:cs="宋体"/>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right="109"/>
      <w:jc w:val="right"/>
      <w:rPr>
        <w:rFonts w:ascii="宋体" w:hAnsi="宋体" w:eastAsia="宋体" w:cs="宋体"/>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11C1E3"/>
    <w:multiLevelType w:val="singleLevel"/>
    <w:tmpl w:val="A611C1E3"/>
    <w:lvl w:ilvl="0" w:tentative="0">
      <w:start w:val="3"/>
      <w:numFmt w:val="decimal"/>
      <w:suff w:val="nothing"/>
      <w:lvlText w:val="%1、"/>
      <w:lvlJc w:val="left"/>
    </w:lvl>
  </w:abstractNum>
  <w:abstractNum w:abstractNumId="1">
    <w:nsid w:val="05948E03"/>
    <w:multiLevelType w:val="singleLevel"/>
    <w:tmpl w:val="05948E03"/>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JmYzY1YjY0MzEzOWQxYjk1ZmE0ZjIzODQxZDkyOWMifQ=="/>
  </w:docVars>
  <w:rsids>
    <w:rsidRoot w:val="1FF267AE"/>
    <w:rsid w:val="00244FEE"/>
    <w:rsid w:val="009062EC"/>
    <w:rsid w:val="00B84FDE"/>
    <w:rsid w:val="03D24E4F"/>
    <w:rsid w:val="04561A95"/>
    <w:rsid w:val="04A90CC6"/>
    <w:rsid w:val="050E729C"/>
    <w:rsid w:val="05D90BCF"/>
    <w:rsid w:val="063F364B"/>
    <w:rsid w:val="072D7C81"/>
    <w:rsid w:val="07CF2ED8"/>
    <w:rsid w:val="08430203"/>
    <w:rsid w:val="08BE7D80"/>
    <w:rsid w:val="09623EB4"/>
    <w:rsid w:val="09F37282"/>
    <w:rsid w:val="0A470F01"/>
    <w:rsid w:val="0BC45746"/>
    <w:rsid w:val="0BE04B46"/>
    <w:rsid w:val="0D606794"/>
    <w:rsid w:val="0D8F39BC"/>
    <w:rsid w:val="0E89704E"/>
    <w:rsid w:val="0F04476B"/>
    <w:rsid w:val="0FAB7D40"/>
    <w:rsid w:val="10FE14EA"/>
    <w:rsid w:val="12B91B6C"/>
    <w:rsid w:val="179F15C8"/>
    <w:rsid w:val="197E6F4F"/>
    <w:rsid w:val="1A294AA2"/>
    <w:rsid w:val="1C3A11AA"/>
    <w:rsid w:val="1C545738"/>
    <w:rsid w:val="1C8054A9"/>
    <w:rsid w:val="1CD119E9"/>
    <w:rsid w:val="1FF267AE"/>
    <w:rsid w:val="20C229C0"/>
    <w:rsid w:val="21582E98"/>
    <w:rsid w:val="22E53956"/>
    <w:rsid w:val="23466CC2"/>
    <w:rsid w:val="23F073B8"/>
    <w:rsid w:val="24D758DF"/>
    <w:rsid w:val="253F23A5"/>
    <w:rsid w:val="270029AE"/>
    <w:rsid w:val="2B177920"/>
    <w:rsid w:val="2BA92289"/>
    <w:rsid w:val="2C17486D"/>
    <w:rsid w:val="2C535918"/>
    <w:rsid w:val="2D825525"/>
    <w:rsid w:val="2DF551FA"/>
    <w:rsid w:val="2EC83AA0"/>
    <w:rsid w:val="2FB9324C"/>
    <w:rsid w:val="30165102"/>
    <w:rsid w:val="30253D18"/>
    <w:rsid w:val="306A22A0"/>
    <w:rsid w:val="322070BA"/>
    <w:rsid w:val="336A2CE3"/>
    <w:rsid w:val="35E6686D"/>
    <w:rsid w:val="36A22794"/>
    <w:rsid w:val="392341A7"/>
    <w:rsid w:val="3ACE1B59"/>
    <w:rsid w:val="3B512BAF"/>
    <w:rsid w:val="3B6D6C62"/>
    <w:rsid w:val="420A1133"/>
    <w:rsid w:val="42716535"/>
    <w:rsid w:val="43D522D2"/>
    <w:rsid w:val="441F0B17"/>
    <w:rsid w:val="44DC3315"/>
    <w:rsid w:val="45141724"/>
    <w:rsid w:val="467153A5"/>
    <w:rsid w:val="47A92737"/>
    <w:rsid w:val="4832796E"/>
    <w:rsid w:val="4A764326"/>
    <w:rsid w:val="4AE63699"/>
    <w:rsid w:val="4D1D67F6"/>
    <w:rsid w:val="4E6F51FA"/>
    <w:rsid w:val="4F11117A"/>
    <w:rsid w:val="507C24B7"/>
    <w:rsid w:val="50AA530B"/>
    <w:rsid w:val="53ED751C"/>
    <w:rsid w:val="54B61036"/>
    <w:rsid w:val="558C4355"/>
    <w:rsid w:val="55954ABD"/>
    <w:rsid w:val="568B4803"/>
    <w:rsid w:val="58CE6281"/>
    <w:rsid w:val="5BBA2306"/>
    <w:rsid w:val="5BC64F36"/>
    <w:rsid w:val="5C4A082C"/>
    <w:rsid w:val="5E48440C"/>
    <w:rsid w:val="62215FA2"/>
    <w:rsid w:val="655D5954"/>
    <w:rsid w:val="66CD3FE8"/>
    <w:rsid w:val="68221699"/>
    <w:rsid w:val="695F7F7E"/>
    <w:rsid w:val="6A875189"/>
    <w:rsid w:val="6CD31B9E"/>
    <w:rsid w:val="6DBE53FE"/>
    <w:rsid w:val="6FB302E9"/>
    <w:rsid w:val="721655A2"/>
    <w:rsid w:val="73EE3425"/>
    <w:rsid w:val="75F17414"/>
    <w:rsid w:val="76537190"/>
    <w:rsid w:val="783F20DB"/>
    <w:rsid w:val="79A2125F"/>
    <w:rsid w:val="79ED3093"/>
    <w:rsid w:val="7DAF1B14"/>
    <w:rsid w:val="7EF6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snapToGrid/>
      <w:spacing w:line="360" w:lineRule="auto"/>
      <w:jc w:val="left"/>
      <w:textAlignment w:val="baseline"/>
    </w:pPr>
    <w:rPr>
      <w:rFonts w:ascii="Times New Roman" w:hAnsi="Times New Roman" w:eastAsia="宋体" w:cs="Arial"/>
      <w:snapToGrid w:val="0"/>
      <w:color w:val="000000"/>
      <w:kern w:val="0"/>
      <w:sz w:val="24"/>
      <w:szCs w:val="21"/>
    </w:rPr>
  </w:style>
  <w:style w:type="paragraph" w:styleId="3">
    <w:name w:val="heading 1"/>
    <w:basedOn w:val="1"/>
    <w:next w:val="1"/>
    <w:qFormat/>
    <w:uiPriority w:val="0"/>
    <w:pPr>
      <w:keepNext/>
      <w:keepLines/>
      <w:spacing w:beforeLines="0" w:beforeAutospacing="0" w:afterLines="0" w:afterAutospacing="0" w:line="360" w:lineRule="auto"/>
      <w:jc w:val="both"/>
      <w:outlineLvl w:val="0"/>
    </w:pPr>
    <w:rPr>
      <w:rFonts w:ascii="Times New Roman" w:hAnsi="Times New Roman" w:eastAsia="宋体"/>
      <w:b/>
      <w:kern w:val="44"/>
      <w:sz w:val="32"/>
    </w:rPr>
  </w:style>
  <w:style w:type="paragraph" w:styleId="4">
    <w:name w:val="heading 2"/>
    <w:basedOn w:val="1"/>
    <w:next w:val="1"/>
    <w:qFormat/>
    <w:uiPriority w:val="0"/>
    <w:pPr>
      <w:keepNext/>
      <w:keepLines/>
      <w:spacing w:line="360" w:lineRule="auto"/>
      <w:outlineLvl w:val="1"/>
    </w:pPr>
    <w:rPr>
      <w:rFonts w:ascii="Times New Roman" w:hAnsi="Times New Roman" w:eastAsia="宋体"/>
      <w:b/>
      <w:bCs/>
      <w:sz w:val="28"/>
      <w:szCs w:val="32"/>
    </w:rPr>
  </w:style>
  <w:style w:type="paragraph" w:styleId="5">
    <w:name w:val="heading 3"/>
    <w:basedOn w:val="1"/>
    <w:next w:val="1"/>
    <w:unhideWhenUsed/>
    <w:qFormat/>
    <w:uiPriority w:val="0"/>
    <w:pPr>
      <w:keepNext/>
      <w:keepLines/>
      <w:spacing w:beforeLines="0" w:beforeAutospacing="0" w:afterLines="0" w:afterAutospacing="0" w:line="360" w:lineRule="auto"/>
      <w:outlineLvl w:val="2"/>
    </w:pPr>
    <w:rPr>
      <w:rFonts w:ascii="Times New Roman" w:hAnsi="Times New Roman" w:eastAsia="宋体"/>
      <w:b/>
      <w:sz w:val="24"/>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0"/>
    <w:pPr>
      <w:ind w:firstLine="480"/>
    </w:pPr>
    <w:rPr>
      <w:rFonts w:ascii="Times New Roman" w:hAnsi="Times New Roman" w:eastAsia="宋体" w:cs="宋体"/>
      <w:b/>
      <w:color w:val="000000"/>
      <w:szCs w:val="24"/>
    </w:rPr>
  </w:style>
  <w:style w:type="paragraph" w:styleId="7">
    <w:name w:val="Body Text"/>
    <w:basedOn w:val="1"/>
    <w:qFormat/>
    <w:uiPriority w:val="0"/>
    <w:pPr>
      <w:widowControl/>
      <w:snapToGrid w:val="0"/>
      <w:spacing w:before="60" w:after="160" w:line="259" w:lineRule="auto"/>
      <w:ind w:right="113"/>
    </w:pPr>
    <w:rPr>
      <w:kern w:val="0"/>
      <w:sz w:val="18"/>
      <w:szCs w:val="18"/>
    </w:rPr>
  </w:style>
  <w:style w:type="paragraph" w:styleId="8">
    <w:name w:val="footer"/>
    <w:basedOn w:val="1"/>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spacing w:line="240" w:lineRule="auto"/>
      <w:ind w:firstLine="0" w:firstLineChars="0"/>
      <w:jc w:val="center"/>
      <w:outlineLvl w:val="9"/>
    </w:pPr>
    <w:rPr>
      <w:sz w:val="18"/>
    </w:rPr>
  </w:style>
  <w:style w:type="paragraph" w:styleId="10">
    <w:name w:val="List"/>
    <w:basedOn w:val="1"/>
    <w:qFormat/>
    <w:uiPriority w:val="0"/>
    <w:pPr>
      <w:ind w:left="200" w:hanging="200" w:hangingChars="200"/>
    </w:pPr>
    <w:rPr>
      <w:szCs w:val="20"/>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表头"/>
    <w:next w:val="1"/>
    <w:link w:val="20"/>
    <w:qFormat/>
    <w:uiPriority w:val="0"/>
    <w:pPr>
      <w:overflowPunct w:val="0"/>
      <w:autoSpaceDE w:val="0"/>
      <w:autoSpaceDN w:val="0"/>
      <w:adjustRightInd w:val="0"/>
      <w:snapToGrid/>
      <w:spacing w:line="360" w:lineRule="auto"/>
      <w:ind w:right="0" w:firstLine="0" w:firstLineChars="0"/>
      <w:jc w:val="center"/>
      <w:textAlignment w:val="baseline"/>
    </w:pPr>
    <w:rPr>
      <w:rFonts w:ascii="Times New Roman" w:hAnsi="Times New Roman" w:eastAsia="宋体" w:cstheme="minorBidi"/>
      <w:b/>
      <w:kern w:val="0"/>
      <w:sz w:val="24"/>
      <w:szCs w:val="20"/>
    </w:rPr>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首行缩进"/>
    <w:basedOn w:val="1"/>
    <w:link w:val="18"/>
    <w:qFormat/>
    <w:uiPriority w:val="0"/>
    <w:pPr>
      <w:adjustRightInd/>
      <w:snapToGrid/>
      <w:spacing w:line="360" w:lineRule="auto"/>
      <w:ind w:firstLine="420" w:firstLineChars="200"/>
    </w:pPr>
    <w:rPr>
      <w:rFonts w:ascii="Times New Roman" w:hAnsi="Times New Roman" w:eastAsia="宋体" w:cs="Times New Roman"/>
      <w:sz w:val="24"/>
    </w:rPr>
  </w:style>
  <w:style w:type="paragraph" w:customStyle="1" w:styleId="17">
    <w:name w:val="表格及其内容"/>
    <w:basedOn w:val="1"/>
    <w:qFormat/>
    <w:uiPriority w:val="0"/>
    <w:pPr>
      <w:spacing w:line="240" w:lineRule="auto"/>
      <w:jc w:val="center"/>
    </w:pPr>
    <w:rPr>
      <w:rFonts w:ascii="Times New Roman" w:hAnsi="Times New Roman" w:eastAsia="宋体"/>
      <w:sz w:val="21"/>
    </w:rPr>
  </w:style>
  <w:style w:type="character" w:customStyle="1" w:styleId="18">
    <w:name w:val="首行缩进 Char"/>
    <w:link w:val="16"/>
    <w:qFormat/>
    <w:uiPriority w:val="0"/>
    <w:rPr>
      <w:rFonts w:ascii="Times New Roman" w:hAnsi="Times New Roman" w:eastAsia="宋体" w:cs="Times New Roman"/>
      <w:sz w:val="24"/>
    </w:rPr>
  </w:style>
  <w:style w:type="paragraph" w:customStyle="1" w:styleId="19">
    <w:name w:val="表中小标题"/>
    <w:basedOn w:val="1"/>
    <w:next w:val="1"/>
    <w:qFormat/>
    <w:uiPriority w:val="0"/>
    <w:pPr>
      <w:ind w:firstLine="0" w:firstLineChars="0"/>
    </w:pPr>
    <w:rPr>
      <w:b/>
      <w:bCs/>
      <w:lang w:val="en-US" w:eastAsia="zh-CN"/>
    </w:rPr>
  </w:style>
  <w:style w:type="character" w:customStyle="1" w:styleId="20">
    <w:name w:val="表头 Char"/>
    <w:link w:val="14"/>
    <w:qFormat/>
    <w:uiPriority w:val="0"/>
    <w:rPr>
      <w:rFonts w:ascii="Times New Roman" w:hAnsi="Times New Roman" w:eastAsia="宋体" w:cstheme="minorBidi"/>
      <w:b/>
      <w:kern w:val="0"/>
      <w:sz w:val="24"/>
      <w:szCs w:val="20"/>
    </w:rPr>
  </w:style>
  <w:style w:type="table" w:customStyle="1" w:styleId="21">
    <w:name w:val="样式1"/>
    <w:basedOn w:val="11"/>
    <w:qFormat/>
    <w:uiPriority w:val="0"/>
    <w:pPr>
      <w:spacing w:line="300" w:lineRule="exact"/>
      <w:jc w:val="center"/>
    </w:pPr>
    <w:rPr>
      <w:sz w:val="21"/>
    </w:r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22">
    <w:name w:val="报告书表格样式1"/>
    <w:basedOn w:val="11"/>
    <w:qFormat/>
    <w:uiPriority w:val="0"/>
    <w:pPr>
      <w:adjustRightInd w:val="0"/>
      <w:snapToGrid w:val="0"/>
      <w:spacing w:line="300" w:lineRule="exact"/>
      <w:jc w:val="center"/>
    </w:pPr>
    <w:rPr>
      <w:rFonts w:ascii="宋体" w:hAnsi="宋体"/>
    </w:rPr>
    <w:tblPr>
      <w:jc w:val="center"/>
      <w:tblBorders>
        <w:top w:val="single" w:color="auto" w:sz="12" w:space="0"/>
        <w:bottom w:val="single" w:color="auto" w:sz="12" w:space="0"/>
        <w:insideH w:val="single" w:color="auto" w:sz="6" w:space="0"/>
        <w:insideV w:val="single" w:color="auto" w:sz="6" w:space="0"/>
      </w:tblBorders>
    </w:tblPr>
    <w:trPr>
      <w:cantSplit/>
      <w:jc w:val="center"/>
    </w:trPr>
    <w:tcPr>
      <w:vAlign w:val="center"/>
    </w:tc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wmf"/><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648</Words>
  <Characters>661</Characters>
  <Lines>0</Lines>
  <Paragraphs>0</Paragraphs>
  <TotalTime>17</TotalTime>
  <ScaleCrop>false</ScaleCrop>
  <LinksUpToDate>false</LinksUpToDate>
  <CharactersWithSpaces>868</CharactersWithSpaces>
  <Application>WPS Office_11.8.2.12118_F1E327BC-269C-435d-A152-05C5408002CA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2022-09-30T03:08:00Z</dcterms:created>
  <dc:creator>pretty  G</dc:creator>
  <cp:lastModifiedBy>Administrator</cp:lastModifiedBy>
  <dcterms:modified xsi:type="dcterms:W3CDTF">2024-07-04T09:56:35Z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2052-11.8.2.12118</vt:lpwstr>
  </property>
  <property fmtid="{D5CDD505-2E9C-101B-9397-08002B2CF9AE}" pid="3" name="ICV">
    <vt:lpwstr>8F92AF895D64440E852150E305AAE38B</vt:lpwstr>
  </property>
</Properties>
</file>