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ascii="仿宋_GB2312" w:hAnsi="仿宋_GB2312" w:eastAsia="仿宋_GB2312" w:cs="仿宋_GB2312"/>
          <w:sz w:val="36"/>
          <w:szCs w:val="36"/>
        </w:rPr>
      </w:pPr>
    </w:p>
    <w:p>
      <w:pPr>
        <w:rPr>
          <w:rFonts w:ascii="仿宋_GB2312" w:hAnsi="仿宋_GB2312" w:eastAsia="仿宋_GB2312" w:cs="仿宋_GB2312"/>
          <w:sz w:val="36"/>
          <w:szCs w:val="36"/>
        </w:rPr>
      </w:pPr>
    </w:p>
    <w:p>
      <w:pPr>
        <w:rPr>
          <w:rFonts w:ascii="仿宋_GB2312" w:hAnsi="仿宋_GB2312" w:eastAsia="仿宋_GB2312" w:cs="仿宋_GB2312"/>
          <w:sz w:val="36"/>
          <w:szCs w:val="36"/>
        </w:rPr>
      </w:pPr>
    </w:p>
    <w:p>
      <w:pPr>
        <w:rPr>
          <w:rFonts w:ascii="仿宋_GB2312" w:hAnsi="仿宋_GB2312" w:eastAsia="仿宋_GB2312" w:cs="仿宋_GB2312"/>
          <w:sz w:val="36"/>
          <w:szCs w:val="36"/>
        </w:rPr>
      </w:pPr>
    </w:p>
    <w:p>
      <w:pPr>
        <w:adjustRightInd w:val="0"/>
        <w:snapToGrid w:val="0"/>
        <w:jc w:val="center"/>
        <w:outlineLvl w:val="0"/>
        <w:rPr>
          <w:rFonts w:ascii="方正小标宋_GBK" w:eastAsia="方正小标宋_GBK"/>
          <w:bCs/>
          <w:sz w:val="44"/>
          <w:szCs w:val="44"/>
        </w:rPr>
      </w:pPr>
      <w:r>
        <w:rPr>
          <w:rFonts w:hint="eastAsia" w:ascii="方正小标宋_GBK" w:eastAsia="方正小标宋_GBK"/>
          <w:bCs/>
          <w:sz w:val="44"/>
          <w:szCs w:val="44"/>
        </w:rPr>
        <w:t>建设项目环境影响报告表</w:t>
      </w:r>
    </w:p>
    <w:p>
      <w:pPr>
        <w:adjustRightInd w:val="0"/>
        <w:snapToGrid w:val="0"/>
        <w:spacing w:before="192" w:beforeLines="80"/>
        <w:jc w:val="center"/>
        <w:rPr>
          <w:rFonts w:ascii="楷体_GB2312" w:eastAsia="楷体_GB2312"/>
          <w:bCs/>
          <w:sz w:val="44"/>
          <w:szCs w:val="44"/>
        </w:rPr>
      </w:pPr>
      <w:r>
        <w:rPr>
          <w:rFonts w:hint="eastAsia" w:ascii="楷体_GB2312" w:eastAsia="楷体_GB2312"/>
          <w:bCs/>
          <w:sz w:val="44"/>
          <w:szCs w:val="44"/>
        </w:rPr>
        <w:t>（污染影响类）</w:t>
      </w:r>
    </w:p>
    <w:p>
      <w:pPr>
        <w:adjustRightInd w:val="0"/>
        <w:snapToGrid w:val="0"/>
        <w:spacing w:line="288" w:lineRule="auto"/>
        <w:jc w:val="center"/>
        <w:outlineLvl w:val="0"/>
        <w:rPr>
          <w:rFonts w:hint="eastAsia" w:ascii="华文仿宋" w:hAnsi="华文仿宋" w:eastAsia="华文仿宋" w:cs="华文仿宋"/>
          <w:kern w:val="44"/>
          <w:sz w:val="44"/>
          <w:szCs w:val="44"/>
          <w:lang w:eastAsia="zh-CN"/>
        </w:rPr>
      </w:pPr>
      <w:r>
        <w:rPr>
          <w:rFonts w:hint="eastAsia" w:ascii="华文仿宋" w:hAnsi="华文仿宋" w:eastAsia="华文仿宋" w:cs="华文仿宋"/>
          <w:kern w:val="44"/>
          <w:sz w:val="44"/>
          <w:szCs w:val="44"/>
          <w:lang w:eastAsia="zh-CN"/>
        </w:rPr>
        <w:t>（</w:t>
      </w:r>
      <w:r>
        <w:rPr>
          <w:rFonts w:hint="eastAsia" w:ascii="华文仿宋" w:hAnsi="华文仿宋" w:eastAsia="华文仿宋" w:cs="华文仿宋"/>
          <w:kern w:val="44"/>
          <w:sz w:val="44"/>
          <w:szCs w:val="44"/>
          <w:lang w:val="en-US" w:eastAsia="zh-CN"/>
        </w:rPr>
        <w:t>报批稿</w:t>
      </w:r>
      <w:r>
        <w:rPr>
          <w:rFonts w:hint="eastAsia" w:ascii="华文仿宋" w:hAnsi="华文仿宋" w:eastAsia="华文仿宋" w:cs="华文仿宋"/>
          <w:kern w:val="44"/>
          <w:sz w:val="44"/>
          <w:szCs w:val="44"/>
          <w:lang w:eastAsia="zh-CN"/>
        </w:rPr>
        <w:t>）</w:t>
      </w:r>
    </w:p>
    <w:p>
      <w:pPr>
        <w:jc w:val="center"/>
        <w:rPr>
          <w:rFonts w:eastAsia="仿宋"/>
          <w:sz w:val="52"/>
          <w:szCs w:val="52"/>
        </w:rPr>
      </w:pPr>
    </w:p>
    <w:p>
      <w:pPr>
        <w:ind w:firstLine="1040"/>
        <w:rPr>
          <w:rFonts w:eastAsia="仿宋"/>
          <w:sz w:val="44"/>
          <w:szCs w:val="44"/>
        </w:rPr>
      </w:pPr>
    </w:p>
    <w:p>
      <w:pPr>
        <w:ind w:firstLine="1040"/>
        <w:rPr>
          <w:rFonts w:eastAsia="仿宋"/>
          <w:sz w:val="44"/>
          <w:szCs w:val="44"/>
        </w:rPr>
      </w:pPr>
    </w:p>
    <w:p>
      <w:pPr>
        <w:ind w:firstLine="1040"/>
        <w:rPr>
          <w:rFonts w:eastAsia="仿宋"/>
          <w:sz w:val="44"/>
          <w:szCs w:val="44"/>
        </w:rPr>
      </w:pPr>
    </w:p>
    <w:p>
      <w:pPr>
        <w:ind w:firstLine="1040"/>
        <w:rPr>
          <w:rFonts w:eastAsia="仿宋"/>
          <w:sz w:val="44"/>
          <w:szCs w:val="44"/>
        </w:rPr>
      </w:pPr>
    </w:p>
    <w:p>
      <w:pPr>
        <w:adjustRightInd w:val="0"/>
        <w:snapToGrid w:val="0"/>
        <w:spacing w:line="288" w:lineRule="auto"/>
        <w:ind w:left="2997" w:leftChars="513" w:hanging="1920" w:hangingChars="600"/>
        <w:rPr>
          <w:rFonts w:ascii="仿宋_GB2312" w:eastAsia="仿宋_GB2312"/>
          <w:sz w:val="32"/>
          <w:szCs w:val="32"/>
          <w:u w:val="single"/>
        </w:rPr>
      </w:pPr>
      <w:r>
        <w:rPr>
          <w:rFonts w:hint="eastAsia" w:ascii="仿宋_GB2312" w:eastAsia="仿宋_GB2312"/>
          <w:sz w:val="32"/>
          <w:szCs w:val="32"/>
        </w:rPr>
        <w:t>项目名称：</w:t>
      </w:r>
      <w:r>
        <w:rPr>
          <w:rFonts w:hint="eastAsia" w:ascii="仿宋_GB2312" w:eastAsia="仿宋_GB2312"/>
          <w:sz w:val="32"/>
          <w:szCs w:val="32"/>
          <w:u w:val="single"/>
        </w:rPr>
        <w:t>中国石油运输有限公司</w:t>
      </w:r>
      <w:r>
        <w:rPr>
          <w:rFonts w:hint="eastAsia" w:ascii="仿宋_GB2312" w:eastAsia="仿宋_GB2312"/>
          <w:sz w:val="32"/>
          <w:szCs w:val="32"/>
          <w:u w:val="single"/>
          <w:lang w:val="en-US" w:eastAsia="zh-CN"/>
        </w:rPr>
        <w:t>一分公司</w:t>
      </w:r>
      <w:r>
        <w:rPr>
          <w:rFonts w:hint="eastAsia" w:ascii="仿宋_GB2312" w:eastAsia="仿宋_GB2312"/>
          <w:sz w:val="32"/>
          <w:szCs w:val="32"/>
          <w:u w:val="single"/>
        </w:rPr>
        <w:t>准东油田运输大队危废暂存间建设项目</w:t>
      </w:r>
    </w:p>
    <w:p>
      <w:pPr>
        <w:adjustRightInd w:val="0"/>
        <w:snapToGrid w:val="0"/>
        <w:spacing w:line="288" w:lineRule="auto"/>
        <w:ind w:firstLine="1040"/>
        <w:rPr>
          <w:rFonts w:hint="eastAsia" w:ascii="仿宋_GB2312" w:eastAsia="仿宋_GB2312"/>
          <w:sz w:val="32"/>
          <w:szCs w:val="32"/>
          <w:u w:val="single"/>
          <w:lang w:val="en-US" w:eastAsia="zh-CN"/>
        </w:rPr>
      </w:pPr>
      <w:r>
        <w:rPr>
          <w:rFonts w:hint="eastAsia" w:ascii="仿宋_GB2312" w:eastAsia="仿宋_GB2312"/>
          <w:sz w:val="32"/>
          <w:szCs w:val="32"/>
        </w:rPr>
        <w:t>建设单位（盖章）：</w:t>
      </w:r>
      <w:r>
        <w:rPr>
          <w:rFonts w:hint="eastAsia" w:ascii="仿宋_GB2312" w:eastAsia="仿宋_GB2312"/>
          <w:sz w:val="32"/>
          <w:szCs w:val="32"/>
          <w:u w:val="single"/>
        </w:rPr>
        <w:t>中国石油运输有限公司</w:t>
      </w:r>
      <w:r>
        <w:rPr>
          <w:rFonts w:hint="eastAsia" w:ascii="仿宋_GB2312" w:eastAsia="仿宋_GB2312"/>
          <w:sz w:val="32"/>
          <w:szCs w:val="32"/>
          <w:u w:val="single"/>
          <w:lang w:val="en-US" w:eastAsia="zh-CN"/>
        </w:rPr>
        <w:t>一分公司</w:t>
      </w:r>
    </w:p>
    <w:p>
      <w:pPr>
        <w:adjustRightInd w:val="0"/>
        <w:snapToGrid w:val="0"/>
        <w:spacing w:line="288" w:lineRule="auto"/>
        <w:ind w:firstLine="1040"/>
        <w:rPr>
          <w:rFonts w:ascii="仿宋_GB2312" w:eastAsia="仿宋_GB2312"/>
          <w:sz w:val="36"/>
          <w:szCs w:val="36"/>
          <w:u w:val="single"/>
        </w:rPr>
      </w:pPr>
      <w:r>
        <w:rPr>
          <w:rFonts w:hint="eastAsia" w:ascii="仿宋_GB2312" w:eastAsia="仿宋_GB2312"/>
          <w:sz w:val="32"/>
          <w:szCs w:val="32"/>
        </w:rPr>
        <w:t>编制日期：</w:t>
      </w:r>
      <w:r>
        <w:rPr>
          <w:rFonts w:hint="eastAsia" w:ascii="仿宋_GB2312" w:eastAsia="仿宋_GB2312"/>
          <w:sz w:val="32"/>
          <w:szCs w:val="32"/>
          <w:u w:val="single"/>
        </w:rPr>
        <w:t>2023年</w:t>
      </w:r>
      <w:r>
        <w:rPr>
          <w:rFonts w:hint="eastAsia" w:ascii="仿宋_GB2312" w:eastAsia="仿宋_GB2312"/>
          <w:sz w:val="32"/>
          <w:szCs w:val="32"/>
          <w:u w:val="single"/>
          <w:lang w:val="en-US" w:eastAsia="zh-CN"/>
        </w:rPr>
        <w:t>6</w:t>
      </w:r>
      <w:r>
        <w:rPr>
          <w:rFonts w:hint="eastAsia" w:ascii="仿宋_GB2312" w:eastAsia="仿宋_GB2312"/>
          <w:sz w:val="32"/>
          <w:szCs w:val="32"/>
          <w:u w:val="single"/>
        </w:rPr>
        <w:t>月</w:t>
      </w:r>
      <w:bookmarkStart w:id="0" w:name="_Hlk57884087"/>
    </w:p>
    <w:p>
      <w:pPr>
        <w:adjustRightInd w:val="0"/>
        <w:snapToGrid w:val="0"/>
        <w:spacing w:line="288" w:lineRule="auto"/>
        <w:ind w:firstLine="1040"/>
        <w:rPr>
          <w:rFonts w:ascii="仿宋_GB2312" w:eastAsia="仿宋_GB2312"/>
          <w:sz w:val="36"/>
          <w:szCs w:val="36"/>
        </w:rPr>
      </w:pPr>
    </w:p>
    <w:p>
      <w:pPr>
        <w:adjustRightInd w:val="0"/>
        <w:snapToGrid w:val="0"/>
        <w:spacing w:line="288" w:lineRule="auto"/>
        <w:ind w:firstLine="1040"/>
        <w:rPr>
          <w:rFonts w:ascii="仿宋_GB2312" w:eastAsia="仿宋_GB2312"/>
          <w:sz w:val="36"/>
          <w:szCs w:val="36"/>
        </w:rPr>
      </w:pPr>
    </w:p>
    <w:p>
      <w:pPr>
        <w:adjustRightInd w:val="0"/>
        <w:snapToGrid w:val="0"/>
        <w:spacing w:line="288" w:lineRule="auto"/>
        <w:ind w:firstLine="1040"/>
        <w:rPr>
          <w:rFonts w:ascii="仿宋_GB2312" w:eastAsia="仿宋_GB2312"/>
          <w:sz w:val="36"/>
          <w:szCs w:val="36"/>
        </w:rPr>
      </w:pPr>
    </w:p>
    <w:bookmarkEnd w:id="0"/>
    <w:p>
      <w:pPr>
        <w:adjustRightInd w:val="0"/>
        <w:snapToGrid w:val="0"/>
        <w:spacing w:line="288" w:lineRule="auto"/>
        <w:jc w:val="center"/>
        <w:rPr>
          <w:rFonts w:ascii="楷体_GB2312" w:eastAsia="楷体_GB2312"/>
          <w:sz w:val="36"/>
          <w:szCs w:val="36"/>
        </w:rPr>
      </w:pPr>
      <w:r>
        <w:rPr>
          <w:rFonts w:hint="eastAsia" w:ascii="楷体_GB2312" w:eastAsia="楷体_GB2312"/>
          <w:sz w:val="36"/>
          <w:szCs w:val="36"/>
        </w:rPr>
        <w:t>中华人民共和国生态环境部制</w:t>
      </w:r>
    </w:p>
    <w:p>
      <w:pPr>
        <w:adjustRightInd w:val="0"/>
        <w:snapToGrid w:val="0"/>
        <w:spacing w:line="288" w:lineRule="auto"/>
        <w:rPr>
          <w:rFonts w:hint="eastAsia" w:ascii="仿宋_GB2312" w:eastAsia="仿宋_GB2312"/>
          <w:sz w:val="36"/>
          <w:szCs w:val="36"/>
          <w:lang w:eastAsia="zh-CN"/>
        </w:rPr>
        <w:sectPr>
          <w:footerReference r:id="rId3" w:type="default"/>
          <w:footerReference r:id="rId4" w:type="even"/>
          <w:pgSz w:w="11906" w:h="16838"/>
          <w:pgMar w:top="1701" w:right="1531" w:bottom="1701" w:left="1531" w:header="851" w:footer="1077" w:gutter="0"/>
          <w:pgBorders>
            <w:top w:val="none" w:sz="0" w:space="0"/>
            <w:left w:val="none" w:sz="0" w:space="0"/>
            <w:bottom w:val="none" w:sz="0" w:space="0"/>
            <w:right w:val="none" w:sz="0" w:space="0"/>
          </w:pgBorders>
          <w:pgNumType w:start="3"/>
          <w:cols w:space="720" w:num="1"/>
          <w:docGrid w:linePitch="312" w:charSpace="0"/>
        </w:sectPr>
      </w:pPr>
      <w:r>
        <w:rPr>
          <w:rFonts w:hint="eastAsia" w:ascii="仿宋_GB2312" w:eastAsia="仿宋_GB2312"/>
          <w:sz w:val="36"/>
          <w:szCs w:val="36"/>
          <w:lang w:eastAsia="zh-CN"/>
        </w:rPr>
        <w:drawing>
          <wp:inline distT="0" distB="0" distL="114300" distR="114300">
            <wp:extent cx="5407025" cy="8500110"/>
            <wp:effectExtent l="0" t="0" r="3175" b="15240"/>
            <wp:docPr id="37" name="图片 37" descr="d41619e0a1184c4d8268ababe1fce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d41619e0a1184c4d8268ababe1fce0d"/>
                    <pic:cNvPicPr>
                      <a:picLocks noChangeAspect="1"/>
                    </pic:cNvPicPr>
                  </pic:nvPicPr>
                  <pic:blipFill>
                    <a:blip r:embed="rId9"/>
                    <a:stretch>
                      <a:fillRect/>
                    </a:stretch>
                  </pic:blipFill>
                  <pic:spPr>
                    <a:xfrm>
                      <a:off x="0" y="0"/>
                      <a:ext cx="5407025" cy="8500110"/>
                    </a:xfrm>
                    <a:prstGeom prst="rect">
                      <a:avLst/>
                    </a:prstGeom>
                  </pic:spPr>
                </pic:pic>
              </a:graphicData>
            </a:graphic>
          </wp:inline>
        </w:drawing>
      </w:r>
    </w:p>
    <w:tbl>
      <w:tblPr>
        <w:tblStyle w:val="31"/>
        <w:tblpPr w:leftFromText="180" w:rightFromText="180" w:vertAnchor="text" w:horzAnchor="page" w:tblpX="1761" w:tblpY="353"/>
        <w:tblOverlap w:val="never"/>
        <w:tblW w:w="13200" w:type="dxa"/>
        <w:tblInd w:w="0" w:type="dxa"/>
        <w:tblLayout w:type="fixed"/>
        <w:tblCellMar>
          <w:top w:w="0" w:type="dxa"/>
          <w:left w:w="108" w:type="dxa"/>
          <w:bottom w:w="0" w:type="dxa"/>
          <w:right w:w="108" w:type="dxa"/>
        </w:tblCellMar>
      </w:tblPr>
      <w:tblGrid>
        <w:gridCol w:w="6600"/>
        <w:gridCol w:w="6600"/>
      </w:tblGrid>
      <w:tr>
        <w:tblPrEx>
          <w:tblCellMar>
            <w:top w:w="0" w:type="dxa"/>
            <w:left w:w="108" w:type="dxa"/>
            <w:bottom w:w="0" w:type="dxa"/>
            <w:right w:w="108" w:type="dxa"/>
          </w:tblCellMar>
        </w:tblPrEx>
        <w:trPr>
          <w:trHeight w:val="3305" w:hRule="atLeast"/>
        </w:trPr>
        <w:tc>
          <w:tcPr>
            <w:tcW w:w="6600" w:type="dxa"/>
          </w:tcPr>
          <w:p>
            <w:pPr>
              <w:rPr>
                <w:rFonts w:hint="eastAsia" w:eastAsia="宋体"/>
                <w:lang w:eastAsia="zh-CN"/>
              </w:rPr>
            </w:pPr>
            <w:r>
              <w:rPr>
                <w:sz w:val="21"/>
              </w:rPr>
              <mc:AlternateContent>
                <mc:Choice Requires="wps">
                  <w:drawing>
                    <wp:anchor distT="0" distB="0" distL="114300" distR="114300" simplePos="0" relativeHeight="251676672" behindDoc="0" locked="0" layoutInCell="1" allowOverlap="1">
                      <wp:simplePos x="0" y="0"/>
                      <wp:positionH relativeFrom="column">
                        <wp:posOffset>1420495</wp:posOffset>
                      </wp:positionH>
                      <wp:positionV relativeFrom="paragraph">
                        <wp:posOffset>1655445</wp:posOffset>
                      </wp:positionV>
                      <wp:extent cx="904875" cy="285750"/>
                      <wp:effectExtent l="4445" t="4445" r="5080" b="14605"/>
                      <wp:wrapNone/>
                      <wp:docPr id="45" name="文本框 45"/>
                      <wp:cNvGraphicFramePr/>
                      <a:graphic xmlns:a="http://schemas.openxmlformats.org/drawingml/2006/main">
                        <a:graphicData uri="http://schemas.microsoft.com/office/word/2010/wordprocessingShape">
                          <wps:wsp>
                            <wps:cNvSpPr txBox="1"/>
                            <wps:spPr>
                              <a:xfrm>
                                <a:off x="2389505" y="3023235"/>
                                <a:ext cx="904875" cy="28575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lang w:val="en-US" w:eastAsia="zh-CN"/>
                                    </w:rPr>
                                    <w:t>危废暂存间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1.85pt;margin-top:130.35pt;height:22.5pt;width:71.25pt;z-index:251676672;mso-width-relative:page;mso-height-relative:page;" fillcolor="#FFFFFF [3201]" filled="t" stroked="t" coordsize="21600,21600" o:gfxdata="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Gg0fUzWAAAACwEAAA8AAAAAAAAAAQAgAAAAIgAAAGRycy9kb3ducmV2LnhtbFBLAQIU&#10;ABQAAAAIAIdO4kAsjXYSZwIAAMQEAAAOAAAAAAAAAAEAIAAAACUBAABkcnMvZTJvRG9jLnhtbFBL&#10;BQYAAAAABgAGAFkBAAD+BQAAAAA=&#10;">
                      <v:fill on="t" focussize="0,0"/>
                      <v:stroke weight="0.5pt" color="#000000 [3204]" joinstyle="round"/>
                      <v:imagedata o:title=""/>
                      <o:lock v:ext="edit" aspectratio="f"/>
                      <v:textbox>
                        <w:txbxContent>
                          <w:p>
                            <w:pPr>
                              <w:rPr>
                                <w:rFonts w:hint="default" w:eastAsia="宋体"/>
                                <w:lang w:val="en-US" w:eastAsia="zh-CN"/>
                              </w:rPr>
                            </w:pPr>
                            <w:r>
                              <w:rPr>
                                <w:rFonts w:hint="eastAsia"/>
                                <w:lang w:val="en-US" w:eastAsia="zh-CN"/>
                              </w:rPr>
                              <w:t>危废暂存间</w:t>
                            </w:r>
                          </w:p>
                        </w:txbxContent>
                      </v:textbox>
                    </v:shape>
                  </w:pict>
                </mc:Fallback>
              </mc:AlternateContent>
            </w:r>
            <w:r>
              <w:rPr>
                <w:sz w:val="21"/>
              </w:rPr>
              <mc:AlternateContent>
                <mc:Choice Requires="wps">
                  <w:drawing>
                    <wp:anchor distT="0" distB="0" distL="114300" distR="114300" simplePos="0" relativeHeight="251675648" behindDoc="0" locked="0" layoutInCell="1" allowOverlap="1">
                      <wp:simplePos x="0" y="0"/>
                      <wp:positionH relativeFrom="column">
                        <wp:posOffset>1839595</wp:posOffset>
                      </wp:positionH>
                      <wp:positionV relativeFrom="paragraph">
                        <wp:posOffset>1299845</wp:posOffset>
                      </wp:positionV>
                      <wp:extent cx="895350" cy="355600"/>
                      <wp:effectExtent l="1905" t="14605" r="17145" b="10795"/>
                      <wp:wrapNone/>
                      <wp:docPr id="44" name="直接箭头连接符 44"/>
                      <wp:cNvGraphicFramePr/>
                      <a:graphic xmlns:a="http://schemas.openxmlformats.org/drawingml/2006/main">
                        <a:graphicData uri="http://schemas.microsoft.com/office/word/2010/wordprocessingShape">
                          <wps:wsp>
                            <wps:cNvCnPr/>
                            <wps:spPr>
                              <a:xfrm flipV="1">
                                <a:off x="2808605" y="2518410"/>
                                <a:ext cx="895350" cy="355600"/>
                              </a:xfrm>
                              <a:prstGeom prst="straightConnector1">
                                <a:avLst/>
                              </a:prstGeom>
                              <a:ln>
                                <a:gradFill>
                                  <a:gsLst>
                                    <a:gs pos="0">
                                      <a:srgbClr val="FE4444"/>
                                    </a:gs>
                                    <a:gs pos="100000">
                                      <a:srgbClr val="832B2B"/>
                                    </a:gs>
                                  </a:gsLst>
                                </a:gra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144.85pt;margin-top:102.35pt;height:28pt;width:70.5pt;z-index:251675648;mso-width-relative:page;mso-height-relative:page;" filled="f" stroked="t" coordsize="21600,21600" o:gfxdata="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CDs5dd1gAAAAsBAAAPAAAAAAAAAAEAIAAAACIAAABkcnMvZG93bnJl&#10;di54bWxQSwECFAAUAAAACACHTuJAh8iEgDgCAAA8BAAADgAAAAAAAAABACAAAAAlAQAAZHJzL2Uy&#10;b0RvYy54bWxQSwUGAAAAAAYABgBZAQAAzwUAAAAA&#10;">
                      <v:fill on="f" focussize="0,0"/>
                      <v:stroke color="#000000" joinstyle="round" endarrow="open"/>
                      <v:imagedata o:title=""/>
                      <o:lock v:ext="edit" aspectratio="f"/>
                    </v:shape>
                  </w:pict>
                </mc:Fallback>
              </mc:AlternateContent>
            </w:r>
            <w:r>
              <w:rPr>
                <w:rFonts w:hint="eastAsia" w:eastAsia="宋体"/>
                <w:lang w:eastAsia="zh-CN"/>
              </w:rPr>
              <w:drawing>
                <wp:inline distT="0" distB="0" distL="114300" distR="114300">
                  <wp:extent cx="3909060" cy="2063750"/>
                  <wp:effectExtent l="0" t="0" r="15240" b="12700"/>
                  <wp:docPr id="26" name="图片 26" descr="42bf95ce7cae4214a0e082e901b57b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42bf95ce7cae4214a0e082e901b57b5"/>
                          <pic:cNvPicPr>
                            <a:picLocks noChangeAspect="1"/>
                          </pic:cNvPicPr>
                        </pic:nvPicPr>
                        <pic:blipFill>
                          <a:blip r:embed="rId10"/>
                          <a:stretch>
                            <a:fillRect/>
                          </a:stretch>
                        </pic:blipFill>
                        <pic:spPr>
                          <a:xfrm>
                            <a:off x="0" y="0"/>
                            <a:ext cx="3909060" cy="2063750"/>
                          </a:xfrm>
                          <a:prstGeom prst="rect">
                            <a:avLst/>
                          </a:prstGeom>
                        </pic:spPr>
                      </pic:pic>
                    </a:graphicData>
                  </a:graphic>
                </wp:inline>
              </w:drawing>
            </w:r>
          </w:p>
        </w:tc>
        <w:tc>
          <w:tcPr>
            <w:tcW w:w="6600" w:type="dxa"/>
          </w:tcPr>
          <w:p>
            <w:pPr>
              <w:rPr>
                <w:rFonts w:hint="eastAsia" w:eastAsia="宋体"/>
                <w:lang w:eastAsia="zh-CN"/>
              </w:rPr>
            </w:pPr>
            <w:r>
              <w:rPr>
                <w:rFonts w:hint="eastAsia" w:eastAsia="宋体"/>
                <w:lang w:eastAsia="zh-CN"/>
              </w:rPr>
              <w:drawing>
                <wp:inline distT="0" distB="0" distL="114300" distR="114300">
                  <wp:extent cx="3771900" cy="1941830"/>
                  <wp:effectExtent l="0" t="0" r="0" b="1270"/>
                  <wp:docPr id="38" name="图片 38" descr="007add2faf4fd8d7c3e03d1b3162d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007add2faf4fd8d7c3e03d1b3162d18"/>
                          <pic:cNvPicPr>
                            <a:picLocks noChangeAspect="1"/>
                          </pic:cNvPicPr>
                        </pic:nvPicPr>
                        <pic:blipFill>
                          <a:blip r:embed="rId11"/>
                          <a:stretch>
                            <a:fillRect/>
                          </a:stretch>
                        </pic:blipFill>
                        <pic:spPr>
                          <a:xfrm>
                            <a:off x="0" y="0"/>
                            <a:ext cx="3771900" cy="1941830"/>
                          </a:xfrm>
                          <a:prstGeom prst="rect">
                            <a:avLst/>
                          </a:prstGeom>
                        </pic:spPr>
                      </pic:pic>
                    </a:graphicData>
                  </a:graphic>
                </wp:inline>
              </w:drawing>
            </w:r>
          </w:p>
        </w:tc>
      </w:tr>
      <w:tr>
        <w:tblPrEx>
          <w:tblCellMar>
            <w:top w:w="0" w:type="dxa"/>
            <w:left w:w="108" w:type="dxa"/>
            <w:bottom w:w="0" w:type="dxa"/>
            <w:right w:w="108" w:type="dxa"/>
          </w:tblCellMar>
        </w:tblPrEx>
        <w:trPr>
          <w:trHeight w:val="326" w:hRule="atLeast"/>
        </w:trPr>
        <w:tc>
          <w:tcPr>
            <w:tcW w:w="6600" w:type="dxa"/>
          </w:tcPr>
          <w:p>
            <w:pPr>
              <w:jc w:val="center"/>
              <w:rPr>
                <w:rFonts w:hint="eastAsia" w:ascii="黑体" w:hAnsi="黑体" w:eastAsia="黑体" w:cs="黑体"/>
                <w:sz w:val="24"/>
                <w:lang w:eastAsia="zh-CN"/>
              </w:rPr>
            </w:pPr>
            <w:r>
              <w:rPr>
                <w:rFonts w:hint="eastAsia" w:ascii="黑体" w:hAnsi="黑体" w:eastAsia="黑体" w:cs="黑体"/>
                <w:sz w:val="24"/>
              </w:rPr>
              <w:t>项目区</w:t>
            </w:r>
            <w:r>
              <w:rPr>
                <w:rFonts w:hint="eastAsia" w:ascii="黑体" w:hAnsi="黑体" w:eastAsia="黑体" w:cs="黑体"/>
                <w:sz w:val="24"/>
                <w:lang w:val="en-US" w:eastAsia="zh-CN"/>
              </w:rPr>
              <w:t>周边</w:t>
            </w:r>
          </w:p>
        </w:tc>
        <w:tc>
          <w:tcPr>
            <w:tcW w:w="6600" w:type="dxa"/>
          </w:tcPr>
          <w:p>
            <w:pPr>
              <w:jc w:val="center"/>
              <w:rPr>
                <w:rFonts w:hint="default" w:ascii="黑体" w:hAnsi="黑体" w:eastAsia="黑体" w:cs="黑体"/>
                <w:sz w:val="24"/>
                <w:lang w:val="en-US" w:eastAsia="zh-CN"/>
              </w:rPr>
            </w:pPr>
            <w:r>
              <w:rPr>
                <w:rFonts w:hint="eastAsia" w:ascii="黑体" w:hAnsi="黑体" w:eastAsia="黑体" w:cs="黑体"/>
                <w:sz w:val="24"/>
                <w:lang w:val="en-US" w:eastAsia="zh-CN"/>
              </w:rPr>
              <w:t>危废暂存间</w:t>
            </w:r>
          </w:p>
        </w:tc>
      </w:tr>
      <w:tr>
        <w:tblPrEx>
          <w:tblCellMar>
            <w:top w:w="0" w:type="dxa"/>
            <w:left w:w="108" w:type="dxa"/>
            <w:bottom w:w="0" w:type="dxa"/>
            <w:right w:w="108" w:type="dxa"/>
          </w:tblCellMar>
        </w:tblPrEx>
        <w:trPr>
          <w:trHeight w:val="252" w:hRule="atLeast"/>
        </w:trPr>
        <w:tc>
          <w:tcPr>
            <w:tcW w:w="6600" w:type="dxa"/>
            <w:vMerge w:val="restart"/>
          </w:tcPr>
          <w:p>
            <w:pPr>
              <w:jc w:val="both"/>
              <w:rPr>
                <w:rFonts w:hint="eastAsia" w:eastAsia="宋体"/>
                <w:lang w:eastAsia="zh-CN"/>
              </w:rPr>
            </w:pPr>
            <w:r>
              <w:rPr>
                <w:rFonts w:hint="eastAsia" w:eastAsia="宋体"/>
                <w:lang w:eastAsia="zh-CN"/>
              </w:rPr>
              <w:drawing>
                <wp:inline distT="0" distB="0" distL="114300" distR="114300">
                  <wp:extent cx="1808480" cy="2592070"/>
                  <wp:effectExtent l="0" t="0" r="1270" b="17780"/>
                  <wp:docPr id="39" name="图片 39" descr="9e97d5b065edab7c6e70a95a1471e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9e97d5b065edab7c6e70a95a1471eaa"/>
                          <pic:cNvPicPr>
                            <a:picLocks noChangeAspect="1"/>
                          </pic:cNvPicPr>
                        </pic:nvPicPr>
                        <pic:blipFill>
                          <a:blip r:embed="rId12"/>
                          <a:stretch>
                            <a:fillRect/>
                          </a:stretch>
                        </pic:blipFill>
                        <pic:spPr>
                          <a:xfrm>
                            <a:off x="0" y="0"/>
                            <a:ext cx="1808480" cy="2592070"/>
                          </a:xfrm>
                          <a:prstGeom prst="rect">
                            <a:avLst/>
                          </a:prstGeom>
                        </pic:spPr>
                      </pic:pic>
                    </a:graphicData>
                  </a:graphic>
                </wp:inline>
              </w:drawing>
            </w:r>
            <w:r>
              <w:rPr>
                <w:rFonts w:hint="eastAsia"/>
                <w:lang w:val="en-US" w:eastAsia="zh-CN"/>
              </w:rPr>
              <w:t xml:space="preserve">       </w:t>
            </w:r>
            <w:r>
              <w:rPr>
                <w:rFonts w:hint="eastAsia" w:eastAsia="宋体"/>
                <w:lang w:eastAsia="zh-CN"/>
              </w:rPr>
              <w:drawing>
                <wp:inline distT="0" distB="0" distL="114300" distR="114300">
                  <wp:extent cx="1617980" cy="2578100"/>
                  <wp:effectExtent l="0" t="0" r="1270" b="12700"/>
                  <wp:docPr id="47" name="图片 47" descr="c1669a2ec512f7beb71900330e44d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c1669a2ec512f7beb71900330e44d3a"/>
                          <pic:cNvPicPr>
                            <a:picLocks noChangeAspect="1"/>
                          </pic:cNvPicPr>
                        </pic:nvPicPr>
                        <pic:blipFill>
                          <a:blip r:embed="rId13"/>
                          <a:stretch>
                            <a:fillRect/>
                          </a:stretch>
                        </pic:blipFill>
                        <pic:spPr>
                          <a:xfrm>
                            <a:off x="0" y="0"/>
                            <a:ext cx="1617980" cy="2578100"/>
                          </a:xfrm>
                          <a:prstGeom prst="rect">
                            <a:avLst/>
                          </a:prstGeom>
                        </pic:spPr>
                      </pic:pic>
                    </a:graphicData>
                  </a:graphic>
                </wp:inline>
              </w:drawing>
            </w:r>
          </w:p>
        </w:tc>
        <w:tc>
          <w:tcPr>
            <w:tcW w:w="6600" w:type="dxa"/>
          </w:tcPr>
          <w:p>
            <w:pPr>
              <w:rPr>
                <w:rFonts w:hint="eastAsia" w:eastAsia="宋体"/>
                <w:lang w:eastAsia="zh-CN"/>
              </w:rPr>
            </w:pPr>
          </w:p>
        </w:tc>
      </w:tr>
      <w:tr>
        <w:tblPrEx>
          <w:tblCellMar>
            <w:top w:w="0" w:type="dxa"/>
            <w:left w:w="108" w:type="dxa"/>
            <w:bottom w:w="0" w:type="dxa"/>
            <w:right w:w="108" w:type="dxa"/>
          </w:tblCellMar>
        </w:tblPrEx>
        <w:trPr>
          <w:trHeight w:val="3782" w:hRule="atLeast"/>
        </w:trPr>
        <w:tc>
          <w:tcPr>
            <w:tcW w:w="6600" w:type="dxa"/>
            <w:vMerge w:val="continue"/>
          </w:tcPr>
          <w:p>
            <w:pPr>
              <w:jc w:val="center"/>
              <w:rPr>
                <w:rFonts w:ascii="黑体" w:hAnsi="黑体" w:eastAsia="黑体" w:cs="黑体"/>
                <w:bCs/>
                <w:sz w:val="24"/>
              </w:rPr>
            </w:pPr>
          </w:p>
        </w:tc>
        <w:tc>
          <w:tcPr>
            <w:tcW w:w="6600" w:type="dxa"/>
          </w:tcPr>
          <w:p>
            <w:pPr>
              <w:jc w:val="center"/>
              <w:rPr>
                <w:rFonts w:ascii="黑体" w:hAnsi="黑体" w:eastAsia="黑体" w:cs="黑体"/>
                <w:bCs/>
                <w:sz w:val="24"/>
              </w:rPr>
            </w:pPr>
            <w:r>
              <w:rPr>
                <w:rFonts w:hint="eastAsia" w:eastAsia="宋体"/>
                <w:lang w:eastAsia="zh-CN"/>
              </w:rPr>
              <w:drawing>
                <wp:inline distT="0" distB="0" distL="114300" distR="114300">
                  <wp:extent cx="3429000" cy="2353945"/>
                  <wp:effectExtent l="0" t="0" r="0" b="8255"/>
                  <wp:docPr id="4" name="图片 4" descr="66DE22556C6118E89BD1486FD94F6E7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66DE22556C6118E89BD1486FD94F6E7D"/>
                          <pic:cNvPicPr>
                            <a:picLocks noChangeAspect="1"/>
                          </pic:cNvPicPr>
                        </pic:nvPicPr>
                        <pic:blipFill>
                          <a:blip r:embed="rId14"/>
                          <a:stretch>
                            <a:fillRect/>
                          </a:stretch>
                        </pic:blipFill>
                        <pic:spPr>
                          <a:xfrm>
                            <a:off x="0" y="0"/>
                            <a:ext cx="3429000" cy="2353945"/>
                          </a:xfrm>
                          <a:prstGeom prst="rect">
                            <a:avLst/>
                          </a:prstGeom>
                        </pic:spPr>
                      </pic:pic>
                    </a:graphicData>
                  </a:graphic>
                </wp:inline>
              </w:drawing>
            </w:r>
          </w:p>
        </w:tc>
      </w:tr>
      <w:tr>
        <w:tblPrEx>
          <w:tblCellMar>
            <w:top w:w="0" w:type="dxa"/>
            <w:left w:w="108" w:type="dxa"/>
            <w:bottom w:w="0" w:type="dxa"/>
            <w:right w:w="108" w:type="dxa"/>
          </w:tblCellMar>
        </w:tblPrEx>
        <w:trPr>
          <w:trHeight w:val="326" w:hRule="atLeast"/>
        </w:trPr>
        <w:tc>
          <w:tcPr>
            <w:tcW w:w="6600" w:type="dxa"/>
          </w:tcPr>
          <w:p>
            <w:pPr>
              <w:jc w:val="center"/>
              <w:rPr>
                <w:rFonts w:hint="default" w:eastAsia="宋体"/>
                <w:sz w:val="24"/>
                <w:lang w:val="en-US" w:eastAsia="zh-CN"/>
              </w:rPr>
            </w:pPr>
            <w:r>
              <w:rPr>
                <w:rFonts w:hint="eastAsia" w:eastAsia="黑体"/>
                <w:sz w:val="24"/>
                <w:lang w:val="en-US" w:eastAsia="zh-CN"/>
              </w:rPr>
              <w:t>危废暂存间内部</w:t>
            </w:r>
          </w:p>
        </w:tc>
        <w:tc>
          <w:tcPr>
            <w:tcW w:w="6600" w:type="dxa"/>
          </w:tcPr>
          <w:p>
            <w:pPr>
              <w:jc w:val="center"/>
              <w:rPr>
                <w:rFonts w:hint="default" w:ascii="黑体" w:hAnsi="黑体" w:eastAsia="黑体" w:cs="黑体"/>
                <w:bCs/>
                <w:sz w:val="24"/>
                <w:lang w:val="en-US" w:eastAsia="zh-CN"/>
              </w:rPr>
            </w:pPr>
            <w:r>
              <w:rPr>
                <w:rFonts w:hint="eastAsia" w:ascii="黑体" w:hAnsi="黑体" w:eastAsia="黑体" w:cs="黑体"/>
                <w:bCs/>
                <w:sz w:val="24"/>
                <w:lang w:val="en-US" w:eastAsia="zh-CN"/>
              </w:rPr>
              <w:t>运输公司内部</w:t>
            </w:r>
          </w:p>
        </w:tc>
      </w:tr>
    </w:tbl>
    <w:p>
      <w:pPr>
        <w:jc w:val="center"/>
        <w:rPr>
          <w:b/>
          <w:bCs/>
          <w:sz w:val="28"/>
          <w:szCs w:val="28"/>
        </w:rPr>
      </w:pPr>
      <w:r>
        <w:rPr>
          <w:rFonts w:hint="eastAsia"/>
          <w:b/>
          <w:bCs/>
          <w:sz w:val="28"/>
          <w:szCs w:val="28"/>
        </w:rPr>
        <w:t>现场照片</w:t>
      </w:r>
    </w:p>
    <w:p>
      <w:pPr>
        <w:pStyle w:val="20"/>
        <w:rPr>
          <w:b/>
          <w:bCs/>
          <w:sz w:val="28"/>
          <w:szCs w:val="28"/>
        </w:rPr>
        <w:sectPr>
          <w:pgSz w:w="16838" w:h="11906" w:orient="landscape"/>
          <w:pgMar w:top="1531" w:right="1701" w:bottom="1531" w:left="1701" w:header="851" w:footer="1077" w:gutter="0"/>
          <w:pgBorders>
            <w:top w:val="none" w:sz="0" w:space="0"/>
            <w:left w:val="none" w:sz="0" w:space="0"/>
            <w:bottom w:val="none" w:sz="0" w:space="0"/>
            <w:right w:val="none" w:sz="0" w:space="0"/>
          </w:pgBorders>
          <w:pgNumType w:start="3"/>
          <w:cols w:space="720" w:num="1"/>
          <w:docGrid w:linePitch="312" w:charSpace="0"/>
        </w:sectPr>
      </w:pPr>
    </w:p>
    <w:p>
      <w:pPr>
        <w:pStyle w:val="27"/>
        <w:jc w:val="center"/>
        <w:outlineLvl w:val="0"/>
        <w:rPr>
          <w:rFonts w:ascii="黑体" w:hAnsi="黑体" w:eastAsia="黑体"/>
          <w:snapToGrid w:val="0"/>
          <w:sz w:val="30"/>
          <w:szCs w:val="30"/>
        </w:rPr>
      </w:pPr>
      <w:r>
        <w:rPr>
          <w:rFonts w:hint="eastAsia" w:ascii="黑体" w:hAnsi="黑体" w:eastAsia="黑体"/>
          <w:snapToGrid w:val="0"/>
          <w:sz w:val="30"/>
          <w:szCs w:val="30"/>
        </w:rPr>
        <w:t>一、建设项目基本情况</w:t>
      </w:r>
    </w:p>
    <w:tbl>
      <w:tblPr>
        <w:tblStyle w:val="31"/>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2108"/>
        <w:gridCol w:w="1709"/>
        <w:gridCol w:w="1955"/>
        <w:gridCol w:w="309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382" w:type="dxa"/>
            <w:tcMar>
              <w:top w:w="16" w:type="dxa"/>
              <w:left w:w="16" w:type="dxa"/>
              <w:right w:w="16" w:type="dxa"/>
            </w:tcMar>
            <w:vAlign w:val="center"/>
          </w:tcPr>
          <w:p>
            <w:pPr>
              <w:adjustRightInd w:val="0"/>
              <w:snapToGrid w:val="0"/>
              <w:jc w:val="center"/>
              <w:rPr>
                <w:color w:val="auto"/>
                <w:sz w:val="24"/>
              </w:rPr>
            </w:pPr>
            <w:r>
              <w:rPr>
                <w:color w:val="auto"/>
                <w:sz w:val="24"/>
              </w:rPr>
              <w:t>建设项目名称</w:t>
            </w:r>
          </w:p>
        </w:tc>
        <w:tc>
          <w:tcPr>
            <w:tcW w:w="6479" w:type="dxa"/>
            <w:gridSpan w:val="3"/>
            <w:vAlign w:val="center"/>
          </w:tcPr>
          <w:p>
            <w:pPr>
              <w:adjustRightInd w:val="0"/>
              <w:snapToGrid w:val="0"/>
              <w:jc w:val="center"/>
              <w:rPr>
                <w:color w:val="auto"/>
                <w:sz w:val="24"/>
              </w:rPr>
            </w:pPr>
            <w:r>
              <w:rPr>
                <w:rFonts w:hint="eastAsia"/>
                <w:color w:val="auto"/>
                <w:sz w:val="24"/>
              </w:rPr>
              <w:t>中国石油运输有限公司</w:t>
            </w:r>
            <w:r>
              <w:rPr>
                <w:rFonts w:hint="eastAsia"/>
                <w:color w:val="auto"/>
                <w:sz w:val="24"/>
                <w:lang w:val="en-US" w:eastAsia="zh-CN"/>
              </w:rPr>
              <w:t>一分公司</w:t>
            </w:r>
            <w:r>
              <w:rPr>
                <w:rFonts w:hint="eastAsia"/>
                <w:color w:val="auto"/>
                <w:sz w:val="24"/>
              </w:rPr>
              <w:t>准东油田运输大队危废暂存间建设项目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382" w:type="dxa"/>
            <w:tcMar>
              <w:top w:w="16" w:type="dxa"/>
              <w:left w:w="16" w:type="dxa"/>
              <w:right w:w="16" w:type="dxa"/>
            </w:tcMar>
            <w:vAlign w:val="center"/>
          </w:tcPr>
          <w:p>
            <w:pPr>
              <w:adjustRightInd w:val="0"/>
              <w:snapToGrid w:val="0"/>
              <w:jc w:val="center"/>
              <w:rPr>
                <w:color w:val="auto"/>
                <w:sz w:val="24"/>
              </w:rPr>
            </w:pPr>
            <w:r>
              <w:rPr>
                <w:color w:val="auto"/>
                <w:sz w:val="24"/>
              </w:rPr>
              <w:t>项目代码</w:t>
            </w:r>
          </w:p>
        </w:tc>
        <w:tc>
          <w:tcPr>
            <w:tcW w:w="6479" w:type="dxa"/>
            <w:gridSpan w:val="3"/>
            <w:vAlign w:val="center"/>
          </w:tcPr>
          <w:p>
            <w:pPr>
              <w:adjustRightInd w:val="0"/>
              <w:snapToGrid w:val="0"/>
              <w:jc w:val="center"/>
              <w:rPr>
                <w:color w:val="auto"/>
                <w:sz w:val="24"/>
              </w:rPr>
            </w:pPr>
            <w:r>
              <w:rPr>
                <w:rFonts w:hint="eastAsia"/>
                <w:color w:val="auto"/>
                <w:sz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382" w:type="dxa"/>
            <w:tcMar>
              <w:top w:w="16" w:type="dxa"/>
              <w:left w:w="16" w:type="dxa"/>
              <w:right w:w="16" w:type="dxa"/>
            </w:tcMar>
            <w:vAlign w:val="center"/>
          </w:tcPr>
          <w:p>
            <w:pPr>
              <w:adjustRightInd w:val="0"/>
              <w:snapToGrid w:val="0"/>
              <w:jc w:val="center"/>
              <w:rPr>
                <w:color w:val="auto"/>
                <w:sz w:val="24"/>
              </w:rPr>
            </w:pPr>
            <w:r>
              <w:rPr>
                <w:color w:val="auto"/>
                <w:sz w:val="24"/>
              </w:rPr>
              <w:t>建设单位联系人</w:t>
            </w:r>
          </w:p>
        </w:tc>
        <w:tc>
          <w:tcPr>
            <w:tcW w:w="1637" w:type="dxa"/>
            <w:vAlign w:val="center"/>
          </w:tcPr>
          <w:p>
            <w:pPr>
              <w:adjustRightInd w:val="0"/>
              <w:snapToGrid w:val="0"/>
              <w:jc w:val="center"/>
              <w:rPr>
                <w:rFonts w:hint="eastAsia" w:ascii="Times New Roman" w:hAnsi="Times New Roman" w:eastAsia="宋体" w:cs="Times New Roman"/>
                <w:color w:val="auto"/>
                <w:sz w:val="24"/>
              </w:rPr>
            </w:pPr>
            <w:r>
              <w:rPr>
                <w:rFonts w:hint="eastAsia" w:ascii="Times New Roman" w:hAnsi="Times New Roman" w:eastAsia="宋体" w:cs="Times New Roman"/>
                <w:color w:val="auto"/>
                <w:sz w:val="24"/>
              </w:rPr>
              <w:t>苗国建</w:t>
            </w:r>
          </w:p>
        </w:tc>
        <w:tc>
          <w:tcPr>
            <w:tcW w:w="1935" w:type="dxa"/>
            <w:vAlign w:val="center"/>
          </w:tcPr>
          <w:p>
            <w:pPr>
              <w:adjustRightInd w:val="0"/>
              <w:snapToGrid w:val="0"/>
              <w:jc w:val="center"/>
              <w:rPr>
                <w:rFonts w:hint="eastAsia" w:ascii="Times New Roman" w:hAnsi="Times New Roman" w:eastAsia="宋体" w:cs="Times New Roman"/>
                <w:color w:val="auto"/>
                <w:sz w:val="24"/>
              </w:rPr>
            </w:pPr>
            <w:r>
              <w:rPr>
                <w:rFonts w:hint="eastAsia" w:ascii="Times New Roman" w:hAnsi="Times New Roman" w:eastAsia="宋体" w:cs="Times New Roman"/>
                <w:color w:val="auto"/>
                <w:sz w:val="24"/>
              </w:rPr>
              <w:t>联系方式</w:t>
            </w:r>
          </w:p>
        </w:tc>
        <w:tc>
          <w:tcPr>
            <w:tcW w:w="2907" w:type="dxa"/>
            <w:vAlign w:val="center"/>
          </w:tcPr>
          <w:p>
            <w:pPr>
              <w:adjustRightInd w:val="0"/>
              <w:snapToGrid w:val="0"/>
              <w:jc w:val="center"/>
              <w:rPr>
                <w:rFonts w:hint="eastAsia" w:ascii="Times New Roman" w:hAnsi="Times New Roman" w:eastAsia="宋体" w:cs="Times New Roman"/>
                <w:color w:val="auto"/>
                <w:sz w:val="24"/>
              </w:rPr>
            </w:pPr>
            <w:r>
              <w:rPr>
                <w:rFonts w:hint="eastAsia" w:ascii="Times New Roman" w:hAnsi="Times New Roman" w:eastAsia="宋体" w:cs="Times New Roman"/>
                <w:color w:val="auto"/>
                <w:sz w:val="24"/>
              </w:rPr>
              <w:t>13368909910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2382" w:type="dxa"/>
            <w:tcMar>
              <w:top w:w="16" w:type="dxa"/>
              <w:left w:w="16" w:type="dxa"/>
              <w:right w:w="16" w:type="dxa"/>
            </w:tcMar>
            <w:vAlign w:val="center"/>
          </w:tcPr>
          <w:p>
            <w:pPr>
              <w:adjustRightInd w:val="0"/>
              <w:snapToGrid w:val="0"/>
              <w:jc w:val="center"/>
              <w:rPr>
                <w:color w:val="auto"/>
                <w:sz w:val="24"/>
              </w:rPr>
            </w:pPr>
            <w:r>
              <w:rPr>
                <w:color w:val="auto"/>
                <w:sz w:val="24"/>
              </w:rPr>
              <w:t>建设地点</w:t>
            </w:r>
          </w:p>
        </w:tc>
        <w:tc>
          <w:tcPr>
            <w:tcW w:w="6479" w:type="dxa"/>
            <w:gridSpan w:val="3"/>
            <w:vAlign w:val="center"/>
          </w:tcPr>
          <w:p>
            <w:pPr>
              <w:adjustRightInd w:val="0"/>
              <w:snapToGrid w:val="0"/>
              <w:jc w:val="center"/>
              <w:rPr>
                <w:color w:val="auto"/>
                <w:sz w:val="24"/>
              </w:rPr>
            </w:pPr>
            <w:r>
              <w:rPr>
                <w:rFonts w:hint="eastAsia"/>
                <w:color w:val="auto"/>
                <w:sz w:val="24"/>
              </w:rPr>
              <w:t>新疆维吾尔自治区阜康市中国石油天然气运输有限公司</w:t>
            </w:r>
            <w:r>
              <w:rPr>
                <w:rFonts w:hint="eastAsia"/>
                <w:color w:val="auto"/>
                <w:sz w:val="24"/>
                <w:lang w:val="en-US" w:eastAsia="zh-CN"/>
              </w:rPr>
              <w:t>一分公司</w:t>
            </w:r>
            <w:r>
              <w:rPr>
                <w:rFonts w:hint="eastAsia"/>
                <w:color w:val="auto"/>
                <w:sz w:val="24"/>
              </w:rPr>
              <w:t>准东生产基地</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382" w:type="dxa"/>
            <w:tcMar>
              <w:top w:w="16" w:type="dxa"/>
              <w:left w:w="16" w:type="dxa"/>
              <w:right w:w="16" w:type="dxa"/>
            </w:tcMar>
            <w:vAlign w:val="center"/>
          </w:tcPr>
          <w:p>
            <w:pPr>
              <w:adjustRightInd w:val="0"/>
              <w:snapToGrid w:val="0"/>
              <w:jc w:val="center"/>
              <w:rPr>
                <w:color w:val="auto"/>
                <w:sz w:val="24"/>
              </w:rPr>
            </w:pPr>
            <w:r>
              <w:rPr>
                <w:color w:val="auto"/>
                <w:sz w:val="24"/>
              </w:rPr>
              <w:t>地理坐标</w:t>
            </w:r>
          </w:p>
        </w:tc>
        <w:tc>
          <w:tcPr>
            <w:tcW w:w="6479" w:type="dxa"/>
            <w:gridSpan w:val="3"/>
            <w:vAlign w:val="center"/>
          </w:tcPr>
          <w:p>
            <w:pPr>
              <w:jc w:val="center"/>
              <w:rPr>
                <w:color w:val="auto"/>
                <w:sz w:val="24"/>
              </w:rPr>
            </w:pPr>
            <w:r>
              <w:rPr>
                <w:color w:val="auto"/>
                <w:sz w:val="24"/>
              </w:rPr>
              <w:t>（</w:t>
            </w:r>
            <w:r>
              <w:rPr>
                <w:rFonts w:hint="eastAsia"/>
                <w:color w:val="auto"/>
                <w:sz w:val="24"/>
                <w:u w:val="single"/>
              </w:rPr>
              <w:t>88</w:t>
            </w:r>
            <w:r>
              <w:rPr>
                <w:color w:val="auto"/>
                <w:sz w:val="24"/>
              </w:rPr>
              <w:t>度</w:t>
            </w:r>
            <w:r>
              <w:rPr>
                <w:rFonts w:hint="eastAsia"/>
                <w:color w:val="auto"/>
                <w:sz w:val="24"/>
                <w:u w:val="single"/>
              </w:rPr>
              <w:t>42</w:t>
            </w:r>
            <w:r>
              <w:rPr>
                <w:color w:val="auto"/>
                <w:sz w:val="24"/>
              </w:rPr>
              <w:t>分</w:t>
            </w:r>
            <w:r>
              <w:rPr>
                <w:rFonts w:hint="eastAsia"/>
                <w:color w:val="auto"/>
                <w:sz w:val="24"/>
                <w:u w:val="single"/>
              </w:rPr>
              <w:t>39.642</w:t>
            </w:r>
            <w:r>
              <w:rPr>
                <w:color w:val="auto"/>
                <w:sz w:val="24"/>
              </w:rPr>
              <w:t>秒，</w:t>
            </w:r>
            <w:r>
              <w:rPr>
                <w:rFonts w:hint="eastAsia"/>
                <w:color w:val="auto"/>
                <w:sz w:val="24"/>
                <w:u w:val="single"/>
              </w:rPr>
              <w:t>44</w:t>
            </w:r>
            <w:r>
              <w:rPr>
                <w:color w:val="auto"/>
                <w:sz w:val="24"/>
              </w:rPr>
              <w:t>度</w:t>
            </w:r>
            <w:r>
              <w:rPr>
                <w:rFonts w:hint="eastAsia"/>
                <w:color w:val="auto"/>
                <w:sz w:val="24"/>
                <w:u w:val="single"/>
              </w:rPr>
              <w:t>21</w:t>
            </w:r>
            <w:r>
              <w:rPr>
                <w:color w:val="auto"/>
                <w:sz w:val="24"/>
              </w:rPr>
              <w:t>分</w:t>
            </w:r>
            <w:r>
              <w:rPr>
                <w:rFonts w:hint="eastAsia"/>
                <w:color w:val="auto"/>
                <w:sz w:val="24"/>
                <w:u w:val="single"/>
              </w:rPr>
              <w:t>1.951</w:t>
            </w:r>
            <w:r>
              <w:rPr>
                <w:color w:val="auto"/>
                <w:sz w:val="24"/>
              </w:rPr>
              <w:t>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2382" w:type="dxa"/>
            <w:tcMar>
              <w:top w:w="16" w:type="dxa"/>
              <w:left w:w="16" w:type="dxa"/>
              <w:right w:w="16" w:type="dxa"/>
            </w:tcMar>
            <w:vAlign w:val="center"/>
          </w:tcPr>
          <w:p>
            <w:pPr>
              <w:adjustRightInd w:val="0"/>
              <w:snapToGrid w:val="0"/>
              <w:jc w:val="center"/>
              <w:rPr>
                <w:color w:val="auto"/>
                <w:sz w:val="24"/>
              </w:rPr>
            </w:pPr>
            <w:r>
              <w:rPr>
                <w:color w:val="auto"/>
                <w:sz w:val="24"/>
              </w:rPr>
              <w:t>国民经济</w:t>
            </w:r>
          </w:p>
          <w:p>
            <w:pPr>
              <w:adjustRightInd w:val="0"/>
              <w:snapToGrid w:val="0"/>
              <w:jc w:val="center"/>
              <w:rPr>
                <w:color w:val="auto"/>
                <w:sz w:val="24"/>
              </w:rPr>
            </w:pPr>
            <w:r>
              <w:rPr>
                <w:color w:val="auto"/>
                <w:sz w:val="24"/>
              </w:rPr>
              <w:t>行业类别</w:t>
            </w:r>
          </w:p>
        </w:tc>
        <w:tc>
          <w:tcPr>
            <w:tcW w:w="1637" w:type="dxa"/>
            <w:vAlign w:val="center"/>
          </w:tcPr>
          <w:p>
            <w:pPr>
              <w:adjustRightInd w:val="0"/>
              <w:snapToGrid w:val="0"/>
              <w:jc w:val="center"/>
              <w:rPr>
                <w:color w:val="auto"/>
                <w:sz w:val="24"/>
              </w:rPr>
            </w:pPr>
            <w:r>
              <w:rPr>
                <w:rFonts w:hint="eastAsia"/>
                <w:color w:val="auto"/>
                <w:sz w:val="24"/>
              </w:rPr>
              <w:t>N7724危险废物治理</w:t>
            </w:r>
          </w:p>
        </w:tc>
        <w:tc>
          <w:tcPr>
            <w:tcW w:w="1935" w:type="dxa"/>
            <w:vAlign w:val="center"/>
          </w:tcPr>
          <w:p>
            <w:pPr>
              <w:adjustRightInd w:val="0"/>
              <w:snapToGrid w:val="0"/>
              <w:jc w:val="center"/>
              <w:rPr>
                <w:color w:val="auto"/>
                <w:sz w:val="24"/>
              </w:rPr>
            </w:pPr>
            <w:bookmarkStart w:id="1" w:name="_Hlk49843745"/>
            <w:r>
              <w:rPr>
                <w:color w:val="auto"/>
                <w:sz w:val="24"/>
              </w:rPr>
              <w:t>建设项目</w:t>
            </w:r>
          </w:p>
          <w:p>
            <w:pPr>
              <w:adjustRightInd w:val="0"/>
              <w:snapToGrid w:val="0"/>
              <w:jc w:val="center"/>
              <w:rPr>
                <w:color w:val="auto"/>
                <w:sz w:val="24"/>
              </w:rPr>
            </w:pPr>
            <w:r>
              <w:rPr>
                <w:color w:val="auto"/>
                <w:sz w:val="24"/>
              </w:rPr>
              <w:t>行业类别</w:t>
            </w:r>
            <w:bookmarkEnd w:id="1"/>
          </w:p>
        </w:tc>
        <w:tc>
          <w:tcPr>
            <w:tcW w:w="2907" w:type="dxa"/>
            <w:vAlign w:val="center"/>
          </w:tcPr>
          <w:p>
            <w:pPr>
              <w:adjustRightInd w:val="0"/>
              <w:snapToGrid w:val="0"/>
              <w:jc w:val="left"/>
              <w:rPr>
                <w:color w:val="auto"/>
                <w:sz w:val="24"/>
              </w:rPr>
            </w:pPr>
            <w:r>
              <w:rPr>
                <w:rFonts w:hint="eastAsia"/>
                <w:color w:val="auto"/>
                <w:sz w:val="24"/>
              </w:rPr>
              <w:t>四十七、生态保护和环境治理业 101危险废物（不含医疗废物）利用及处置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2382" w:type="dxa"/>
            <w:tcMar>
              <w:top w:w="16" w:type="dxa"/>
              <w:left w:w="16" w:type="dxa"/>
              <w:right w:w="16" w:type="dxa"/>
            </w:tcMar>
            <w:vAlign w:val="center"/>
          </w:tcPr>
          <w:p>
            <w:pPr>
              <w:adjustRightInd w:val="0"/>
              <w:snapToGrid w:val="0"/>
              <w:jc w:val="center"/>
              <w:rPr>
                <w:color w:val="auto"/>
                <w:sz w:val="24"/>
              </w:rPr>
            </w:pPr>
            <w:r>
              <w:rPr>
                <w:color w:val="auto"/>
                <w:sz w:val="24"/>
              </w:rPr>
              <w:t>建设性质</w:t>
            </w:r>
          </w:p>
        </w:tc>
        <w:tc>
          <w:tcPr>
            <w:tcW w:w="1637" w:type="dxa"/>
            <w:vAlign w:val="center"/>
          </w:tcPr>
          <w:p>
            <w:pPr>
              <w:jc w:val="left"/>
              <w:rPr>
                <w:color w:val="auto"/>
                <w:sz w:val="24"/>
              </w:rPr>
            </w:pPr>
            <w:r>
              <w:rPr>
                <w:color w:val="auto"/>
                <w:sz w:val="24"/>
              </w:rPr>
              <w:sym w:font="Wingdings 2" w:char="0052"/>
            </w:r>
            <w:r>
              <w:rPr>
                <w:color w:val="auto"/>
                <w:sz w:val="24"/>
              </w:rPr>
              <w:t>新建（迁建）</w:t>
            </w:r>
          </w:p>
          <w:p>
            <w:pPr>
              <w:jc w:val="left"/>
              <w:rPr>
                <w:color w:val="auto"/>
                <w:sz w:val="24"/>
              </w:rPr>
            </w:pPr>
            <w:r>
              <w:rPr>
                <w:color w:val="auto"/>
                <w:sz w:val="24"/>
              </w:rPr>
              <w:sym w:font="Wingdings 2" w:char="00A3"/>
            </w:r>
            <w:r>
              <w:rPr>
                <w:color w:val="auto"/>
                <w:sz w:val="24"/>
              </w:rPr>
              <w:t>改建</w:t>
            </w:r>
          </w:p>
          <w:p>
            <w:pPr>
              <w:jc w:val="left"/>
              <w:rPr>
                <w:color w:val="auto"/>
                <w:sz w:val="24"/>
              </w:rPr>
            </w:pPr>
            <w:r>
              <w:rPr>
                <w:color w:val="auto"/>
                <w:sz w:val="24"/>
              </w:rPr>
              <w:sym w:font="Wingdings 2" w:char="00A3"/>
            </w:r>
            <w:r>
              <w:rPr>
                <w:color w:val="auto"/>
                <w:sz w:val="24"/>
              </w:rPr>
              <w:t>扩建</w:t>
            </w:r>
          </w:p>
          <w:p>
            <w:pPr>
              <w:jc w:val="left"/>
              <w:rPr>
                <w:color w:val="auto"/>
                <w:sz w:val="24"/>
              </w:rPr>
            </w:pPr>
            <w:r>
              <w:rPr>
                <w:color w:val="auto"/>
                <w:sz w:val="24"/>
              </w:rPr>
              <w:sym w:font="Wingdings 2" w:char="00A3"/>
            </w:r>
            <w:r>
              <w:rPr>
                <w:color w:val="auto"/>
                <w:sz w:val="24"/>
              </w:rPr>
              <w:t>技术改造</w:t>
            </w:r>
          </w:p>
        </w:tc>
        <w:tc>
          <w:tcPr>
            <w:tcW w:w="1935" w:type="dxa"/>
            <w:vAlign w:val="center"/>
          </w:tcPr>
          <w:p>
            <w:pPr>
              <w:adjustRightInd w:val="0"/>
              <w:snapToGrid w:val="0"/>
              <w:jc w:val="center"/>
              <w:rPr>
                <w:color w:val="auto"/>
                <w:sz w:val="24"/>
              </w:rPr>
            </w:pPr>
            <w:r>
              <w:rPr>
                <w:color w:val="auto"/>
                <w:sz w:val="24"/>
              </w:rPr>
              <w:t>建设项目</w:t>
            </w:r>
          </w:p>
          <w:p>
            <w:pPr>
              <w:adjustRightInd w:val="0"/>
              <w:snapToGrid w:val="0"/>
              <w:jc w:val="center"/>
              <w:rPr>
                <w:color w:val="auto"/>
                <w:sz w:val="24"/>
              </w:rPr>
            </w:pPr>
            <w:r>
              <w:rPr>
                <w:color w:val="auto"/>
                <w:sz w:val="24"/>
              </w:rPr>
              <w:t>申报情形</w:t>
            </w:r>
          </w:p>
        </w:tc>
        <w:tc>
          <w:tcPr>
            <w:tcW w:w="2907" w:type="dxa"/>
            <w:vAlign w:val="center"/>
          </w:tcPr>
          <w:p>
            <w:pPr>
              <w:jc w:val="left"/>
              <w:rPr>
                <w:color w:val="auto"/>
                <w:sz w:val="24"/>
              </w:rPr>
            </w:pPr>
            <w:r>
              <w:rPr>
                <w:color w:val="auto"/>
                <w:sz w:val="24"/>
              </w:rPr>
              <w:sym w:font="Wingdings 2" w:char="0052"/>
            </w:r>
            <w:r>
              <w:rPr>
                <w:color w:val="auto"/>
                <w:sz w:val="24"/>
              </w:rPr>
              <w:t xml:space="preserve">首次申报项目             </w:t>
            </w:r>
          </w:p>
          <w:p>
            <w:pPr>
              <w:jc w:val="left"/>
              <w:rPr>
                <w:color w:val="auto"/>
                <w:sz w:val="24"/>
              </w:rPr>
            </w:pPr>
            <w:r>
              <w:rPr>
                <w:color w:val="auto"/>
                <w:sz w:val="24"/>
              </w:rPr>
              <w:sym w:font="Wingdings 2" w:char="00A3"/>
            </w:r>
            <w:r>
              <w:rPr>
                <w:color w:val="auto"/>
                <w:sz w:val="24"/>
              </w:rPr>
              <w:t>不予批准后再次申报项目</w:t>
            </w:r>
          </w:p>
          <w:p>
            <w:pPr>
              <w:jc w:val="left"/>
              <w:rPr>
                <w:color w:val="auto"/>
                <w:sz w:val="24"/>
              </w:rPr>
            </w:pPr>
            <w:r>
              <w:rPr>
                <w:color w:val="auto"/>
                <w:sz w:val="24"/>
              </w:rPr>
              <w:sym w:font="Wingdings 2" w:char="00A3"/>
            </w:r>
            <w:r>
              <w:rPr>
                <w:color w:val="auto"/>
                <w:sz w:val="24"/>
              </w:rPr>
              <w:t xml:space="preserve">超五年重新审核项目     </w:t>
            </w:r>
          </w:p>
          <w:p>
            <w:pPr>
              <w:jc w:val="left"/>
              <w:rPr>
                <w:color w:val="auto"/>
                <w:sz w:val="24"/>
              </w:rPr>
            </w:pPr>
            <w:r>
              <w:rPr>
                <w:color w:val="auto"/>
                <w:sz w:val="24"/>
              </w:rPr>
              <w:sym w:font="Wingdings 2" w:char="00A3"/>
            </w:r>
            <w:r>
              <w:rPr>
                <w:color w:val="auto"/>
                <w:sz w:val="24"/>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2382" w:type="dxa"/>
            <w:tcMar>
              <w:top w:w="16" w:type="dxa"/>
              <w:left w:w="16" w:type="dxa"/>
              <w:right w:w="16" w:type="dxa"/>
            </w:tcMar>
            <w:vAlign w:val="center"/>
          </w:tcPr>
          <w:p>
            <w:pPr>
              <w:adjustRightInd w:val="0"/>
              <w:snapToGrid w:val="0"/>
              <w:jc w:val="center"/>
              <w:rPr>
                <w:color w:val="auto"/>
                <w:sz w:val="24"/>
              </w:rPr>
            </w:pPr>
            <w:r>
              <w:rPr>
                <w:color w:val="auto"/>
                <w:sz w:val="24"/>
              </w:rPr>
              <w:t>项目审批（核准/</w:t>
            </w:r>
          </w:p>
          <w:p>
            <w:pPr>
              <w:adjustRightInd w:val="0"/>
              <w:snapToGrid w:val="0"/>
              <w:jc w:val="center"/>
              <w:rPr>
                <w:color w:val="auto"/>
                <w:sz w:val="24"/>
              </w:rPr>
            </w:pPr>
            <w:r>
              <w:rPr>
                <w:color w:val="auto"/>
                <w:sz w:val="24"/>
              </w:rPr>
              <w:t>备案）部门（选填）</w:t>
            </w:r>
          </w:p>
        </w:tc>
        <w:tc>
          <w:tcPr>
            <w:tcW w:w="1637" w:type="dxa"/>
            <w:vAlign w:val="center"/>
          </w:tcPr>
          <w:p>
            <w:pPr>
              <w:adjustRightInd w:val="0"/>
              <w:snapToGrid w:val="0"/>
              <w:jc w:val="center"/>
              <w:rPr>
                <w:color w:val="auto"/>
                <w:sz w:val="24"/>
              </w:rPr>
            </w:pPr>
            <w:r>
              <w:rPr>
                <w:rFonts w:hint="eastAsia"/>
                <w:color w:val="auto"/>
                <w:sz w:val="24"/>
              </w:rPr>
              <w:t>/</w:t>
            </w:r>
          </w:p>
        </w:tc>
        <w:tc>
          <w:tcPr>
            <w:tcW w:w="1935" w:type="dxa"/>
            <w:vAlign w:val="center"/>
          </w:tcPr>
          <w:p>
            <w:pPr>
              <w:adjustRightInd w:val="0"/>
              <w:snapToGrid w:val="0"/>
              <w:jc w:val="center"/>
              <w:rPr>
                <w:color w:val="auto"/>
                <w:sz w:val="24"/>
              </w:rPr>
            </w:pPr>
            <w:r>
              <w:rPr>
                <w:color w:val="auto"/>
                <w:sz w:val="24"/>
              </w:rPr>
              <w:t>项目审批（核准/</w:t>
            </w:r>
          </w:p>
          <w:p>
            <w:pPr>
              <w:adjustRightInd w:val="0"/>
              <w:snapToGrid w:val="0"/>
              <w:jc w:val="center"/>
              <w:rPr>
                <w:color w:val="auto"/>
                <w:sz w:val="24"/>
              </w:rPr>
            </w:pPr>
            <w:r>
              <w:rPr>
                <w:color w:val="auto"/>
                <w:sz w:val="24"/>
              </w:rPr>
              <w:t>备案）文号（选填）</w:t>
            </w:r>
          </w:p>
        </w:tc>
        <w:tc>
          <w:tcPr>
            <w:tcW w:w="2907" w:type="dxa"/>
            <w:vAlign w:val="center"/>
          </w:tcPr>
          <w:p>
            <w:pPr>
              <w:adjustRightInd w:val="0"/>
              <w:snapToGrid w:val="0"/>
              <w:jc w:val="center"/>
              <w:rPr>
                <w:rFonts w:eastAsia="微软雅黑"/>
                <w:color w:val="auto"/>
                <w:sz w:val="24"/>
              </w:rPr>
            </w:pPr>
            <w:r>
              <w:rPr>
                <w:rFonts w:hint="eastAsia" w:eastAsia="微软雅黑"/>
                <w:color w:val="auto"/>
                <w:sz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382" w:type="dxa"/>
            <w:tcMar>
              <w:top w:w="16" w:type="dxa"/>
              <w:left w:w="16" w:type="dxa"/>
              <w:right w:w="16" w:type="dxa"/>
            </w:tcMar>
            <w:vAlign w:val="center"/>
          </w:tcPr>
          <w:p>
            <w:pPr>
              <w:adjustRightInd w:val="0"/>
              <w:snapToGrid w:val="0"/>
              <w:jc w:val="center"/>
              <w:rPr>
                <w:color w:val="auto"/>
                <w:sz w:val="24"/>
              </w:rPr>
            </w:pPr>
            <w:r>
              <w:rPr>
                <w:color w:val="auto"/>
                <w:sz w:val="24"/>
              </w:rPr>
              <w:t>总投资（万元）</w:t>
            </w:r>
          </w:p>
        </w:tc>
        <w:tc>
          <w:tcPr>
            <w:tcW w:w="1637" w:type="dxa"/>
            <w:vAlign w:val="center"/>
          </w:tcPr>
          <w:p>
            <w:pPr>
              <w:adjustRightInd w:val="0"/>
              <w:snapToGrid w:val="0"/>
              <w:jc w:val="center"/>
              <w:rPr>
                <w:rFonts w:hint="default" w:eastAsia="宋体"/>
                <w:color w:val="auto"/>
                <w:sz w:val="24"/>
                <w:lang w:val="en-US" w:eastAsia="zh-CN"/>
              </w:rPr>
            </w:pPr>
            <w:r>
              <w:rPr>
                <w:rFonts w:hint="eastAsia"/>
                <w:color w:val="auto"/>
                <w:sz w:val="24"/>
                <w:lang w:val="en-US" w:eastAsia="zh-CN"/>
              </w:rPr>
              <w:t>7.0</w:t>
            </w:r>
          </w:p>
        </w:tc>
        <w:tc>
          <w:tcPr>
            <w:tcW w:w="1935" w:type="dxa"/>
            <w:tcMar>
              <w:top w:w="16" w:type="dxa"/>
              <w:left w:w="16" w:type="dxa"/>
              <w:right w:w="16" w:type="dxa"/>
            </w:tcMar>
            <w:vAlign w:val="center"/>
          </w:tcPr>
          <w:p>
            <w:pPr>
              <w:adjustRightInd w:val="0"/>
              <w:snapToGrid w:val="0"/>
              <w:jc w:val="center"/>
              <w:rPr>
                <w:color w:val="auto"/>
                <w:sz w:val="24"/>
              </w:rPr>
            </w:pPr>
            <w:r>
              <w:rPr>
                <w:color w:val="auto"/>
                <w:sz w:val="24"/>
              </w:rPr>
              <w:t>环保投资（万元）</w:t>
            </w:r>
          </w:p>
        </w:tc>
        <w:tc>
          <w:tcPr>
            <w:tcW w:w="2907" w:type="dxa"/>
            <w:vAlign w:val="center"/>
          </w:tcPr>
          <w:p>
            <w:pPr>
              <w:adjustRightInd w:val="0"/>
              <w:snapToGrid w:val="0"/>
              <w:jc w:val="center"/>
              <w:rPr>
                <w:rFonts w:hint="default" w:eastAsia="宋体"/>
                <w:color w:val="auto"/>
                <w:sz w:val="24"/>
                <w:lang w:val="en-US" w:eastAsia="zh-CN"/>
              </w:rPr>
            </w:pPr>
            <w:r>
              <w:rPr>
                <w:rFonts w:hint="eastAsia"/>
                <w:color w:val="auto"/>
                <w:sz w:val="24"/>
                <w:lang w:val="en-US" w:eastAsia="zh-CN"/>
              </w:rPr>
              <w:t>7.0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382" w:type="dxa"/>
            <w:tcMar>
              <w:top w:w="16" w:type="dxa"/>
              <w:left w:w="16" w:type="dxa"/>
              <w:right w:w="16" w:type="dxa"/>
            </w:tcMar>
            <w:vAlign w:val="center"/>
          </w:tcPr>
          <w:p>
            <w:pPr>
              <w:adjustRightInd w:val="0"/>
              <w:snapToGrid w:val="0"/>
              <w:jc w:val="center"/>
              <w:rPr>
                <w:color w:val="auto"/>
                <w:sz w:val="24"/>
              </w:rPr>
            </w:pPr>
            <w:r>
              <w:rPr>
                <w:color w:val="auto"/>
                <w:sz w:val="24"/>
              </w:rPr>
              <w:t>环保投资占比（%）</w:t>
            </w:r>
          </w:p>
        </w:tc>
        <w:tc>
          <w:tcPr>
            <w:tcW w:w="1637" w:type="dxa"/>
            <w:vAlign w:val="center"/>
          </w:tcPr>
          <w:p>
            <w:pPr>
              <w:adjustRightInd w:val="0"/>
              <w:snapToGrid w:val="0"/>
              <w:jc w:val="center"/>
              <w:rPr>
                <w:color w:val="auto"/>
                <w:sz w:val="24"/>
              </w:rPr>
            </w:pPr>
            <w:r>
              <w:rPr>
                <w:rFonts w:hint="eastAsia"/>
                <w:color w:val="auto"/>
                <w:sz w:val="24"/>
              </w:rPr>
              <w:t>100</w:t>
            </w:r>
          </w:p>
        </w:tc>
        <w:tc>
          <w:tcPr>
            <w:tcW w:w="1935" w:type="dxa"/>
            <w:tcMar>
              <w:top w:w="16" w:type="dxa"/>
              <w:left w:w="16" w:type="dxa"/>
              <w:right w:w="16" w:type="dxa"/>
            </w:tcMar>
            <w:vAlign w:val="center"/>
          </w:tcPr>
          <w:p>
            <w:pPr>
              <w:adjustRightInd w:val="0"/>
              <w:snapToGrid w:val="0"/>
              <w:jc w:val="center"/>
              <w:rPr>
                <w:color w:val="auto"/>
                <w:sz w:val="24"/>
              </w:rPr>
            </w:pPr>
            <w:r>
              <w:rPr>
                <w:color w:val="auto"/>
                <w:sz w:val="24"/>
              </w:rPr>
              <w:t>施工工期</w:t>
            </w:r>
          </w:p>
        </w:tc>
        <w:tc>
          <w:tcPr>
            <w:tcW w:w="2907" w:type="dxa"/>
            <w:vAlign w:val="center"/>
          </w:tcPr>
          <w:p>
            <w:pPr>
              <w:adjustRightInd w:val="0"/>
              <w:snapToGrid w:val="0"/>
              <w:jc w:val="center"/>
              <w:rPr>
                <w:color w:val="auto"/>
                <w:sz w:val="24"/>
              </w:rPr>
            </w:pPr>
            <w:r>
              <w:rPr>
                <w:rFonts w:hint="eastAsia"/>
                <w:color w:val="auto"/>
                <w:sz w:val="24"/>
                <w:highlight w:val="none"/>
              </w:rPr>
              <w:t>202</w:t>
            </w:r>
            <w:r>
              <w:rPr>
                <w:rFonts w:hint="eastAsia"/>
                <w:color w:val="auto"/>
                <w:sz w:val="24"/>
                <w:highlight w:val="none"/>
                <w:lang w:val="en-US" w:eastAsia="zh-CN"/>
              </w:rPr>
              <w:t>3</w:t>
            </w:r>
            <w:r>
              <w:rPr>
                <w:rFonts w:hint="eastAsia"/>
                <w:color w:val="auto"/>
                <w:sz w:val="24"/>
                <w:highlight w:val="none"/>
              </w:rPr>
              <w:t>年</w:t>
            </w:r>
            <w:r>
              <w:rPr>
                <w:rFonts w:hint="eastAsia"/>
                <w:color w:val="auto"/>
                <w:sz w:val="24"/>
                <w:highlight w:val="none"/>
                <w:lang w:val="en-US" w:eastAsia="zh-CN"/>
              </w:rPr>
              <w:t>5</w:t>
            </w:r>
            <w:r>
              <w:rPr>
                <w:rFonts w:hint="eastAsia"/>
                <w:color w:val="auto"/>
                <w:sz w:val="24"/>
                <w:highlight w:val="none"/>
              </w:rPr>
              <w:t>月</w:t>
            </w:r>
            <w:r>
              <w:rPr>
                <w:rFonts w:hint="eastAsia"/>
                <w:color w:val="auto"/>
                <w:sz w:val="24"/>
                <w:highlight w:val="none"/>
                <w:lang w:eastAsia="zh-CN"/>
              </w:rPr>
              <w:t>～</w:t>
            </w:r>
            <w:r>
              <w:rPr>
                <w:rFonts w:hint="eastAsia"/>
                <w:color w:val="auto"/>
                <w:sz w:val="24"/>
                <w:highlight w:val="none"/>
              </w:rPr>
              <w:t>202</w:t>
            </w:r>
            <w:r>
              <w:rPr>
                <w:rFonts w:hint="eastAsia"/>
                <w:color w:val="auto"/>
                <w:sz w:val="24"/>
                <w:highlight w:val="none"/>
                <w:lang w:val="en-US" w:eastAsia="zh-CN"/>
              </w:rPr>
              <w:t>3</w:t>
            </w:r>
            <w:r>
              <w:rPr>
                <w:rFonts w:hint="eastAsia"/>
                <w:color w:val="auto"/>
                <w:sz w:val="24"/>
                <w:highlight w:val="none"/>
              </w:rPr>
              <w:t>年</w:t>
            </w:r>
            <w:r>
              <w:rPr>
                <w:rFonts w:hint="eastAsia"/>
                <w:color w:val="auto"/>
                <w:sz w:val="24"/>
                <w:highlight w:val="none"/>
                <w:lang w:val="en-US" w:eastAsia="zh-CN"/>
              </w:rPr>
              <w:t>6</w:t>
            </w:r>
            <w:r>
              <w:rPr>
                <w:rFonts w:hint="eastAsia"/>
                <w:color w:val="auto"/>
                <w:sz w:val="24"/>
                <w:highlight w:val="none"/>
              </w:rPr>
              <w:t>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382" w:type="dxa"/>
            <w:tcMar>
              <w:top w:w="16" w:type="dxa"/>
              <w:left w:w="16" w:type="dxa"/>
              <w:right w:w="16" w:type="dxa"/>
            </w:tcMar>
            <w:vAlign w:val="center"/>
          </w:tcPr>
          <w:p>
            <w:pPr>
              <w:adjustRightInd w:val="0"/>
              <w:snapToGrid w:val="0"/>
              <w:jc w:val="center"/>
              <w:rPr>
                <w:color w:val="auto"/>
                <w:sz w:val="24"/>
              </w:rPr>
            </w:pPr>
            <w:r>
              <w:rPr>
                <w:color w:val="auto"/>
                <w:sz w:val="24"/>
              </w:rPr>
              <w:t>是否开工建设</w:t>
            </w:r>
          </w:p>
        </w:tc>
        <w:tc>
          <w:tcPr>
            <w:tcW w:w="1637" w:type="dxa"/>
            <w:vAlign w:val="center"/>
          </w:tcPr>
          <w:p>
            <w:pPr>
              <w:adjustRightInd w:val="0"/>
              <w:snapToGrid w:val="0"/>
              <w:rPr>
                <w:color w:val="auto"/>
              </w:rPr>
            </w:pPr>
            <w:r>
              <w:rPr>
                <w:color w:val="auto"/>
                <w:sz w:val="24"/>
              </w:rPr>
              <w:sym w:font="Wingdings 2" w:char="0052"/>
            </w:r>
            <w:r>
              <w:rPr>
                <w:color w:val="auto"/>
                <w:sz w:val="24"/>
              </w:rPr>
              <w:t>否</w:t>
            </w:r>
          </w:p>
          <w:p>
            <w:pPr>
              <w:adjustRightInd w:val="0"/>
              <w:snapToGrid w:val="0"/>
              <w:rPr>
                <w:rFonts w:hint="eastAsia" w:eastAsia="宋体"/>
                <w:color w:val="auto"/>
                <w:sz w:val="24"/>
                <w:lang w:eastAsia="zh-CN"/>
              </w:rPr>
            </w:pPr>
            <w:r>
              <w:rPr>
                <w:color w:val="auto"/>
                <w:sz w:val="24"/>
              </w:rPr>
              <w:sym w:font="Wingdings 2" w:char="00A3"/>
            </w:r>
            <w:r>
              <w:rPr>
                <w:color w:val="auto"/>
                <w:sz w:val="24"/>
              </w:rPr>
              <w:t>是</w:t>
            </w:r>
            <w:r>
              <w:rPr>
                <w:rFonts w:hint="eastAsia"/>
                <w:color w:val="auto"/>
                <w:sz w:val="24"/>
              </w:rPr>
              <w:t>：</w:t>
            </w:r>
          </w:p>
        </w:tc>
        <w:tc>
          <w:tcPr>
            <w:tcW w:w="1935" w:type="dxa"/>
            <w:tcMar>
              <w:top w:w="16" w:type="dxa"/>
              <w:left w:w="16" w:type="dxa"/>
              <w:right w:w="16" w:type="dxa"/>
            </w:tcMar>
            <w:vAlign w:val="center"/>
          </w:tcPr>
          <w:p>
            <w:pPr>
              <w:adjustRightInd w:val="0"/>
              <w:snapToGrid w:val="0"/>
              <w:jc w:val="center"/>
              <w:rPr>
                <w:color w:val="auto"/>
                <w:spacing w:val="-6"/>
                <w:sz w:val="24"/>
              </w:rPr>
            </w:pPr>
            <w:r>
              <w:rPr>
                <w:color w:val="auto"/>
                <w:spacing w:val="-6"/>
                <w:sz w:val="24"/>
              </w:rPr>
              <w:t>用地（用海）</w:t>
            </w:r>
          </w:p>
          <w:p>
            <w:pPr>
              <w:adjustRightInd w:val="0"/>
              <w:snapToGrid w:val="0"/>
              <w:jc w:val="center"/>
              <w:rPr>
                <w:color w:val="auto"/>
                <w:sz w:val="24"/>
              </w:rPr>
            </w:pPr>
            <w:r>
              <w:rPr>
                <w:color w:val="auto"/>
                <w:spacing w:val="-6"/>
                <w:sz w:val="24"/>
              </w:rPr>
              <w:t>面积（m</w:t>
            </w:r>
            <w:r>
              <w:rPr>
                <w:color w:val="auto"/>
                <w:spacing w:val="-6"/>
                <w:sz w:val="24"/>
                <w:vertAlign w:val="superscript"/>
              </w:rPr>
              <w:t>2</w:t>
            </w:r>
            <w:r>
              <w:rPr>
                <w:color w:val="auto"/>
                <w:spacing w:val="-6"/>
                <w:sz w:val="24"/>
              </w:rPr>
              <w:t>）</w:t>
            </w:r>
          </w:p>
        </w:tc>
        <w:tc>
          <w:tcPr>
            <w:tcW w:w="2907" w:type="dxa"/>
            <w:vAlign w:val="center"/>
          </w:tcPr>
          <w:p>
            <w:pPr>
              <w:adjustRightInd w:val="0"/>
              <w:snapToGrid w:val="0"/>
              <w:ind w:firstLine="240" w:firstLineChars="100"/>
              <w:jc w:val="center"/>
              <w:rPr>
                <w:color w:val="auto"/>
                <w:sz w:val="24"/>
                <w:highlight w:val="yellow"/>
              </w:rPr>
            </w:pPr>
            <w:r>
              <w:rPr>
                <w:rFonts w:hint="eastAsia"/>
                <w:color w:val="auto"/>
                <w:sz w:val="24"/>
              </w:rPr>
              <w:t>15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27" w:hRule="atLeast"/>
          <w:jc w:val="center"/>
        </w:trPr>
        <w:tc>
          <w:tcPr>
            <w:tcW w:w="2382" w:type="dxa"/>
            <w:vAlign w:val="center"/>
          </w:tcPr>
          <w:p>
            <w:pPr>
              <w:autoSpaceDE w:val="0"/>
              <w:autoSpaceDN w:val="0"/>
              <w:adjustRightInd w:val="0"/>
              <w:snapToGrid w:val="0"/>
              <w:rPr>
                <w:color w:val="auto"/>
                <w:sz w:val="24"/>
              </w:rPr>
            </w:pPr>
            <w:r>
              <w:rPr>
                <w:color w:val="auto"/>
                <w:sz w:val="24"/>
              </w:rPr>
              <w:t>专项评价设置情况</w:t>
            </w:r>
          </w:p>
        </w:tc>
        <w:tc>
          <w:tcPr>
            <w:tcW w:w="6479" w:type="dxa"/>
            <w:gridSpan w:val="3"/>
            <w:vAlign w:val="center"/>
          </w:tcPr>
          <w:p>
            <w:pPr>
              <w:autoSpaceDE w:val="0"/>
              <w:autoSpaceDN w:val="0"/>
              <w:adjustRightInd w:val="0"/>
              <w:snapToGrid w:val="0"/>
              <w:spacing w:line="520" w:lineRule="exact"/>
              <w:jc w:val="center"/>
              <w:rPr>
                <w:color w:val="auto"/>
              </w:rPr>
            </w:pPr>
            <w:r>
              <w:rPr>
                <w:rFonts w:hint="eastAsia"/>
                <w:color w:val="auto"/>
                <w:sz w:val="24"/>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51" w:hRule="atLeast"/>
          <w:jc w:val="center"/>
        </w:trPr>
        <w:tc>
          <w:tcPr>
            <w:tcW w:w="2382" w:type="dxa"/>
            <w:vAlign w:val="center"/>
          </w:tcPr>
          <w:p>
            <w:pPr>
              <w:autoSpaceDE w:val="0"/>
              <w:autoSpaceDN w:val="0"/>
              <w:adjustRightInd w:val="0"/>
              <w:snapToGrid w:val="0"/>
              <w:jc w:val="center"/>
              <w:rPr>
                <w:color w:val="auto"/>
                <w:kern w:val="0"/>
                <w:sz w:val="24"/>
              </w:rPr>
            </w:pPr>
            <w:r>
              <w:rPr>
                <w:color w:val="auto"/>
                <w:sz w:val="24"/>
              </w:rPr>
              <w:t>规划情况</w:t>
            </w:r>
          </w:p>
        </w:tc>
        <w:tc>
          <w:tcPr>
            <w:tcW w:w="6479" w:type="dxa"/>
            <w:gridSpan w:val="3"/>
            <w:vAlign w:val="center"/>
          </w:tcPr>
          <w:p>
            <w:pPr>
              <w:autoSpaceDE w:val="0"/>
              <w:autoSpaceDN w:val="0"/>
              <w:adjustRightInd w:val="0"/>
              <w:snapToGrid w:val="0"/>
              <w:spacing w:line="520" w:lineRule="exact"/>
              <w:jc w:val="center"/>
              <w:rPr>
                <w:color w:val="auto"/>
                <w:kern w:val="0"/>
                <w:sz w:val="24"/>
              </w:rPr>
            </w:pPr>
            <w:r>
              <w:rPr>
                <w:rFonts w:hint="eastAsia"/>
                <w:color w:val="auto"/>
                <w:kern w:val="0"/>
                <w:sz w:val="24"/>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31" w:hRule="atLeast"/>
          <w:jc w:val="center"/>
        </w:trPr>
        <w:tc>
          <w:tcPr>
            <w:tcW w:w="2382" w:type="dxa"/>
            <w:vAlign w:val="center"/>
          </w:tcPr>
          <w:p>
            <w:pPr>
              <w:adjustRightInd w:val="0"/>
              <w:snapToGrid w:val="0"/>
              <w:jc w:val="center"/>
              <w:rPr>
                <w:color w:val="auto"/>
                <w:sz w:val="24"/>
              </w:rPr>
            </w:pPr>
            <w:r>
              <w:rPr>
                <w:color w:val="auto"/>
                <w:sz w:val="24"/>
              </w:rPr>
              <w:t>规划环境影响</w:t>
            </w:r>
          </w:p>
          <w:p>
            <w:pPr>
              <w:adjustRightInd w:val="0"/>
              <w:snapToGrid w:val="0"/>
              <w:jc w:val="center"/>
              <w:rPr>
                <w:color w:val="auto"/>
                <w:kern w:val="0"/>
                <w:sz w:val="24"/>
              </w:rPr>
            </w:pPr>
            <w:r>
              <w:rPr>
                <w:color w:val="auto"/>
                <w:sz w:val="24"/>
              </w:rPr>
              <w:t>评价情况</w:t>
            </w:r>
          </w:p>
        </w:tc>
        <w:tc>
          <w:tcPr>
            <w:tcW w:w="6479" w:type="dxa"/>
            <w:gridSpan w:val="3"/>
            <w:vAlign w:val="center"/>
          </w:tcPr>
          <w:p>
            <w:pPr>
              <w:autoSpaceDE w:val="0"/>
              <w:autoSpaceDN w:val="0"/>
              <w:adjustRightInd w:val="0"/>
              <w:snapToGrid w:val="0"/>
              <w:spacing w:line="520" w:lineRule="exact"/>
              <w:jc w:val="center"/>
              <w:rPr>
                <w:color w:val="auto"/>
                <w:kern w:val="0"/>
                <w:sz w:val="24"/>
              </w:rPr>
            </w:pPr>
            <w:r>
              <w:rPr>
                <w:rFonts w:hint="eastAsia"/>
                <w:color w:val="auto"/>
                <w:kern w:val="0"/>
                <w:sz w:val="24"/>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2382" w:type="dxa"/>
            <w:vAlign w:val="center"/>
          </w:tcPr>
          <w:p>
            <w:pPr>
              <w:autoSpaceDE w:val="0"/>
              <w:autoSpaceDN w:val="0"/>
              <w:adjustRightInd w:val="0"/>
              <w:snapToGrid w:val="0"/>
              <w:jc w:val="center"/>
              <w:rPr>
                <w:color w:val="auto"/>
                <w:kern w:val="0"/>
                <w:sz w:val="24"/>
              </w:rPr>
            </w:pPr>
            <w:r>
              <w:rPr>
                <w:color w:val="auto"/>
                <w:kern w:val="0"/>
                <w:sz w:val="24"/>
              </w:rPr>
              <w:t>规划及规划环境</w:t>
            </w:r>
          </w:p>
          <w:p>
            <w:pPr>
              <w:autoSpaceDE w:val="0"/>
              <w:autoSpaceDN w:val="0"/>
              <w:adjustRightInd w:val="0"/>
              <w:snapToGrid w:val="0"/>
              <w:jc w:val="center"/>
              <w:rPr>
                <w:color w:val="auto"/>
                <w:kern w:val="0"/>
                <w:sz w:val="24"/>
              </w:rPr>
            </w:pPr>
            <w:r>
              <w:rPr>
                <w:color w:val="auto"/>
                <w:kern w:val="0"/>
                <w:sz w:val="24"/>
              </w:rPr>
              <w:t>影响评价符合性分析</w:t>
            </w:r>
          </w:p>
        </w:tc>
        <w:tc>
          <w:tcPr>
            <w:tcW w:w="6479" w:type="dxa"/>
            <w:gridSpan w:val="3"/>
            <w:vAlign w:val="center"/>
          </w:tcPr>
          <w:p>
            <w:pPr>
              <w:pStyle w:val="63"/>
              <w:spacing w:line="520" w:lineRule="atLeast"/>
              <w:ind w:firstLine="0" w:firstLineChars="0"/>
              <w:jc w:val="center"/>
              <w:rPr>
                <w:color w:val="auto"/>
              </w:rPr>
            </w:pPr>
            <w:r>
              <w:rPr>
                <w:rFonts w:hint="eastAsia"/>
                <w:color w:val="auto"/>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142" w:hRule="atLeast"/>
          <w:jc w:val="center"/>
        </w:trPr>
        <w:tc>
          <w:tcPr>
            <w:tcW w:w="2382" w:type="dxa"/>
            <w:vAlign w:val="center"/>
          </w:tcPr>
          <w:p>
            <w:pPr>
              <w:autoSpaceDE w:val="0"/>
              <w:autoSpaceDN w:val="0"/>
              <w:adjustRightInd w:val="0"/>
              <w:snapToGrid w:val="0"/>
              <w:jc w:val="center"/>
              <w:rPr>
                <w:color w:val="auto"/>
                <w:kern w:val="0"/>
                <w:sz w:val="24"/>
              </w:rPr>
            </w:pPr>
            <w:r>
              <w:rPr>
                <w:color w:val="auto"/>
                <w:kern w:val="0"/>
                <w:sz w:val="24"/>
              </w:rPr>
              <w:t>其他符合性分析</w:t>
            </w:r>
          </w:p>
        </w:tc>
        <w:tc>
          <w:tcPr>
            <w:tcW w:w="6479" w:type="dxa"/>
            <w:gridSpan w:val="3"/>
            <w:vAlign w:val="center"/>
          </w:tcPr>
          <w:p>
            <w:pPr>
              <w:numPr>
                <w:ilvl w:val="0"/>
                <w:numId w:val="2"/>
              </w:numPr>
              <w:autoSpaceDE w:val="0"/>
              <w:autoSpaceDN w:val="0"/>
              <w:adjustRightInd w:val="0"/>
              <w:snapToGrid w:val="0"/>
              <w:spacing w:line="520" w:lineRule="exact"/>
              <w:rPr>
                <w:b/>
                <w:bCs/>
                <w:color w:val="auto"/>
                <w:sz w:val="24"/>
              </w:rPr>
            </w:pPr>
            <w:r>
              <w:rPr>
                <w:b/>
                <w:bCs/>
                <w:color w:val="auto"/>
                <w:sz w:val="24"/>
              </w:rPr>
              <w:t>项目“三线一单”符合性分析</w:t>
            </w:r>
          </w:p>
          <w:p>
            <w:pPr>
              <w:pStyle w:val="68"/>
              <w:rPr>
                <w:color w:val="auto"/>
                <w:highlight w:val="yellow"/>
              </w:rPr>
            </w:pPr>
            <w:r>
              <w:rPr>
                <w:rFonts w:hint="eastAsia"/>
                <w:color w:val="auto"/>
              </w:rPr>
              <w:t>根据</w:t>
            </w:r>
            <w:bookmarkStart w:id="2" w:name="_Hlk110347325"/>
            <w:r>
              <w:rPr>
                <w:rFonts w:hint="eastAsia"/>
                <w:color w:val="auto"/>
              </w:rPr>
              <w:t>《新疆维吾尔自治区七大片区“三线一单”生态环境分区管控要求（2021年版）》《新疆维吾尔自治区“三线一单”生态环</w:t>
            </w:r>
            <w:r>
              <w:rPr>
                <w:rFonts w:hint="eastAsia"/>
                <w:color w:val="auto"/>
                <w:highlight w:val="none"/>
              </w:rPr>
              <w:t>境分区管控方案》（新政发〔2021〕18号）和</w:t>
            </w:r>
            <w:r>
              <w:rPr>
                <w:color w:val="auto"/>
                <w:sz w:val="24"/>
              </w:rPr>
              <w:t>《</w:t>
            </w:r>
            <w:r>
              <w:rPr>
                <w:rFonts w:hint="eastAsia"/>
                <w:color w:val="auto"/>
                <w:sz w:val="24"/>
              </w:rPr>
              <w:t>昌吉回族自治州</w:t>
            </w:r>
            <w:r>
              <w:rPr>
                <w:color w:val="auto"/>
                <w:sz w:val="24"/>
              </w:rPr>
              <w:t>“三线一单”生态环境分区管控方案》</w:t>
            </w:r>
            <w:r>
              <w:rPr>
                <w:color w:val="auto"/>
                <w:highlight w:val="none"/>
              </w:rPr>
              <w:t>《关于以改善环境质量为核心加强环境影响评价管理的通知》（环环评〔20</w:t>
            </w:r>
            <w:r>
              <w:rPr>
                <w:color w:val="auto"/>
              </w:rPr>
              <w:t>16〕150号）</w:t>
            </w:r>
            <w:bookmarkEnd w:id="2"/>
            <w:r>
              <w:rPr>
                <w:rFonts w:hint="eastAsia"/>
                <w:color w:val="auto"/>
              </w:rPr>
              <w:t>中“</w:t>
            </w:r>
            <w:r>
              <w:rPr>
                <w:color w:val="auto"/>
              </w:rPr>
              <w:t>为适应以改善环境质量为核心的环境管理要求，切实加强环境影响评价管理，落实生态保护红线、环境质量底线、资源利用上线和</w:t>
            </w:r>
            <w:r>
              <w:rPr>
                <w:rFonts w:hint="eastAsia"/>
                <w:color w:val="auto"/>
              </w:rPr>
              <w:t>生态环境准入清单</w:t>
            </w:r>
            <w:r>
              <w:rPr>
                <w:color w:val="auto"/>
              </w:rPr>
              <w:t>约束</w:t>
            </w:r>
            <w:r>
              <w:rPr>
                <w:rFonts w:hint="eastAsia"/>
                <w:color w:val="auto"/>
              </w:rPr>
              <w:t>”</w:t>
            </w:r>
            <w:r>
              <w:rPr>
                <w:color w:val="auto"/>
              </w:rPr>
              <w:t>。</w:t>
            </w:r>
          </w:p>
          <w:p>
            <w:pPr>
              <w:pStyle w:val="68"/>
              <w:rPr>
                <w:color w:val="auto"/>
              </w:rPr>
            </w:pPr>
            <w:r>
              <w:rPr>
                <w:rFonts w:hint="eastAsia"/>
                <w:color w:val="auto"/>
              </w:rPr>
              <w:t>根据以上文件要求，对本建设项目进行“三线一单”符合性分析，具体见表1-1。</w:t>
            </w:r>
          </w:p>
          <w:p>
            <w:pPr>
              <w:pStyle w:val="11"/>
              <w:ind w:firstLine="480" w:firstLineChars="200"/>
              <w:jc w:val="center"/>
              <w:rPr>
                <w:rFonts w:ascii="黑体" w:hAnsi="黑体" w:eastAsia="黑体" w:cs="黑体"/>
                <w:bCs/>
                <w:color w:val="auto"/>
              </w:rPr>
            </w:pPr>
            <w:r>
              <w:rPr>
                <w:rFonts w:hint="eastAsia" w:ascii="黑体" w:hAnsi="黑体" w:eastAsia="黑体" w:cs="黑体"/>
                <w:bCs/>
                <w:color w:val="auto"/>
              </w:rPr>
              <w:t>表1-1    “三线一单”符合性分析表</w:t>
            </w:r>
          </w:p>
          <w:tbl>
            <w:tblPr>
              <w:tblStyle w:val="31"/>
              <w:tblW w:w="6546"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73"/>
              <w:gridCol w:w="4849"/>
              <w:gridCol w:w="72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64" w:hRule="atLeast"/>
              </w:trPr>
              <w:tc>
                <w:tcPr>
                  <w:tcW w:w="743" w:type="pct"/>
                  <w:vAlign w:val="center"/>
                </w:tcPr>
                <w:p>
                  <w:pPr>
                    <w:pStyle w:val="91"/>
                    <w:ind w:left="-63" w:right="-63"/>
                    <w:rPr>
                      <w:color w:val="auto"/>
                    </w:rPr>
                  </w:pPr>
                  <w:r>
                    <w:rPr>
                      <w:color w:val="auto"/>
                    </w:rPr>
                    <w:t>内容</w:t>
                  </w:r>
                </w:p>
              </w:tc>
              <w:tc>
                <w:tcPr>
                  <w:tcW w:w="3704" w:type="pct"/>
                  <w:vAlign w:val="center"/>
                </w:tcPr>
                <w:p>
                  <w:pPr>
                    <w:pStyle w:val="91"/>
                    <w:ind w:left="-63" w:right="-63"/>
                    <w:rPr>
                      <w:color w:val="auto"/>
                    </w:rPr>
                  </w:pPr>
                  <w:r>
                    <w:rPr>
                      <w:color w:val="auto"/>
                    </w:rPr>
                    <w:t>符合性分析</w:t>
                  </w:r>
                </w:p>
              </w:tc>
              <w:tc>
                <w:tcPr>
                  <w:tcW w:w="553" w:type="pct"/>
                  <w:vAlign w:val="center"/>
                </w:tcPr>
                <w:p>
                  <w:pPr>
                    <w:pStyle w:val="91"/>
                    <w:ind w:left="-63" w:right="-63"/>
                    <w:rPr>
                      <w:color w:val="auto"/>
                    </w:rPr>
                  </w:pPr>
                  <w:r>
                    <w:rPr>
                      <w:color w:val="auto"/>
                    </w:rPr>
                    <w:t>是否符合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743" w:type="pct"/>
                  <w:vAlign w:val="center"/>
                </w:tcPr>
                <w:p>
                  <w:pPr>
                    <w:pStyle w:val="91"/>
                    <w:keepNext w:val="0"/>
                    <w:keepLines w:val="0"/>
                    <w:pageBreakBefore w:val="0"/>
                    <w:kinsoku/>
                    <w:wordWrap/>
                    <w:overflowPunct/>
                    <w:topLinePunct w:val="0"/>
                    <w:bidi w:val="0"/>
                    <w:spacing w:line="240" w:lineRule="auto"/>
                    <w:ind w:left="0" w:leftChars="0" w:right="0" w:rightChars="0" w:firstLine="0" w:firstLineChars="0"/>
                    <w:textAlignment w:val="auto"/>
                    <w:rPr>
                      <w:rFonts w:ascii="Times New Roman" w:hAnsi="Times New Roman" w:eastAsia="宋体" w:cs="Times New Roman"/>
                      <w:color w:val="auto"/>
                      <w:kern w:val="0"/>
                      <w:sz w:val="21"/>
                      <w:szCs w:val="21"/>
                      <w:lang w:val="en-US" w:eastAsia="zh-CN" w:bidi="ar-SA"/>
                    </w:rPr>
                  </w:pPr>
                  <w:r>
                    <w:rPr>
                      <w:rFonts w:ascii="Times New Roman" w:hAnsi="Times New Roman" w:eastAsia="宋体" w:cs="Times New Roman"/>
                      <w:color w:val="auto"/>
                      <w:kern w:val="0"/>
                      <w:sz w:val="21"/>
                      <w:szCs w:val="21"/>
                      <w:lang w:val="en-US" w:eastAsia="zh-CN" w:bidi="ar-SA"/>
                    </w:rPr>
                    <w:t>生态保</w:t>
                  </w:r>
                </w:p>
                <w:p>
                  <w:pPr>
                    <w:pStyle w:val="91"/>
                    <w:keepNext w:val="0"/>
                    <w:keepLines w:val="0"/>
                    <w:pageBreakBefore w:val="0"/>
                    <w:kinsoku/>
                    <w:wordWrap/>
                    <w:overflowPunct/>
                    <w:topLinePunct w:val="0"/>
                    <w:bidi w:val="0"/>
                    <w:spacing w:line="240" w:lineRule="auto"/>
                    <w:ind w:left="0" w:leftChars="0" w:right="0" w:rightChars="0" w:firstLine="0" w:firstLineChars="0"/>
                    <w:textAlignment w:val="auto"/>
                    <w:rPr>
                      <w:rFonts w:ascii="Times New Roman" w:hAnsi="Times New Roman" w:eastAsia="宋体" w:cs="Times New Roman"/>
                      <w:color w:val="auto"/>
                      <w:kern w:val="0"/>
                      <w:sz w:val="21"/>
                      <w:szCs w:val="21"/>
                      <w:lang w:val="en-US" w:eastAsia="zh-CN" w:bidi="ar-SA"/>
                    </w:rPr>
                  </w:pPr>
                  <w:r>
                    <w:rPr>
                      <w:rFonts w:ascii="Times New Roman" w:hAnsi="Times New Roman" w:eastAsia="宋体" w:cs="Times New Roman"/>
                      <w:color w:val="auto"/>
                      <w:kern w:val="0"/>
                      <w:sz w:val="21"/>
                      <w:szCs w:val="21"/>
                      <w:lang w:val="en-US" w:eastAsia="zh-CN" w:bidi="ar-SA"/>
                    </w:rPr>
                    <w:t>护红线</w:t>
                  </w:r>
                </w:p>
              </w:tc>
              <w:tc>
                <w:tcPr>
                  <w:tcW w:w="3704" w:type="pct"/>
                  <w:vAlign w:val="center"/>
                </w:tcPr>
                <w:p>
                  <w:pPr>
                    <w:pStyle w:val="91"/>
                    <w:keepNext w:val="0"/>
                    <w:keepLines w:val="0"/>
                    <w:pageBreakBefore w:val="0"/>
                    <w:kinsoku/>
                    <w:wordWrap/>
                    <w:overflowPunct/>
                    <w:topLinePunct w:val="0"/>
                    <w:bidi w:val="0"/>
                    <w:spacing w:line="240" w:lineRule="auto"/>
                    <w:ind w:left="0" w:leftChars="0" w:right="0" w:rightChars="0" w:firstLine="0" w:firstLineChars="0"/>
                    <w:textAlignment w:val="auto"/>
                    <w:rPr>
                      <w:rFonts w:ascii="Times New Roman" w:hAnsi="Times New Roman" w:eastAsia="宋体" w:cs="Times New Roman"/>
                      <w:color w:val="auto"/>
                      <w:kern w:val="0"/>
                      <w:sz w:val="21"/>
                      <w:szCs w:val="21"/>
                      <w:lang w:val="en-US" w:eastAsia="zh-CN" w:bidi="ar-SA"/>
                    </w:rPr>
                  </w:pPr>
                  <w:r>
                    <w:rPr>
                      <w:rFonts w:ascii="Times New Roman" w:hAnsi="Times New Roman" w:eastAsia="宋体" w:cs="Times New Roman"/>
                      <w:color w:val="auto"/>
                      <w:kern w:val="0"/>
                      <w:sz w:val="21"/>
                      <w:szCs w:val="21"/>
                      <w:lang w:val="en-US" w:eastAsia="zh-CN" w:bidi="ar-SA"/>
                    </w:rPr>
                    <w:t>本项目位于</w:t>
                  </w:r>
                  <w:r>
                    <w:rPr>
                      <w:rFonts w:hint="eastAsia" w:ascii="Times New Roman" w:hAnsi="Times New Roman" w:eastAsia="宋体" w:cs="Times New Roman"/>
                      <w:color w:val="auto"/>
                      <w:kern w:val="0"/>
                      <w:sz w:val="21"/>
                      <w:szCs w:val="21"/>
                      <w:lang w:val="en-US" w:eastAsia="zh-CN" w:bidi="ar-SA"/>
                    </w:rPr>
                    <w:t>新疆维吾尔自治区阜康市中国石油天然气运输有限公司准东生产基地</w:t>
                  </w:r>
                  <w:r>
                    <w:rPr>
                      <w:rFonts w:ascii="Times New Roman" w:hAnsi="Times New Roman" w:eastAsia="宋体" w:cs="Times New Roman"/>
                      <w:color w:val="auto"/>
                      <w:kern w:val="0"/>
                      <w:sz w:val="21"/>
                      <w:szCs w:val="21"/>
                      <w:lang w:val="en-US" w:eastAsia="zh-CN" w:bidi="ar-SA"/>
                    </w:rPr>
                    <w:t>，项目建设区域不涉及自然保护区、风景名胜区、饮用水水源保护区等需要特别保护的区域</w:t>
                  </w:r>
                  <w:r>
                    <w:rPr>
                      <w:rFonts w:hint="eastAsia" w:ascii="Times New Roman" w:hAnsi="Times New Roman" w:eastAsia="宋体" w:cs="Times New Roman"/>
                      <w:color w:val="auto"/>
                      <w:kern w:val="0"/>
                      <w:sz w:val="21"/>
                      <w:szCs w:val="21"/>
                      <w:lang w:val="en-US" w:eastAsia="zh-CN" w:bidi="ar-SA"/>
                    </w:rPr>
                    <w:t>，</w:t>
                  </w:r>
                  <w:r>
                    <w:rPr>
                      <w:rFonts w:ascii="Times New Roman" w:hAnsi="Times New Roman" w:eastAsia="宋体" w:cs="Times New Roman"/>
                      <w:color w:val="auto"/>
                      <w:kern w:val="0"/>
                      <w:sz w:val="21"/>
                      <w:szCs w:val="21"/>
                      <w:lang w:val="en-US" w:eastAsia="zh-CN" w:bidi="ar-SA"/>
                    </w:rPr>
                    <w:t>项目用地不涉及生态保护红线，符合生态保护红线的要求。</w:t>
                  </w:r>
                </w:p>
              </w:tc>
              <w:tc>
                <w:tcPr>
                  <w:tcW w:w="553" w:type="pct"/>
                  <w:vAlign w:val="center"/>
                </w:tcPr>
                <w:p>
                  <w:pPr>
                    <w:pStyle w:val="91"/>
                    <w:ind w:left="-63" w:right="-63"/>
                    <w:rPr>
                      <w:color w:val="auto"/>
                    </w:rPr>
                  </w:pPr>
                  <w:r>
                    <w:rPr>
                      <w:color w:val="auto"/>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743" w:type="pct"/>
                  <w:vAlign w:val="center"/>
                </w:tcPr>
                <w:p>
                  <w:pPr>
                    <w:pStyle w:val="91"/>
                    <w:ind w:left="-63" w:right="-63"/>
                    <w:rPr>
                      <w:color w:val="auto"/>
                    </w:rPr>
                  </w:pPr>
                  <w:r>
                    <w:rPr>
                      <w:color w:val="auto"/>
                    </w:rPr>
                    <w:t>资源利</w:t>
                  </w:r>
                </w:p>
                <w:p>
                  <w:pPr>
                    <w:pStyle w:val="91"/>
                    <w:ind w:left="-63" w:right="-63"/>
                    <w:rPr>
                      <w:color w:val="auto"/>
                    </w:rPr>
                  </w:pPr>
                  <w:r>
                    <w:rPr>
                      <w:color w:val="auto"/>
                    </w:rPr>
                    <w:t>用上线</w:t>
                  </w:r>
                </w:p>
              </w:tc>
              <w:tc>
                <w:tcPr>
                  <w:tcW w:w="3704" w:type="pct"/>
                  <w:vAlign w:val="center"/>
                </w:tcPr>
                <w:p>
                  <w:pPr>
                    <w:pStyle w:val="91"/>
                    <w:keepNext w:val="0"/>
                    <w:keepLines w:val="0"/>
                    <w:pageBreakBefore w:val="0"/>
                    <w:kinsoku/>
                    <w:wordWrap/>
                    <w:overflowPunct/>
                    <w:topLinePunct w:val="0"/>
                    <w:bidi w:val="0"/>
                    <w:spacing w:line="240" w:lineRule="auto"/>
                    <w:ind w:left="0" w:leftChars="0" w:right="0" w:rightChars="0" w:firstLine="0" w:firstLineChars="0"/>
                    <w:textAlignment w:val="auto"/>
                    <w:rPr>
                      <w:rFonts w:ascii="Times New Roman" w:hAnsi="Times New Roman" w:eastAsia="宋体" w:cs="Times New Roman"/>
                      <w:color w:val="auto"/>
                      <w:kern w:val="0"/>
                      <w:sz w:val="21"/>
                      <w:szCs w:val="21"/>
                      <w:lang w:val="en-US" w:eastAsia="zh-CN" w:bidi="ar-SA"/>
                    </w:rPr>
                  </w:pPr>
                  <w:r>
                    <w:rPr>
                      <w:rFonts w:ascii="Times New Roman" w:hAnsi="Times New Roman" w:eastAsia="宋体" w:cs="Times New Roman"/>
                      <w:color w:val="auto"/>
                      <w:kern w:val="0"/>
                      <w:sz w:val="21"/>
                      <w:szCs w:val="21"/>
                      <w:lang w:val="en-US" w:eastAsia="zh-CN" w:bidi="ar-SA"/>
                    </w:rPr>
                    <w:t>项目在营</w:t>
                  </w:r>
                  <w:r>
                    <w:rPr>
                      <w:rFonts w:hint="eastAsia" w:ascii="Times New Roman" w:hAnsi="Times New Roman" w:eastAsia="宋体" w:cs="Times New Roman"/>
                      <w:color w:val="auto"/>
                      <w:kern w:val="0"/>
                      <w:sz w:val="21"/>
                      <w:szCs w:val="21"/>
                      <w:lang w:val="en-US" w:eastAsia="zh-CN" w:bidi="ar-SA"/>
                    </w:rPr>
                    <w:t>运过程中仅占用中国石油运输有限公司一分公司准东油田运输大队少量空地</w:t>
                  </w:r>
                  <w:r>
                    <w:rPr>
                      <w:rFonts w:ascii="Times New Roman" w:hAnsi="Times New Roman" w:eastAsia="宋体" w:cs="Times New Roman"/>
                      <w:color w:val="auto"/>
                      <w:kern w:val="0"/>
                      <w:sz w:val="21"/>
                      <w:szCs w:val="21"/>
                      <w:lang w:val="en-US" w:eastAsia="zh-CN" w:bidi="ar-SA"/>
                    </w:rPr>
                    <w:t>，符合资源利用上限要求。</w:t>
                  </w:r>
                </w:p>
              </w:tc>
              <w:tc>
                <w:tcPr>
                  <w:tcW w:w="553" w:type="pct"/>
                  <w:vAlign w:val="center"/>
                </w:tcPr>
                <w:p>
                  <w:pPr>
                    <w:pStyle w:val="91"/>
                    <w:ind w:left="-63" w:right="-63"/>
                    <w:rPr>
                      <w:color w:val="auto"/>
                    </w:rPr>
                  </w:pPr>
                  <w:r>
                    <w:rPr>
                      <w:color w:val="auto"/>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743" w:type="pct"/>
                  <w:vAlign w:val="center"/>
                </w:tcPr>
                <w:p>
                  <w:pPr>
                    <w:pStyle w:val="91"/>
                    <w:ind w:left="-63" w:right="-63"/>
                    <w:rPr>
                      <w:color w:val="auto"/>
                    </w:rPr>
                  </w:pPr>
                  <w:r>
                    <w:rPr>
                      <w:color w:val="auto"/>
                    </w:rPr>
                    <w:t>环境质</w:t>
                  </w:r>
                </w:p>
                <w:p>
                  <w:pPr>
                    <w:pStyle w:val="91"/>
                    <w:ind w:left="-63" w:right="-63"/>
                    <w:rPr>
                      <w:color w:val="auto"/>
                    </w:rPr>
                  </w:pPr>
                  <w:r>
                    <w:rPr>
                      <w:color w:val="auto"/>
                    </w:rPr>
                    <w:t>量底线</w:t>
                  </w:r>
                </w:p>
              </w:tc>
              <w:tc>
                <w:tcPr>
                  <w:tcW w:w="3704" w:type="pct"/>
                  <w:vAlign w:val="center"/>
                </w:tcPr>
                <w:p>
                  <w:pPr>
                    <w:pStyle w:val="63"/>
                    <w:keepNext w:val="0"/>
                    <w:keepLines w:val="0"/>
                    <w:pageBreakBefore w:val="0"/>
                    <w:kinsoku/>
                    <w:wordWrap/>
                    <w:overflowPunct/>
                    <w:topLinePunct w:val="0"/>
                    <w:bidi w:val="0"/>
                    <w:spacing w:line="240" w:lineRule="auto"/>
                    <w:ind w:left="0" w:leftChars="0" w:right="0" w:rightChars="0" w:firstLine="0" w:firstLineChars="0"/>
                    <w:textAlignment w:val="auto"/>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本项目废气主要为废油挥发产生的极少量有机气体，经通风口无组织排放，对区域环境空气质量影响较小，未突破大气环境质量底线。</w:t>
                  </w:r>
                </w:p>
                <w:p>
                  <w:pPr>
                    <w:keepNext w:val="0"/>
                    <w:keepLines w:val="0"/>
                    <w:pageBreakBefore w:val="0"/>
                    <w:kinsoku/>
                    <w:wordWrap/>
                    <w:overflowPunct/>
                    <w:topLinePunct w:val="0"/>
                    <w:autoSpaceDE w:val="0"/>
                    <w:autoSpaceDN w:val="0"/>
                    <w:bidi w:val="0"/>
                    <w:adjustRightInd w:val="0"/>
                    <w:snapToGrid w:val="0"/>
                    <w:spacing w:line="240" w:lineRule="auto"/>
                    <w:ind w:left="0" w:leftChars="0" w:right="0" w:rightChars="0" w:firstLine="0" w:firstLineChars="0"/>
                    <w:textAlignment w:val="auto"/>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本项目无废水产生，不与周边地表水体发生水力联系，未突破地表水环境质量底线。</w:t>
                  </w:r>
                </w:p>
                <w:p>
                  <w:pPr>
                    <w:keepNext w:val="0"/>
                    <w:keepLines w:val="0"/>
                    <w:pageBreakBefore w:val="0"/>
                    <w:kinsoku/>
                    <w:wordWrap/>
                    <w:overflowPunct/>
                    <w:topLinePunct w:val="0"/>
                    <w:autoSpaceDE w:val="0"/>
                    <w:autoSpaceDN w:val="0"/>
                    <w:bidi w:val="0"/>
                    <w:adjustRightInd w:val="0"/>
                    <w:snapToGrid w:val="0"/>
                    <w:spacing w:line="240" w:lineRule="auto"/>
                    <w:ind w:left="0" w:leftChars="0" w:right="0" w:rightChars="0" w:firstLine="0" w:firstLineChars="0"/>
                    <w:textAlignment w:val="auto"/>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本项目主要噪声源为运输车辆噪声，未突破声环境质量底线。</w:t>
                  </w:r>
                </w:p>
                <w:p>
                  <w:pPr>
                    <w:keepNext w:val="0"/>
                    <w:keepLines w:val="0"/>
                    <w:pageBreakBefore w:val="0"/>
                    <w:kinsoku/>
                    <w:wordWrap/>
                    <w:overflowPunct/>
                    <w:topLinePunct w:val="0"/>
                    <w:autoSpaceDE w:val="0"/>
                    <w:autoSpaceDN w:val="0"/>
                    <w:bidi w:val="0"/>
                    <w:adjustRightInd w:val="0"/>
                    <w:snapToGrid w:val="0"/>
                    <w:spacing w:line="240" w:lineRule="auto"/>
                    <w:ind w:left="0" w:leftChars="0" w:right="0" w:rightChars="0" w:firstLine="0" w:firstLineChars="0"/>
                    <w:textAlignment w:val="auto"/>
                    <w:rPr>
                      <w:rFonts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本项目在做好防渗处理等措施的基础上，不会对地下水产生影响。</w:t>
                  </w:r>
                </w:p>
              </w:tc>
              <w:tc>
                <w:tcPr>
                  <w:tcW w:w="553" w:type="pct"/>
                  <w:vAlign w:val="center"/>
                </w:tcPr>
                <w:p>
                  <w:pPr>
                    <w:pStyle w:val="91"/>
                    <w:ind w:left="-63" w:right="-63"/>
                    <w:rPr>
                      <w:color w:val="auto"/>
                    </w:rPr>
                  </w:pPr>
                  <w:r>
                    <w:rPr>
                      <w:color w:val="auto"/>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743" w:type="pct"/>
                  <w:vAlign w:val="center"/>
                </w:tcPr>
                <w:p>
                  <w:pPr>
                    <w:pStyle w:val="91"/>
                    <w:ind w:left="-63" w:right="-63"/>
                    <w:rPr>
                      <w:color w:val="auto"/>
                    </w:rPr>
                  </w:pPr>
                  <w:r>
                    <w:rPr>
                      <w:rFonts w:hint="eastAsia"/>
                      <w:color w:val="auto"/>
                    </w:rPr>
                    <w:t>生态环境</w:t>
                  </w:r>
                  <w:r>
                    <w:rPr>
                      <w:color w:val="auto"/>
                    </w:rPr>
                    <w:t>准入清单</w:t>
                  </w:r>
                </w:p>
              </w:tc>
              <w:tc>
                <w:tcPr>
                  <w:tcW w:w="3704" w:type="pct"/>
                  <w:vAlign w:val="center"/>
                </w:tcPr>
                <w:p>
                  <w:pPr>
                    <w:pStyle w:val="91"/>
                    <w:ind w:left="-63" w:right="-63"/>
                    <w:rPr>
                      <w:color w:val="auto"/>
                    </w:rPr>
                  </w:pPr>
                  <w:r>
                    <w:rPr>
                      <w:rFonts w:hint="eastAsia"/>
                      <w:color w:val="auto"/>
                    </w:rPr>
                    <w:t>本项目符合产业政策，且项目所在地不属于《新疆维吾尔自治区28个国家重点生态功能区县（市）产业准入负面清单（试行）》以及《新疆维吾尔自治区17个新增纳入国家重点生态功能区县（市）产业准入负面清单（试行）》中准入负面清单内。</w:t>
                  </w:r>
                </w:p>
              </w:tc>
              <w:tc>
                <w:tcPr>
                  <w:tcW w:w="553" w:type="pct"/>
                  <w:vAlign w:val="center"/>
                </w:tcPr>
                <w:p>
                  <w:pPr>
                    <w:pStyle w:val="91"/>
                    <w:ind w:left="-63" w:right="-63"/>
                    <w:rPr>
                      <w:color w:val="auto"/>
                    </w:rPr>
                  </w:pPr>
                  <w:r>
                    <w:rPr>
                      <w:color w:val="auto"/>
                    </w:rPr>
                    <w:t>符合</w:t>
                  </w:r>
                </w:p>
              </w:tc>
            </w:tr>
          </w:tbl>
          <w:p>
            <w:pPr>
              <w:pStyle w:val="63"/>
              <w:ind w:firstLine="482"/>
              <w:rPr>
                <w:color w:val="auto"/>
              </w:rPr>
            </w:pPr>
          </w:p>
          <w:p>
            <w:pPr>
              <w:autoSpaceDE w:val="0"/>
              <w:autoSpaceDN w:val="0"/>
              <w:adjustRightInd w:val="0"/>
              <w:snapToGrid w:val="0"/>
              <w:spacing w:line="520" w:lineRule="exact"/>
              <w:ind w:firstLine="482" w:firstLineChars="200"/>
              <w:rPr>
                <w:b/>
                <w:bCs/>
                <w:color w:val="auto"/>
                <w:sz w:val="24"/>
              </w:rPr>
            </w:pPr>
            <w:r>
              <w:rPr>
                <w:rFonts w:hint="eastAsia"/>
                <w:b/>
                <w:bCs/>
                <w:color w:val="auto"/>
                <w:sz w:val="24"/>
              </w:rPr>
              <w:t>1.1 与《新疆维吾尔自治区七大片区“三线一单”生态环境分区管控要求》（新环环评发〔2021〕162号）符合性分析</w:t>
            </w:r>
          </w:p>
          <w:p>
            <w:pPr>
              <w:adjustRightInd w:val="0"/>
              <w:snapToGrid w:val="0"/>
              <w:spacing w:before="0" w:beforeLines="-2147483648" w:line="520" w:lineRule="exact"/>
              <w:ind w:firstLine="480" w:firstLineChars="200"/>
              <w:rPr>
                <w:rFonts w:cs="宋体"/>
                <w:snapToGrid w:val="0"/>
                <w:color w:val="auto"/>
                <w:sz w:val="24"/>
              </w:rPr>
            </w:pPr>
            <w:r>
              <w:rPr>
                <w:rFonts w:hint="eastAsia" w:cs="宋体"/>
                <w:snapToGrid w:val="0"/>
                <w:color w:val="auto"/>
                <w:sz w:val="24"/>
              </w:rPr>
              <w:t>按照《新疆维吾尔自治区“三线一单”生态环境分区管控方案》，全区划分为七大片区</w:t>
            </w:r>
            <w:r>
              <w:rPr>
                <w:rFonts w:cs="宋体"/>
                <w:snapToGrid w:val="0"/>
                <w:color w:val="auto"/>
                <w:sz w:val="24"/>
              </w:rPr>
              <w:t>，</w:t>
            </w:r>
            <w:r>
              <w:rPr>
                <w:rFonts w:hint="eastAsia" w:cs="宋体"/>
                <w:snapToGrid w:val="0"/>
                <w:color w:val="auto"/>
                <w:sz w:val="24"/>
              </w:rPr>
              <w:t>包括北疆北部（塔城地区、阿勒泰地区）、伊犁河谷、克奎乌</w:t>
            </w:r>
            <w:r>
              <w:rPr>
                <w:rFonts w:cs="宋体"/>
                <w:snapToGrid w:val="0"/>
                <w:color w:val="auto"/>
                <w:sz w:val="24"/>
              </w:rPr>
              <w:t>-</w:t>
            </w:r>
            <w:r>
              <w:rPr>
                <w:rFonts w:hint="eastAsia" w:cs="宋体"/>
                <w:snapToGrid w:val="0"/>
                <w:color w:val="auto"/>
                <w:sz w:val="24"/>
              </w:rPr>
              <w:t>博州、乌昌石、吐哈、天山南坡（巴州、阿克苏地区）和南疆三地州片区，新疆维吾尔自治区生态环境厅制定《新疆维吾尔自治区七大片区“三线一单”生态环境分区管控要求》。</w:t>
            </w:r>
            <w:r>
              <w:rPr>
                <w:rFonts w:cs="宋体"/>
                <w:snapToGrid w:val="0"/>
                <w:color w:val="auto"/>
                <w:sz w:val="24"/>
              </w:rPr>
              <w:t>塔城</w:t>
            </w:r>
            <w:r>
              <w:rPr>
                <w:rFonts w:hint="eastAsia" w:cs="宋体"/>
                <w:snapToGrid w:val="0"/>
                <w:color w:val="auto"/>
                <w:sz w:val="24"/>
              </w:rPr>
              <w:t>地区（不含沙湾市和乌苏市）</w:t>
            </w:r>
            <w:r>
              <w:rPr>
                <w:rFonts w:cs="宋体"/>
                <w:snapToGrid w:val="0"/>
                <w:color w:val="auto"/>
                <w:sz w:val="24"/>
              </w:rPr>
              <w:t>主要涉及“北疆北部片区”</w:t>
            </w:r>
            <w:r>
              <w:rPr>
                <w:rFonts w:hint="eastAsia" w:cs="宋体"/>
                <w:snapToGrid w:val="0"/>
                <w:color w:val="auto"/>
                <w:sz w:val="24"/>
              </w:rPr>
              <w:t>，乌苏市涉及“克奎乌-博州片区”，沙湾市涉及乌昌石片区。</w:t>
            </w:r>
          </w:p>
          <w:p>
            <w:pPr>
              <w:adjustRightInd w:val="0"/>
              <w:snapToGrid w:val="0"/>
              <w:spacing w:before="0" w:beforeLines="-2147483648" w:line="520" w:lineRule="exact"/>
              <w:ind w:firstLine="480" w:firstLineChars="200"/>
              <w:rPr>
                <w:rFonts w:ascii="Times New Roman" w:hAnsi="Times New Roman" w:eastAsia="宋体" w:cs="宋体"/>
                <w:snapToGrid w:val="0"/>
                <w:color w:val="auto"/>
                <w:sz w:val="24"/>
              </w:rPr>
            </w:pPr>
            <w:r>
              <w:rPr>
                <w:rFonts w:hint="eastAsia" w:ascii="Times New Roman" w:hAnsi="Times New Roman" w:eastAsia="宋体" w:cs="宋体"/>
                <w:snapToGrid w:val="0"/>
                <w:color w:val="auto"/>
                <w:sz w:val="24"/>
              </w:rPr>
              <w:t>本项目位于</w:t>
            </w:r>
            <w:r>
              <w:rPr>
                <w:rFonts w:hint="eastAsia" w:ascii="Times New Roman" w:hAnsi="Times New Roman" w:eastAsia="宋体" w:cs="宋体"/>
                <w:snapToGrid w:val="0"/>
                <w:color w:val="auto"/>
                <w:sz w:val="24"/>
                <w:lang w:val="en-US" w:eastAsia="zh-CN"/>
              </w:rPr>
              <w:t>新疆维吾尔自治区阜康市中国石油天然气运输有限公司准东生产基地</w:t>
            </w:r>
            <w:r>
              <w:rPr>
                <w:rFonts w:hint="eastAsia" w:ascii="Times New Roman" w:hAnsi="Times New Roman" w:eastAsia="宋体" w:cs="宋体"/>
                <w:snapToGrid w:val="0"/>
                <w:color w:val="auto"/>
                <w:sz w:val="24"/>
              </w:rPr>
              <w:t>，属于</w:t>
            </w:r>
            <w:r>
              <w:rPr>
                <w:rFonts w:hint="eastAsia" w:ascii="Times New Roman" w:hAnsi="Times New Roman" w:eastAsia="宋体" w:cs="宋体"/>
                <w:snapToGrid w:val="0"/>
                <w:color w:val="auto"/>
                <w:sz w:val="24"/>
                <w:lang w:val="en-US" w:eastAsia="zh-CN"/>
              </w:rPr>
              <w:t>乌昌石</w:t>
            </w:r>
            <w:r>
              <w:rPr>
                <w:rFonts w:hint="eastAsia" w:ascii="Times New Roman" w:hAnsi="Times New Roman" w:eastAsia="宋体" w:cs="宋体"/>
                <w:snapToGrid w:val="0"/>
                <w:color w:val="auto"/>
                <w:sz w:val="24"/>
              </w:rPr>
              <w:t>片区。</w:t>
            </w:r>
          </w:p>
          <w:p>
            <w:pPr>
              <w:adjustRightInd w:val="0"/>
              <w:snapToGrid w:val="0"/>
              <w:spacing w:before="0" w:beforeLines="-2147483648" w:line="520" w:lineRule="exact"/>
              <w:ind w:firstLine="482" w:firstLineChars="200"/>
              <w:rPr>
                <w:rFonts w:cs="宋体"/>
                <w:b/>
                <w:bCs/>
                <w:snapToGrid w:val="0"/>
                <w:color w:val="auto"/>
                <w:sz w:val="24"/>
              </w:rPr>
            </w:pPr>
            <w:r>
              <w:rPr>
                <w:rFonts w:hint="eastAsia" w:cs="宋体"/>
                <w:b/>
                <w:bCs/>
                <w:snapToGrid w:val="0"/>
                <w:color w:val="auto"/>
                <w:sz w:val="24"/>
                <w:lang w:val="en-US" w:eastAsia="zh-CN"/>
              </w:rPr>
              <w:t>乌昌石片区</w:t>
            </w:r>
            <w:r>
              <w:rPr>
                <w:rFonts w:hint="eastAsia" w:cs="宋体"/>
                <w:b/>
                <w:bCs/>
                <w:snapToGrid w:val="0"/>
                <w:color w:val="auto"/>
                <w:sz w:val="24"/>
              </w:rPr>
              <w:t>管控要求</w:t>
            </w:r>
          </w:p>
          <w:p>
            <w:pPr>
              <w:pStyle w:val="68"/>
              <w:rPr>
                <w:rFonts w:ascii="Times New Roman" w:hAnsi="Times New Roman" w:eastAsia="宋体" w:cs="宋体"/>
                <w:color w:val="auto"/>
              </w:rPr>
            </w:pPr>
            <w:r>
              <w:rPr>
                <w:rFonts w:hint="eastAsia" w:ascii="Times New Roman" w:hAnsi="Times New Roman" w:eastAsia="宋体" w:cs="宋体"/>
                <w:color w:val="auto"/>
              </w:rPr>
              <w:t>除国家规划项目外，乌鲁木齐市七区一县、昌吉市、阜康市、玛纳斯县、呼图壁县、沙湾市建成区及周边敏感区域内不再布局建设煤化工、电解铝、燃煤纯发电机组、金属硅、碳化硅、聚氯乙烯（电石法）、焦炭（含半焦）等新增产能项目，具备风光电清洁供暖建设条件的区域原则上不新批热电联产项目。坚持属地负责与区域大气污染联防联控相结合，以明显降低细颗粒物浓度为重点，协同推进“乌</w:t>
            </w:r>
            <w:r>
              <w:rPr>
                <w:rFonts w:ascii="Times New Roman" w:hAnsi="Times New Roman" w:eastAsia="宋体" w:cs="宋体"/>
                <w:color w:val="auto"/>
              </w:rPr>
              <w:t>-</w:t>
            </w:r>
            <w:r>
              <w:rPr>
                <w:rFonts w:hint="eastAsia" w:ascii="Times New Roman" w:hAnsi="Times New Roman" w:eastAsia="宋体" w:cs="宋体"/>
                <w:color w:val="auto"/>
              </w:rPr>
              <w:t>昌</w:t>
            </w:r>
            <w:r>
              <w:rPr>
                <w:rFonts w:ascii="Times New Roman" w:hAnsi="Times New Roman" w:eastAsia="宋体" w:cs="宋体"/>
                <w:color w:val="auto"/>
              </w:rPr>
              <w:t>-</w:t>
            </w:r>
            <w:r>
              <w:rPr>
                <w:rFonts w:hint="eastAsia" w:ascii="Times New Roman" w:hAnsi="Times New Roman" w:eastAsia="宋体" w:cs="宋体"/>
                <w:color w:val="auto"/>
              </w:rPr>
              <w:t>石”区域大气环境治理，强化与生产建设兵团第六师、第八师、第十一师、第十二师的同防同治，确保区域环境空气质量持续改善。所有新建、改建、扩建工业项目执行最严格的大气污染物排放标准。强化氮氧化物深度治理。强化挥发性有机物污染防治措施。推广使用低挥发性有机物原辅料，推动有条件的园区（工业集聚区）建设集中喷涂工程中心，配备高效治污设施，替代企业独立喷涂工序。</w:t>
            </w:r>
          </w:p>
          <w:p>
            <w:pPr>
              <w:pStyle w:val="68"/>
              <w:rPr>
                <w:rFonts w:ascii="Times New Roman" w:hAnsi="Times New Roman" w:eastAsia="宋体" w:cs="宋体"/>
                <w:color w:val="auto"/>
              </w:rPr>
            </w:pPr>
            <w:r>
              <w:rPr>
                <w:rFonts w:hint="eastAsia" w:ascii="Times New Roman" w:hAnsi="Times New Roman" w:eastAsia="宋体" w:cs="宋体"/>
                <w:color w:val="auto"/>
              </w:rPr>
              <w:t>强化企业清洁生产改造，推进节水型企业、节水型工业园区建设，提高资源集约节约利用水平。积极推进地下水超采治理，逐步压减地下水超采量，实现地下水采补平衡。</w:t>
            </w:r>
          </w:p>
          <w:p>
            <w:pPr>
              <w:pStyle w:val="68"/>
              <w:rPr>
                <w:rFonts w:ascii="Times New Roman" w:hAnsi="Times New Roman" w:eastAsia="宋体" w:cs="宋体"/>
                <w:color w:val="auto"/>
              </w:rPr>
            </w:pPr>
            <w:r>
              <w:rPr>
                <w:rFonts w:hint="eastAsia" w:ascii="Times New Roman" w:hAnsi="Times New Roman" w:eastAsia="宋体" w:cs="宋体"/>
                <w:color w:val="auto"/>
              </w:rPr>
              <w:t>强化油（气）资源开发区土壤环境污染综合整治。加强涉重金属行业污染防控与工业废物处理处置。</w:t>
            </w:r>
          </w:p>
          <w:p>
            <w:pPr>
              <w:pStyle w:val="68"/>
              <w:rPr>
                <w:rFonts w:hint="eastAsia" w:ascii="Times New Roman" w:hAnsi="Times New Roman" w:eastAsia="宋体" w:cs="宋体"/>
                <w:color w:val="auto"/>
                <w:lang w:eastAsia="zh-CN"/>
              </w:rPr>
            </w:pPr>
            <w:r>
              <w:rPr>
                <w:rFonts w:hint="eastAsia" w:ascii="Times New Roman" w:hAnsi="Times New Roman" w:eastAsia="宋体" w:cs="宋体"/>
                <w:color w:val="auto"/>
              </w:rPr>
              <w:t>煤炭、石油、天然气开发单位应当制定生态保护和恢复治理方案，并予以实施。生态保护和恢复治理方案内容应当向社会公布，接受社会监督</w:t>
            </w:r>
            <w:r>
              <w:rPr>
                <w:rFonts w:hint="eastAsia" w:ascii="Times New Roman" w:hAnsi="Times New Roman" w:eastAsia="宋体" w:cs="宋体"/>
                <w:color w:val="auto"/>
                <w:lang w:eastAsia="zh-CN"/>
              </w:rPr>
              <w:t>。</w:t>
            </w:r>
          </w:p>
          <w:p>
            <w:pPr>
              <w:pStyle w:val="68"/>
              <w:rPr>
                <w:color w:val="auto"/>
              </w:rPr>
            </w:pPr>
            <w:r>
              <w:rPr>
                <w:color w:val="auto"/>
              </w:rPr>
              <w:t>本项目属于</w:t>
            </w:r>
            <w:r>
              <w:rPr>
                <w:rFonts w:hint="eastAsia"/>
                <w:color w:val="auto"/>
                <w:lang w:val="en-US" w:eastAsia="zh-CN"/>
              </w:rPr>
              <w:t>危废暂存间建设</w:t>
            </w:r>
            <w:r>
              <w:rPr>
                <w:rFonts w:hint="eastAsia"/>
                <w:color w:val="auto"/>
              </w:rPr>
              <w:t>项目</w:t>
            </w:r>
            <w:r>
              <w:rPr>
                <w:color w:val="auto"/>
              </w:rPr>
              <w:t>，项目符合《新疆维吾尔自治区七大片区“三线一单”生态环境分区管控要求》</w:t>
            </w:r>
            <w:r>
              <w:rPr>
                <w:rFonts w:hint="eastAsia"/>
                <w:color w:val="auto"/>
              </w:rPr>
              <w:t>中“</w:t>
            </w:r>
            <w:r>
              <w:rPr>
                <w:rFonts w:hint="eastAsia"/>
                <w:color w:val="auto"/>
                <w:lang w:val="en-US" w:eastAsia="zh-CN"/>
              </w:rPr>
              <w:t>乌昌石</w:t>
            </w:r>
            <w:r>
              <w:rPr>
                <w:rFonts w:hint="eastAsia"/>
                <w:color w:val="auto"/>
              </w:rPr>
              <w:t>”片区</w:t>
            </w:r>
            <w:r>
              <w:rPr>
                <w:color w:val="auto"/>
              </w:rPr>
              <w:t>相关</w:t>
            </w:r>
            <w:r>
              <w:rPr>
                <w:rFonts w:hint="eastAsia"/>
                <w:color w:val="auto"/>
              </w:rPr>
              <w:t>管控</w:t>
            </w:r>
            <w:r>
              <w:rPr>
                <w:color w:val="auto"/>
              </w:rPr>
              <w:t>要求。</w:t>
            </w:r>
          </w:p>
          <w:p>
            <w:pPr>
              <w:autoSpaceDE w:val="0"/>
              <w:autoSpaceDN w:val="0"/>
              <w:adjustRightInd w:val="0"/>
              <w:snapToGrid w:val="0"/>
              <w:spacing w:line="520" w:lineRule="exact"/>
              <w:ind w:firstLine="482" w:firstLineChars="200"/>
              <w:rPr>
                <w:rFonts w:hint="eastAsia"/>
                <w:b/>
                <w:bCs/>
                <w:color w:val="auto"/>
                <w:sz w:val="24"/>
                <w:lang w:eastAsia="zh-CN"/>
              </w:rPr>
            </w:pPr>
            <w:r>
              <w:rPr>
                <w:rFonts w:hint="eastAsia"/>
                <w:b/>
                <w:bCs/>
                <w:color w:val="auto"/>
                <w:sz w:val="24"/>
              </w:rPr>
              <w:t>1.</w:t>
            </w:r>
            <w:r>
              <w:rPr>
                <w:rFonts w:hint="eastAsia"/>
                <w:b/>
                <w:bCs/>
                <w:color w:val="auto"/>
                <w:sz w:val="24"/>
                <w:lang w:val="en-US" w:eastAsia="zh-CN"/>
              </w:rPr>
              <w:t>2</w:t>
            </w:r>
            <w:r>
              <w:rPr>
                <w:rFonts w:hint="eastAsia" w:ascii="Times New Roman" w:hAnsi="Times New Roman" w:eastAsia="宋体" w:cs="宋体"/>
                <w:b/>
                <w:bCs/>
                <w:snapToGrid w:val="0"/>
                <w:color w:val="auto"/>
                <w:kern w:val="2"/>
                <w:sz w:val="24"/>
                <w:szCs w:val="24"/>
                <w:lang w:val="en-US" w:eastAsia="zh-CN" w:bidi="ar-SA"/>
              </w:rPr>
              <w:t>与《昌吉回族自治州“三线一单”生态环境分区管控方案及生态环境准入清单》（昌州政办发〔2021〕41号）符合性分析。</w:t>
            </w:r>
          </w:p>
          <w:p>
            <w:pPr>
              <w:autoSpaceDE w:val="0"/>
              <w:autoSpaceDN w:val="0"/>
              <w:adjustRightInd w:val="0"/>
              <w:snapToGrid w:val="0"/>
              <w:spacing w:line="520" w:lineRule="exact"/>
              <w:ind w:firstLine="480" w:firstLineChars="200"/>
              <w:rPr>
                <w:color w:val="auto"/>
                <w:sz w:val="24"/>
              </w:rPr>
            </w:pPr>
            <w:r>
              <w:rPr>
                <w:rFonts w:hint="eastAsia" w:ascii="Times New Roman" w:hAnsi="Times New Roman" w:eastAsia="宋体" w:cs="Times New Roman"/>
                <w:color w:val="auto"/>
                <w:sz w:val="24"/>
                <w:lang w:val="en-US" w:eastAsia="zh-CN"/>
              </w:rPr>
              <w:t>依据《昌吉回族自治州“三线一单”生态环境分区管控方案及生态环境准入清单》，</w:t>
            </w:r>
            <w:r>
              <w:rPr>
                <w:color w:val="auto"/>
                <w:sz w:val="24"/>
              </w:rPr>
              <w:t>本项目位于</w:t>
            </w:r>
            <w:r>
              <w:rPr>
                <w:rFonts w:hint="eastAsia"/>
                <w:color w:val="auto"/>
                <w:sz w:val="24"/>
              </w:rPr>
              <w:t>阜康市阜康油页岩开采区重点管控单元</w:t>
            </w:r>
            <w:r>
              <w:rPr>
                <w:color w:val="auto"/>
                <w:sz w:val="24"/>
              </w:rPr>
              <w:t>（环境管控单元编码</w:t>
            </w:r>
            <w:r>
              <w:rPr>
                <w:rFonts w:hint="eastAsia"/>
                <w:color w:val="auto"/>
                <w:sz w:val="24"/>
              </w:rPr>
              <w:t>ZH65230220005</w:t>
            </w:r>
            <w:r>
              <w:rPr>
                <w:color w:val="auto"/>
                <w:sz w:val="24"/>
              </w:rPr>
              <w:t>），</w:t>
            </w:r>
            <w:r>
              <w:rPr>
                <w:rFonts w:hint="eastAsia"/>
                <w:color w:val="auto"/>
                <w:sz w:val="24"/>
              </w:rPr>
              <w:t>与阜康市阜康油页岩开采区重点管控单元（重点管控单元）符合性分析见表</w:t>
            </w:r>
            <w:r>
              <w:rPr>
                <w:color w:val="auto"/>
                <w:sz w:val="24"/>
              </w:rPr>
              <w:t>1-</w:t>
            </w:r>
            <w:r>
              <w:rPr>
                <w:rFonts w:hint="eastAsia"/>
                <w:color w:val="auto"/>
                <w:sz w:val="24"/>
              </w:rPr>
              <w:t>1。与“三线一单”位置管理见附图1。</w:t>
            </w:r>
          </w:p>
          <w:p>
            <w:pPr>
              <w:jc w:val="center"/>
              <w:rPr>
                <w:rFonts w:eastAsia="黑体"/>
                <w:color w:val="auto"/>
                <w:sz w:val="24"/>
              </w:rPr>
            </w:pPr>
          </w:p>
          <w:p>
            <w:pPr>
              <w:jc w:val="center"/>
              <w:rPr>
                <w:rFonts w:eastAsia="黑体"/>
                <w:color w:val="auto"/>
                <w:sz w:val="24"/>
              </w:rPr>
            </w:pPr>
          </w:p>
          <w:p>
            <w:pPr>
              <w:jc w:val="center"/>
              <w:rPr>
                <w:rFonts w:eastAsia="黑体"/>
                <w:color w:val="auto"/>
                <w:sz w:val="24"/>
              </w:rPr>
            </w:pPr>
          </w:p>
          <w:p>
            <w:pPr>
              <w:jc w:val="center"/>
              <w:rPr>
                <w:rFonts w:eastAsia="黑体"/>
                <w:color w:val="auto"/>
                <w:sz w:val="24"/>
              </w:rPr>
            </w:pPr>
          </w:p>
          <w:p>
            <w:pPr>
              <w:jc w:val="center"/>
              <w:rPr>
                <w:rFonts w:eastAsia="黑体"/>
                <w:color w:val="auto"/>
                <w:sz w:val="24"/>
              </w:rPr>
            </w:pPr>
          </w:p>
          <w:p>
            <w:pPr>
              <w:jc w:val="center"/>
              <w:rPr>
                <w:rFonts w:eastAsia="黑体"/>
                <w:color w:val="auto"/>
                <w:sz w:val="24"/>
              </w:rPr>
            </w:pPr>
          </w:p>
          <w:p>
            <w:pPr>
              <w:jc w:val="center"/>
              <w:rPr>
                <w:rFonts w:eastAsia="黑体"/>
                <w:color w:val="auto"/>
                <w:sz w:val="24"/>
              </w:rPr>
            </w:pPr>
          </w:p>
          <w:p>
            <w:pPr>
              <w:jc w:val="center"/>
              <w:rPr>
                <w:rFonts w:eastAsia="黑体"/>
                <w:color w:val="auto"/>
                <w:sz w:val="24"/>
              </w:rPr>
            </w:pPr>
          </w:p>
          <w:p>
            <w:pPr>
              <w:jc w:val="center"/>
              <w:rPr>
                <w:rFonts w:eastAsia="黑体"/>
                <w:color w:val="auto"/>
                <w:sz w:val="24"/>
              </w:rPr>
            </w:pPr>
            <w:r>
              <w:rPr>
                <w:rFonts w:eastAsia="黑体"/>
                <w:color w:val="auto"/>
                <w:sz w:val="24"/>
              </w:rPr>
              <w:t>表1-</w:t>
            </w:r>
            <w:r>
              <w:rPr>
                <w:rFonts w:hint="eastAsia" w:eastAsia="黑体"/>
                <w:color w:val="auto"/>
                <w:sz w:val="24"/>
              </w:rPr>
              <w:t>1</w:t>
            </w:r>
            <w:r>
              <w:rPr>
                <w:rFonts w:eastAsia="黑体"/>
                <w:color w:val="auto"/>
                <w:sz w:val="24"/>
              </w:rPr>
              <w:t xml:space="preserve">    </w:t>
            </w:r>
            <w:r>
              <w:rPr>
                <w:rFonts w:hint="eastAsia" w:eastAsia="黑体"/>
                <w:color w:val="auto"/>
                <w:sz w:val="24"/>
              </w:rPr>
              <w:t>“阜康市环境管控单元生态环境准入清单”</w:t>
            </w:r>
            <w:r>
              <w:rPr>
                <w:rFonts w:eastAsia="黑体"/>
                <w:color w:val="auto"/>
                <w:sz w:val="24"/>
              </w:rPr>
              <w:t>符合性分析一览表</w:t>
            </w:r>
          </w:p>
          <w:tbl>
            <w:tblPr>
              <w:tblStyle w:val="31"/>
              <w:tblW w:w="4996"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651"/>
              <w:gridCol w:w="465"/>
              <w:gridCol w:w="426"/>
              <w:gridCol w:w="426"/>
              <w:gridCol w:w="1871"/>
              <w:gridCol w:w="1275"/>
              <w:gridCol w:w="427"/>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117" w:hRule="atLeast"/>
                <w:jc w:val="center"/>
              </w:trPr>
              <w:tc>
                <w:tcPr>
                  <w:tcW w:w="585" w:type="pct"/>
                  <w:vAlign w:val="center"/>
                </w:tcPr>
                <w:p>
                  <w:pPr>
                    <w:jc w:val="center"/>
                    <w:rPr>
                      <w:color w:val="auto"/>
                      <w:szCs w:val="21"/>
                    </w:rPr>
                  </w:pPr>
                  <w:r>
                    <w:rPr>
                      <w:color w:val="auto"/>
                      <w:szCs w:val="21"/>
                    </w:rPr>
                    <w:t>环境管控单元编码</w:t>
                  </w:r>
                </w:p>
              </w:tc>
              <w:tc>
                <w:tcPr>
                  <w:tcW w:w="473" w:type="pct"/>
                  <w:vAlign w:val="center"/>
                </w:tcPr>
                <w:p>
                  <w:pPr>
                    <w:jc w:val="center"/>
                    <w:rPr>
                      <w:color w:val="auto"/>
                      <w:szCs w:val="21"/>
                    </w:rPr>
                  </w:pPr>
                  <w:r>
                    <w:rPr>
                      <w:color w:val="auto"/>
                      <w:szCs w:val="21"/>
                    </w:rPr>
                    <w:t>环境管控单元名称</w:t>
                  </w:r>
                </w:p>
              </w:tc>
              <w:tc>
                <w:tcPr>
                  <w:tcW w:w="407" w:type="pct"/>
                  <w:vAlign w:val="center"/>
                </w:tcPr>
                <w:p>
                  <w:pPr>
                    <w:jc w:val="center"/>
                    <w:rPr>
                      <w:color w:val="auto"/>
                      <w:szCs w:val="21"/>
                    </w:rPr>
                  </w:pPr>
                  <w:r>
                    <w:rPr>
                      <w:color w:val="auto"/>
                      <w:szCs w:val="21"/>
                    </w:rPr>
                    <w:t>环境管控单元类别</w:t>
                  </w:r>
                </w:p>
              </w:tc>
              <w:tc>
                <w:tcPr>
                  <w:tcW w:w="2016" w:type="pct"/>
                  <w:gridSpan w:val="2"/>
                  <w:vAlign w:val="center"/>
                </w:tcPr>
                <w:p>
                  <w:pPr>
                    <w:jc w:val="center"/>
                    <w:rPr>
                      <w:color w:val="auto"/>
                      <w:szCs w:val="21"/>
                    </w:rPr>
                  </w:pPr>
                  <w:r>
                    <w:rPr>
                      <w:color w:val="auto"/>
                      <w:szCs w:val="21"/>
                    </w:rPr>
                    <w:t>管控要求</w:t>
                  </w:r>
                </w:p>
              </w:tc>
              <w:tc>
                <w:tcPr>
                  <w:tcW w:w="1091" w:type="pct"/>
                  <w:vAlign w:val="center"/>
                </w:tcPr>
                <w:p>
                  <w:pPr>
                    <w:jc w:val="center"/>
                    <w:rPr>
                      <w:color w:val="auto"/>
                      <w:szCs w:val="21"/>
                    </w:rPr>
                  </w:pPr>
                  <w:r>
                    <w:rPr>
                      <w:color w:val="auto"/>
                      <w:szCs w:val="21"/>
                    </w:rPr>
                    <w:t>本项目</w:t>
                  </w:r>
                </w:p>
              </w:tc>
              <w:tc>
                <w:tcPr>
                  <w:tcW w:w="425" w:type="pct"/>
                  <w:vAlign w:val="center"/>
                </w:tcPr>
                <w:p>
                  <w:pPr>
                    <w:jc w:val="center"/>
                    <w:rPr>
                      <w:color w:val="auto"/>
                      <w:szCs w:val="21"/>
                    </w:rPr>
                  </w:pPr>
                  <w:r>
                    <w:rPr>
                      <w:color w:val="auto"/>
                      <w:szCs w:val="21"/>
                    </w:rPr>
                    <w:t>符合性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83" w:hRule="atLeast"/>
                <w:jc w:val="center"/>
              </w:trPr>
              <w:tc>
                <w:tcPr>
                  <w:tcW w:w="585" w:type="pct"/>
                  <w:vMerge w:val="restart"/>
                  <w:vAlign w:val="center"/>
                </w:tcPr>
                <w:p>
                  <w:pPr>
                    <w:jc w:val="center"/>
                    <w:rPr>
                      <w:color w:val="auto"/>
                      <w:szCs w:val="21"/>
                    </w:rPr>
                  </w:pPr>
                  <w:r>
                    <w:rPr>
                      <w:color w:val="auto"/>
                      <w:szCs w:val="21"/>
                    </w:rPr>
                    <w:t>ZH65230220005</w:t>
                  </w:r>
                </w:p>
              </w:tc>
              <w:tc>
                <w:tcPr>
                  <w:tcW w:w="473" w:type="pct"/>
                  <w:vMerge w:val="restart"/>
                  <w:vAlign w:val="center"/>
                </w:tcPr>
                <w:p>
                  <w:pPr>
                    <w:jc w:val="center"/>
                    <w:rPr>
                      <w:color w:val="auto"/>
                      <w:szCs w:val="21"/>
                    </w:rPr>
                  </w:pPr>
                  <w:r>
                    <w:rPr>
                      <w:color w:val="auto"/>
                      <w:szCs w:val="21"/>
                    </w:rPr>
                    <w:t>阜康油页岩开采区</w:t>
                  </w:r>
                </w:p>
              </w:tc>
              <w:tc>
                <w:tcPr>
                  <w:tcW w:w="407" w:type="pct"/>
                  <w:vMerge w:val="restart"/>
                  <w:vAlign w:val="center"/>
                </w:tcPr>
                <w:p>
                  <w:pPr>
                    <w:jc w:val="center"/>
                    <w:rPr>
                      <w:color w:val="auto"/>
                      <w:szCs w:val="21"/>
                    </w:rPr>
                  </w:pPr>
                  <w:r>
                    <w:rPr>
                      <w:color w:val="auto"/>
                      <w:szCs w:val="21"/>
                    </w:rPr>
                    <w:t>重点管控单元</w:t>
                  </w:r>
                </w:p>
              </w:tc>
              <w:tc>
                <w:tcPr>
                  <w:tcW w:w="407" w:type="pct"/>
                  <w:vAlign w:val="center"/>
                </w:tcPr>
                <w:p>
                  <w:pPr>
                    <w:jc w:val="center"/>
                    <w:rPr>
                      <w:color w:val="auto"/>
                      <w:szCs w:val="21"/>
                    </w:rPr>
                  </w:pPr>
                  <w:r>
                    <w:rPr>
                      <w:color w:val="auto"/>
                      <w:szCs w:val="21"/>
                    </w:rPr>
                    <w:t>空间布局约束</w:t>
                  </w:r>
                </w:p>
              </w:tc>
              <w:tc>
                <w:tcPr>
                  <w:tcW w:w="1608" w:type="pct"/>
                  <w:vAlign w:val="center"/>
                </w:tcPr>
                <w:p>
                  <w:pPr>
                    <w:pStyle w:val="86"/>
                    <w:ind w:firstLine="0" w:firstLineChars="0"/>
                    <w:rPr>
                      <w:color w:val="auto"/>
                      <w:szCs w:val="21"/>
                    </w:rPr>
                  </w:pPr>
                  <w:r>
                    <w:rPr>
                      <w:color w:val="auto"/>
                      <w:szCs w:val="21"/>
                    </w:rPr>
                    <w:t>1、执行自治区、乌昌石片区总体准入要求中关于重点管控单元空间布局约束的准入要求（表2-3 A6.1、表3.4-2 B1）。</w:t>
                  </w:r>
                </w:p>
                <w:p>
                  <w:pPr>
                    <w:pStyle w:val="86"/>
                    <w:ind w:firstLine="0" w:firstLineChars="0"/>
                    <w:rPr>
                      <w:color w:val="auto"/>
                      <w:szCs w:val="21"/>
                    </w:rPr>
                  </w:pPr>
                </w:p>
              </w:tc>
              <w:tc>
                <w:tcPr>
                  <w:tcW w:w="1091" w:type="pct"/>
                  <w:vAlign w:val="center"/>
                </w:tcPr>
                <w:p>
                  <w:pPr>
                    <w:pStyle w:val="87"/>
                    <w:ind w:firstLine="0"/>
                    <w:jc w:val="center"/>
                    <w:rPr>
                      <w:rFonts w:ascii="Times New Roman" w:hAnsi="Times New Roman"/>
                      <w:color w:val="auto"/>
                      <w:szCs w:val="21"/>
                    </w:rPr>
                  </w:pPr>
                  <w:r>
                    <w:rPr>
                      <w:rFonts w:hint="eastAsia" w:ascii="Times New Roman" w:hAnsi="Times New Roman"/>
                      <w:color w:val="auto"/>
                      <w:szCs w:val="21"/>
                    </w:rPr>
                    <w:t>本项目符合相关要求</w:t>
                  </w:r>
                </w:p>
              </w:tc>
              <w:tc>
                <w:tcPr>
                  <w:tcW w:w="425" w:type="pct"/>
                  <w:vAlign w:val="center"/>
                </w:tcPr>
                <w:p>
                  <w:pPr>
                    <w:pStyle w:val="87"/>
                    <w:ind w:firstLine="0"/>
                    <w:jc w:val="center"/>
                    <w:rPr>
                      <w:rFonts w:ascii="Times New Roman" w:hAnsi="Times New Roman"/>
                      <w:color w:val="auto"/>
                      <w:szCs w:val="21"/>
                    </w:rPr>
                  </w:pPr>
                  <w:r>
                    <w:rPr>
                      <w:rFonts w:ascii="Times New Roman" w:hAnsi="Times New Roman"/>
                      <w:color w:val="auto"/>
                      <w:szCs w:val="21"/>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208" w:hRule="atLeast"/>
                <w:jc w:val="center"/>
              </w:trPr>
              <w:tc>
                <w:tcPr>
                  <w:tcW w:w="585" w:type="pct"/>
                  <w:vMerge w:val="continue"/>
                  <w:vAlign w:val="center"/>
                </w:tcPr>
                <w:p>
                  <w:pPr>
                    <w:jc w:val="center"/>
                    <w:rPr>
                      <w:color w:val="auto"/>
                      <w:szCs w:val="21"/>
                    </w:rPr>
                  </w:pPr>
                </w:p>
              </w:tc>
              <w:tc>
                <w:tcPr>
                  <w:tcW w:w="473" w:type="pct"/>
                  <w:vMerge w:val="continue"/>
                  <w:vAlign w:val="center"/>
                </w:tcPr>
                <w:p>
                  <w:pPr>
                    <w:jc w:val="center"/>
                    <w:rPr>
                      <w:color w:val="auto"/>
                      <w:szCs w:val="21"/>
                    </w:rPr>
                  </w:pPr>
                </w:p>
              </w:tc>
              <w:tc>
                <w:tcPr>
                  <w:tcW w:w="407" w:type="pct"/>
                  <w:vMerge w:val="continue"/>
                  <w:vAlign w:val="center"/>
                </w:tcPr>
                <w:p>
                  <w:pPr>
                    <w:jc w:val="center"/>
                    <w:rPr>
                      <w:color w:val="auto"/>
                      <w:szCs w:val="21"/>
                    </w:rPr>
                  </w:pPr>
                </w:p>
              </w:tc>
              <w:tc>
                <w:tcPr>
                  <w:tcW w:w="407" w:type="pct"/>
                  <w:vAlign w:val="center"/>
                </w:tcPr>
                <w:p>
                  <w:pPr>
                    <w:jc w:val="center"/>
                    <w:rPr>
                      <w:color w:val="auto"/>
                      <w:szCs w:val="21"/>
                    </w:rPr>
                  </w:pPr>
                  <w:r>
                    <w:rPr>
                      <w:color w:val="auto"/>
                      <w:szCs w:val="21"/>
                    </w:rPr>
                    <w:t>污染物排放管控</w:t>
                  </w:r>
                </w:p>
              </w:tc>
              <w:tc>
                <w:tcPr>
                  <w:tcW w:w="1608" w:type="pct"/>
                  <w:vAlign w:val="center"/>
                </w:tcPr>
                <w:p>
                  <w:pPr>
                    <w:pStyle w:val="86"/>
                    <w:ind w:firstLine="0" w:firstLineChars="0"/>
                    <w:jc w:val="left"/>
                    <w:rPr>
                      <w:color w:val="auto"/>
                      <w:szCs w:val="21"/>
                    </w:rPr>
                  </w:pPr>
                  <w:r>
                    <w:rPr>
                      <w:color w:val="auto"/>
                      <w:szCs w:val="21"/>
                    </w:rPr>
                    <w:t>1、执行自治区、乌昌石片区总体准入要求中关于重点管控单元污染物排放管控的准入要求（表2-3 A6.2、表3.4-2 B2）。</w:t>
                  </w:r>
                </w:p>
                <w:p>
                  <w:pPr>
                    <w:pStyle w:val="86"/>
                    <w:ind w:firstLine="0" w:firstLineChars="0"/>
                    <w:jc w:val="left"/>
                    <w:rPr>
                      <w:color w:val="auto"/>
                      <w:szCs w:val="21"/>
                    </w:rPr>
                  </w:pPr>
                  <w:r>
                    <w:rPr>
                      <w:color w:val="auto"/>
                      <w:szCs w:val="21"/>
                    </w:rPr>
                    <w:t>2、在矿产资源开发利用过程中，坚持“矿产资源开发与矿山生态环境保护并重”的原则，坚持“预防为主、防治结合”的原则，坚持“谁开发，谁保护；谁破坏谁恢复；谁投资谁受益”，不断改善和提高矿山生态环境质量，实现矿业开发和生态环境保护的协调发展。</w:t>
                  </w:r>
                </w:p>
                <w:p>
                  <w:pPr>
                    <w:pStyle w:val="86"/>
                    <w:ind w:firstLine="0" w:firstLineChars="0"/>
                    <w:jc w:val="left"/>
                    <w:rPr>
                      <w:color w:val="auto"/>
                      <w:szCs w:val="21"/>
                    </w:rPr>
                  </w:pPr>
                  <w:r>
                    <w:rPr>
                      <w:color w:val="auto"/>
                      <w:szCs w:val="21"/>
                    </w:rPr>
                    <w:t>3、加强环境管理，使建设项目运行各种污染物排放达到国家相应标准或无害化处理；采取先进的污染物处理工艺和处理设施，提高项目污染物处理率；妥善处理施工期产生的各种废物、生活垃圾等、不得随意弃置，以免遇强降雨引起严重的水土污染。</w:t>
                  </w:r>
                </w:p>
              </w:tc>
              <w:tc>
                <w:tcPr>
                  <w:tcW w:w="1091" w:type="pct"/>
                  <w:vAlign w:val="center"/>
                </w:tcPr>
                <w:p>
                  <w:pPr>
                    <w:pStyle w:val="86"/>
                    <w:ind w:firstLine="0" w:firstLineChars="0"/>
                    <w:jc w:val="left"/>
                    <w:rPr>
                      <w:color w:val="auto"/>
                      <w:szCs w:val="21"/>
                    </w:rPr>
                  </w:pPr>
                  <w:r>
                    <w:rPr>
                      <w:rFonts w:hint="eastAsia"/>
                      <w:color w:val="auto"/>
                      <w:szCs w:val="21"/>
                    </w:rPr>
                    <w:t>本项目为阜康市中国石油天然气运输有限公司准东生产基地配套建设的危废暂存间建设项目，项目生产过程中产生的污染物主要为</w:t>
                  </w:r>
                  <w:r>
                    <w:rPr>
                      <w:rFonts w:hint="eastAsia"/>
                      <w:color w:val="auto"/>
                    </w:rPr>
                    <w:t>废油挥发产生的极少量有机气体</w:t>
                  </w:r>
                  <w:r>
                    <w:rPr>
                      <w:color w:val="auto"/>
                    </w:rPr>
                    <w:t>，</w:t>
                  </w:r>
                  <w:r>
                    <w:rPr>
                      <w:rFonts w:hint="eastAsia"/>
                      <w:color w:val="auto"/>
                    </w:rPr>
                    <w:t>经通风口无组织排放</w:t>
                  </w:r>
                  <w:r>
                    <w:rPr>
                      <w:rFonts w:hint="eastAsia"/>
                      <w:color w:val="auto"/>
                      <w:szCs w:val="21"/>
                    </w:rPr>
                    <w:t>，项目的实施有利于危险废物的管理</w:t>
                  </w:r>
                </w:p>
              </w:tc>
              <w:tc>
                <w:tcPr>
                  <w:tcW w:w="425" w:type="pct"/>
                  <w:vAlign w:val="center"/>
                </w:tcPr>
                <w:p>
                  <w:pPr>
                    <w:pStyle w:val="87"/>
                    <w:ind w:firstLine="0"/>
                    <w:jc w:val="center"/>
                    <w:rPr>
                      <w:rFonts w:ascii="Times New Roman" w:hAnsi="Times New Roman"/>
                      <w:color w:val="auto"/>
                      <w:szCs w:val="21"/>
                    </w:rPr>
                  </w:pPr>
                  <w:r>
                    <w:rPr>
                      <w:rFonts w:ascii="Times New Roman" w:hAnsi="Times New Roman"/>
                      <w:color w:val="auto"/>
                      <w:szCs w:val="21"/>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15" w:hRule="atLeast"/>
                <w:jc w:val="center"/>
              </w:trPr>
              <w:tc>
                <w:tcPr>
                  <w:tcW w:w="585" w:type="pct"/>
                  <w:vMerge w:val="continue"/>
                  <w:vAlign w:val="center"/>
                </w:tcPr>
                <w:p>
                  <w:pPr>
                    <w:jc w:val="center"/>
                    <w:rPr>
                      <w:color w:val="auto"/>
                      <w:szCs w:val="21"/>
                    </w:rPr>
                  </w:pPr>
                </w:p>
              </w:tc>
              <w:tc>
                <w:tcPr>
                  <w:tcW w:w="473" w:type="pct"/>
                  <w:vMerge w:val="continue"/>
                  <w:vAlign w:val="center"/>
                </w:tcPr>
                <w:p>
                  <w:pPr>
                    <w:jc w:val="center"/>
                    <w:rPr>
                      <w:color w:val="auto"/>
                      <w:szCs w:val="21"/>
                    </w:rPr>
                  </w:pPr>
                </w:p>
              </w:tc>
              <w:tc>
                <w:tcPr>
                  <w:tcW w:w="407" w:type="pct"/>
                  <w:vMerge w:val="continue"/>
                  <w:vAlign w:val="center"/>
                </w:tcPr>
                <w:p>
                  <w:pPr>
                    <w:jc w:val="center"/>
                    <w:rPr>
                      <w:color w:val="auto"/>
                      <w:szCs w:val="21"/>
                    </w:rPr>
                  </w:pPr>
                </w:p>
              </w:tc>
              <w:tc>
                <w:tcPr>
                  <w:tcW w:w="407" w:type="pct"/>
                  <w:vAlign w:val="center"/>
                </w:tcPr>
                <w:p>
                  <w:pPr>
                    <w:jc w:val="center"/>
                    <w:rPr>
                      <w:color w:val="auto"/>
                      <w:szCs w:val="21"/>
                    </w:rPr>
                  </w:pPr>
                  <w:r>
                    <w:rPr>
                      <w:color w:val="auto"/>
                      <w:szCs w:val="21"/>
                    </w:rPr>
                    <w:t>环境风险防控</w:t>
                  </w:r>
                </w:p>
              </w:tc>
              <w:tc>
                <w:tcPr>
                  <w:tcW w:w="1608" w:type="pct"/>
                  <w:vAlign w:val="center"/>
                </w:tcPr>
                <w:p>
                  <w:pPr>
                    <w:pStyle w:val="88"/>
                    <w:jc w:val="left"/>
                    <w:rPr>
                      <w:rFonts w:eastAsia="宋体"/>
                      <w:color w:val="auto"/>
                      <w:kern w:val="2"/>
                      <w:szCs w:val="21"/>
                    </w:rPr>
                  </w:pPr>
                  <w:r>
                    <w:rPr>
                      <w:rFonts w:eastAsia="宋体"/>
                      <w:color w:val="auto"/>
                      <w:kern w:val="2"/>
                      <w:szCs w:val="21"/>
                    </w:rPr>
                    <w:t>1、执行自治区、乌昌石片区总体准入要求中关于重点管控单元环境风险防控的准入要求（表2-3 A6.3、表3.4-2 B3）。</w:t>
                  </w:r>
                </w:p>
                <w:p>
                  <w:pPr>
                    <w:pStyle w:val="86"/>
                    <w:ind w:firstLine="0" w:firstLineChars="0"/>
                    <w:jc w:val="left"/>
                    <w:rPr>
                      <w:color w:val="auto"/>
                      <w:szCs w:val="21"/>
                    </w:rPr>
                  </w:pPr>
                  <w:r>
                    <w:rPr>
                      <w:color w:val="auto"/>
                      <w:szCs w:val="21"/>
                    </w:rPr>
                    <w:t>2、现有矿山企业必须依法履行地质环境保护与矿山环境恢复治理、土地复垦等义务。建立矿山地质环境、土地资源破坏监测、报告和监管制度，加强对采矿权人履行矿山地质环境治理义务情况的监督检查，对违反法律、法规和有关政策规定造成生态环境破坏和环境污染的，要依法查处，限期整改达标，并按照国家规定予以补偿，逾期不达标的，实行限产或关闭。因采矿活动引发地质灾害的，治理经费由责任单位解决。</w:t>
                  </w:r>
                </w:p>
                <w:p>
                  <w:pPr>
                    <w:pStyle w:val="86"/>
                    <w:ind w:firstLine="0" w:firstLineChars="0"/>
                    <w:jc w:val="left"/>
                    <w:rPr>
                      <w:color w:val="auto"/>
                      <w:szCs w:val="21"/>
                    </w:rPr>
                  </w:pPr>
                  <w:r>
                    <w:rPr>
                      <w:color w:val="auto"/>
                      <w:szCs w:val="21"/>
                    </w:rPr>
                    <w:t>3、建成州、县（市）、矿山三级矿山地质环境保护与恢复治理动态监测体系，制定完善的监测制度，以高新技术为支撑，构建面向地质矿产管理的矿政管理信息系统和数据库。</w:t>
                  </w:r>
                </w:p>
              </w:tc>
              <w:tc>
                <w:tcPr>
                  <w:tcW w:w="1091" w:type="pct"/>
                  <w:vAlign w:val="center"/>
                </w:tcPr>
                <w:p>
                  <w:pPr>
                    <w:pStyle w:val="87"/>
                    <w:ind w:firstLine="0"/>
                    <w:jc w:val="center"/>
                    <w:rPr>
                      <w:rFonts w:ascii="Times New Roman" w:hAnsi="Times New Roman"/>
                      <w:color w:val="auto"/>
                      <w:szCs w:val="21"/>
                    </w:rPr>
                  </w:pPr>
                  <w:r>
                    <w:rPr>
                      <w:rFonts w:hint="eastAsia" w:ascii="Times New Roman" w:hAnsi="Times New Roman"/>
                      <w:color w:val="auto"/>
                      <w:szCs w:val="21"/>
                    </w:rPr>
                    <w:t>本项目为阜康市中国石油天然气运输有限公司准东生产基地配套建设的危废暂存间建设项目，在做好防渗的基础上，本项目环境风险较小</w:t>
                  </w:r>
                </w:p>
              </w:tc>
              <w:tc>
                <w:tcPr>
                  <w:tcW w:w="425" w:type="pct"/>
                  <w:vAlign w:val="center"/>
                </w:tcPr>
                <w:p>
                  <w:pPr>
                    <w:pStyle w:val="87"/>
                    <w:ind w:firstLine="0"/>
                    <w:jc w:val="center"/>
                    <w:rPr>
                      <w:rFonts w:ascii="Times New Roman" w:hAnsi="Times New Roman"/>
                      <w:color w:val="auto"/>
                      <w:szCs w:val="21"/>
                    </w:rPr>
                  </w:pPr>
                  <w:r>
                    <w:rPr>
                      <w:rFonts w:ascii="Times New Roman" w:hAnsi="Times New Roman"/>
                      <w:color w:val="auto"/>
                      <w:szCs w:val="21"/>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600" w:hRule="atLeast"/>
                <w:jc w:val="center"/>
              </w:trPr>
              <w:tc>
                <w:tcPr>
                  <w:tcW w:w="585" w:type="pct"/>
                  <w:vMerge w:val="continue"/>
                  <w:vAlign w:val="center"/>
                </w:tcPr>
                <w:p>
                  <w:pPr>
                    <w:jc w:val="center"/>
                    <w:rPr>
                      <w:color w:val="auto"/>
                      <w:szCs w:val="21"/>
                    </w:rPr>
                  </w:pPr>
                </w:p>
              </w:tc>
              <w:tc>
                <w:tcPr>
                  <w:tcW w:w="473" w:type="pct"/>
                  <w:vMerge w:val="continue"/>
                  <w:vAlign w:val="center"/>
                </w:tcPr>
                <w:p>
                  <w:pPr>
                    <w:jc w:val="center"/>
                    <w:rPr>
                      <w:color w:val="auto"/>
                      <w:szCs w:val="21"/>
                    </w:rPr>
                  </w:pPr>
                </w:p>
              </w:tc>
              <w:tc>
                <w:tcPr>
                  <w:tcW w:w="407" w:type="pct"/>
                  <w:vMerge w:val="continue"/>
                  <w:vAlign w:val="center"/>
                </w:tcPr>
                <w:p>
                  <w:pPr>
                    <w:jc w:val="center"/>
                    <w:rPr>
                      <w:color w:val="auto"/>
                      <w:szCs w:val="21"/>
                    </w:rPr>
                  </w:pPr>
                </w:p>
              </w:tc>
              <w:tc>
                <w:tcPr>
                  <w:tcW w:w="407" w:type="pct"/>
                  <w:vAlign w:val="center"/>
                </w:tcPr>
                <w:p>
                  <w:pPr>
                    <w:jc w:val="center"/>
                    <w:rPr>
                      <w:color w:val="auto"/>
                      <w:szCs w:val="21"/>
                    </w:rPr>
                  </w:pPr>
                  <w:r>
                    <w:rPr>
                      <w:color w:val="auto"/>
                      <w:szCs w:val="21"/>
                    </w:rPr>
                    <w:t>资源利用效率</w:t>
                  </w:r>
                </w:p>
              </w:tc>
              <w:tc>
                <w:tcPr>
                  <w:tcW w:w="1608" w:type="pct"/>
                  <w:vAlign w:val="center"/>
                </w:tcPr>
                <w:p>
                  <w:pPr>
                    <w:pStyle w:val="88"/>
                    <w:jc w:val="left"/>
                    <w:rPr>
                      <w:rFonts w:eastAsia="宋体"/>
                      <w:color w:val="auto"/>
                      <w:kern w:val="2"/>
                      <w:szCs w:val="21"/>
                    </w:rPr>
                  </w:pPr>
                  <w:r>
                    <w:rPr>
                      <w:rFonts w:hint="eastAsia" w:eastAsia="宋体"/>
                      <w:color w:val="auto"/>
                      <w:kern w:val="2"/>
                      <w:szCs w:val="21"/>
                    </w:rPr>
                    <w:t>1、执行自治区、乌昌石片区总体准入要求中关于重点管控单元资源利用效率的准入要求（表2-3A6.4、表3.4-2 B4）。</w:t>
                  </w:r>
                </w:p>
                <w:p>
                  <w:pPr>
                    <w:jc w:val="left"/>
                    <w:rPr>
                      <w:color w:val="auto"/>
                      <w:szCs w:val="21"/>
                    </w:rPr>
                  </w:pPr>
                  <w:r>
                    <w:rPr>
                      <w:rFonts w:hint="eastAsia"/>
                      <w:color w:val="auto"/>
                      <w:szCs w:val="21"/>
                    </w:rPr>
                    <w:t>2、引导和扶持矿山企业开展矿产资源利用技术的研发和创新，提高矿产资源综合利用水平，推动矿业循环经济发展；开展矿产的选矿、开采、新加工和新产品开发技术应用研究，不断提高资源利用效能、效率和效益</w:t>
                  </w:r>
                  <w:r>
                    <w:rPr>
                      <w:rFonts w:eastAsia="仿宋"/>
                      <w:color w:val="auto"/>
                      <w:sz w:val="24"/>
                    </w:rPr>
                    <w:t>。</w:t>
                  </w:r>
                </w:p>
              </w:tc>
              <w:tc>
                <w:tcPr>
                  <w:tcW w:w="1091" w:type="pct"/>
                  <w:vAlign w:val="center"/>
                </w:tcPr>
                <w:p>
                  <w:pPr>
                    <w:pStyle w:val="87"/>
                    <w:ind w:firstLine="0"/>
                    <w:jc w:val="center"/>
                    <w:rPr>
                      <w:rFonts w:ascii="Times New Roman" w:hAnsi="Times New Roman"/>
                      <w:color w:val="auto"/>
                      <w:szCs w:val="21"/>
                    </w:rPr>
                  </w:pPr>
                  <w:r>
                    <w:rPr>
                      <w:rFonts w:hint="eastAsia" w:ascii="Times New Roman" w:hAnsi="Times New Roman"/>
                      <w:color w:val="auto"/>
                      <w:szCs w:val="21"/>
                    </w:rPr>
                    <w:t>本项目为阜康市中国石油天然气运输有限公司准东生产基地配套建设的危废暂存间建设项目，不涉及资源利用</w:t>
                  </w:r>
                </w:p>
              </w:tc>
              <w:tc>
                <w:tcPr>
                  <w:tcW w:w="425" w:type="pct"/>
                  <w:vAlign w:val="center"/>
                </w:tcPr>
                <w:p>
                  <w:pPr>
                    <w:pStyle w:val="87"/>
                    <w:ind w:firstLine="0"/>
                    <w:jc w:val="center"/>
                    <w:rPr>
                      <w:rFonts w:ascii="Times New Roman" w:hAnsi="Times New Roman"/>
                      <w:color w:val="auto"/>
                      <w:szCs w:val="21"/>
                    </w:rPr>
                  </w:pPr>
                  <w:r>
                    <w:rPr>
                      <w:rFonts w:ascii="Times New Roman" w:hAnsi="Times New Roman"/>
                      <w:color w:val="auto"/>
                      <w:szCs w:val="21"/>
                    </w:rPr>
                    <w:t>符合</w:t>
                  </w:r>
                </w:p>
              </w:tc>
            </w:tr>
          </w:tbl>
          <w:p>
            <w:pPr>
              <w:autoSpaceDE w:val="0"/>
              <w:autoSpaceDN w:val="0"/>
              <w:adjustRightInd w:val="0"/>
              <w:snapToGrid w:val="0"/>
              <w:spacing w:line="520" w:lineRule="exact"/>
              <w:ind w:firstLine="480" w:firstLineChars="200"/>
              <w:rPr>
                <w:color w:val="auto"/>
                <w:sz w:val="24"/>
              </w:rPr>
            </w:pPr>
            <w:r>
              <w:rPr>
                <w:rFonts w:hint="eastAsia"/>
                <w:color w:val="auto"/>
                <w:sz w:val="24"/>
              </w:rPr>
              <w:t>综上，</w:t>
            </w:r>
            <w:r>
              <w:rPr>
                <w:color w:val="auto"/>
                <w:sz w:val="24"/>
              </w:rPr>
              <w:t>项目符合</w:t>
            </w:r>
            <w:r>
              <w:rPr>
                <w:rFonts w:hint="eastAsia"/>
                <w:color w:val="auto"/>
                <w:sz w:val="24"/>
              </w:rPr>
              <w:t>阜康市</w:t>
            </w:r>
            <w:r>
              <w:rPr>
                <w:color w:val="auto"/>
                <w:sz w:val="24"/>
              </w:rPr>
              <w:t>生态环境准入清单（</w:t>
            </w:r>
            <w:r>
              <w:rPr>
                <w:rFonts w:hint="eastAsia"/>
                <w:color w:val="auto"/>
                <w:sz w:val="24"/>
              </w:rPr>
              <w:t>阜康油页岩开采区重点</w:t>
            </w:r>
            <w:r>
              <w:rPr>
                <w:color w:val="auto"/>
                <w:sz w:val="24"/>
              </w:rPr>
              <w:t>管控单元）相关准入要求，符合自治区总体准入要求。因此，本项目符合生态保护红线管控要求。</w:t>
            </w:r>
          </w:p>
          <w:p>
            <w:pPr>
              <w:autoSpaceDE w:val="0"/>
              <w:autoSpaceDN w:val="0"/>
              <w:adjustRightInd w:val="0"/>
              <w:snapToGrid w:val="0"/>
              <w:spacing w:line="520" w:lineRule="exact"/>
              <w:ind w:firstLine="480" w:firstLineChars="200"/>
              <w:rPr>
                <w:color w:val="auto"/>
                <w:sz w:val="24"/>
              </w:rPr>
            </w:pPr>
            <w:r>
              <w:rPr>
                <w:color w:val="auto"/>
                <w:sz w:val="24"/>
              </w:rPr>
              <w:t>综上所述，本项目符合“三线一单”相关要求。</w:t>
            </w:r>
          </w:p>
          <w:p>
            <w:pPr>
              <w:autoSpaceDE w:val="0"/>
              <w:autoSpaceDN w:val="0"/>
              <w:adjustRightInd w:val="0"/>
              <w:snapToGrid w:val="0"/>
              <w:spacing w:line="520" w:lineRule="exact"/>
              <w:ind w:firstLine="482" w:firstLineChars="200"/>
              <w:rPr>
                <w:b/>
                <w:bCs/>
                <w:color w:val="auto"/>
                <w:sz w:val="24"/>
              </w:rPr>
            </w:pPr>
            <w:r>
              <w:rPr>
                <w:b/>
                <w:bCs/>
                <w:color w:val="auto"/>
                <w:sz w:val="24"/>
              </w:rPr>
              <w:t>2、产业政策符合性分析</w:t>
            </w:r>
          </w:p>
          <w:p>
            <w:pPr>
              <w:autoSpaceDE w:val="0"/>
              <w:autoSpaceDN w:val="0"/>
              <w:adjustRightInd w:val="0"/>
              <w:snapToGrid w:val="0"/>
              <w:spacing w:line="520" w:lineRule="exact"/>
              <w:ind w:firstLine="480" w:firstLineChars="200"/>
              <w:rPr>
                <w:color w:val="auto"/>
                <w:sz w:val="24"/>
              </w:rPr>
            </w:pPr>
            <w:r>
              <w:rPr>
                <w:color w:val="auto"/>
                <w:sz w:val="24"/>
              </w:rPr>
              <w:t>本项目为</w:t>
            </w:r>
            <w:r>
              <w:rPr>
                <w:rFonts w:hint="eastAsia"/>
                <w:color w:val="auto"/>
                <w:sz w:val="24"/>
              </w:rPr>
              <w:t>危废暂存间</w:t>
            </w:r>
            <w:r>
              <w:rPr>
                <w:color w:val="auto"/>
                <w:sz w:val="24"/>
              </w:rPr>
              <w:t>建设项目，主要</w:t>
            </w:r>
            <w:r>
              <w:rPr>
                <w:rFonts w:hint="eastAsia"/>
                <w:color w:val="auto"/>
                <w:sz w:val="24"/>
              </w:rPr>
              <w:t>储存设备维护产生的废机油、机柴滤、废电瓶等</w:t>
            </w:r>
            <w:r>
              <w:rPr>
                <w:color w:val="auto"/>
                <w:sz w:val="24"/>
              </w:rPr>
              <w:t>，根据《产业结构调整指导目录》（2019年本），本项目不属于鼓励类、淘汰类，</w:t>
            </w:r>
            <w:r>
              <w:rPr>
                <w:rFonts w:hint="eastAsia"/>
                <w:color w:val="auto"/>
                <w:sz w:val="24"/>
              </w:rPr>
              <w:t>视为</w:t>
            </w:r>
            <w:r>
              <w:rPr>
                <w:color w:val="auto"/>
                <w:sz w:val="24"/>
              </w:rPr>
              <w:t>允许类项目。因此，项目建设符合相关产业政策。</w:t>
            </w:r>
          </w:p>
          <w:p>
            <w:pPr>
              <w:autoSpaceDE w:val="0"/>
              <w:autoSpaceDN w:val="0"/>
              <w:adjustRightInd w:val="0"/>
              <w:snapToGrid w:val="0"/>
              <w:spacing w:line="520" w:lineRule="exact"/>
              <w:ind w:firstLine="482" w:firstLineChars="200"/>
              <w:rPr>
                <w:b/>
                <w:bCs/>
                <w:color w:val="auto"/>
                <w:sz w:val="24"/>
              </w:rPr>
            </w:pPr>
            <w:r>
              <w:rPr>
                <w:b/>
                <w:bCs/>
                <w:color w:val="auto"/>
                <w:sz w:val="24"/>
              </w:rPr>
              <w:t>3、选址合理性分析</w:t>
            </w:r>
          </w:p>
          <w:p>
            <w:pPr>
              <w:autoSpaceDE w:val="0"/>
              <w:autoSpaceDN w:val="0"/>
              <w:adjustRightInd w:val="0"/>
              <w:snapToGrid w:val="0"/>
              <w:spacing w:line="520" w:lineRule="exact"/>
              <w:ind w:firstLine="480" w:firstLineChars="200"/>
              <w:rPr>
                <w:color w:val="auto"/>
                <w:sz w:val="24"/>
              </w:rPr>
            </w:pPr>
            <w:r>
              <w:rPr>
                <w:color w:val="auto"/>
                <w:sz w:val="24"/>
              </w:rPr>
              <w:t>本项目位于</w:t>
            </w:r>
            <w:r>
              <w:rPr>
                <w:rFonts w:hint="eastAsia"/>
                <w:color w:val="auto"/>
                <w:sz w:val="24"/>
              </w:rPr>
              <w:t>新疆维吾尔自治区阜康市中国石油天然气运输有限公司准东生产基地</w:t>
            </w:r>
            <w:r>
              <w:rPr>
                <w:color w:val="auto"/>
                <w:sz w:val="24"/>
              </w:rPr>
              <w:t>，项目所在该区域无断层、地下溶洞等潜在的危害因素，地质结构相对稳定，不在易燃、易爆等危险品仓库和高压输电线路防护区域内，符合《危险废物贮存污染控制标准》（GB18597-</w:t>
            </w:r>
            <w:r>
              <w:rPr>
                <w:rFonts w:hint="eastAsia"/>
                <w:color w:val="auto"/>
                <w:sz w:val="24"/>
                <w:lang w:val="en-US" w:eastAsia="zh-CN"/>
              </w:rPr>
              <w:t>2023</w:t>
            </w:r>
            <w:r>
              <w:rPr>
                <w:color w:val="auto"/>
                <w:sz w:val="24"/>
              </w:rPr>
              <w:t>）的相关规定。从环境保护的角度分析，项目选址可行。</w:t>
            </w:r>
          </w:p>
          <w:p>
            <w:pPr>
              <w:pStyle w:val="64"/>
              <w:spacing w:line="240" w:lineRule="auto"/>
              <w:ind w:firstLine="480"/>
              <w:jc w:val="center"/>
              <w:rPr>
                <w:rFonts w:hAnsi="Times New Roman" w:eastAsia="黑体"/>
                <w:b w:val="0"/>
                <w:bCs w:val="0"/>
                <w:color w:val="auto"/>
                <w:szCs w:val="24"/>
              </w:rPr>
            </w:pPr>
            <w:r>
              <w:rPr>
                <w:rFonts w:hAnsi="Times New Roman" w:eastAsia="黑体"/>
                <w:b w:val="0"/>
                <w:bCs w:val="0"/>
                <w:color w:val="auto"/>
                <w:szCs w:val="24"/>
              </w:rPr>
              <w:t>表1-</w:t>
            </w:r>
            <w:r>
              <w:rPr>
                <w:rFonts w:hint="eastAsia" w:hAnsi="Times New Roman" w:eastAsia="黑体"/>
                <w:b w:val="0"/>
                <w:bCs w:val="0"/>
                <w:color w:val="auto"/>
                <w:szCs w:val="24"/>
              </w:rPr>
              <w:t>2</w:t>
            </w:r>
            <w:r>
              <w:rPr>
                <w:rFonts w:hAnsi="Times New Roman" w:eastAsia="黑体"/>
                <w:b w:val="0"/>
                <w:bCs w:val="0"/>
                <w:color w:val="auto"/>
                <w:szCs w:val="24"/>
              </w:rPr>
              <w:t xml:space="preserve">  选址合理性分析表</w:t>
            </w:r>
          </w:p>
          <w:tbl>
            <w:tblPr>
              <w:tblStyle w:val="32"/>
              <w:tblW w:w="6425"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632"/>
              <w:gridCol w:w="2976"/>
              <w:gridCol w:w="81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90" w:hRule="atLeast"/>
              </w:trPr>
              <w:tc>
                <w:tcPr>
                  <w:tcW w:w="2632" w:type="dxa"/>
                  <w:tcBorders>
                    <w:tl2br w:val="nil"/>
                    <w:tr2bl w:val="nil"/>
                  </w:tcBorders>
                  <w:vAlign w:val="center"/>
                </w:tcPr>
                <w:p>
                  <w:pPr>
                    <w:pStyle w:val="20"/>
                    <w:jc w:val="center"/>
                    <w:rPr>
                      <w:rFonts w:ascii="Times New Roman" w:hAnsi="Times New Roman"/>
                      <w:color w:val="auto"/>
                    </w:rPr>
                  </w:pPr>
                  <w:r>
                    <w:rPr>
                      <w:rFonts w:ascii="Times New Roman" w:hAnsi="Times New Roman"/>
                      <w:color w:val="auto"/>
                    </w:rPr>
                    <w:t>条件</w:t>
                  </w:r>
                </w:p>
              </w:tc>
              <w:tc>
                <w:tcPr>
                  <w:tcW w:w="2976" w:type="dxa"/>
                  <w:tcBorders>
                    <w:tl2br w:val="nil"/>
                    <w:tr2bl w:val="nil"/>
                  </w:tcBorders>
                  <w:vAlign w:val="center"/>
                </w:tcPr>
                <w:p>
                  <w:pPr>
                    <w:pStyle w:val="20"/>
                    <w:jc w:val="center"/>
                    <w:rPr>
                      <w:rFonts w:ascii="Times New Roman" w:hAnsi="Times New Roman"/>
                      <w:color w:val="auto"/>
                    </w:rPr>
                  </w:pPr>
                  <w:r>
                    <w:rPr>
                      <w:rFonts w:ascii="Times New Roman" w:hAnsi="Times New Roman"/>
                      <w:color w:val="auto"/>
                    </w:rPr>
                    <w:t>厂址情况</w:t>
                  </w:r>
                </w:p>
              </w:tc>
              <w:tc>
                <w:tcPr>
                  <w:tcW w:w="817" w:type="dxa"/>
                  <w:tcBorders>
                    <w:tl2br w:val="nil"/>
                    <w:tr2bl w:val="nil"/>
                  </w:tcBorders>
                  <w:vAlign w:val="center"/>
                </w:tcPr>
                <w:p>
                  <w:pPr>
                    <w:pStyle w:val="20"/>
                    <w:jc w:val="center"/>
                    <w:rPr>
                      <w:rFonts w:ascii="Times New Roman" w:hAnsi="Times New Roman"/>
                      <w:color w:val="auto"/>
                    </w:rPr>
                  </w:pPr>
                  <w:r>
                    <w:rPr>
                      <w:rFonts w:ascii="Times New Roman" w:hAnsi="Times New Roman"/>
                      <w:color w:val="auto"/>
                    </w:rPr>
                    <w:t>结论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2632" w:type="dxa"/>
                  <w:tcBorders>
                    <w:tl2br w:val="nil"/>
                    <w:tr2bl w:val="nil"/>
                  </w:tcBorders>
                  <w:vAlign w:val="center"/>
                </w:tcPr>
                <w:p>
                  <w:pPr>
                    <w:pStyle w:val="20"/>
                    <w:jc w:val="center"/>
                    <w:rPr>
                      <w:rFonts w:ascii="Times New Roman" w:hAnsi="Times New Roman"/>
                      <w:color w:val="auto"/>
                    </w:rPr>
                  </w:pPr>
                  <w:r>
                    <w:rPr>
                      <w:rFonts w:hint="eastAsia" w:ascii="Times New Roman" w:hAnsi="Times New Roman"/>
                      <w:color w:val="auto"/>
                    </w:rPr>
                    <w:t>贮存设施选址应满足生态环境保护法律法规、规划和“三线一单”生态环境分区管控的要求，建设项目应依法进行环境影响评价。</w:t>
                  </w:r>
                </w:p>
              </w:tc>
              <w:tc>
                <w:tcPr>
                  <w:tcW w:w="2976" w:type="dxa"/>
                  <w:tcBorders>
                    <w:tl2br w:val="nil"/>
                    <w:tr2bl w:val="nil"/>
                  </w:tcBorders>
                  <w:vAlign w:val="center"/>
                </w:tcPr>
                <w:p>
                  <w:pPr>
                    <w:pStyle w:val="20"/>
                    <w:jc w:val="center"/>
                    <w:rPr>
                      <w:rFonts w:ascii="Times New Roman" w:hAnsi="Times New Roman"/>
                      <w:color w:val="auto"/>
                    </w:rPr>
                  </w:pPr>
                  <w:r>
                    <w:rPr>
                      <w:rFonts w:hint="eastAsia" w:ascii="Times New Roman" w:hAnsi="Times New Roman"/>
                      <w:color w:val="auto"/>
                    </w:rPr>
                    <w:t>本项目选址符合阜康市生态环境准入清单（阜康油页岩开采区重点管控单元）相关准入要求符合自治区“三线一单”总体准入要求。</w:t>
                  </w:r>
                </w:p>
              </w:tc>
              <w:tc>
                <w:tcPr>
                  <w:tcW w:w="817" w:type="dxa"/>
                  <w:tcBorders>
                    <w:tl2br w:val="nil"/>
                    <w:tr2bl w:val="nil"/>
                  </w:tcBorders>
                  <w:vAlign w:val="center"/>
                </w:tcPr>
                <w:p>
                  <w:pPr>
                    <w:pStyle w:val="20"/>
                    <w:jc w:val="center"/>
                    <w:rPr>
                      <w:rFonts w:ascii="Times New Roman" w:hAnsi="Times New Roman"/>
                      <w:color w:val="auto"/>
                    </w:rPr>
                  </w:pPr>
                  <w:r>
                    <w:rPr>
                      <w:rFonts w:ascii="Times New Roman" w:hAnsi="Times New Roman"/>
                      <w:color w:val="auto"/>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2632" w:type="dxa"/>
                  <w:tcBorders>
                    <w:tl2br w:val="nil"/>
                    <w:tr2bl w:val="nil"/>
                  </w:tcBorders>
                  <w:vAlign w:val="center"/>
                </w:tcPr>
                <w:p>
                  <w:pPr>
                    <w:pStyle w:val="20"/>
                    <w:jc w:val="center"/>
                    <w:rPr>
                      <w:rFonts w:ascii="Times New Roman" w:hAnsi="Times New Roman"/>
                      <w:color w:val="auto"/>
                    </w:rPr>
                  </w:pPr>
                  <w:r>
                    <w:rPr>
                      <w:rFonts w:hint="eastAsia" w:ascii="Times New Roman" w:hAnsi="Times New Roman"/>
                      <w:color w:val="auto"/>
                    </w:rPr>
                    <w:t>集中贮存设施不应选在生态保护红线区域、永久基本农田和其他需要特别保护的区域内，不应建在溶洞区或易遭受洪水、滑坡、泥石流、潮汐等严重自然灾害影响的地区。</w:t>
                  </w:r>
                </w:p>
              </w:tc>
              <w:tc>
                <w:tcPr>
                  <w:tcW w:w="2976" w:type="dxa"/>
                  <w:tcBorders>
                    <w:tl2br w:val="nil"/>
                    <w:tr2bl w:val="nil"/>
                  </w:tcBorders>
                  <w:vAlign w:val="center"/>
                </w:tcPr>
                <w:p>
                  <w:pPr>
                    <w:pStyle w:val="20"/>
                    <w:jc w:val="center"/>
                    <w:rPr>
                      <w:rFonts w:ascii="Times New Roman" w:hAnsi="Times New Roman"/>
                      <w:color w:val="auto"/>
                    </w:rPr>
                  </w:pPr>
                  <w:r>
                    <w:rPr>
                      <w:rFonts w:ascii="Times New Roman" w:hAnsi="Times New Roman"/>
                      <w:color w:val="auto"/>
                    </w:rPr>
                    <w:t>本项目</w:t>
                  </w:r>
                  <w:r>
                    <w:rPr>
                      <w:rFonts w:hint="eastAsia" w:ascii="Times New Roman" w:hAnsi="Times New Roman"/>
                      <w:color w:val="auto"/>
                    </w:rPr>
                    <w:t>选址不在生态红线范围内，</w:t>
                  </w:r>
                  <w:r>
                    <w:rPr>
                      <w:rFonts w:ascii="Times New Roman" w:hAnsi="Times New Roman"/>
                      <w:color w:val="auto"/>
                    </w:rPr>
                    <w:t>不在溶洞区，区域不会遭受严重自然灾害如洪水、滑坡、泥石流、潮汐等影响</w:t>
                  </w:r>
                </w:p>
              </w:tc>
              <w:tc>
                <w:tcPr>
                  <w:tcW w:w="817" w:type="dxa"/>
                  <w:tcBorders>
                    <w:tl2br w:val="nil"/>
                    <w:tr2bl w:val="nil"/>
                  </w:tcBorders>
                  <w:vAlign w:val="center"/>
                </w:tcPr>
                <w:p>
                  <w:pPr>
                    <w:pStyle w:val="20"/>
                    <w:jc w:val="center"/>
                    <w:rPr>
                      <w:rFonts w:ascii="Times New Roman" w:hAnsi="Times New Roman"/>
                      <w:color w:val="auto"/>
                    </w:rPr>
                  </w:pPr>
                  <w:r>
                    <w:rPr>
                      <w:rFonts w:ascii="Times New Roman" w:hAnsi="Times New Roman"/>
                      <w:color w:val="auto"/>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2632" w:type="dxa"/>
                  <w:tcBorders>
                    <w:tl2br w:val="nil"/>
                    <w:tr2bl w:val="nil"/>
                  </w:tcBorders>
                  <w:vAlign w:val="center"/>
                </w:tcPr>
                <w:p>
                  <w:pPr>
                    <w:pStyle w:val="20"/>
                    <w:jc w:val="center"/>
                    <w:rPr>
                      <w:rFonts w:ascii="Times New Roman" w:hAnsi="Times New Roman"/>
                      <w:color w:val="auto"/>
                    </w:rPr>
                  </w:pPr>
                  <w:r>
                    <w:rPr>
                      <w:rFonts w:hint="eastAsia"/>
                      <w:color w:val="auto"/>
                    </w:rPr>
                    <w:t>贮存设施不应选在江河、湖泊、运河、渠道、水库及其最高水位线以下的滩地和岸坡，以及法律</w:t>
                  </w:r>
                  <w:r>
                    <w:rPr>
                      <w:rFonts w:hint="eastAsia" w:ascii="Times New Roman" w:hAnsi="Times New Roman"/>
                      <w:color w:val="auto"/>
                    </w:rPr>
                    <w:t>法规规定禁止贮存危险废物的其他地点。</w:t>
                  </w:r>
                </w:p>
              </w:tc>
              <w:tc>
                <w:tcPr>
                  <w:tcW w:w="2976" w:type="dxa"/>
                  <w:tcBorders>
                    <w:tl2br w:val="nil"/>
                    <w:tr2bl w:val="nil"/>
                  </w:tcBorders>
                  <w:vAlign w:val="center"/>
                </w:tcPr>
                <w:p>
                  <w:pPr>
                    <w:pStyle w:val="20"/>
                    <w:jc w:val="center"/>
                    <w:rPr>
                      <w:rFonts w:ascii="Times New Roman" w:hAnsi="Times New Roman"/>
                      <w:color w:val="auto"/>
                    </w:rPr>
                  </w:pPr>
                  <w:r>
                    <w:rPr>
                      <w:rFonts w:hint="eastAsia" w:ascii="Times New Roman" w:hAnsi="Times New Roman"/>
                      <w:color w:val="auto"/>
                    </w:rPr>
                    <w:t>本项目周边无地表水体。</w:t>
                  </w:r>
                </w:p>
              </w:tc>
              <w:tc>
                <w:tcPr>
                  <w:tcW w:w="817" w:type="dxa"/>
                  <w:tcBorders>
                    <w:tl2br w:val="nil"/>
                    <w:tr2bl w:val="nil"/>
                  </w:tcBorders>
                  <w:vAlign w:val="center"/>
                </w:tcPr>
                <w:p>
                  <w:pPr>
                    <w:pStyle w:val="20"/>
                    <w:jc w:val="center"/>
                    <w:rPr>
                      <w:rFonts w:ascii="Times New Roman" w:hAnsi="Times New Roman"/>
                      <w:color w:val="auto"/>
                    </w:rPr>
                  </w:pPr>
                  <w:r>
                    <w:rPr>
                      <w:rFonts w:ascii="Times New Roman" w:hAnsi="Times New Roman"/>
                      <w:color w:val="auto"/>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2632" w:type="dxa"/>
                  <w:tcBorders>
                    <w:tl2br w:val="nil"/>
                    <w:tr2bl w:val="nil"/>
                  </w:tcBorders>
                  <w:vAlign w:val="center"/>
                </w:tcPr>
                <w:p>
                  <w:pPr>
                    <w:pStyle w:val="20"/>
                    <w:jc w:val="center"/>
                    <w:rPr>
                      <w:rFonts w:ascii="Times New Roman" w:hAnsi="Times New Roman"/>
                      <w:color w:val="auto"/>
                    </w:rPr>
                  </w:pPr>
                  <w:r>
                    <w:rPr>
                      <w:rFonts w:hint="eastAsia"/>
                      <w:color w:val="auto"/>
                      <w:szCs w:val="21"/>
                    </w:rPr>
                    <w:t>贮存设施场址的位置以及其与周围环境敏感目标的距离应依据环境影响评价文件确定。</w:t>
                  </w:r>
                </w:p>
              </w:tc>
              <w:tc>
                <w:tcPr>
                  <w:tcW w:w="2976" w:type="dxa"/>
                  <w:tcBorders>
                    <w:tl2br w:val="nil"/>
                    <w:tr2bl w:val="nil"/>
                  </w:tcBorders>
                  <w:vAlign w:val="center"/>
                </w:tcPr>
                <w:p>
                  <w:pPr>
                    <w:pStyle w:val="20"/>
                    <w:jc w:val="center"/>
                    <w:rPr>
                      <w:rFonts w:hint="eastAsia" w:ascii="Times New Roman" w:hAnsi="Times New Roman"/>
                      <w:color w:val="auto"/>
                    </w:rPr>
                  </w:pPr>
                  <w:r>
                    <w:rPr>
                      <w:rFonts w:hint="eastAsia" w:ascii="Times New Roman" w:hAnsi="Times New Roman"/>
                      <w:color w:val="auto"/>
                    </w:rPr>
                    <w:t>本项目为危险废物临时暂存场所，根据《建设项目环境风险评价技术导则》（HJ169-2018）分析判定，项目环境风险潜势为Ⅰ。环境影响可控制在厂界内，不会对周边环境造成影响。</w:t>
                  </w:r>
                </w:p>
              </w:tc>
              <w:tc>
                <w:tcPr>
                  <w:tcW w:w="817" w:type="dxa"/>
                  <w:tcBorders>
                    <w:tl2br w:val="nil"/>
                    <w:tr2bl w:val="nil"/>
                  </w:tcBorders>
                  <w:vAlign w:val="center"/>
                </w:tcPr>
                <w:p>
                  <w:pPr>
                    <w:pStyle w:val="20"/>
                    <w:jc w:val="center"/>
                    <w:rPr>
                      <w:rFonts w:ascii="Times New Roman" w:hAnsi="Times New Roman"/>
                      <w:color w:val="auto"/>
                    </w:rPr>
                  </w:pPr>
                  <w:r>
                    <w:rPr>
                      <w:rFonts w:ascii="Times New Roman" w:hAnsi="Times New Roman"/>
                      <w:color w:val="auto"/>
                    </w:rPr>
                    <w:t>符合</w:t>
                  </w:r>
                </w:p>
              </w:tc>
            </w:tr>
          </w:tbl>
          <w:p>
            <w:pPr>
              <w:autoSpaceDE w:val="0"/>
              <w:autoSpaceDN w:val="0"/>
              <w:adjustRightInd w:val="0"/>
              <w:snapToGrid w:val="0"/>
              <w:spacing w:line="520" w:lineRule="exact"/>
              <w:ind w:firstLine="482" w:firstLineChars="200"/>
              <w:rPr>
                <w:b/>
                <w:bCs/>
                <w:color w:val="auto"/>
                <w:sz w:val="24"/>
              </w:rPr>
            </w:pPr>
            <w:r>
              <w:rPr>
                <w:rFonts w:hint="eastAsia"/>
                <w:b/>
                <w:bCs/>
                <w:color w:val="auto"/>
                <w:sz w:val="24"/>
              </w:rPr>
              <w:t>4、危险废物暂存间防渗工艺可行性分析</w:t>
            </w:r>
          </w:p>
          <w:p>
            <w:pPr>
              <w:autoSpaceDE w:val="0"/>
              <w:autoSpaceDN w:val="0"/>
              <w:adjustRightInd w:val="0"/>
              <w:snapToGrid w:val="0"/>
              <w:spacing w:line="520" w:lineRule="exact"/>
              <w:ind w:firstLine="480" w:firstLineChars="200"/>
              <w:rPr>
                <w:color w:val="auto"/>
                <w:sz w:val="24"/>
              </w:rPr>
            </w:pPr>
            <w:r>
              <w:rPr>
                <w:rFonts w:hint="eastAsia"/>
                <w:color w:val="auto"/>
                <w:sz w:val="24"/>
              </w:rPr>
              <w:t>本项目在新疆维吾尔自治区阜康市中国石油天然气运输有限公司准东生产基地内建设，根据建设单位提供资料，本暂存间地面防渗措施为：本项目危废暂存间为集装箱式，底板采用100mm钢板并用</w:t>
            </w:r>
            <w:r>
              <w:rPr>
                <w:rFonts w:hint="eastAsia"/>
                <w:color w:val="auto"/>
                <w:sz w:val="24"/>
                <w:lang w:eastAsia="zh-CN"/>
              </w:rPr>
              <w:t>环氧树脂</w:t>
            </w:r>
            <w:r>
              <w:rPr>
                <w:rFonts w:hint="eastAsia"/>
                <w:color w:val="auto"/>
                <w:sz w:val="24"/>
              </w:rPr>
              <w:t>胶泥灌封，集装箱由固定滑轮支撑，箱体处于悬空状态，集装箱下设C30混凝土硬化地面，集装箱渗透系数≤10</w:t>
            </w:r>
            <w:r>
              <w:rPr>
                <w:rFonts w:hint="eastAsia"/>
                <w:color w:val="auto"/>
                <w:sz w:val="24"/>
                <w:vertAlign w:val="superscript"/>
              </w:rPr>
              <w:t>-10</w:t>
            </w:r>
            <w:r>
              <w:rPr>
                <w:rFonts w:hint="eastAsia"/>
                <w:color w:val="auto"/>
                <w:sz w:val="24"/>
              </w:rPr>
              <w:t>cm/s。根据《危险废物贮存污染控制标准》（GB18597-2023）中：“</w:t>
            </w:r>
            <w:r>
              <w:rPr>
                <w:color w:val="auto"/>
                <w:sz w:val="24"/>
              </w:rPr>
              <w:t>6.1.4</w:t>
            </w:r>
            <w:r>
              <w:rPr>
                <w:rFonts w:hint="eastAsia"/>
                <w:color w:val="auto"/>
                <w:sz w:val="24"/>
              </w:rPr>
              <w:t>贮存设施地面与裙脚应采取表面防渗措施；表面防渗材料应与所接触的物料或污染物相容，可采用抗渗混凝土、高密度聚乙烯膜、钠基膨润土防水毯或其他防渗性能等效的材料。贮存的危险废物直接接触地面的，还应进行基础防渗，防渗层为至少1m厚黏土层（渗透系数不大于10</w:t>
            </w:r>
            <w:r>
              <w:rPr>
                <w:rFonts w:hint="eastAsia"/>
                <w:color w:val="auto"/>
                <w:sz w:val="24"/>
                <w:vertAlign w:val="superscript"/>
              </w:rPr>
              <w:t>-7</w:t>
            </w:r>
            <w:r>
              <w:rPr>
                <w:rFonts w:hint="eastAsia"/>
                <w:color w:val="auto"/>
                <w:sz w:val="24"/>
              </w:rPr>
              <w:t>cm/s），或至少2mm厚高密度聚乙烯膜等人工防渗材料（渗透系数不大于10</w:t>
            </w:r>
            <w:r>
              <w:rPr>
                <w:rFonts w:hint="eastAsia"/>
                <w:color w:val="auto"/>
                <w:sz w:val="24"/>
                <w:vertAlign w:val="superscript"/>
              </w:rPr>
              <w:t>-10</w:t>
            </w:r>
            <w:r>
              <w:rPr>
                <w:rFonts w:hint="eastAsia"/>
                <w:color w:val="auto"/>
                <w:sz w:val="24"/>
              </w:rPr>
              <w:t>cm/s），或其他防渗性能等效的材料。”</w:t>
            </w:r>
          </w:p>
          <w:p>
            <w:pPr>
              <w:autoSpaceDE w:val="0"/>
              <w:autoSpaceDN w:val="0"/>
              <w:adjustRightInd w:val="0"/>
              <w:snapToGrid w:val="0"/>
              <w:spacing w:line="520" w:lineRule="exact"/>
              <w:ind w:firstLine="480" w:firstLineChars="200"/>
              <w:rPr>
                <w:color w:val="auto"/>
                <w:sz w:val="24"/>
              </w:rPr>
            </w:pPr>
            <w:r>
              <w:rPr>
                <w:rFonts w:hint="eastAsia"/>
                <w:color w:val="auto"/>
                <w:sz w:val="24"/>
              </w:rPr>
              <w:t>本项目危废暂存间为集装箱式，底板采用100mm钢板并用</w:t>
            </w:r>
            <w:r>
              <w:rPr>
                <w:rFonts w:hint="eastAsia"/>
                <w:color w:val="auto"/>
                <w:sz w:val="24"/>
                <w:lang w:eastAsia="zh-CN"/>
              </w:rPr>
              <w:t>环氧树脂</w:t>
            </w:r>
            <w:r>
              <w:rPr>
                <w:rFonts w:hint="eastAsia"/>
                <w:color w:val="auto"/>
                <w:sz w:val="24"/>
              </w:rPr>
              <w:t>树脂胶泥灌封，集装箱由固定滑轮支撑，箱体处于悬空状态，集装箱下设C30混凝土硬化地面，渗透系数≤10</w:t>
            </w:r>
            <w:r>
              <w:rPr>
                <w:rFonts w:hint="eastAsia"/>
                <w:color w:val="auto"/>
                <w:sz w:val="24"/>
                <w:vertAlign w:val="superscript"/>
              </w:rPr>
              <w:t>-10</w:t>
            </w:r>
            <w:r>
              <w:rPr>
                <w:rFonts w:hint="eastAsia"/>
                <w:color w:val="auto"/>
                <w:sz w:val="24"/>
              </w:rPr>
              <w:t>cm/s。可满足《危险废物贮存污染控制标准》（GB18597-2023）中</w:t>
            </w:r>
            <w:r>
              <w:rPr>
                <w:color w:val="auto"/>
                <w:sz w:val="24"/>
              </w:rPr>
              <w:t>6.1.4</w:t>
            </w:r>
            <w:r>
              <w:rPr>
                <w:rFonts w:hint="eastAsia"/>
                <w:color w:val="auto"/>
                <w:sz w:val="24"/>
              </w:rPr>
              <w:t>对基础防渗的要求，本项目危险废物暂存库防渗工艺可行。</w:t>
            </w:r>
          </w:p>
          <w:p>
            <w:pPr>
              <w:autoSpaceDE w:val="0"/>
              <w:autoSpaceDN w:val="0"/>
              <w:adjustRightInd w:val="0"/>
              <w:snapToGrid w:val="0"/>
              <w:spacing w:line="520" w:lineRule="exact"/>
              <w:ind w:firstLine="482" w:firstLineChars="200"/>
              <w:rPr>
                <w:b/>
                <w:bCs/>
                <w:color w:val="auto"/>
                <w:sz w:val="24"/>
              </w:rPr>
            </w:pPr>
            <w:r>
              <w:rPr>
                <w:rFonts w:hint="eastAsia"/>
                <w:b/>
                <w:bCs/>
                <w:color w:val="auto"/>
                <w:sz w:val="24"/>
              </w:rPr>
              <w:t>5</w:t>
            </w:r>
            <w:r>
              <w:rPr>
                <w:b/>
                <w:bCs/>
                <w:color w:val="auto"/>
                <w:sz w:val="24"/>
              </w:rPr>
              <w:t>、</w:t>
            </w:r>
            <w:r>
              <w:rPr>
                <w:rFonts w:hint="eastAsia"/>
                <w:b/>
                <w:bCs/>
                <w:color w:val="auto"/>
                <w:sz w:val="24"/>
              </w:rPr>
              <w:t>与《危险废物收集、贮存、运输技术规范》</w:t>
            </w:r>
            <w:r>
              <w:rPr>
                <w:rFonts w:hint="eastAsia"/>
                <w:b/>
                <w:bCs/>
                <w:color w:val="auto"/>
                <w:sz w:val="24"/>
                <w:lang w:eastAsia="zh-CN"/>
              </w:rPr>
              <w:t>（</w:t>
            </w:r>
            <w:r>
              <w:rPr>
                <w:rFonts w:hint="eastAsia"/>
                <w:b/>
                <w:bCs/>
                <w:color w:val="auto"/>
                <w:sz w:val="24"/>
                <w:lang w:val="en-US" w:eastAsia="zh-CN"/>
              </w:rPr>
              <w:t>HJ2025-2012</w:t>
            </w:r>
            <w:r>
              <w:rPr>
                <w:rFonts w:hint="eastAsia"/>
                <w:b/>
                <w:bCs/>
                <w:color w:val="auto"/>
                <w:sz w:val="24"/>
                <w:lang w:eastAsia="zh-CN"/>
              </w:rPr>
              <w:t>）</w:t>
            </w:r>
            <w:r>
              <w:rPr>
                <w:rFonts w:hint="eastAsia"/>
                <w:b/>
                <w:bCs/>
                <w:color w:val="auto"/>
                <w:sz w:val="24"/>
              </w:rPr>
              <w:t>符合性分析</w:t>
            </w:r>
          </w:p>
          <w:p>
            <w:pPr>
              <w:pStyle w:val="64"/>
              <w:spacing w:line="240" w:lineRule="auto"/>
              <w:ind w:firstLine="480"/>
              <w:jc w:val="center"/>
              <w:rPr>
                <w:rFonts w:hAnsi="Times New Roman" w:eastAsia="黑体"/>
                <w:b w:val="0"/>
                <w:bCs w:val="0"/>
                <w:color w:val="auto"/>
                <w:szCs w:val="24"/>
              </w:rPr>
            </w:pPr>
            <w:r>
              <w:rPr>
                <w:rFonts w:hAnsi="Times New Roman" w:eastAsia="黑体"/>
                <w:b w:val="0"/>
                <w:bCs w:val="0"/>
                <w:color w:val="auto"/>
                <w:szCs w:val="24"/>
              </w:rPr>
              <w:t>表1-</w:t>
            </w:r>
            <w:r>
              <w:rPr>
                <w:rFonts w:hint="eastAsia" w:hAnsi="Times New Roman" w:eastAsia="黑体"/>
                <w:b w:val="0"/>
                <w:bCs w:val="0"/>
                <w:color w:val="auto"/>
                <w:szCs w:val="24"/>
              </w:rPr>
              <w:t>3   符合性</w:t>
            </w:r>
            <w:r>
              <w:rPr>
                <w:rFonts w:hAnsi="Times New Roman" w:eastAsia="黑体"/>
                <w:b w:val="0"/>
                <w:bCs w:val="0"/>
                <w:color w:val="auto"/>
                <w:szCs w:val="24"/>
              </w:rPr>
              <w:t>分析表</w:t>
            </w:r>
          </w:p>
          <w:tbl>
            <w:tblPr>
              <w:tblStyle w:val="32"/>
              <w:tblW w:w="0" w:type="auto"/>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118"/>
              <w:gridCol w:w="3240"/>
              <w:gridCol w:w="90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90" w:hRule="atLeast"/>
              </w:trPr>
              <w:tc>
                <w:tcPr>
                  <w:tcW w:w="2118" w:type="dxa"/>
                  <w:tcBorders>
                    <w:tl2br w:val="nil"/>
                    <w:tr2bl w:val="nil"/>
                  </w:tcBorders>
                </w:tcPr>
                <w:p>
                  <w:pPr>
                    <w:pStyle w:val="20"/>
                    <w:jc w:val="center"/>
                    <w:rPr>
                      <w:rFonts w:ascii="Times New Roman" w:hAnsi="Times New Roman"/>
                      <w:color w:val="auto"/>
                    </w:rPr>
                  </w:pPr>
                  <w:r>
                    <w:rPr>
                      <w:rFonts w:ascii="Times New Roman" w:hAnsi="Times New Roman"/>
                      <w:color w:val="auto"/>
                    </w:rPr>
                    <w:t>内容、要求</w:t>
                  </w:r>
                </w:p>
              </w:tc>
              <w:tc>
                <w:tcPr>
                  <w:tcW w:w="3240" w:type="dxa"/>
                  <w:tcBorders>
                    <w:tl2br w:val="nil"/>
                    <w:tr2bl w:val="nil"/>
                  </w:tcBorders>
                </w:tcPr>
                <w:p>
                  <w:pPr>
                    <w:pStyle w:val="20"/>
                    <w:jc w:val="center"/>
                    <w:rPr>
                      <w:rFonts w:ascii="Times New Roman" w:hAnsi="Times New Roman"/>
                      <w:color w:val="auto"/>
                    </w:rPr>
                  </w:pPr>
                  <w:r>
                    <w:rPr>
                      <w:rFonts w:ascii="Times New Roman" w:hAnsi="Times New Roman"/>
                      <w:color w:val="auto"/>
                    </w:rPr>
                    <w:t>本项目实际情况</w:t>
                  </w:r>
                </w:p>
              </w:tc>
              <w:tc>
                <w:tcPr>
                  <w:tcW w:w="900" w:type="dxa"/>
                  <w:tcBorders>
                    <w:tl2br w:val="nil"/>
                    <w:tr2bl w:val="nil"/>
                  </w:tcBorders>
                </w:tcPr>
                <w:p>
                  <w:pPr>
                    <w:pStyle w:val="20"/>
                    <w:jc w:val="center"/>
                    <w:rPr>
                      <w:rFonts w:ascii="Times New Roman" w:hAnsi="Times New Roman"/>
                      <w:color w:val="auto"/>
                    </w:rPr>
                  </w:pPr>
                  <w:r>
                    <w:rPr>
                      <w:rFonts w:ascii="Times New Roman" w:hAnsi="Times New Roman"/>
                      <w:color w:val="auto"/>
                    </w:rPr>
                    <w:t>相符性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2118" w:type="dxa"/>
                  <w:tcBorders>
                    <w:tl2br w:val="nil"/>
                    <w:tr2bl w:val="nil"/>
                  </w:tcBorders>
                  <w:vAlign w:val="center"/>
                </w:tcPr>
                <w:p>
                  <w:pPr>
                    <w:pStyle w:val="20"/>
                    <w:jc w:val="center"/>
                    <w:rPr>
                      <w:rFonts w:ascii="Times New Roman" w:hAnsi="Times New Roman"/>
                      <w:color w:val="auto"/>
                    </w:rPr>
                  </w:pPr>
                  <w:r>
                    <w:rPr>
                      <w:rFonts w:ascii="Times New Roman" w:hAnsi="Times New Roman"/>
                      <w:color w:val="auto"/>
                    </w:rPr>
                    <w:t>危险废物贮存设施的选址、设计、建设、运行管理应满足GB18597、GBZl和GBZ2的有关要求。</w:t>
                  </w:r>
                </w:p>
              </w:tc>
              <w:tc>
                <w:tcPr>
                  <w:tcW w:w="3240" w:type="dxa"/>
                  <w:tcBorders>
                    <w:tl2br w:val="nil"/>
                    <w:tr2bl w:val="nil"/>
                  </w:tcBorders>
                  <w:vAlign w:val="center"/>
                </w:tcPr>
                <w:p>
                  <w:pPr>
                    <w:pStyle w:val="20"/>
                    <w:jc w:val="center"/>
                    <w:rPr>
                      <w:rFonts w:ascii="Times New Roman" w:hAnsi="Times New Roman"/>
                      <w:color w:val="auto"/>
                    </w:rPr>
                  </w:pPr>
                  <w:r>
                    <w:rPr>
                      <w:rFonts w:ascii="Times New Roman" w:hAnsi="Times New Roman"/>
                      <w:color w:val="auto"/>
                    </w:rPr>
                    <w:t>危险废物贮存设施的选址、设计、建设、运行管理满足GB18597、GBZl和GBZ2的有关要求。</w:t>
                  </w:r>
                </w:p>
              </w:tc>
              <w:tc>
                <w:tcPr>
                  <w:tcW w:w="900" w:type="dxa"/>
                  <w:tcBorders>
                    <w:tl2br w:val="nil"/>
                    <w:tr2bl w:val="nil"/>
                  </w:tcBorders>
                  <w:vAlign w:val="center"/>
                </w:tcPr>
                <w:p>
                  <w:pPr>
                    <w:pStyle w:val="20"/>
                    <w:jc w:val="center"/>
                    <w:rPr>
                      <w:rFonts w:ascii="Times New Roman" w:hAnsi="Times New Roman"/>
                      <w:color w:val="auto"/>
                    </w:rPr>
                  </w:pPr>
                  <w:r>
                    <w:rPr>
                      <w:rFonts w:hint="eastAsia" w:ascii="Times New Roman" w:hAnsi="Times New Roman"/>
                      <w:color w:val="auto"/>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2118" w:type="dxa"/>
                  <w:tcBorders>
                    <w:tl2br w:val="nil"/>
                    <w:tr2bl w:val="nil"/>
                  </w:tcBorders>
                  <w:vAlign w:val="center"/>
                </w:tcPr>
                <w:p>
                  <w:pPr>
                    <w:pStyle w:val="20"/>
                    <w:jc w:val="center"/>
                    <w:rPr>
                      <w:rFonts w:ascii="Times New Roman" w:hAnsi="Times New Roman"/>
                      <w:color w:val="auto"/>
                    </w:rPr>
                  </w:pPr>
                  <w:r>
                    <w:rPr>
                      <w:rFonts w:hint="eastAsia"/>
                      <w:color w:val="auto"/>
                      <w:szCs w:val="21"/>
                    </w:rPr>
                    <w:t>危险废物贮存设施应配备通讯设备、照明设施和消防设施。</w:t>
                  </w:r>
                </w:p>
              </w:tc>
              <w:tc>
                <w:tcPr>
                  <w:tcW w:w="3240" w:type="dxa"/>
                  <w:tcBorders>
                    <w:tl2br w:val="nil"/>
                    <w:tr2bl w:val="nil"/>
                  </w:tcBorders>
                  <w:vAlign w:val="center"/>
                </w:tcPr>
                <w:p>
                  <w:pPr>
                    <w:pStyle w:val="20"/>
                    <w:jc w:val="center"/>
                    <w:rPr>
                      <w:rFonts w:ascii="Times New Roman" w:hAnsi="Times New Roman"/>
                      <w:color w:val="auto"/>
                    </w:rPr>
                  </w:pPr>
                  <w:r>
                    <w:rPr>
                      <w:rFonts w:hint="eastAsia"/>
                      <w:color w:val="auto"/>
                      <w:szCs w:val="21"/>
                    </w:rPr>
                    <w:t>危废暂存库配置相应的通讯设备、照明设备和消防设施。</w:t>
                  </w:r>
                </w:p>
              </w:tc>
              <w:tc>
                <w:tcPr>
                  <w:tcW w:w="900" w:type="dxa"/>
                  <w:tcBorders>
                    <w:tl2br w:val="nil"/>
                    <w:tr2bl w:val="nil"/>
                  </w:tcBorders>
                  <w:vAlign w:val="center"/>
                </w:tcPr>
                <w:p>
                  <w:pPr>
                    <w:pStyle w:val="20"/>
                    <w:jc w:val="center"/>
                    <w:rPr>
                      <w:rFonts w:hint="eastAsia" w:ascii="Times New Roman" w:hAnsi="Times New Roman"/>
                      <w:color w:val="auto"/>
                    </w:rPr>
                  </w:pPr>
                  <w:r>
                    <w:rPr>
                      <w:rFonts w:hint="eastAsia"/>
                      <w:color w:val="auto"/>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2118" w:type="dxa"/>
                  <w:tcBorders>
                    <w:tl2br w:val="nil"/>
                    <w:tr2bl w:val="nil"/>
                  </w:tcBorders>
                </w:tcPr>
                <w:p>
                  <w:pPr>
                    <w:pStyle w:val="20"/>
                    <w:jc w:val="center"/>
                    <w:rPr>
                      <w:rFonts w:ascii="Times New Roman" w:hAnsi="Times New Roman"/>
                      <w:color w:val="auto"/>
                    </w:rPr>
                  </w:pPr>
                  <w:r>
                    <w:rPr>
                      <w:rFonts w:ascii="Times New Roman" w:hAnsi="Times New Roman"/>
                      <w:color w:val="auto"/>
                    </w:rPr>
                    <w:t>贮存危险废物时应按危险废物的种类和特性进行分区贮存，每个贮存区域</w:t>
                  </w:r>
                  <w:r>
                    <w:rPr>
                      <w:rFonts w:hint="eastAsia" w:ascii="Times New Roman" w:hAnsi="Times New Roman"/>
                      <w:color w:val="auto"/>
                      <w:lang w:eastAsia="zh-CN"/>
                    </w:rPr>
                    <w:t>之间</w:t>
                  </w:r>
                  <w:r>
                    <w:rPr>
                      <w:rFonts w:ascii="Times New Roman" w:hAnsi="Times New Roman"/>
                      <w:color w:val="auto"/>
                    </w:rPr>
                    <w:t>宜设置挡墙间隔，并应设置防雨、防火、防雷、防扬尘装置。</w:t>
                  </w:r>
                </w:p>
              </w:tc>
              <w:tc>
                <w:tcPr>
                  <w:tcW w:w="3240" w:type="dxa"/>
                  <w:tcBorders>
                    <w:tl2br w:val="nil"/>
                    <w:tr2bl w:val="nil"/>
                  </w:tcBorders>
                  <w:vAlign w:val="center"/>
                </w:tcPr>
                <w:p>
                  <w:pPr>
                    <w:pStyle w:val="20"/>
                    <w:jc w:val="center"/>
                    <w:rPr>
                      <w:rFonts w:ascii="Times New Roman" w:hAnsi="Times New Roman"/>
                      <w:color w:val="auto"/>
                    </w:rPr>
                  </w:pPr>
                  <w:r>
                    <w:rPr>
                      <w:rFonts w:ascii="Times New Roman" w:hAnsi="Times New Roman"/>
                      <w:color w:val="auto"/>
                    </w:rPr>
                    <w:t>贮存危险废物时应按危险废物的种类和特性进行分区贮存，每个贮存区域之宜设置挡墙间隔，并应设置防雨、防火、防雷装置。</w:t>
                  </w:r>
                </w:p>
              </w:tc>
              <w:tc>
                <w:tcPr>
                  <w:tcW w:w="900" w:type="dxa"/>
                  <w:tcBorders>
                    <w:tl2br w:val="nil"/>
                    <w:tr2bl w:val="nil"/>
                  </w:tcBorders>
                  <w:vAlign w:val="center"/>
                </w:tcPr>
                <w:p>
                  <w:pPr>
                    <w:pStyle w:val="20"/>
                    <w:jc w:val="center"/>
                    <w:rPr>
                      <w:rFonts w:ascii="Times New Roman" w:hAnsi="Times New Roman"/>
                      <w:color w:val="auto"/>
                    </w:rPr>
                  </w:pPr>
                  <w:r>
                    <w:rPr>
                      <w:rFonts w:hint="eastAsia" w:ascii="Times New Roman" w:hAnsi="Times New Roman"/>
                      <w:color w:val="auto"/>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2118" w:type="dxa"/>
                  <w:tcBorders>
                    <w:tl2br w:val="nil"/>
                    <w:tr2bl w:val="nil"/>
                  </w:tcBorders>
                  <w:vAlign w:val="top"/>
                </w:tcPr>
                <w:p>
                  <w:pPr>
                    <w:pStyle w:val="20"/>
                    <w:jc w:val="center"/>
                    <w:rPr>
                      <w:rFonts w:ascii="Times New Roman" w:hAnsi="Times New Roman"/>
                      <w:color w:val="auto"/>
                    </w:rPr>
                  </w:pPr>
                  <w:r>
                    <w:rPr>
                      <w:rFonts w:ascii="Times New Roman" w:hAnsi="Times New Roman"/>
                      <w:color w:val="auto"/>
                    </w:rPr>
                    <w:t>危险废物贮存期限应符合《中华人民共和国固体废物污染环境防治法》的有关规定。</w:t>
                  </w:r>
                  <w:r>
                    <w:rPr>
                      <w:rFonts w:hint="eastAsia"/>
                      <w:color w:val="auto"/>
                      <w:szCs w:val="21"/>
                    </w:rPr>
                    <w:t>贮存危险废物不得超过一年；确需延长期限的，应当报经颁发许可证的生态环境主管部门批准。</w:t>
                  </w:r>
                </w:p>
              </w:tc>
              <w:tc>
                <w:tcPr>
                  <w:tcW w:w="3240" w:type="dxa"/>
                  <w:tcBorders>
                    <w:tl2br w:val="nil"/>
                    <w:tr2bl w:val="nil"/>
                  </w:tcBorders>
                  <w:vAlign w:val="center"/>
                </w:tcPr>
                <w:p>
                  <w:pPr>
                    <w:pStyle w:val="20"/>
                    <w:jc w:val="center"/>
                    <w:rPr>
                      <w:rFonts w:ascii="Times New Roman" w:hAnsi="Times New Roman"/>
                      <w:color w:val="auto"/>
                    </w:rPr>
                  </w:pPr>
                  <w:r>
                    <w:rPr>
                      <w:rFonts w:ascii="Times New Roman" w:hAnsi="Times New Roman"/>
                      <w:color w:val="auto"/>
                    </w:rPr>
                    <w:t>项目</w:t>
                  </w:r>
                  <w:r>
                    <w:rPr>
                      <w:rFonts w:hint="eastAsia" w:ascii="Times New Roman" w:hAnsi="Times New Roman"/>
                      <w:color w:val="auto"/>
                    </w:rPr>
                    <w:t>危废</w:t>
                  </w:r>
                  <w:r>
                    <w:rPr>
                      <w:rFonts w:ascii="Times New Roman" w:hAnsi="Times New Roman"/>
                      <w:color w:val="auto"/>
                    </w:rPr>
                    <w:t>暂存</w:t>
                  </w:r>
                  <w:r>
                    <w:rPr>
                      <w:rFonts w:hint="eastAsia" w:ascii="Times New Roman" w:hAnsi="Times New Roman"/>
                      <w:color w:val="auto"/>
                    </w:rPr>
                    <w:t>危险废物</w:t>
                  </w:r>
                  <w:r>
                    <w:rPr>
                      <w:rFonts w:ascii="Times New Roman" w:hAnsi="Times New Roman"/>
                      <w:color w:val="auto"/>
                    </w:rPr>
                    <w:t>时间最长不超过1年</w:t>
                  </w:r>
                  <w:r>
                    <w:rPr>
                      <w:rFonts w:hint="eastAsia" w:ascii="Times New Roman" w:hAnsi="Times New Roman"/>
                      <w:color w:val="auto"/>
                    </w:rPr>
                    <w:t>（废铅蓄电池不大于90天）</w:t>
                  </w:r>
                  <w:r>
                    <w:rPr>
                      <w:rFonts w:ascii="Times New Roman" w:hAnsi="Times New Roman"/>
                      <w:color w:val="auto"/>
                    </w:rPr>
                    <w:t>。</w:t>
                  </w:r>
                </w:p>
              </w:tc>
              <w:tc>
                <w:tcPr>
                  <w:tcW w:w="900" w:type="dxa"/>
                  <w:tcBorders>
                    <w:tl2br w:val="nil"/>
                    <w:tr2bl w:val="nil"/>
                  </w:tcBorders>
                  <w:vAlign w:val="center"/>
                </w:tcPr>
                <w:p>
                  <w:pPr>
                    <w:pStyle w:val="20"/>
                    <w:jc w:val="center"/>
                    <w:rPr>
                      <w:rFonts w:ascii="Times New Roman" w:hAnsi="Times New Roman"/>
                      <w:color w:val="auto"/>
                    </w:rPr>
                  </w:pPr>
                  <w:r>
                    <w:rPr>
                      <w:rFonts w:hint="eastAsia" w:ascii="Times New Roman" w:hAnsi="Times New Roman"/>
                      <w:color w:val="auto"/>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2118" w:type="dxa"/>
                  <w:tcBorders>
                    <w:tl2br w:val="nil"/>
                    <w:tr2bl w:val="nil"/>
                  </w:tcBorders>
                </w:tcPr>
                <w:p>
                  <w:pPr>
                    <w:pStyle w:val="20"/>
                    <w:jc w:val="center"/>
                    <w:rPr>
                      <w:rFonts w:ascii="Times New Roman" w:hAnsi="Times New Roman"/>
                      <w:color w:val="auto"/>
                    </w:rPr>
                  </w:pPr>
                  <w:r>
                    <w:rPr>
                      <w:rFonts w:ascii="Times New Roman" w:hAnsi="Times New Roman"/>
                      <w:color w:val="auto"/>
                    </w:rPr>
                    <w:t>危险废物贮存单位应建立危险废物贮存</w:t>
                  </w:r>
                  <w:r>
                    <w:rPr>
                      <w:rFonts w:hint="eastAsia" w:ascii="Times New Roman" w:hAnsi="Times New Roman"/>
                      <w:color w:val="auto"/>
                      <w:lang w:eastAsia="zh-CN"/>
                    </w:rPr>
                    <w:t>的台账</w:t>
                  </w:r>
                  <w:r>
                    <w:rPr>
                      <w:rFonts w:ascii="Times New Roman" w:hAnsi="Times New Roman"/>
                      <w:color w:val="auto"/>
                    </w:rPr>
                    <w:t>制度，危险废物出入库交接记录内容应参照本标准附录C执行。</w:t>
                  </w:r>
                </w:p>
              </w:tc>
              <w:tc>
                <w:tcPr>
                  <w:tcW w:w="3240" w:type="dxa"/>
                  <w:tcBorders>
                    <w:tl2br w:val="nil"/>
                    <w:tr2bl w:val="nil"/>
                  </w:tcBorders>
                  <w:vAlign w:val="center"/>
                </w:tcPr>
                <w:p>
                  <w:pPr>
                    <w:pStyle w:val="20"/>
                    <w:jc w:val="center"/>
                    <w:rPr>
                      <w:rFonts w:ascii="Times New Roman" w:hAnsi="Times New Roman"/>
                      <w:color w:val="auto"/>
                    </w:rPr>
                  </w:pPr>
                  <w:r>
                    <w:rPr>
                      <w:rFonts w:ascii="Times New Roman" w:hAnsi="Times New Roman"/>
                      <w:color w:val="auto"/>
                    </w:rPr>
                    <w:t>建设单位建立危险废物贮存</w:t>
                  </w:r>
                  <w:r>
                    <w:rPr>
                      <w:rFonts w:hint="eastAsia" w:ascii="Times New Roman" w:hAnsi="Times New Roman"/>
                      <w:color w:val="auto"/>
                      <w:lang w:eastAsia="zh-CN"/>
                    </w:rPr>
                    <w:t>的台账</w:t>
                  </w:r>
                  <w:r>
                    <w:rPr>
                      <w:rFonts w:ascii="Times New Roman" w:hAnsi="Times New Roman"/>
                      <w:color w:val="auto"/>
                    </w:rPr>
                    <w:t>制度。</w:t>
                  </w:r>
                </w:p>
              </w:tc>
              <w:tc>
                <w:tcPr>
                  <w:tcW w:w="900" w:type="dxa"/>
                  <w:tcBorders>
                    <w:tl2br w:val="nil"/>
                    <w:tr2bl w:val="nil"/>
                  </w:tcBorders>
                  <w:vAlign w:val="center"/>
                </w:tcPr>
                <w:p>
                  <w:pPr>
                    <w:pStyle w:val="20"/>
                    <w:jc w:val="center"/>
                    <w:rPr>
                      <w:rFonts w:ascii="Times New Roman" w:hAnsi="Times New Roman"/>
                      <w:color w:val="auto"/>
                    </w:rPr>
                  </w:pPr>
                  <w:r>
                    <w:rPr>
                      <w:rFonts w:hint="eastAsia" w:ascii="Times New Roman" w:hAnsi="Times New Roman"/>
                      <w:color w:val="auto"/>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2118" w:type="dxa"/>
                  <w:tcBorders>
                    <w:tl2br w:val="nil"/>
                    <w:tr2bl w:val="nil"/>
                  </w:tcBorders>
                </w:tcPr>
                <w:p>
                  <w:pPr>
                    <w:pStyle w:val="20"/>
                    <w:jc w:val="center"/>
                    <w:rPr>
                      <w:rFonts w:ascii="Times New Roman" w:hAnsi="Times New Roman"/>
                      <w:color w:val="auto"/>
                    </w:rPr>
                  </w:pPr>
                  <w:r>
                    <w:rPr>
                      <w:rFonts w:ascii="Times New Roman" w:hAnsi="Times New Roman"/>
                      <w:color w:val="auto"/>
                    </w:rPr>
                    <w:t>危险废物贮存设施应根据贮存的废物种类和特性按照GB18597附录A设置标志。</w:t>
                  </w:r>
                </w:p>
              </w:tc>
              <w:tc>
                <w:tcPr>
                  <w:tcW w:w="3240" w:type="dxa"/>
                  <w:tcBorders>
                    <w:tl2br w:val="nil"/>
                    <w:tr2bl w:val="nil"/>
                  </w:tcBorders>
                  <w:vAlign w:val="center"/>
                </w:tcPr>
                <w:p>
                  <w:pPr>
                    <w:pStyle w:val="20"/>
                    <w:jc w:val="center"/>
                    <w:rPr>
                      <w:rFonts w:ascii="Times New Roman" w:hAnsi="Times New Roman"/>
                      <w:color w:val="auto"/>
                    </w:rPr>
                  </w:pPr>
                  <w:r>
                    <w:rPr>
                      <w:rFonts w:ascii="Times New Roman" w:hAnsi="Times New Roman"/>
                      <w:color w:val="auto"/>
                    </w:rPr>
                    <w:t>危险废物贮存设施按照</w:t>
                  </w:r>
                  <w:r>
                    <w:rPr>
                      <w:rFonts w:hint="eastAsia" w:ascii="Times New Roman" w:hAnsi="Times New Roman"/>
                      <w:color w:val="auto"/>
                    </w:rPr>
                    <w:t>《危险废物识别标志设置技术规范》（HJ1276-2022）设置</w:t>
                  </w:r>
                </w:p>
              </w:tc>
              <w:tc>
                <w:tcPr>
                  <w:tcW w:w="900" w:type="dxa"/>
                  <w:tcBorders>
                    <w:tl2br w:val="nil"/>
                    <w:tr2bl w:val="nil"/>
                  </w:tcBorders>
                  <w:vAlign w:val="center"/>
                </w:tcPr>
                <w:p>
                  <w:pPr>
                    <w:pStyle w:val="20"/>
                    <w:jc w:val="center"/>
                    <w:rPr>
                      <w:rFonts w:ascii="Times New Roman" w:hAnsi="Times New Roman"/>
                      <w:color w:val="auto"/>
                    </w:rPr>
                  </w:pPr>
                  <w:r>
                    <w:rPr>
                      <w:rFonts w:hint="eastAsia" w:ascii="Times New Roman" w:hAnsi="Times New Roman"/>
                      <w:color w:val="auto"/>
                    </w:rPr>
                    <w:t>符合</w:t>
                  </w:r>
                </w:p>
              </w:tc>
            </w:tr>
          </w:tbl>
          <w:p>
            <w:pPr>
              <w:autoSpaceDE w:val="0"/>
              <w:autoSpaceDN w:val="0"/>
              <w:adjustRightInd w:val="0"/>
              <w:snapToGrid w:val="0"/>
              <w:spacing w:line="520" w:lineRule="exact"/>
              <w:ind w:firstLine="480" w:firstLineChars="200"/>
              <w:rPr>
                <w:color w:val="auto"/>
                <w:sz w:val="24"/>
              </w:rPr>
            </w:pPr>
            <w:r>
              <w:rPr>
                <w:rFonts w:hint="eastAsia"/>
                <w:color w:val="auto"/>
                <w:sz w:val="24"/>
              </w:rPr>
              <w:t>综上分析，工程建设符合《危险废物收集、贮存、运输技术规范》（HJ2025-2012）相关危险废物暂存的规范文件要求。</w:t>
            </w:r>
          </w:p>
          <w:p>
            <w:pPr>
              <w:autoSpaceDE w:val="0"/>
              <w:autoSpaceDN w:val="0"/>
              <w:adjustRightInd w:val="0"/>
              <w:snapToGrid w:val="0"/>
              <w:spacing w:line="520" w:lineRule="exact"/>
              <w:ind w:firstLine="482" w:firstLineChars="200"/>
              <w:rPr>
                <w:b/>
                <w:bCs/>
                <w:color w:val="auto"/>
                <w:sz w:val="24"/>
              </w:rPr>
            </w:pPr>
            <w:r>
              <w:rPr>
                <w:rFonts w:hint="eastAsia"/>
                <w:b/>
                <w:bCs/>
                <w:color w:val="auto"/>
                <w:sz w:val="24"/>
                <w:lang w:val="en-US" w:eastAsia="zh-CN"/>
              </w:rPr>
              <w:t>6、</w:t>
            </w:r>
            <w:r>
              <w:rPr>
                <w:rFonts w:hint="eastAsia"/>
                <w:b/>
                <w:bCs/>
                <w:color w:val="auto"/>
                <w:sz w:val="24"/>
              </w:rPr>
              <w:t>与《危险废物污染防治技术政策》符合性分析</w:t>
            </w:r>
          </w:p>
          <w:p>
            <w:pPr>
              <w:autoSpaceDE w:val="0"/>
              <w:autoSpaceDN w:val="0"/>
              <w:adjustRightInd w:val="0"/>
              <w:snapToGrid w:val="0"/>
              <w:spacing w:line="520" w:lineRule="exact"/>
              <w:ind w:firstLine="680" w:firstLineChars="0"/>
              <w:rPr>
                <w:rFonts w:hint="default" w:ascii="Times New Roman" w:hAnsi="Times New Roman" w:cs="Times New Roman"/>
                <w:color w:val="auto"/>
                <w:sz w:val="24"/>
              </w:rPr>
            </w:pPr>
            <w:r>
              <w:rPr>
                <w:rFonts w:hint="default" w:ascii="Times New Roman" w:hAnsi="Times New Roman" w:eastAsia="黑体" w:cs="Times New Roman"/>
                <w:b w:val="0"/>
                <w:bCs w:val="0"/>
                <w:color w:val="auto"/>
                <w:szCs w:val="24"/>
              </w:rPr>
              <w:t>表1-4   与《危险废物污染防治技术政策》符合性分析</w:t>
            </w:r>
          </w:p>
          <w:tbl>
            <w:tblPr>
              <w:tblStyle w:val="77"/>
              <w:tblW w:w="6417" w:type="dxa"/>
              <w:jc w:val="center"/>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autofit"/>
              <w:tblCellMar>
                <w:top w:w="0" w:type="dxa"/>
                <w:left w:w="0" w:type="dxa"/>
                <w:bottom w:w="0" w:type="dxa"/>
                <w:right w:w="0" w:type="dxa"/>
              </w:tblCellMar>
            </w:tblPr>
            <w:tblGrid>
              <w:gridCol w:w="402"/>
              <w:gridCol w:w="3167"/>
              <w:gridCol w:w="2446"/>
              <w:gridCol w:w="402"/>
            </w:tblGrid>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PrEx>
              <w:trPr>
                <w:jc w:val="center"/>
              </w:trPr>
              <w:tc>
                <w:tcPr>
                  <w:tcW w:w="402" w:type="dxa"/>
                  <w:vAlign w:val="center"/>
                </w:tcPr>
                <w:p>
                  <w:pPr>
                    <w:pStyle w:val="62"/>
                    <w:autoSpaceDE w:val="0"/>
                    <w:autoSpaceDN w:val="0"/>
                    <w:adjustRightInd w:val="0"/>
                    <w:snapToGrid w:val="0"/>
                    <w:rPr>
                      <w:rFonts w:hint="default" w:ascii="Times New Roman" w:hAnsi="Times New Roman" w:cs="Times New Roman"/>
                      <w:color w:val="auto"/>
                      <w:lang w:eastAsia="en-US"/>
                    </w:rPr>
                  </w:pPr>
                  <w:r>
                    <w:rPr>
                      <w:rFonts w:hint="default" w:ascii="Times New Roman" w:hAnsi="Times New Roman" w:cs="Times New Roman"/>
                      <w:color w:val="auto"/>
                      <w:lang w:eastAsia="en-US"/>
                    </w:rPr>
                    <w:t>1</w:t>
                  </w:r>
                </w:p>
              </w:tc>
              <w:tc>
                <w:tcPr>
                  <w:tcW w:w="3167" w:type="dxa"/>
                  <w:vAlign w:val="center"/>
                </w:tcPr>
                <w:p>
                  <w:pPr>
                    <w:pStyle w:val="62"/>
                    <w:autoSpaceDE w:val="0"/>
                    <w:autoSpaceDN w:val="0"/>
                    <w:adjustRightInd w:val="0"/>
                    <w:snapToGrid w:val="0"/>
                    <w:rPr>
                      <w:rFonts w:hint="default" w:ascii="Times New Roman" w:hAnsi="Times New Roman" w:cs="Times New Roman"/>
                      <w:color w:val="auto"/>
                      <w:lang w:eastAsia="zh-CN"/>
                    </w:rPr>
                  </w:pPr>
                  <w:r>
                    <w:rPr>
                      <w:rFonts w:hint="default" w:ascii="Times New Roman" w:hAnsi="Times New Roman" w:cs="Times New Roman"/>
                      <w:color w:val="auto"/>
                      <w:lang w:eastAsia="zh-CN"/>
                    </w:rPr>
                    <w:t>对已产生的危险废物，若暂时不能回收利用或进行处理处置的，其产生单位须建设专门的危险废物贮存设施进行贮存，并设立危险废物标志，或委托具有专门危险废物贮存设施的单位进行贮存，贮存期限不得超过国家规定。贮存危险废物的单位需拥有相应的许可证。禁止将危险废物以任何形式转移给无许可证的单位，或转移到非危险废物贮存设施中。危险废物贮存设施应有相应的配套设施并按有关规定进行管理。</w:t>
                  </w:r>
                </w:p>
              </w:tc>
              <w:tc>
                <w:tcPr>
                  <w:tcW w:w="2446" w:type="dxa"/>
                  <w:vAlign w:val="center"/>
                </w:tcPr>
                <w:p>
                  <w:pPr>
                    <w:pStyle w:val="62"/>
                    <w:autoSpaceDE w:val="0"/>
                    <w:autoSpaceDN w:val="0"/>
                    <w:adjustRightInd w:val="0"/>
                    <w:snapToGrid w:val="0"/>
                    <w:rPr>
                      <w:rFonts w:hint="default" w:ascii="Times New Roman" w:hAnsi="Times New Roman" w:cs="Times New Roman"/>
                      <w:color w:val="auto"/>
                      <w:lang w:eastAsia="zh-CN"/>
                    </w:rPr>
                  </w:pPr>
                  <w:r>
                    <w:rPr>
                      <w:rFonts w:hint="default" w:ascii="Times New Roman" w:hAnsi="Times New Roman" w:cs="Times New Roman"/>
                      <w:color w:val="auto"/>
                      <w:lang w:eastAsia="zh-CN"/>
                    </w:rPr>
                    <w:t>工程委托具有相应危险废物运输资质单位进行运输，运输至有相应危险废物经营许可证单位进行处理，委托的运输单位及处置单位均具有相关的资质。</w:t>
                  </w:r>
                </w:p>
              </w:tc>
              <w:tc>
                <w:tcPr>
                  <w:tcW w:w="402" w:type="dxa"/>
                  <w:vAlign w:val="center"/>
                </w:tcPr>
                <w:p>
                  <w:pPr>
                    <w:pStyle w:val="62"/>
                    <w:autoSpaceDE w:val="0"/>
                    <w:autoSpaceDN w:val="0"/>
                    <w:adjustRightInd w:val="0"/>
                    <w:snapToGrid w:val="0"/>
                    <w:rPr>
                      <w:rFonts w:hint="default" w:ascii="Times New Roman" w:hAnsi="Times New Roman" w:cs="Times New Roman"/>
                      <w:color w:val="auto"/>
                      <w:lang w:eastAsia="en-US"/>
                    </w:rPr>
                  </w:pPr>
                  <w:r>
                    <w:rPr>
                      <w:rFonts w:hint="default" w:ascii="Times New Roman" w:hAnsi="Times New Roman" w:cs="Times New Roman"/>
                      <w:color w:val="auto"/>
                      <w:lang w:eastAsia="en-US"/>
                    </w:rPr>
                    <w:t>符合</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PrEx>
              <w:trPr>
                <w:jc w:val="center"/>
              </w:trPr>
              <w:tc>
                <w:tcPr>
                  <w:tcW w:w="402" w:type="dxa"/>
                  <w:vAlign w:val="center"/>
                </w:tcPr>
                <w:p>
                  <w:pPr>
                    <w:pStyle w:val="62"/>
                    <w:autoSpaceDE w:val="0"/>
                    <w:autoSpaceDN w:val="0"/>
                    <w:adjustRightInd w:val="0"/>
                    <w:snapToGrid w:val="0"/>
                    <w:rPr>
                      <w:rFonts w:hint="default" w:ascii="Times New Roman" w:hAnsi="Times New Roman" w:cs="Times New Roman"/>
                      <w:color w:val="auto"/>
                      <w:lang w:eastAsia="en-US"/>
                    </w:rPr>
                  </w:pPr>
                  <w:r>
                    <w:rPr>
                      <w:rFonts w:hint="default" w:ascii="Times New Roman" w:hAnsi="Times New Roman" w:cs="Times New Roman"/>
                      <w:color w:val="auto"/>
                      <w:lang w:eastAsia="en-US"/>
                    </w:rPr>
                    <w:t>2</w:t>
                  </w:r>
                </w:p>
              </w:tc>
              <w:tc>
                <w:tcPr>
                  <w:tcW w:w="3167" w:type="dxa"/>
                  <w:vAlign w:val="center"/>
                </w:tcPr>
                <w:p>
                  <w:pPr>
                    <w:pStyle w:val="62"/>
                    <w:autoSpaceDE w:val="0"/>
                    <w:autoSpaceDN w:val="0"/>
                    <w:adjustRightInd w:val="0"/>
                    <w:snapToGrid w:val="0"/>
                    <w:rPr>
                      <w:rFonts w:hint="default" w:ascii="Times New Roman" w:hAnsi="Times New Roman" w:cs="Times New Roman"/>
                      <w:color w:val="auto"/>
                      <w:lang w:eastAsia="zh-CN"/>
                    </w:rPr>
                  </w:pPr>
                  <w:r>
                    <w:rPr>
                      <w:rFonts w:hint="default" w:ascii="Times New Roman" w:hAnsi="Times New Roman" w:cs="Times New Roman"/>
                      <w:color w:val="auto"/>
                      <w:lang w:eastAsia="zh-CN"/>
                    </w:rPr>
                    <w:t>应建有堵截泄漏的裙脚，地面与裙脚要用坚固防渗的材料建造。应有隔离设施、报警装置和防风、防晒、防雨设施。</w:t>
                  </w:r>
                </w:p>
              </w:tc>
              <w:tc>
                <w:tcPr>
                  <w:tcW w:w="2446" w:type="dxa"/>
                  <w:vAlign w:val="center"/>
                </w:tcPr>
                <w:p>
                  <w:pPr>
                    <w:pStyle w:val="62"/>
                    <w:autoSpaceDE w:val="0"/>
                    <w:autoSpaceDN w:val="0"/>
                    <w:adjustRightInd w:val="0"/>
                    <w:snapToGrid w:val="0"/>
                    <w:rPr>
                      <w:rFonts w:hint="default" w:ascii="Times New Roman" w:hAnsi="Times New Roman" w:cs="Times New Roman"/>
                      <w:color w:val="auto"/>
                      <w:lang w:eastAsia="zh-CN"/>
                    </w:rPr>
                  </w:pPr>
                  <w:r>
                    <w:rPr>
                      <w:rFonts w:hint="default" w:ascii="Times New Roman" w:hAnsi="Times New Roman" w:cs="Times New Roman"/>
                      <w:color w:val="auto"/>
                      <w:lang w:eastAsia="zh-CN"/>
                    </w:rPr>
                    <w:t>本工程危废所存放的集装箱防雨、防晒、防风，同时集装箱底部防腐、防渗。</w:t>
                  </w:r>
                </w:p>
              </w:tc>
              <w:tc>
                <w:tcPr>
                  <w:tcW w:w="402" w:type="dxa"/>
                  <w:vAlign w:val="center"/>
                </w:tcPr>
                <w:p>
                  <w:pPr>
                    <w:pStyle w:val="38"/>
                    <w:autoSpaceDE w:val="0"/>
                    <w:autoSpaceDN w:val="0"/>
                    <w:bidi w:val="0"/>
                    <w:rPr>
                      <w:rFonts w:hint="default"/>
                      <w:color w:val="auto"/>
                      <w:lang w:eastAsia="zh-CN"/>
                    </w:rPr>
                  </w:pPr>
                  <w:r>
                    <w:rPr>
                      <w:rFonts w:hint="default"/>
                      <w:color w:val="auto"/>
                      <w:lang w:eastAsia="en-US"/>
                    </w:rPr>
                    <w:t>符合</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PrEx>
              <w:trPr>
                <w:jc w:val="center"/>
              </w:trPr>
              <w:tc>
                <w:tcPr>
                  <w:tcW w:w="402" w:type="dxa"/>
                  <w:vAlign w:val="center"/>
                </w:tcPr>
                <w:p>
                  <w:pPr>
                    <w:pStyle w:val="62"/>
                    <w:autoSpaceDE w:val="0"/>
                    <w:autoSpaceDN w:val="0"/>
                    <w:adjustRightInd w:val="0"/>
                    <w:snapToGrid w:val="0"/>
                    <w:rPr>
                      <w:rFonts w:hint="default" w:ascii="Times New Roman" w:hAnsi="Times New Roman" w:cs="Times New Roman"/>
                      <w:color w:val="auto"/>
                      <w:lang w:eastAsia="en-US"/>
                    </w:rPr>
                  </w:pPr>
                  <w:r>
                    <w:rPr>
                      <w:rFonts w:hint="default" w:ascii="Times New Roman" w:hAnsi="Times New Roman" w:cs="Times New Roman"/>
                      <w:color w:val="auto"/>
                      <w:lang w:eastAsia="en-US"/>
                    </w:rPr>
                    <w:t>3</w:t>
                  </w:r>
                </w:p>
              </w:tc>
              <w:tc>
                <w:tcPr>
                  <w:tcW w:w="3167" w:type="dxa"/>
                  <w:vAlign w:val="center"/>
                </w:tcPr>
                <w:p>
                  <w:pPr>
                    <w:pStyle w:val="62"/>
                    <w:autoSpaceDE w:val="0"/>
                    <w:autoSpaceDN w:val="0"/>
                    <w:adjustRightInd w:val="0"/>
                    <w:snapToGrid w:val="0"/>
                    <w:rPr>
                      <w:rFonts w:hint="default" w:ascii="Times New Roman" w:hAnsi="Times New Roman" w:cs="Times New Roman"/>
                      <w:color w:val="auto"/>
                      <w:lang w:eastAsia="zh-CN"/>
                    </w:rPr>
                  </w:pPr>
                  <w:r>
                    <w:rPr>
                      <w:rFonts w:hint="default" w:ascii="Times New Roman" w:hAnsi="Times New Roman" w:cs="Times New Roman"/>
                      <w:color w:val="auto"/>
                      <w:lang w:eastAsia="zh-CN"/>
                    </w:rPr>
                    <w:t>基础防渗层为粘土层的，其厚度应在1m以上，渗透系数应小于1.0×10</w:t>
                  </w:r>
                  <w:r>
                    <w:rPr>
                      <w:rFonts w:hint="default" w:ascii="Times New Roman" w:hAnsi="Times New Roman" w:cs="Times New Roman"/>
                      <w:color w:val="auto"/>
                      <w:vertAlign w:val="superscript"/>
                      <w:lang w:eastAsia="zh-CN"/>
                    </w:rPr>
                    <w:t>-7</w:t>
                  </w:r>
                  <w:r>
                    <w:rPr>
                      <w:rFonts w:hint="default" w:ascii="Times New Roman" w:hAnsi="Times New Roman" w:cs="Times New Roman"/>
                      <w:color w:val="auto"/>
                      <w:lang w:eastAsia="zh-CN"/>
                    </w:rPr>
                    <w:t>cm/s；基础防渗层也可用厚度在2mm以上的高密度聚乙烯或其他人工防渗材料组成，渗透系数应小于1.0×10</w:t>
                  </w:r>
                  <w:r>
                    <w:rPr>
                      <w:rFonts w:hint="default" w:ascii="Times New Roman" w:hAnsi="Times New Roman" w:cs="Times New Roman"/>
                      <w:color w:val="auto"/>
                      <w:vertAlign w:val="superscript"/>
                      <w:lang w:eastAsia="zh-CN"/>
                    </w:rPr>
                    <w:t>-10</w:t>
                  </w:r>
                  <w:r>
                    <w:rPr>
                      <w:rFonts w:hint="default" w:ascii="Times New Roman" w:hAnsi="Times New Roman" w:cs="Times New Roman"/>
                      <w:color w:val="auto"/>
                      <w:lang w:eastAsia="zh-CN"/>
                    </w:rPr>
                    <w:t>cm/s。</w:t>
                  </w:r>
                </w:p>
              </w:tc>
              <w:tc>
                <w:tcPr>
                  <w:tcW w:w="2446" w:type="dxa"/>
                  <w:vAlign w:val="center"/>
                </w:tcPr>
                <w:p>
                  <w:pPr>
                    <w:pStyle w:val="62"/>
                    <w:autoSpaceDE w:val="0"/>
                    <w:autoSpaceDN w:val="0"/>
                    <w:adjustRightInd w:val="0"/>
                    <w:snapToGrid w:val="0"/>
                    <w:rPr>
                      <w:rFonts w:hint="default" w:ascii="Times New Roman" w:hAnsi="Times New Roman" w:cs="Times New Roman"/>
                      <w:color w:val="auto"/>
                      <w:lang w:eastAsia="zh-CN"/>
                    </w:rPr>
                  </w:pPr>
                  <w:r>
                    <w:rPr>
                      <w:rFonts w:hint="default" w:ascii="Times New Roman" w:hAnsi="Times New Roman" w:cs="Times New Roman"/>
                      <w:color w:val="auto"/>
                      <w:lang w:eastAsia="zh-CN"/>
                    </w:rPr>
                    <w:t>危废暂存间为集装箱式，底板采用100mm钢板并用</w:t>
                  </w:r>
                  <w:r>
                    <w:rPr>
                      <w:rFonts w:hint="eastAsia" w:cs="Times New Roman"/>
                      <w:color w:val="auto"/>
                      <w:lang w:eastAsia="zh-CN"/>
                    </w:rPr>
                    <w:t>环氧树脂</w:t>
                  </w:r>
                  <w:r>
                    <w:rPr>
                      <w:rFonts w:hint="default" w:ascii="Times New Roman" w:hAnsi="Times New Roman" w:cs="Times New Roman"/>
                      <w:color w:val="auto"/>
                      <w:lang w:eastAsia="zh-CN"/>
                    </w:rPr>
                    <w:t>胶泥灌封，集装箱由固定滑轮支撑，箱体处于悬空状态，集装箱下设C30混凝土硬化地面，渗透系数≤10</w:t>
                  </w:r>
                  <w:r>
                    <w:rPr>
                      <w:rFonts w:hint="default" w:ascii="Times New Roman" w:hAnsi="Times New Roman" w:cs="Times New Roman"/>
                      <w:color w:val="auto"/>
                      <w:vertAlign w:val="superscript"/>
                      <w:lang w:eastAsia="zh-CN"/>
                    </w:rPr>
                    <w:t>-10</w:t>
                  </w:r>
                  <w:r>
                    <w:rPr>
                      <w:rFonts w:hint="default" w:ascii="Times New Roman" w:hAnsi="Times New Roman" w:cs="Times New Roman"/>
                      <w:color w:val="auto"/>
                      <w:lang w:eastAsia="zh-CN"/>
                    </w:rPr>
                    <w:t>cm/s。</w:t>
                  </w:r>
                </w:p>
              </w:tc>
              <w:tc>
                <w:tcPr>
                  <w:tcW w:w="402" w:type="dxa"/>
                  <w:vAlign w:val="center"/>
                </w:tcPr>
                <w:p>
                  <w:pPr>
                    <w:pStyle w:val="38"/>
                    <w:autoSpaceDE w:val="0"/>
                    <w:autoSpaceDN w:val="0"/>
                    <w:bidi w:val="0"/>
                    <w:rPr>
                      <w:rFonts w:hint="default"/>
                      <w:color w:val="auto"/>
                      <w:lang w:eastAsia="zh-CN"/>
                    </w:rPr>
                  </w:pPr>
                  <w:r>
                    <w:rPr>
                      <w:rFonts w:hint="default"/>
                      <w:color w:val="auto"/>
                      <w:lang w:eastAsia="en-US"/>
                    </w:rPr>
                    <w:t>符合</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PrEx>
              <w:trPr>
                <w:jc w:val="center"/>
              </w:trPr>
              <w:tc>
                <w:tcPr>
                  <w:tcW w:w="402" w:type="dxa"/>
                  <w:vAlign w:val="center"/>
                </w:tcPr>
                <w:p>
                  <w:pPr>
                    <w:pStyle w:val="62"/>
                    <w:autoSpaceDE w:val="0"/>
                    <w:autoSpaceDN w:val="0"/>
                    <w:adjustRightInd w:val="0"/>
                    <w:snapToGrid w:val="0"/>
                    <w:rPr>
                      <w:rFonts w:hint="default" w:ascii="Times New Roman" w:hAnsi="Times New Roman" w:cs="Times New Roman"/>
                      <w:color w:val="auto"/>
                      <w:lang w:eastAsia="en-US"/>
                    </w:rPr>
                  </w:pPr>
                  <w:r>
                    <w:rPr>
                      <w:rFonts w:hint="eastAsia" w:ascii="Calibri" w:hAnsi="Calibri" w:cs="宋体"/>
                      <w:color w:val="auto"/>
                      <w:lang w:eastAsia="en-US"/>
                    </w:rPr>
                    <w:t>4</w:t>
                  </w:r>
                </w:p>
              </w:tc>
              <w:tc>
                <w:tcPr>
                  <w:tcW w:w="3167" w:type="dxa"/>
                  <w:vAlign w:val="center"/>
                </w:tcPr>
                <w:p>
                  <w:pPr>
                    <w:pStyle w:val="62"/>
                    <w:autoSpaceDE w:val="0"/>
                    <w:autoSpaceDN w:val="0"/>
                    <w:adjustRightInd w:val="0"/>
                    <w:snapToGrid w:val="0"/>
                    <w:rPr>
                      <w:rFonts w:hint="default" w:ascii="Times New Roman" w:hAnsi="Times New Roman" w:cs="Times New Roman"/>
                      <w:color w:val="auto"/>
                      <w:lang w:eastAsia="zh-CN"/>
                    </w:rPr>
                  </w:pPr>
                  <w:r>
                    <w:rPr>
                      <w:rFonts w:ascii="Calibri" w:hAnsi="Calibri" w:cs="宋体"/>
                      <w:color w:val="auto"/>
                      <w:lang w:eastAsia="en-US"/>
                    </w:rPr>
                    <w:t>须有泄漏液体收集装置及气体导出口和气体净化装置。</w:t>
                  </w:r>
                </w:p>
              </w:tc>
              <w:tc>
                <w:tcPr>
                  <w:tcW w:w="2446" w:type="dxa"/>
                  <w:vAlign w:val="center"/>
                </w:tcPr>
                <w:p>
                  <w:pPr>
                    <w:pStyle w:val="62"/>
                    <w:autoSpaceDE w:val="0"/>
                    <w:autoSpaceDN w:val="0"/>
                    <w:adjustRightInd w:val="0"/>
                    <w:snapToGrid w:val="0"/>
                    <w:rPr>
                      <w:rFonts w:hint="default" w:ascii="Times New Roman" w:hAnsi="Times New Roman" w:cs="Times New Roman"/>
                      <w:color w:val="auto"/>
                      <w:lang w:eastAsia="zh-CN"/>
                    </w:rPr>
                  </w:pPr>
                  <w:r>
                    <w:rPr>
                      <w:rFonts w:ascii="Calibri" w:hAnsi="Calibri" w:cs="宋体"/>
                      <w:color w:val="auto"/>
                      <w:lang w:eastAsia="en-US"/>
                    </w:rPr>
                    <w:t>本工程暂存间内设置</w:t>
                  </w:r>
                  <w:r>
                    <w:rPr>
                      <w:rFonts w:hint="eastAsia" w:ascii="Calibri" w:hAnsi="Calibri" w:cs="宋体"/>
                      <w:color w:val="auto"/>
                      <w:lang w:eastAsia="en-US"/>
                    </w:rPr>
                    <w:t>排风口并安装排风扇，确保</w:t>
                  </w:r>
                  <w:r>
                    <w:rPr>
                      <w:rFonts w:ascii="Calibri" w:hAnsi="Calibri" w:cs="宋体"/>
                      <w:color w:val="auto"/>
                      <w:lang w:eastAsia="en-US"/>
                    </w:rPr>
                    <w:t>暂存间</w:t>
                  </w:r>
                  <w:r>
                    <w:rPr>
                      <w:rFonts w:hint="eastAsia" w:ascii="Calibri" w:hAnsi="Calibri" w:cs="宋体"/>
                      <w:color w:val="auto"/>
                      <w:lang w:eastAsia="en-US"/>
                    </w:rPr>
                    <w:t>换气通风。</w:t>
                  </w:r>
                </w:p>
              </w:tc>
              <w:tc>
                <w:tcPr>
                  <w:tcW w:w="402" w:type="dxa"/>
                  <w:vAlign w:val="center"/>
                </w:tcPr>
                <w:p>
                  <w:pPr>
                    <w:pStyle w:val="38"/>
                    <w:autoSpaceDE w:val="0"/>
                    <w:autoSpaceDN w:val="0"/>
                    <w:bidi w:val="0"/>
                    <w:rPr>
                      <w:rFonts w:hint="default"/>
                      <w:color w:val="auto"/>
                      <w:lang w:eastAsia="zh-CN"/>
                    </w:rPr>
                  </w:pPr>
                  <w:r>
                    <w:rPr>
                      <w:rFonts w:hint="default"/>
                      <w:color w:val="auto"/>
                      <w:lang w:eastAsia="en-US"/>
                    </w:rPr>
                    <w:t>符合</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PrEx>
              <w:trPr>
                <w:jc w:val="center"/>
              </w:trPr>
              <w:tc>
                <w:tcPr>
                  <w:tcW w:w="402" w:type="dxa"/>
                  <w:vAlign w:val="center"/>
                </w:tcPr>
                <w:p>
                  <w:pPr>
                    <w:pStyle w:val="62"/>
                    <w:autoSpaceDE w:val="0"/>
                    <w:autoSpaceDN w:val="0"/>
                    <w:adjustRightInd w:val="0"/>
                    <w:snapToGrid w:val="0"/>
                    <w:rPr>
                      <w:rFonts w:hint="default" w:ascii="Times New Roman" w:hAnsi="Times New Roman" w:cs="Times New Roman"/>
                      <w:color w:val="auto"/>
                      <w:lang w:eastAsia="en-US"/>
                    </w:rPr>
                  </w:pPr>
                  <w:r>
                    <w:rPr>
                      <w:rFonts w:hint="default" w:ascii="Times New Roman" w:hAnsi="Times New Roman" w:cs="Times New Roman"/>
                      <w:color w:val="auto"/>
                      <w:lang w:eastAsia="en-US"/>
                    </w:rPr>
                    <w:t>5</w:t>
                  </w:r>
                </w:p>
              </w:tc>
              <w:tc>
                <w:tcPr>
                  <w:tcW w:w="3167" w:type="dxa"/>
                  <w:vAlign w:val="center"/>
                </w:tcPr>
                <w:p>
                  <w:pPr>
                    <w:pStyle w:val="62"/>
                    <w:autoSpaceDE w:val="0"/>
                    <w:autoSpaceDN w:val="0"/>
                    <w:adjustRightInd w:val="0"/>
                    <w:snapToGrid w:val="0"/>
                    <w:rPr>
                      <w:rFonts w:hint="default" w:ascii="Times New Roman" w:hAnsi="Times New Roman" w:cs="Times New Roman"/>
                      <w:color w:val="auto"/>
                      <w:lang w:eastAsia="zh-CN"/>
                    </w:rPr>
                  </w:pPr>
                  <w:r>
                    <w:rPr>
                      <w:rFonts w:hint="default" w:ascii="Times New Roman" w:hAnsi="Times New Roman" w:cs="Times New Roman"/>
                      <w:color w:val="auto"/>
                      <w:lang w:eastAsia="zh-CN"/>
                    </w:rPr>
                    <w:t>用于存放液体、半固体危险废物的地方，还须有耐腐蚀的硬化地面，地面无裂隙。</w:t>
                  </w:r>
                </w:p>
              </w:tc>
              <w:tc>
                <w:tcPr>
                  <w:tcW w:w="2446" w:type="dxa"/>
                  <w:vAlign w:val="center"/>
                </w:tcPr>
                <w:p>
                  <w:pPr>
                    <w:pStyle w:val="62"/>
                    <w:autoSpaceDE w:val="0"/>
                    <w:autoSpaceDN w:val="0"/>
                    <w:adjustRightInd w:val="0"/>
                    <w:snapToGrid w:val="0"/>
                    <w:rPr>
                      <w:rFonts w:hint="default" w:ascii="Times New Roman" w:hAnsi="Times New Roman" w:cs="Times New Roman"/>
                      <w:color w:val="auto"/>
                      <w:lang w:eastAsia="zh-CN"/>
                    </w:rPr>
                  </w:pPr>
                  <w:r>
                    <w:rPr>
                      <w:rFonts w:hint="default" w:ascii="Times New Roman" w:hAnsi="Times New Roman" w:cs="Times New Roman"/>
                      <w:color w:val="auto"/>
                      <w:lang w:eastAsia="zh-CN"/>
                    </w:rPr>
                    <w:t>集装箱由固定滑轮支撑，箱体处于悬空状态，集装箱下设C30混凝土硬化地面。</w:t>
                  </w:r>
                </w:p>
              </w:tc>
              <w:tc>
                <w:tcPr>
                  <w:tcW w:w="402" w:type="dxa"/>
                  <w:vAlign w:val="center"/>
                </w:tcPr>
                <w:p>
                  <w:pPr>
                    <w:pStyle w:val="38"/>
                    <w:autoSpaceDE w:val="0"/>
                    <w:autoSpaceDN w:val="0"/>
                    <w:bidi w:val="0"/>
                    <w:rPr>
                      <w:rFonts w:hint="default"/>
                      <w:color w:val="auto"/>
                      <w:lang w:eastAsia="zh-CN"/>
                    </w:rPr>
                  </w:pPr>
                  <w:r>
                    <w:rPr>
                      <w:rFonts w:hint="default"/>
                      <w:color w:val="auto"/>
                      <w:lang w:eastAsia="en-US"/>
                    </w:rPr>
                    <w:t>符合</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PrEx>
              <w:trPr>
                <w:jc w:val="center"/>
              </w:trPr>
              <w:tc>
                <w:tcPr>
                  <w:tcW w:w="402" w:type="dxa"/>
                  <w:vAlign w:val="center"/>
                </w:tcPr>
                <w:p>
                  <w:pPr>
                    <w:pStyle w:val="62"/>
                    <w:autoSpaceDE w:val="0"/>
                    <w:autoSpaceDN w:val="0"/>
                    <w:adjustRightInd w:val="0"/>
                    <w:snapToGrid w:val="0"/>
                    <w:rPr>
                      <w:rFonts w:hint="default" w:ascii="Times New Roman" w:hAnsi="Times New Roman" w:cs="Times New Roman"/>
                      <w:color w:val="auto"/>
                      <w:lang w:eastAsia="en-US"/>
                    </w:rPr>
                  </w:pPr>
                  <w:r>
                    <w:rPr>
                      <w:rFonts w:hint="default" w:ascii="Times New Roman" w:hAnsi="Times New Roman" w:cs="Times New Roman"/>
                      <w:color w:val="auto"/>
                      <w:lang w:eastAsia="en-US"/>
                    </w:rPr>
                    <w:t>6</w:t>
                  </w:r>
                </w:p>
              </w:tc>
              <w:tc>
                <w:tcPr>
                  <w:tcW w:w="3167" w:type="dxa"/>
                  <w:vAlign w:val="center"/>
                </w:tcPr>
                <w:p>
                  <w:pPr>
                    <w:pStyle w:val="62"/>
                    <w:autoSpaceDE w:val="0"/>
                    <w:autoSpaceDN w:val="0"/>
                    <w:adjustRightInd w:val="0"/>
                    <w:snapToGrid w:val="0"/>
                    <w:rPr>
                      <w:rFonts w:hint="default" w:ascii="Times New Roman" w:hAnsi="Times New Roman" w:cs="Times New Roman"/>
                      <w:color w:val="auto"/>
                      <w:lang w:eastAsia="zh-CN"/>
                    </w:rPr>
                  </w:pPr>
                  <w:r>
                    <w:rPr>
                      <w:rFonts w:hint="default" w:ascii="Times New Roman" w:hAnsi="Times New Roman" w:cs="Times New Roman"/>
                      <w:color w:val="auto"/>
                      <w:lang w:eastAsia="zh-CN"/>
                    </w:rPr>
                    <w:t>不相容的危险废物堆放区必须有隔离间隔断。</w:t>
                  </w:r>
                </w:p>
              </w:tc>
              <w:tc>
                <w:tcPr>
                  <w:tcW w:w="2446" w:type="dxa"/>
                  <w:vAlign w:val="center"/>
                </w:tcPr>
                <w:p>
                  <w:pPr>
                    <w:pStyle w:val="62"/>
                    <w:autoSpaceDE w:val="0"/>
                    <w:autoSpaceDN w:val="0"/>
                    <w:adjustRightInd w:val="0"/>
                    <w:snapToGrid w:val="0"/>
                    <w:rPr>
                      <w:rFonts w:hint="default" w:ascii="Times New Roman" w:hAnsi="Times New Roman" w:cs="Times New Roman"/>
                      <w:color w:val="auto"/>
                      <w:lang w:eastAsia="zh-CN"/>
                    </w:rPr>
                  </w:pPr>
                  <w:r>
                    <w:rPr>
                      <w:rFonts w:hint="default" w:ascii="Times New Roman" w:hAnsi="Times New Roman" w:cs="Times New Roman"/>
                      <w:color w:val="auto"/>
                      <w:lang w:eastAsia="zh-CN"/>
                    </w:rPr>
                    <w:t>贮存危险废物时按危险废物的种类和特性进行分区贮存，每个贮存区域</w:t>
                  </w:r>
                  <w:r>
                    <w:rPr>
                      <w:rFonts w:hint="eastAsia" w:cs="Times New Roman"/>
                      <w:color w:val="auto"/>
                      <w:lang w:eastAsia="zh-CN"/>
                    </w:rPr>
                    <w:t>之间</w:t>
                  </w:r>
                  <w:r>
                    <w:rPr>
                      <w:rFonts w:hint="default" w:ascii="Times New Roman" w:hAnsi="Times New Roman" w:cs="Times New Roman"/>
                      <w:color w:val="auto"/>
                      <w:lang w:eastAsia="zh-CN"/>
                    </w:rPr>
                    <w:t>宜设置挡墙间隔。</w:t>
                  </w:r>
                </w:p>
              </w:tc>
              <w:tc>
                <w:tcPr>
                  <w:tcW w:w="402" w:type="dxa"/>
                  <w:vAlign w:val="center"/>
                </w:tcPr>
                <w:p>
                  <w:pPr>
                    <w:pStyle w:val="38"/>
                    <w:autoSpaceDE w:val="0"/>
                    <w:autoSpaceDN w:val="0"/>
                    <w:bidi w:val="0"/>
                    <w:rPr>
                      <w:rFonts w:hint="default"/>
                      <w:color w:val="auto"/>
                      <w:lang w:eastAsia="zh-CN"/>
                    </w:rPr>
                  </w:pPr>
                  <w:r>
                    <w:rPr>
                      <w:rFonts w:hint="default"/>
                      <w:color w:val="auto"/>
                      <w:lang w:eastAsia="en-US"/>
                    </w:rPr>
                    <w:t>符合</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PrEx>
              <w:trPr>
                <w:jc w:val="center"/>
              </w:trPr>
              <w:tc>
                <w:tcPr>
                  <w:tcW w:w="402" w:type="dxa"/>
                  <w:vAlign w:val="center"/>
                </w:tcPr>
                <w:p>
                  <w:pPr>
                    <w:pStyle w:val="62"/>
                    <w:autoSpaceDE w:val="0"/>
                    <w:autoSpaceDN w:val="0"/>
                    <w:adjustRightInd w:val="0"/>
                    <w:snapToGrid w:val="0"/>
                    <w:rPr>
                      <w:rFonts w:hint="default" w:ascii="Times New Roman" w:hAnsi="Times New Roman" w:cs="Times New Roman"/>
                      <w:color w:val="auto"/>
                      <w:lang w:eastAsia="en-US"/>
                    </w:rPr>
                  </w:pPr>
                  <w:r>
                    <w:rPr>
                      <w:rFonts w:hint="default" w:ascii="Times New Roman" w:hAnsi="Times New Roman" w:cs="Times New Roman"/>
                      <w:color w:val="auto"/>
                      <w:lang w:eastAsia="en-US"/>
                    </w:rPr>
                    <w:t>7</w:t>
                  </w:r>
                </w:p>
              </w:tc>
              <w:tc>
                <w:tcPr>
                  <w:tcW w:w="3167" w:type="dxa"/>
                  <w:vAlign w:val="center"/>
                </w:tcPr>
                <w:p>
                  <w:pPr>
                    <w:pStyle w:val="62"/>
                    <w:autoSpaceDE w:val="0"/>
                    <w:autoSpaceDN w:val="0"/>
                    <w:adjustRightInd w:val="0"/>
                    <w:snapToGrid w:val="0"/>
                    <w:rPr>
                      <w:rFonts w:hint="default" w:ascii="Times New Roman" w:hAnsi="Times New Roman" w:cs="Times New Roman"/>
                      <w:color w:val="auto"/>
                      <w:lang w:eastAsia="zh-CN"/>
                    </w:rPr>
                  </w:pPr>
                  <w:r>
                    <w:rPr>
                      <w:rFonts w:hint="default" w:ascii="Times New Roman" w:hAnsi="Times New Roman" w:cs="Times New Roman"/>
                      <w:color w:val="auto"/>
                      <w:lang w:eastAsia="zh-CN"/>
                    </w:rPr>
                    <w:t>衬层上需建有渗滤液收集清除系统、径流疏导系统、雨水收集池。</w:t>
                  </w:r>
                </w:p>
              </w:tc>
              <w:tc>
                <w:tcPr>
                  <w:tcW w:w="2446" w:type="dxa"/>
                  <w:vAlign w:val="center"/>
                </w:tcPr>
                <w:p>
                  <w:pPr>
                    <w:pStyle w:val="62"/>
                    <w:autoSpaceDE w:val="0"/>
                    <w:autoSpaceDN w:val="0"/>
                    <w:adjustRightInd w:val="0"/>
                    <w:snapToGrid w:val="0"/>
                    <w:rPr>
                      <w:rFonts w:hint="default" w:ascii="Times New Roman" w:hAnsi="Times New Roman" w:eastAsia="宋体" w:cs="Times New Roman"/>
                      <w:color w:val="auto"/>
                      <w:lang w:val="en-US" w:eastAsia="zh-CN"/>
                    </w:rPr>
                  </w:pPr>
                  <w:r>
                    <w:rPr>
                      <w:rFonts w:hint="eastAsia" w:ascii="Calibri" w:hAnsi="Calibri" w:cs="方正楷体_GBK"/>
                      <w:color w:val="auto"/>
                      <w:lang w:eastAsia="en-US"/>
                    </w:rPr>
                    <w:t>本项目在废铅蓄电池存储区域设置0</w:t>
                  </w:r>
                  <w:r>
                    <w:rPr>
                      <w:rFonts w:ascii="Calibri" w:hAnsi="Calibri" w:cs="方正楷体_GBK"/>
                      <w:color w:val="auto"/>
                      <w:lang w:eastAsia="en-US"/>
                    </w:rPr>
                    <w:t>.1</w:t>
                  </w:r>
                  <w:r>
                    <w:rPr>
                      <w:rFonts w:hint="eastAsia" w:ascii="Calibri" w:hAnsi="Calibri" w:cs="方正楷体_GBK"/>
                      <w:color w:val="auto"/>
                      <w:lang w:eastAsia="en-US"/>
                    </w:rPr>
                    <w:t>m围堰（围堰内容积0</w:t>
                  </w:r>
                  <w:r>
                    <w:rPr>
                      <w:rFonts w:ascii="Calibri" w:hAnsi="Calibri" w:cs="方正楷体_GBK"/>
                      <w:color w:val="auto"/>
                      <w:lang w:eastAsia="en-US"/>
                    </w:rPr>
                    <w:t>.2</w:t>
                  </w:r>
                  <w:r>
                    <w:rPr>
                      <w:rFonts w:hint="eastAsia" w:ascii="Calibri" w:hAnsi="Calibri" w:cs="方正楷体_GBK"/>
                      <w:color w:val="auto"/>
                      <w:lang w:eastAsia="en-US"/>
                    </w:rPr>
                    <w:t>m³），作为渗滤液收集设施。在废机油存储区域设置0</w:t>
                  </w:r>
                  <w:r>
                    <w:rPr>
                      <w:rFonts w:ascii="Calibri" w:hAnsi="Calibri" w:cs="方正楷体_GBK"/>
                      <w:color w:val="auto"/>
                      <w:lang w:eastAsia="en-US"/>
                    </w:rPr>
                    <w:t>.1</w:t>
                  </w:r>
                  <w:r>
                    <w:rPr>
                      <w:rFonts w:hint="eastAsia" w:ascii="Calibri" w:hAnsi="Calibri" w:cs="方正楷体_GBK"/>
                      <w:color w:val="auto"/>
                      <w:lang w:eastAsia="en-US"/>
                    </w:rPr>
                    <w:t>m围堰（围堰内容积0</w:t>
                  </w:r>
                  <w:r>
                    <w:rPr>
                      <w:rFonts w:ascii="Calibri" w:hAnsi="Calibri" w:cs="方正楷体_GBK"/>
                      <w:color w:val="auto"/>
                      <w:lang w:eastAsia="en-US"/>
                    </w:rPr>
                    <w:t>.2</w:t>
                  </w:r>
                  <w:r>
                    <w:rPr>
                      <w:rFonts w:hint="eastAsia" w:ascii="Calibri" w:hAnsi="Calibri" w:cs="方正楷体_GBK"/>
                      <w:color w:val="auto"/>
                      <w:lang w:eastAsia="en-US"/>
                    </w:rPr>
                    <w:t>m³）作为液体泄漏堵截设施。</w:t>
                  </w:r>
                  <w:r>
                    <w:rPr>
                      <w:rFonts w:hint="eastAsia" w:ascii="Calibri" w:hAnsi="Calibri" w:cs="方正楷体_GBK"/>
                      <w:color w:val="auto"/>
                      <w:lang w:val="en-US" w:eastAsia="zh-CN"/>
                    </w:rPr>
                    <w:t>本环评要求在废铅蓄电池及废机油存储区各放置一个备用铁桶，作为渗滤液的</w:t>
                  </w:r>
                  <w:r>
                    <w:rPr>
                      <w:rFonts w:hint="eastAsia" w:ascii="Calibri" w:hAnsi="Calibri" w:eastAsia="宋体" w:cs="方正楷体_GBK"/>
                      <w:color w:val="auto"/>
                      <w:lang w:val="en-US" w:eastAsia="zh-CN"/>
                    </w:rPr>
                    <w:t>收集装置，发生大量泄露时，将泄漏液体采用油泵入备用铁桶，交由有资质单位进行处理</w:t>
                  </w:r>
                </w:p>
              </w:tc>
              <w:tc>
                <w:tcPr>
                  <w:tcW w:w="402" w:type="dxa"/>
                  <w:vAlign w:val="center"/>
                </w:tcPr>
                <w:p>
                  <w:pPr>
                    <w:pStyle w:val="38"/>
                    <w:autoSpaceDE w:val="0"/>
                    <w:autoSpaceDN w:val="0"/>
                    <w:bidi w:val="0"/>
                    <w:rPr>
                      <w:rFonts w:hint="default"/>
                      <w:color w:val="auto"/>
                      <w:lang w:eastAsia="en-US"/>
                    </w:rPr>
                  </w:pPr>
                  <w:r>
                    <w:rPr>
                      <w:rFonts w:hint="default"/>
                      <w:color w:val="auto"/>
                      <w:lang w:eastAsia="en-US"/>
                    </w:rPr>
                    <w:t>符合</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PrEx>
              <w:trPr>
                <w:jc w:val="center"/>
              </w:trPr>
              <w:tc>
                <w:tcPr>
                  <w:tcW w:w="402" w:type="dxa"/>
                  <w:vAlign w:val="center"/>
                </w:tcPr>
                <w:p>
                  <w:pPr>
                    <w:pStyle w:val="62"/>
                    <w:autoSpaceDE w:val="0"/>
                    <w:autoSpaceDN w:val="0"/>
                    <w:adjustRightInd w:val="0"/>
                    <w:snapToGrid w:val="0"/>
                    <w:rPr>
                      <w:rFonts w:hint="default" w:ascii="Times New Roman" w:hAnsi="Times New Roman" w:cs="Times New Roman"/>
                      <w:color w:val="auto"/>
                      <w:lang w:eastAsia="en-US"/>
                    </w:rPr>
                  </w:pPr>
                  <w:r>
                    <w:rPr>
                      <w:rFonts w:hint="default" w:ascii="Times New Roman" w:hAnsi="Times New Roman" w:cs="Times New Roman"/>
                      <w:color w:val="auto"/>
                      <w:lang w:eastAsia="en-US"/>
                    </w:rPr>
                    <w:t>8</w:t>
                  </w:r>
                </w:p>
              </w:tc>
              <w:tc>
                <w:tcPr>
                  <w:tcW w:w="3167" w:type="dxa"/>
                  <w:vAlign w:val="center"/>
                </w:tcPr>
                <w:p>
                  <w:pPr>
                    <w:pStyle w:val="62"/>
                    <w:autoSpaceDE w:val="0"/>
                    <w:autoSpaceDN w:val="0"/>
                    <w:adjustRightInd w:val="0"/>
                    <w:snapToGrid w:val="0"/>
                    <w:rPr>
                      <w:rFonts w:hint="default" w:ascii="Times New Roman" w:hAnsi="Times New Roman" w:cs="Times New Roman"/>
                      <w:color w:val="auto"/>
                      <w:lang w:eastAsia="zh-CN"/>
                    </w:rPr>
                  </w:pPr>
                  <w:r>
                    <w:rPr>
                      <w:rFonts w:hint="default" w:ascii="Times New Roman" w:hAnsi="Times New Roman" w:cs="Times New Roman"/>
                      <w:color w:val="auto"/>
                      <w:lang w:eastAsia="zh-CN"/>
                    </w:rPr>
                    <w:t>贮存易燃易爆的危险废物的场所应配备消防设备，贮存剧毒危险废物的场所必须有专人24小时看管。</w:t>
                  </w:r>
                </w:p>
              </w:tc>
              <w:tc>
                <w:tcPr>
                  <w:tcW w:w="2446" w:type="dxa"/>
                  <w:vAlign w:val="center"/>
                </w:tcPr>
                <w:p>
                  <w:pPr>
                    <w:pStyle w:val="62"/>
                    <w:autoSpaceDE w:val="0"/>
                    <w:autoSpaceDN w:val="0"/>
                    <w:adjustRightInd w:val="0"/>
                    <w:snapToGrid w:val="0"/>
                    <w:rPr>
                      <w:rFonts w:hint="default" w:ascii="Times New Roman" w:hAnsi="Times New Roman" w:cs="Times New Roman"/>
                      <w:color w:val="auto"/>
                      <w:lang w:eastAsia="zh-CN"/>
                    </w:rPr>
                  </w:pPr>
                  <w:r>
                    <w:rPr>
                      <w:rFonts w:hint="default" w:ascii="Times New Roman" w:hAnsi="Times New Roman" w:cs="Times New Roman"/>
                      <w:color w:val="auto"/>
                      <w:lang w:eastAsia="zh-CN"/>
                    </w:rPr>
                    <w:t>配备消防设备，项目实行24小时值班制度，有专人看管。</w:t>
                  </w:r>
                </w:p>
              </w:tc>
              <w:tc>
                <w:tcPr>
                  <w:tcW w:w="402" w:type="dxa"/>
                  <w:vAlign w:val="center"/>
                </w:tcPr>
                <w:p>
                  <w:pPr>
                    <w:pStyle w:val="38"/>
                    <w:autoSpaceDE w:val="0"/>
                    <w:autoSpaceDN w:val="0"/>
                    <w:bidi w:val="0"/>
                    <w:rPr>
                      <w:rFonts w:hint="default"/>
                      <w:color w:val="auto"/>
                      <w:lang w:eastAsia="zh-CN"/>
                    </w:rPr>
                  </w:pPr>
                  <w:r>
                    <w:rPr>
                      <w:rFonts w:hint="default"/>
                      <w:color w:val="auto"/>
                      <w:lang w:eastAsia="en-US"/>
                    </w:rPr>
                    <w:t>符合</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PrEx>
              <w:trPr>
                <w:jc w:val="center"/>
              </w:trPr>
              <w:tc>
                <w:tcPr>
                  <w:tcW w:w="402" w:type="dxa"/>
                  <w:vAlign w:val="center"/>
                </w:tcPr>
                <w:p>
                  <w:pPr>
                    <w:pStyle w:val="62"/>
                    <w:autoSpaceDE w:val="0"/>
                    <w:autoSpaceDN w:val="0"/>
                    <w:adjustRightInd w:val="0"/>
                    <w:snapToGrid w:val="0"/>
                    <w:rPr>
                      <w:rFonts w:hint="eastAsia" w:ascii="Times New Roman" w:hAnsi="Times New Roman" w:eastAsia="宋体" w:cs="Times New Roman"/>
                      <w:color w:val="auto"/>
                      <w:lang w:eastAsia="zh-CN"/>
                    </w:rPr>
                  </w:pPr>
                  <w:r>
                    <w:rPr>
                      <w:rFonts w:hint="eastAsia" w:cs="Times New Roman"/>
                      <w:color w:val="auto"/>
                      <w:lang w:val="en-US" w:eastAsia="zh-CN"/>
                    </w:rPr>
                    <w:t>9</w:t>
                  </w:r>
                </w:p>
              </w:tc>
              <w:tc>
                <w:tcPr>
                  <w:tcW w:w="3167" w:type="dxa"/>
                  <w:vAlign w:val="center"/>
                </w:tcPr>
                <w:p>
                  <w:pPr>
                    <w:pStyle w:val="62"/>
                    <w:autoSpaceDE w:val="0"/>
                    <w:autoSpaceDN w:val="0"/>
                    <w:adjustRightInd w:val="0"/>
                    <w:snapToGrid w:val="0"/>
                    <w:rPr>
                      <w:rFonts w:hint="default" w:ascii="Times New Roman" w:hAnsi="Times New Roman" w:cs="Times New Roman"/>
                      <w:color w:val="auto"/>
                      <w:lang w:eastAsia="zh-CN"/>
                    </w:rPr>
                  </w:pPr>
                  <w:r>
                    <w:rPr>
                      <w:rFonts w:hint="default" w:ascii="Times New Roman" w:hAnsi="Times New Roman" w:cs="Times New Roman"/>
                      <w:color w:val="auto"/>
                      <w:lang w:eastAsia="zh-CN"/>
                    </w:rPr>
                    <w:t>险废物的贮存设施的选址与设计、运行与管理、安全防护、环境监测及应急措施</w:t>
                  </w:r>
                  <w:r>
                    <w:rPr>
                      <w:rFonts w:hint="eastAsia" w:cs="Times New Roman"/>
                      <w:color w:val="auto"/>
                      <w:lang w:eastAsia="zh-CN"/>
                    </w:rPr>
                    <w:t>，以及</w:t>
                  </w:r>
                  <w:r>
                    <w:rPr>
                      <w:rFonts w:hint="default" w:ascii="Times New Roman" w:hAnsi="Times New Roman" w:cs="Times New Roman"/>
                      <w:color w:val="auto"/>
                      <w:lang w:eastAsia="zh-CN"/>
                    </w:rPr>
                    <w:t>关闭等须遵循《危险废物贮存污染控制标准》的规定。</w:t>
                  </w:r>
                </w:p>
              </w:tc>
              <w:tc>
                <w:tcPr>
                  <w:tcW w:w="2446" w:type="dxa"/>
                  <w:vAlign w:val="center"/>
                </w:tcPr>
                <w:p>
                  <w:pPr>
                    <w:pStyle w:val="62"/>
                    <w:autoSpaceDE w:val="0"/>
                    <w:autoSpaceDN w:val="0"/>
                    <w:adjustRightInd w:val="0"/>
                    <w:snapToGrid w:val="0"/>
                    <w:rPr>
                      <w:rFonts w:hint="default" w:ascii="Times New Roman" w:hAnsi="Times New Roman" w:cs="Times New Roman"/>
                      <w:color w:val="auto"/>
                      <w:lang w:eastAsia="zh-CN"/>
                    </w:rPr>
                  </w:pPr>
                  <w:r>
                    <w:rPr>
                      <w:rFonts w:hint="default" w:ascii="Times New Roman" w:hAnsi="Times New Roman" w:cs="Times New Roman"/>
                      <w:color w:val="auto"/>
                      <w:lang w:eastAsia="zh-CN"/>
                    </w:rPr>
                    <w:t>危险废物的贮存设施的选址与设计、运行与管理、安全防护、环境监测及应急措施</w:t>
                  </w:r>
                  <w:r>
                    <w:rPr>
                      <w:rFonts w:hint="eastAsia" w:cs="Times New Roman"/>
                      <w:color w:val="auto"/>
                      <w:lang w:eastAsia="zh-CN"/>
                    </w:rPr>
                    <w:t>，以及</w:t>
                  </w:r>
                  <w:r>
                    <w:rPr>
                      <w:rFonts w:hint="default" w:ascii="Times New Roman" w:hAnsi="Times New Roman" w:cs="Times New Roman"/>
                      <w:color w:val="auto"/>
                      <w:lang w:eastAsia="zh-CN"/>
                    </w:rPr>
                    <w:t>关闭等须遵循《危险废物贮存污染控制标准》的规定。</w:t>
                  </w:r>
                </w:p>
              </w:tc>
              <w:tc>
                <w:tcPr>
                  <w:tcW w:w="402" w:type="dxa"/>
                  <w:vAlign w:val="center"/>
                </w:tcPr>
                <w:p>
                  <w:pPr>
                    <w:pStyle w:val="38"/>
                    <w:autoSpaceDE w:val="0"/>
                    <w:autoSpaceDN w:val="0"/>
                    <w:bidi w:val="0"/>
                    <w:rPr>
                      <w:rFonts w:hint="default"/>
                      <w:color w:val="auto"/>
                      <w:lang w:eastAsia="zh-CN"/>
                    </w:rPr>
                  </w:pPr>
                  <w:r>
                    <w:rPr>
                      <w:rFonts w:hint="default"/>
                      <w:color w:val="auto"/>
                      <w:lang w:eastAsia="en-US"/>
                    </w:rPr>
                    <w:t>符合</w:t>
                  </w:r>
                </w:p>
              </w:tc>
            </w:tr>
          </w:tbl>
          <w:p>
            <w:pPr>
              <w:keepNext w:val="0"/>
              <w:keepLines w:val="0"/>
              <w:pageBreakBefore w:val="0"/>
              <w:widowControl w:val="0"/>
              <w:kinsoku/>
              <w:wordWrap/>
              <w:overflowPunct/>
              <w:topLinePunct w:val="0"/>
              <w:autoSpaceDE w:val="0"/>
              <w:autoSpaceDN w:val="0"/>
              <w:bidi w:val="0"/>
              <w:adjustRightInd w:val="0"/>
              <w:snapToGrid w:val="0"/>
              <w:spacing w:line="520" w:lineRule="exact"/>
              <w:ind w:firstLine="420" w:firstLineChars="200"/>
              <w:textAlignment w:val="auto"/>
              <w:rPr>
                <w:rFonts w:hint="eastAsia"/>
                <w:color w:val="auto"/>
              </w:rPr>
            </w:pPr>
            <w:r>
              <w:rPr>
                <w:rFonts w:hint="eastAsia"/>
                <w:color w:val="auto"/>
              </w:rPr>
              <w:t>综上分析，工程建设符合《危险废物污染防治技术政策》的相关要求。</w:t>
            </w:r>
          </w:p>
          <w:p>
            <w:pPr>
              <w:numPr>
                <w:ilvl w:val="0"/>
                <w:numId w:val="3"/>
              </w:numPr>
              <w:autoSpaceDE w:val="0"/>
              <w:autoSpaceDN w:val="0"/>
              <w:adjustRightInd w:val="0"/>
              <w:snapToGrid w:val="0"/>
              <w:spacing w:line="520" w:lineRule="exact"/>
              <w:ind w:firstLine="482" w:firstLineChars="200"/>
              <w:rPr>
                <w:rFonts w:hint="eastAsia" w:ascii="Times New Roman" w:hAnsi="Times New Roman" w:eastAsia="宋体" w:cs="Times New Roman"/>
                <w:b/>
                <w:bCs/>
                <w:color w:val="auto"/>
                <w:sz w:val="24"/>
                <w:lang w:val="en-US" w:eastAsia="zh-CN"/>
              </w:rPr>
            </w:pPr>
            <w:r>
              <w:rPr>
                <w:rFonts w:hint="eastAsia" w:ascii="Times New Roman" w:hAnsi="Times New Roman" w:eastAsia="宋体" w:cs="Times New Roman"/>
                <w:b/>
                <w:bCs/>
                <w:color w:val="auto"/>
                <w:sz w:val="24"/>
                <w:lang w:val="en-US" w:eastAsia="zh-CN"/>
              </w:rPr>
              <w:t>与《新疆生态环境保护“十四五”规划》符合性分析</w:t>
            </w:r>
          </w:p>
          <w:p>
            <w:pPr>
              <w:keepNext w:val="0"/>
              <w:keepLines w:val="0"/>
              <w:pageBreakBefore w:val="0"/>
              <w:widowControl w:val="0"/>
              <w:kinsoku/>
              <w:wordWrap/>
              <w:overflowPunct/>
              <w:topLinePunct w:val="0"/>
              <w:autoSpaceDE w:val="0"/>
              <w:autoSpaceDN w:val="0"/>
              <w:bidi w:val="0"/>
              <w:adjustRightInd w:val="0"/>
              <w:snapToGrid w:val="0"/>
              <w:spacing w:line="520" w:lineRule="exact"/>
              <w:ind w:firstLine="420" w:firstLineChars="200"/>
              <w:textAlignment w:val="auto"/>
              <w:rPr>
                <w:rFonts w:hint="default" w:eastAsia="宋体"/>
                <w:color w:val="auto"/>
                <w:lang w:val="en-US" w:eastAsia="zh-CN"/>
              </w:rPr>
            </w:pPr>
            <w:r>
              <w:rPr>
                <w:rFonts w:hint="eastAsia" w:eastAsia="宋体"/>
                <w:color w:val="auto"/>
                <w:lang w:val="en-US" w:eastAsia="zh-CN"/>
              </w:rPr>
              <w:t>项目与《新疆生态环境保护“十四五”规划》分析内容见下表。</w:t>
            </w:r>
          </w:p>
          <w:p>
            <w:pPr>
              <w:pStyle w:val="12"/>
              <w:spacing w:before="0" w:after="0" w:line="240" w:lineRule="auto"/>
              <w:ind w:right="0" w:firstLine="0" w:firstLineChars="0"/>
              <w:jc w:val="center"/>
              <w:rPr>
                <w:rFonts w:hint="eastAsia" w:ascii="宋体" w:hAnsi="宋体" w:eastAsia="宋体" w:cs="宋体"/>
                <w:b/>
                <w:bCs/>
                <w:i w:val="0"/>
                <w:iCs w:val="0"/>
                <w:caps w:val="0"/>
                <w:color w:val="auto"/>
                <w:spacing w:val="0"/>
                <w:sz w:val="21"/>
                <w:szCs w:val="21"/>
                <w:shd w:val="clear" w:fill="FFFFFF"/>
                <w:lang w:val="en-US" w:eastAsia="zh-CN"/>
              </w:rPr>
            </w:pPr>
            <w:r>
              <w:rPr>
                <w:rFonts w:hint="eastAsia" w:ascii="宋体" w:hAnsi="宋体" w:eastAsia="宋体" w:cs="宋体"/>
                <w:b/>
                <w:bCs/>
                <w:i w:val="0"/>
                <w:iCs w:val="0"/>
                <w:caps w:val="0"/>
                <w:color w:val="auto"/>
                <w:spacing w:val="0"/>
                <w:sz w:val="21"/>
                <w:szCs w:val="21"/>
                <w:shd w:val="clear" w:fill="FFFFFF"/>
                <w:lang w:val="en-US" w:eastAsia="zh-CN"/>
              </w:rPr>
              <w:t>表</w:t>
            </w:r>
            <w:r>
              <w:rPr>
                <w:rFonts w:hint="default" w:ascii="Times New Roman" w:hAnsi="Times New Roman" w:eastAsia="宋体" w:cs="Times New Roman"/>
                <w:b/>
                <w:bCs/>
                <w:i w:val="0"/>
                <w:iCs w:val="0"/>
                <w:caps w:val="0"/>
                <w:color w:val="auto"/>
                <w:spacing w:val="0"/>
                <w:sz w:val="21"/>
                <w:szCs w:val="21"/>
                <w:shd w:val="clear" w:fill="FFFFFF"/>
                <w:lang w:val="en-US" w:eastAsia="zh-CN"/>
              </w:rPr>
              <w:t>1-</w:t>
            </w:r>
            <w:r>
              <w:rPr>
                <w:rFonts w:hint="eastAsia" w:ascii="Times New Roman" w:hAnsi="Times New Roman" w:eastAsia="宋体" w:cs="Times New Roman"/>
                <w:b/>
                <w:bCs/>
                <w:i w:val="0"/>
                <w:iCs w:val="0"/>
                <w:caps w:val="0"/>
                <w:color w:val="auto"/>
                <w:spacing w:val="0"/>
                <w:sz w:val="21"/>
                <w:szCs w:val="21"/>
                <w:shd w:val="clear" w:fill="FFFFFF"/>
                <w:lang w:val="en-US" w:eastAsia="zh-CN"/>
              </w:rPr>
              <w:t>9</w:t>
            </w:r>
            <w:r>
              <w:rPr>
                <w:rFonts w:hint="eastAsia" w:ascii="宋体" w:hAnsi="宋体" w:eastAsia="宋体" w:cs="宋体"/>
                <w:b/>
                <w:bCs/>
                <w:i w:val="0"/>
                <w:iCs w:val="0"/>
                <w:caps w:val="0"/>
                <w:color w:val="auto"/>
                <w:spacing w:val="0"/>
                <w:sz w:val="21"/>
                <w:szCs w:val="21"/>
                <w:shd w:val="clear" w:fill="FFFFFF"/>
                <w:lang w:val="en-US" w:eastAsia="zh-CN"/>
              </w:rPr>
              <w:t xml:space="preserve">  与《</w:t>
            </w:r>
            <w:r>
              <w:rPr>
                <w:rFonts w:hint="eastAsia" w:ascii="宋体" w:hAnsi="宋体" w:eastAsia="宋体" w:cs="宋体"/>
                <w:b/>
                <w:bCs/>
                <w:i w:val="0"/>
                <w:iCs w:val="0"/>
                <w:caps w:val="0"/>
                <w:color w:val="auto"/>
                <w:spacing w:val="0"/>
                <w:sz w:val="21"/>
                <w:szCs w:val="21"/>
                <w:shd w:val="clear" w:fill="FFFFFF"/>
              </w:rPr>
              <w:t>新疆生态环境保护“十四五”规划</w:t>
            </w:r>
            <w:r>
              <w:rPr>
                <w:rFonts w:hint="eastAsia" w:ascii="宋体" w:hAnsi="宋体" w:eastAsia="宋体" w:cs="宋体"/>
                <w:b/>
                <w:bCs/>
                <w:i w:val="0"/>
                <w:iCs w:val="0"/>
                <w:caps w:val="0"/>
                <w:color w:val="auto"/>
                <w:spacing w:val="0"/>
                <w:sz w:val="21"/>
                <w:szCs w:val="21"/>
                <w:shd w:val="clear" w:fill="FFFFFF"/>
                <w:lang w:val="en-US" w:eastAsia="zh-CN"/>
              </w:rPr>
              <w:t>》符合性</w:t>
            </w:r>
          </w:p>
          <w:tbl>
            <w:tblPr>
              <w:tblStyle w:val="32"/>
              <w:tblW w:w="4996"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39"/>
              <w:gridCol w:w="3090"/>
              <w:gridCol w:w="1933"/>
              <w:gridCol w:w="97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401" w:type="pct"/>
                  <w:tcBorders>
                    <w:tl2br w:val="nil"/>
                    <w:tr2bl w:val="nil"/>
                  </w:tcBorders>
                  <w:vAlign w:val="top"/>
                </w:tcPr>
                <w:p>
                  <w:pPr>
                    <w:pStyle w:val="1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序号</w:t>
                  </w:r>
                </w:p>
              </w:tc>
              <w:tc>
                <w:tcPr>
                  <w:tcW w:w="2365" w:type="pct"/>
                  <w:tcBorders>
                    <w:tl2br w:val="nil"/>
                    <w:tr2bl w:val="nil"/>
                  </w:tcBorders>
                  <w:vAlign w:val="top"/>
                </w:tcPr>
                <w:p>
                  <w:pPr>
                    <w:pStyle w:val="1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规划要求</w:t>
                  </w:r>
                </w:p>
              </w:tc>
              <w:tc>
                <w:tcPr>
                  <w:tcW w:w="1481" w:type="pct"/>
                  <w:tcBorders>
                    <w:tl2br w:val="nil"/>
                    <w:tr2bl w:val="nil"/>
                  </w:tcBorders>
                  <w:vAlign w:val="top"/>
                </w:tcPr>
                <w:p>
                  <w:pPr>
                    <w:pStyle w:val="1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本项目</w:t>
                  </w:r>
                </w:p>
              </w:tc>
              <w:tc>
                <w:tcPr>
                  <w:tcW w:w="751" w:type="pct"/>
                  <w:tcBorders>
                    <w:tl2br w:val="nil"/>
                    <w:tr2bl w:val="nil"/>
                  </w:tcBorders>
                  <w:vAlign w:val="top"/>
                </w:tcPr>
                <w:p>
                  <w:pPr>
                    <w:pStyle w:val="1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401" w:type="pct"/>
                  <w:tcBorders>
                    <w:tl2br w:val="nil"/>
                    <w:tr2bl w:val="nil"/>
                  </w:tcBorders>
                  <w:vAlign w:val="top"/>
                </w:tcPr>
                <w:p>
                  <w:pPr>
                    <w:pStyle w:val="1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w:t>
                  </w:r>
                </w:p>
              </w:tc>
              <w:tc>
                <w:tcPr>
                  <w:tcW w:w="2365" w:type="pct"/>
                  <w:tcBorders>
                    <w:tl2br w:val="nil"/>
                    <w:tr2bl w:val="nil"/>
                  </w:tcBorders>
                  <w:vAlign w:val="top"/>
                </w:tcPr>
                <w:p>
                  <w:pPr>
                    <w:pStyle w:val="1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督促各类危险废物产生单位和经营单位依法申报危险废物产生处置情况，报备管理计划，做好信息公开工作，规范运行危险废物转移联单。</w:t>
                  </w:r>
                </w:p>
              </w:tc>
              <w:tc>
                <w:tcPr>
                  <w:tcW w:w="1481" w:type="pct"/>
                  <w:tcBorders>
                    <w:tl2br w:val="nil"/>
                    <w:tr2bl w:val="nil"/>
                  </w:tcBorders>
                  <w:vAlign w:val="top"/>
                </w:tcPr>
                <w:p>
                  <w:pPr>
                    <w:pStyle w:val="1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本项目运营过程中按照《</w:t>
                  </w:r>
                  <w:r>
                    <w:rPr>
                      <w:rFonts w:hint="default" w:ascii="Times New Roman" w:hAnsi="Times New Roman" w:eastAsia="宋体" w:cs="Times New Roman"/>
                      <w:color w:val="auto"/>
                      <w:sz w:val="21"/>
                      <w:szCs w:val="21"/>
                    </w:rPr>
                    <w:t>危险废物转移联单</w:t>
                  </w:r>
                  <w:r>
                    <w:rPr>
                      <w:rFonts w:hint="default" w:ascii="Times New Roman" w:hAnsi="Times New Roman" w:eastAsia="宋体" w:cs="Times New Roman"/>
                      <w:color w:val="auto"/>
                      <w:sz w:val="21"/>
                      <w:szCs w:val="21"/>
                      <w:lang w:val="en-US" w:eastAsia="zh-CN"/>
                    </w:rPr>
                    <w:t>管理办法</w:t>
                  </w:r>
                  <w:r>
                    <w:rPr>
                      <w:rFonts w:hint="default" w:ascii="Times New Roman" w:hAnsi="Times New Roman" w:eastAsia="宋体" w:cs="Times New Roman"/>
                      <w:color w:val="auto"/>
                      <w:sz w:val="21"/>
                      <w:szCs w:val="21"/>
                      <w:vertAlign w:val="baseline"/>
                      <w:lang w:val="en-US" w:eastAsia="zh-CN"/>
                    </w:rPr>
                    <w:t>》实施危险废物转移联单。</w:t>
                  </w:r>
                </w:p>
              </w:tc>
              <w:tc>
                <w:tcPr>
                  <w:tcW w:w="751" w:type="pct"/>
                  <w:tcBorders>
                    <w:tl2br w:val="nil"/>
                    <w:tr2bl w:val="nil"/>
                  </w:tcBorders>
                  <w:vAlign w:val="top"/>
                </w:tcPr>
                <w:p>
                  <w:pPr>
                    <w:pStyle w:val="1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401" w:type="pct"/>
                  <w:tcBorders>
                    <w:tl2br w:val="nil"/>
                    <w:tr2bl w:val="nil"/>
                  </w:tcBorders>
                  <w:vAlign w:val="top"/>
                </w:tcPr>
                <w:p>
                  <w:pPr>
                    <w:pStyle w:val="1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w:t>
                  </w:r>
                </w:p>
              </w:tc>
              <w:tc>
                <w:tcPr>
                  <w:tcW w:w="2365" w:type="pct"/>
                  <w:tcBorders>
                    <w:tl2br w:val="nil"/>
                    <w:tr2bl w:val="nil"/>
                  </w:tcBorders>
                  <w:vAlign w:val="top"/>
                </w:tcPr>
                <w:p>
                  <w:pPr>
                    <w:pStyle w:val="12"/>
                    <w:adjustRightInd/>
                    <w:snapToGrid/>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强化风险防控，严守生态环境底线，第一节 加强危险废物医疗废物收集处理，第一条 提升危险废物收集与利用处置能力。的要求如下：推进危险废物收运体系建设，开展危险废物集中收集贮存试点，提升小微企业、工业园区、检验检测机构、教学科研机构等危险废物收集转运能力。推进兵地统筹、区域合作，实现兵地间、区域间危险废物转移无缝衔接，探索建立危险废物跨区域转移处置补偿机制。</w:t>
                  </w:r>
                </w:p>
              </w:tc>
              <w:tc>
                <w:tcPr>
                  <w:tcW w:w="1481" w:type="pct"/>
                  <w:tcBorders>
                    <w:tl2br w:val="nil"/>
                    <w:tr2bl w:val="nil"/>
                  </w:tcBorders>
                  <w:vAlign w:val="top"/>
                </w:tcPr>
                <w:p>
                  <w:pPr>
                    <w:pStyle w:val="12"/>
                    <w:keepNext w:val="0"/>
                    <w:keepLines w:val="0"/>
                    <w:pageBreakBefore w:val="0"/>
                    <w:widowControl w:val="0"/>
                    <w:kinsoku/>
                    <w:wordWrap/>
                    <w:overflowPunct/>
                    <w:topLinePunct w:val="0"/>
                    <w:autoSpaceDE/>
                    <w:autoSpaceDN/>
                    <w:bidi w:val="0"/>
                    <w:adjustRightInd/>
                    <w:snapToGrid/>
                    <w:spacing w:after="0" w:line="240" w:lineRule="auto"/>
                    <w:jc w:val="left"/>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rPr>
                    <w:t>本</w:t>
                  </w:r>
                  <w:r>
                    <w:rPr>
                      <w:rFonts w:hint="default" w:ascii="Times New Roman" w:hAnsi="Times New Roman" w:eastAsia="宋体" w:cs="Times New Roman"/>
                      <w:color w:val="auto"/>
                      <w:sz w:val="21"/>
                      <w:szCs w:val="21"/>
                      <w:lang w:val="en-US" w:eastAsia="zh-CN"/>
                    </w:rPr>
                    <w:t>项目</w:t>
                  </w:r>
                  <w:r>
                    <w:rPr>
                      <w:rFonts w:hint="eastAsia" w:ascii="Times New Roman" w:hAnsi="Times New Roman" w:eastAsia="宋体" w:cs="Times New Roman"/>
                      <w:color w:val="auto"/>
                      <w:sz w:val="21"/>
                      <w:szCs w:val="21"/>
                      <w:lang w:val="en-US" w:eastAsia="zh-CN"/>
                    </w:rPr>
                    <w:t>只对</w:t>
                  </w:r>
                  <w:r>
                    <w:rPr>
                      <w:rFonts w:hint="eastAsia" w:ascii="Times New Roman" w:hAnsi="Times New Roman" w:eastAsia="宋体" w:cs="Times New Roman"/>
                      <w:color w:val="auto"/>
                      <w:sz w:val="21"/>
                      <w:szCs w:val="21"/>
                    </w:rPr>
                    <w:t>中国石油运输有限公司</w:t>
                  </w:r>
                  <w:r>
                    <w:rPr>
                      <w:rFonts w:hint="eastAsia" w:ascii="Times New Roman" w:hAnsi="Times New Roman" w:eastAsia="宋体" w:cs="Times New Roman"/>
                      <w:color w:val="auto"/>
                      <w:sz w:val="21"/>
                      <w:szCs w:val="21"/>
                      <w:lang w:val="en-US" w:eastAsia="zh-CN"/>
                    </w:rPr>
                    <w:t>一分公司车辆维修、保养过程中产生的</w:t>
                  </w:r>
                  <w:r>
                    <w:rPr>
                      <w:rFonts w:hint="eastAsia" w:ascii="Times New Roman" w:hAnsi="Times New Roman" w:eastAsia="宋体" w:cs="Times New Roman"/>
                      <w:color w:val="auto"/>
                      <w:sz w:val="21"/>
                      <w:szCs w:val="21"/>
                    </w:rPr>
                    <w:t>废机油、机柴滤及废电瓶</w:t>
                  </w:r>
                  <w:r>
                    <w:rPr>
                      <w:rFonts w:hint="default" w:ascii="Times New Roman" w:hAnsi="Times New Roman" w:eastAsia="宋体" w:cs="Times New Roman"/>
                      <w:color w:val="auto"/>
                      <w:sz w:val="21"/>
                      <w:szCs w:val="21"/>
                    </w:rPr>
                    <w:t>进行暂存，不涉及处理处置，暂存的危险废物均委托有危废处置资质的单位进行处置。因此本工程符合新疆生态环境保护“十四五”规划要求。</w:t>
                  </w:r>
                </w:p>
              </w:tc>
              <w:tc>
                <w:tcPr>
                  <w:tcW w:w="751" w:type="pct"/>
                  <w:tcBorders>
                    <w:tl2br w:val="nil"/>
                    <w:tr2bl w:val="nil"/>
                  </w:tcBorders>
                  <w:vAlign w:val="top"/>
                </w:tcPr>
                <w:p>
                  <w:pPr>
                    <w:pStyle w:val="1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符合</w:t>
                  </w:r>
                </w:p>
              </w:tc>
            </w:tr>
          </w:tbl>
          <w:p>
            <w:pPr>
              <w:pStyle w:val="68"/>
              <w:numPr>
                <w:ilvl w:val="0"/>
                <w:numId w:val="4"/>
              </w:numPr>
              <w:ind w:firstLine="482"/>
              <w:rPr>
                <w:rFonts w:hint="eastAsia" w:ascii="Times New Roman" w:hAnsi="Times New Roman" w:eastAsia="宋体" w:cs="宋体"/>
                <w:b/>
                <w:bCs/>
                <w:color w:val="auto"/>
                <w:lang w:val="en-US" w:eastAsia="zh-CN"/>
              </w:rPr>
            </w:pPr>
            <w:r>
              <w:rPr>
                <w:rFonts w:hint="eastAsia" w:ascii="Times New Roman" w:hAnsi="Times New Roman" w:eastAsia="宋体" w:cs="宋体"/>
                <w:b/>
                <w:bCs/>
                <w:color w:val="auto"/>
                <w:lang w:val="en-US" w:eastAsia="zh-CN"/>
              </w:rPr>
              <w:t>与</w:t>
            </w:r>
            <w:r>
              <w:rPr>
                <w:rFonts w:hint="default" w:ascii="Times New Roman" w:hAnsi="Times New Roman" w:eastAsia="宋体" w:cs="宋体"/>
                <w:b/>
                <w:bCs/>
                <w:color w:val="auto"/>
                <w:lang w:val="en-US" w:eastAsia="zh-CN"/>
              </w:rPr>
              <w:t>《昌吉回族自治州生态环境保护与建设“十四五”规划》</w:t>
            </w:r>
            <w:r>
              <w:rPr>
                <w:rFonts w:hint="eastAsia" w:eastAsia="宋体" w:cs="宋体"/>
                <w:b/>
                <w:bCs/>
                <w:color w:val="auto"/>
                <w:lang w:val="en-US" w:eastAsia="zh-CN"/>
              </w:rPr>
              <w:t>符合性分析</w:t>
            </w:r>
          </w:p>
          <w:p>
            <w:pPr>
              <w:adjustRightInd w:val="0"/>
              <w:snapToGrid w:val="0"/>
              <w:spacing w:line="520" w:lineRule="exact"/>
              <w:ind w:firstLine="480" w:firstLineChars="200"/>
              <w:rPr>
                <w:rFonts w:hint="eastAsia"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《昌吉回族自治州生态环境保护与建设“十四五”规划》</w:t>
            </w:r>
            <w:r>
              <w:rPr>
                <w:rFonts w:hint="eastAsia" w:ascii="Times New Roman" w:hAnsi="Times New Roman" w:eastAsia="宋体" w:cs="Times New Roman"/>
                <w:color w:val="auto"/>
                <w:sz w:val="24"/>
                <w:lang w:val="en-US" w:eastAsia="zh-CN"/>
              </w:rPr>
              <w:t>中提出“强化危废全过程监管。严格</w:t>
            </w:r>
            <w:r>
              <w:rPr>
                <w:rFonts w:hint="default" w:ascii="Times New Roman" w:hAnsi="Times New Roman" w:eastAsia="宋体" w:cs="Times New Roman"/>
                <w:color w:val="auto"/>
                <w:sz w:val="24"/>
                <w:lang w:val="en-US" w:eastAsia="zh-CN"/>
              </w:rPr>
              <w:t>落实危险废物经营许可、转移等管理制度，优化危废跨区域转移审批手续等全过程监管。继续加强危险废物管理督查考核和环境执法检查，扎实开展危险废物专项整治行动，强化部门之间联动，强化危险废物全过程环境监管。持续推进危险废物规范化环境管理，对长期大量积存危险废物重点企业开展重点管控，不断完善固体废物信息管理平台，不断提升危险废物处置能力</w:t>
            </w:r>
            <w:r>
              <w:rPr>
                <w:rFonts w:hint="eastAsia" w:ascii="Times New Roman" w:hAnsi="Times New Roman" w:eastAsia="宋体" w:cs="Times New Roman"/>
                <w:color w:val="auto"/>
                <w:sz w:val="24"/>
                <w:lang w:val="en-US" w:eastAsia="zh-CN"/>
              </w:rPr>
              <w:t>”。</w:t>
            </w:r>
          </w:p>
          <w:p>
            <w:pPr>
              <w:adjustRightInd w:val="0"/>
              <w:snapToGrid w:val="0"/>
              <w:spacing w:line="520" w:lineRule="exact"/>
              <w:ind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本项目</w:t>
            </w:r>
            <w:r>
              <w:rPr>
                <w:rFonts w:hint="eastAsia" w:ascii="Times New Roman" w:hAnsi="Times New Roman" w:eastAsia="宋体" w:cs="Times New Roman"/>
                <w:color w:val="auto"/>
                <w:sz w:val="24"/>
                <w:lang w:val="en-US" w:eastAsia="zh-CN"/>
              </w:rPr>
              <w:t>只对中国石油运输有限公司一分公司车辆维修、保养过程中产生的废机油、机柴滤及废电瓶</w:t>
            </w:r>
            <w:r>
              <w:rPr>
                <w:rFonts w:hint="default" w:ascii="Times New Roman" w:hAnsi="Times New Roman" w:eastAsia="宋体" w:cs="Times New Roman"/>
                <w:color w:val="auto"/>
                <w:sz w:val="24"/>
                <w:lang w:val="en-US" w:eastAsia="zh-CN"/>
              </w:rPr>
              <w:t>进行暂存，不涉及处理处置，暂存的危险废物均委托有危废处置资质的单位进行处置。</w:t>
            </w:r>
            <w:r>
              <w:rPr>
                <w:rFonts w:hint="eastAsia" w:ascii="Times New Roman" w:hAnsi="Times New Roman" w:eastAsia="宋体" w:cs="Times New Roman"/>
                <w:color w:val="auto"/>
                <w:sz w:val="24"/>
                <w:lang w:val="en-US" w:eastAsia="zh-CN"/>
              </w:rPr>
              <w:t>项目的建设有助于建设单位危险废物的规范化管理。</w:t>
            </w:r>
            <w:r>
              <w:rPr>
                <w:rFonts w:hint="default" w:ascii="Times New Roman" w:hAnsi="Times New Roman" w:eastAsia="宋体" w:cs="Times New Roman"/>
                <w:color w:val="auto"/>
                <w:sz w:val="24"/>
                <w:lang w:val="en-US" w:eastAsia="zh-CN"/>
              </w:rPr>
              <w:t>因此本工程符合昌吉回族自治州生态环境保护与建设“十四五”规划要求。</w:t>
            </w:r>
          </w:p>
          <w:p>
            <w:pPr>
              <w:pStyle w:val="68"/>
              <w:numPr>
                <w:ilvl w:val="0"/>
                <w:numId w:val="4"/>
              </w:numPr>
              <w:ind w:firstLine="482"/>
              <w:rPr>
                <w:rFonts w:hint="eastAsia" w:ascii="Times New Roman" w:hAnsi="Times New Roman" w:eastAsia="宋体" w:cs="宋体"/>
                <w:b/>
                <w:bCs/>
                <w:color w:val="auto"/>
                <w:lang w:val="en-US" w:eastAsia="zh-CN"/>
              </w:rPr>
            </w:pPr>
            <w:r>
              <w:rPr>
                <w:rFonts w:hint="eastAsia" w:ascii="Times New Roman" w:hAnsi="Times New Roman" w:eastAsia="宋体" w:cs="宋体"/>
                <w:b/>
                <w:bCs/>
                <w:color w:val="auto"/>
                <w:lang w:val="en-US" w:eastAsia="zh-CN"/>
              </w:rPr>
              <w:t>与《挥发性有机物无组织排放控制标准》（GB37822-2019）符合性分析</w:t>
            </w:r>
          </w:p>
          <w:p>
            <w:pPr>
              <w:adjustRightInd w:val="0"/>
              <w:snapToGrid w:val="0"/>
              <w:spacing w:line="520" w:lineRule="exact"/>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挥发性有机物无组织排放控制标准》（GB37822-2019）提出“VOCs物料应储存于密闭的容器、包装袋、储罐、储库、料仓中”“盛装VOCs物料的容器或者包装袋在非取用状态时应加盖、封口、保持密闭”。本项目废机油存储于密闭的铁桶中，符合该标准中的相关要求。</w:t>
            </w:r>
          </w:p>
          <w:p>
            <w:pPr>
              <w:pStyle w:val="68"/>
              <w:numPr>
                <w:ilvl w:val="0"/>
                <w:numId w:val="4"/>
              </w:numPr>
              <w:ind w:firstLine="482"/>
              <w:rPr>
                <w:rFonts w:hint="eastAsia" w:ascii="Times New Roman" w:hAnsi="Times New Roman" w:eastAsia="宋体" w:cs="宋体"/>
                <w:b/>
                <w:bCs/>
                <w:color w:val="auto"/>
                <w:lang w:val="en-US" w:eastAsia="zh-CN"/>
              </w:rPr>
            </w:pPr>
            <w:r>
              <w:rPr>
                <w:rFonts w:hint="eastAsia" w:ascii="Times New Roman" w:hAnsi="Times New Roman" w:eastAsia="宋体" w:cs="宋体"/>
                <w:b/>
                <w:bCs/>
                <w:color w:val="auto"/>
                <w:lang w:val="en-US" w:eastAsia="zh-CN"/>
              </w:rPr>
              <w:t>与《</w:t>
            </w:r>
            <w:r>
              <w:rPr>
                <w:rFonts w:hint="eastAsia" w:eastAsia="宋体" w:cs="宋体"/>
                <w:b/>
                <w:bCs/>
                <w:color w:val="auto"/>
                <w:lang w:val="en-US" w:eastAsia="zh-CN"/>
              </w:rPr>
              <w:t>新疆维吾尔自治区大气污染防治条例</w:t>
            </w:r>
            <w:r>
              <w:rPr>
                <w:rFonts w:hint="eastAsia" w:ascii="Times New Roman" w:hAnsi="Times New Roman" w:eastAsia="宋体" w:cs="宋体"/>
                <w:b/>
                <w:bCs/>
                <w:color w:val="auto"/>
                <w:lang w:val="en-US" w:eastAsia="zh-CN"/>
              </w:rPr>
              <w:t>》符合性分析</w:t>
            </w:r>
          </w:p>
          <w:p>
            <w:pPr>
              <w:pStyle w:val="68"/>
              <w:numPr>
                <w:ilvl w:val="0"/>
                <w:numId w:val="0"/>
              </w:numPr>
              <w:rPr>
                <w:rFonts w:hint="default" w:ascii="Times New Roman" w:hAnsi="Times New Roman" w:eastAsia="宋体" w:cs="宋体"/>
                <w:b/>
                <w:bCs/>
                <w:color w:val="auto"/>
                <w:lang w:val="en-US" w:eastAsia="zh-CN"/>
              </w:rPr>
            </w:pPr>
            <w:r>
              <w:rPr>
                <w:rFonts w:hint="eastAsia" w:ascii="Times New Roman" w:hAnsi="Times New Roman" w:eastAsia="宋体" w:cs="宋体"/>
                <w:b/>
                <w:bCs/>
                <w:color w:val="auto"/>
                <w:lang w:val="en-US" w:eastAsia="zh-CN"/>
              </w:rPr>
              <w:t>《</w:t>
            </w:r>
            <w:r>
              <w:rPr>
                <w:rFonts w:hint="eastAsia" w:eastAsia="宋体" w:cs="宋体"/>
                <w:b/>
                <w:bCs/>
                <w:color w:val="auto"/>
                <w:lang w:val="en-US" w:eastAsia="zh-CN"/>
              </w:rPr>
              <w:t>新疆维吾尔自治区大气污染防治条例</w:t>
            </w:r>
            <w:r>
              <w:rPr>
                <w:rFonts w:hint="eastAsia" w:ascii="Times New Roman" w:hAnsi="Times New Roman" w:eastAsia="宋体" w:cs="宋体"/>
                <w:b/>
                <w:bCs/>
                <w:color w:val="auto"/>
                <w:lang w:val="en-US" w:eastAsia="zh-CN"/>
              </w:rPr>
              <w:t>》</w:t>
            </w:r>
            <w:r>
              <w:rPr>
                <w:rFonts w:hint="eastAsia" w:eastAsia="宋体" w:cs="宋体"/>
                <w:b/>
                <w:bCs/>
                <w:color w:val="auto"/>
                <w:lang w:val="en-US" w:eastAsia="zh-CN"/>
              </w:rPr>
              <w:t>提</w:t>
            </w:r>
            <w:r>
              <w:rPr>
                <w:rFonts w:hint="eastAsia" w:ascii="Times New Roman" w:hAnsi="Times New Roman" w:eastAsia="宋体" w:cs="Times New Roman"/>
                <w:snapToGrid/>
                <w:color w:val="auto"/>
                <w:kern w:val="2"/>
                <w:sz w:val="24"/>
                <w:szCs w:val="24"/>
                <w:lang w:val="en-US" w:eastAsia="zh-CN" w:bidi="ar-SA"/>
              </w:rPr>
              <w:t>出“产生含挥发性有机物废气的生产和服务活动，应当按照国家规定在密闭空间或者设备中进行，并安装、使用污染防治设施;无法密闭的，应当采取措施减少废气排放”</w:t>
            </w:r>
            <w:r>
              <w:rPr>
                <w:rFonts w:hint="eastAsia" w:eastAsia="宋体" w:cs="Times New Roman"/>
                <w:snapToGrid/>
                <w:color w:val="auto"/>
                <w:kern w:val="2"/>
                <w:sz w:val="24"/>
                <w:szCs w:val="24"/>
                <w:lang w:val="en-US" w:eastAsia="zh-CN" w:bidi="ar-SA"/>
              </w:rPr>
              <w:t>，</w:t>
            </w:r>
            <w:r>
              <w:rPr>
                <w:rFonts w:hint="eastAsia" w:ascii="Times New Roman" w:hAnsi="Times New Roman" w:eastAsia="宋体" w:cs="Times New Roman"/>
                <w:color w:val="auto"/>
                <w:sz w:val="24"/>
                <w:lang w:val="en-US" w:eastAsia="zh-CN"/>
              </w:rPr>
              <w:t>本项目</w:t>
            </w:r>
            <w:r>
              <w:rPr>
                <w:rFonts w:hint="eastAsia" w:cs="Times New Roman"/>
                <w:color w:val="auto"/>
                <w:sz w:val="24"/>
                <w:lang w:val="en-US" w:eastAsia="zh-CN"/>
              </w:rPr>
              <w:t>废机油</w:t>
            </w:r>
            <w:r>
              <w:rPr>
                <w:rFonts w:hint="eastAsia" w:ascii="Times New Roman" w:hAnsi="Times New Roman" w:eastAsia="宋体" w:cs="Times New Roman"/>
                <w:color w:val="auto"/>
                <w:sz w:val="24"/>
                <w:lang w:val="en-US" w:eastAsia="zh-CN"/>
              </w:rPr>
              <w:t>存储于密闭的铁桶中，符合该</w:t>
            </w:r>
            <w:r>
              <w:rPr>
                <w:rFonts w:hint="eastAsia" w:eastAsia="宋体" w:cs="Times New Roman"/>
                <w:color w:val="auto"/>
                <w:sz w:val="24"/>
                <w:lang w:val="en-US" w:eastAsia="zh-CN"/>
              </w:rPr>
              <w:t>条例</w:t>
            </w:r>
            <w:r>
              <w:rPr>
                <w:rFonts w:hint="eastAsia" w:ascii="Times New Roman" w:hAnsi="Times New Roman" w:eastAsia="宋体" w:cs="Times New Roman"/>
                <w:color w:val="auto"/>
                <w:sz w:val="24"/>
                <w:lang w:val="en-US" w:eastAsia="zh-CN"/>
              </w:rPr>
              <w:t>中的相关要求。</w:t>
            </w:r>
          </w:p>
          <w:p>
            <w:pPr>
              <w:pStyle w:val="24"/>
              <w:numPr>
                <w:ilvl w:val="0"/>
                <w:numId w:val="0"/>
              </w:numPr>
              <w:ind w:leftChars="-200"/>
              <w:rPr>
                <w:rFonts w:hint="default"/>
                <w:color w:val="auto"/>
                <w:lang w:val="en-US" w:eastAsia="zh-CN"/>
              </w:rPr>
            </w:pPr>
          </w:p>
          <w:p>
            <w:pPr>
              <w:pStyle w:val="68"/>
              <w:ind w:firstLine="482"/>
              <w:rPr>
                <w:b/>
                <w:bCs/>
                <w:color w:val="auto"/>
              </w:rPr>
            </w:pPr>
            <w:r>
              <w:rPr>
                <w:rFonts w:hint="eastAsia"/>
                <w:b/>
                <w:bCs/>
                <w:color w:val="auto"/>
                <w:lang w:val="en-US" w:eastAsia="zh-CN"/>
              </w:rPr>
              <w:t>11</w:t>
            </w:r>
            <w:r>
              <w:rPr>
                <w:rFonts w:hint="eastAsia"/>
                <w:b/>
                <w:bCs/>
                <w:color w:val="auto"/>
              </w:rPr>
              <w:t>、与《电池废料贮运规范》（GB/T26493-2011）符合性分析</w:t>
            </w:r>
          </w:p>
          <w:p>
            <w:pPr>
              <w:pStyle w:val="64"/>
              <w:spacing w:line="240" w:lineRule="auto"/>
              <w:ind w:firstLine="0" w:firstLineChars="0"/>
              <w:jc w:val="center"/>
              <w:rPr>
                <w:color w:val="auto"/>
              </w:rPr>
            </w:pPr>
            <w:r>
              <w:rPr>
                <w:rFonts w:hAnsi="Times New Roman" w:eastAsia="黑体"/>
                <w:b w:val="0"/>
                <w:bCs w:val="0"/>
                <w:color w:val="auto"/>
                <w:szCs w:val="24"/>
              </w:rPr>
              <w:t>表1-</w:t>
            </w:r>
            <w:r>
              <w:rPr>
                <w:rFonts w:hint="eastAsia" w:hAnsi="Times New Roman" w:eastAsia="黑体"/>
                <w:b w:val="0"/>
                <w:bCs w:val="0"/>
                <w:color w:val="auto"/>
                <w:szCs w:val="24"/>
                <w:lang w:val="en-US" w:eastAsia="zh-CN"/>
              </w:rPr>
              <w:t>5</w:t>
            </w:r>
            <w:r>
              <w:rPr>
                <w:rFonts w:hint="eastAsia" w:hAnsi="Times New Roman" w:eastAsia="黑体"/>
                <w:b w:val="0"/>
                <w:bCs w:val="0"/>
                <w:color w:val="auto"/>
                <w:szCs w:val="24"/>
              </w:rPr>
              <w:t xml:space="preserve">   与《电池废料贮运规范》符合性</w:t>
            </w:r>
            <w:r>
              <w:rPr>
                <w:rFonts w:hAnsi="Times New Roman" w:eastAsia="黑体"/>
                <w:b w:val="0"/>
                <w:bCs w:val="0"/>
                <w:color w:val="auto"/>
                <w:szCs w:val="24"/>
              </w:rPr>
              <w:t>分析</w:t>
            </w:r>
          </w:p>
          <w:tbl>
            <w:tblPr>
              <w:tblStyle w:val="32"/>
              <w:tblW w:w="5000" w:type="pct"/>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426"/>
              <w:gridCol w:w="3180"/>
              <w:gridCol w:w="2486"/>
              <w:gridCol w:w="454"/>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PrEx>
              <w:tc>
                <w:tcPr>
                  <w:tcW w:w="280" w:type="pct"/>
                  <w:vAlign w:val="center"/>
                </w:tcPr>
                <w:p>
                  <w:pPr>
                    <w:jc w:val="center"/>
                    <w:rPr>
                      <w:color w:val="auto"/>
                      <w:szCs w:val="21"/>
                    </w:rPr>
                  </w:pPr>
                  <w:r>
                    <w:rPr>
                      <w:rFonts w:hint="eastAsia"/>
                      <w:color w:val="auto"/>
                      <w:szCs w:val="21"/>
                    </w:rPr>
                    <w:t>序号</w:t>
                  </w:r>
                </w:p>
              </w:tc>
              <w:tc>
                <w:tcPr>
                  <w:tcW w:w="2444" w:type="pct"/>
                  <w:vAlign w:val="center"/>
                </w:tcPr>
                <w:p>
                  <w:pPr>
                    <w:jc w:val="center"/>
                    <w:rPr>
                      <w:color w:val="auto"/>
                      <w:szCs w:val="21"/>
                    </w:rPr>
                  </w:pPr>
                  <w:r>
                    <w:rPr>
                      <w:rFonts w:hint="eastAsia"/>
                      <w:color w:val="auto"/>
                      <w:szCs w:val="21"/>
                    </w:rPr>
                    <w:t>内容、要求</w:t>
                  </w:r>
                </w:p>
              </w:tc>
              <w:tc>
                <w:tcPr>
                  <w:tcW w:w="1914" w:type="pct"/>
                  <w:vAlign w:val="center"/>
                </w:tcPr>
                <w:p>
                  <w:pPr>
                    <w:jc w:val="center"/>
                    <w:rPr>
                      <w:color w:val="auto"/>
                      <w:szCs w:val="21"/>
                    </w:rPr>
                  </w:pPr>
                  <w:r>
                    <w:rPr>
                      <w:rFonts w:hint="eastAsia"/>
                      <w:color w:val="auto"/>
                      <w:szCs w:val="21"/>
                    </w:rPr>
                    <w:t>本工程</w:t>
                  </w:r>
                </w:p>
              </w:tc>
              <w:tc>
                <w:tcPr>
                  <w:tcW w:w="362" w:type="pct"/>
                  <w:vAlign w:val="center"/>
                </w:tcPr>
                <w:p>
                  <w:pPr>
                    <w:jc w:val="center"/>
                    <w:rPr>
                      <w:color w:val="auto"/>
                      <w:szCs w:val="21"/>
                    </w:rPr>
                  </w:pPr>
                  <w:r>
                    <w:rPr>
                      <w:rFonts w:hint="eastAsia"/>
                      <w:color w:val="auto"/>
                      <w:szCs w:val="21"/>
                    </w:rPr>
                    <w:t>相符性</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PrEx>
              <w:tc>
                <w:tcPr>
                  <w:tcW w:w="280" w:type="pct"/>
                  <w:vAlign w:val="center"/>
                </w:tcPr>
                <w:p>
                  <w:pPr>
                    <w:jc w:val="center"/>
                    <w:rPr>
                      <w:color w:val="auto"/>
                      <w:szCs w:val="21"/>
                    </w:rPr>
                  </w:pPr>
                  <w:r>
                    <w:rPr>
                      <w:rFonts w:hint="eastAsia"/>
                      <w:color w:val="auto"/>
                      <w:szCs w:val="21"/>
                    </w:rPr>
                    <w:t>1</w:t>
                  </w:r>
                </w:p>
              </w:tc>
              <w:tc>
                <w:tcPr>
                  <w:tcW w:w="2444" w:type="pct"/>
                  <w:vAlign w:val="center"/>
                </w:tcPr>
                <w:p>
                  <w:pPr>
                    <w:rPr>
                      <w:color w:val="auto"/>
                      <w:szCs w:val="21"/>
                    </w:rPr>
                  </w:pPr>
                  <w:r>
                    <w:rPr>
                      <w:rFonts w:hint="eastAsia"/>
                      <w:color w:val="auto"/>
                      <w:szCs w:val="21"/>
                    </w:rPr>
                    <w:t>废铅酸蓄电池应存放在耐酸的塑料容器内。电池废料的贮存设施应按GB18597、GB18599的有关规定进行建设和管理。</w:t>
                  </w:r>
                </w:p>
              </w:tc>
              <w:tc>
                <w:tcPr>
                  <w:tcW w:w="1914" w:type="pct"/>
                  <w:vAlign w:val="center"/>
                </w:tcPr>
                <w:p>
                  <w:pPr>
                    <w:rPr>
                      <w:color w:val="auto"/>
                      <w:szCs w:val="21"/>
                    </w:rPr>
                  </w:pPr>
                  <w:r>
                    <w:rPr>
                      <w:rFonts w:hint="eastAsia"/>
                      <w:color w:val="auto"/>
                      <w:szCs w:val="21"/>
                    </w:rPr>
                    <w:t>本工程分区以防护栏分隔开，并按规定设置警示标识。本工程完整废电池均整齐有序的放在耐酸地面上，并做好标识，破损废电池在独立加盖耐酸的容器内单独存放，并黏贴危险废物标签，严格按照GB18597、GB18599的有关规定进行建设和管理。</w:t>
                  </w:r>
                </w:p>
              </w:tc>
              <w:tc>
                <w:tcPr>
                  <w:tcW w:w="362" w:type="pct"/>
                  <w:vAlign w:val="center"/>
                </w:tcPr>
                <w:p>
                  <w:pPr>
                    <w:jc w:val="center"/>
                    <w:rPr>
                      <w:color w:val="auto"/>
                      <w:szCs w:val="21"/>
                    </w:rPr>
                  </w:pPr>
                  <w:r>
                    <w:rPr>
                      <w:rFonts w:hint="eastAsia"/>
                      <w:color w:val="auto"/>
                      <w:szCs w:val="21"/>
                    </w:rPr>
                    <w:t>符合</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PrEx>
              <w:tc>
                <w:tcPr>
                  <w:tcW w:w="280" w:type="pct"/>
                  <w:vAlign w:val="center"/>
                </w:tcPr>
                <w:p>
                  <w:pPr>
                    <w:jc w:val="center"/>
                    <w:rPr>
                      <w:color w:val="auto"/>
                      <w:szCs w:val="21"/>
                    </w:rPr>
                  </w:pPr>
                  <w:r>
                    <w:rPr>
                      <w:rFonts w:hint="eastAsia"/>
                      <w:color w:val="auto"/>
                      <w:szCs w:val="21"/>
                    </w:rPr>
                    <w:t>2</w:t>
                  </w:r>
                </w:p>
              </w:tc>
              <w:tc>
                <w:tcPr>
                  <w:tcW w:w="2444" w:type="pct"/>
                  <w:vAlign w:val="center"/>
                </w:tcPr>
                <w:p>
                  <w:pPr>
                    <w:rPr>
                      <w:color w:val="auto"/>
                      <w:szCs w:val="21"/>
                    </w:rPr>
                  </w:pPr>
                  <w:r>
                    <w:rPr>
                      <w:rFonts w:hint="eastAsia"/>
                      <w:color w:val="auto"/>
                      <w:szCs w:val="21"/>
                    </w:rPr>
                    <w:t>贮存点必须有耐酸地面隔离层，以便于截留和收集任何泄露液体。</w:t>
                  </w:r>
                </w:p>
              </w:tc>
              <w:tc>
                <w:tcPr>
                  <w:tcW w:w="1914" w:type="pct"/>
                  <w:vMerge w:val="restart"/>
                  <w:vAlign w:val="center"/>
                </w:tcPr>
                <w:p>
                  <w:pPr>
                    <w:rPr>
                      <w:color w:val="auto"/>
                      <w:szCs w:val="21"/>
                    </w:rPr>
                  </w:pPr>
                  <w:r>
                    <w:rPr>
                      <w:rFonts w:hint="eastAsia"/>
                      <w:color w:val="auto"/>
                      <w:szCs w:val="21"/>
                    </w:rPr>
                    <w:t>本工程属于危险废物贮存点，在废铅蓄电池存储区域设置0.1m围堰（围堰内容积0.2m³），可以有效防止事故危险废物的泄漏。</w:t>
                  </w:r>
                  <w:r>
                    <w:rPr>
                      <w:rFonts w:hint="eastAsia" w:ascii="Calibri" w:hAnsi="Calibri" w:cs="方正楷体_GBK"/>
                      <w:color w:val="auto"/>
                      <w:lang w:val="en-US" w:eastAsia="zh-CN"/>
                    </w:rPr>
                    <w:t>本环评要求在废铅蓄电池及废机油存储区各放置一个备用铁桶，作为渗滤液的收集装置，发生大量泄露时，将泄漏液体采用油泵入备用铁桶</w:t>
                  </w:r>
                </w:p>
              </w:tc>
              <w:tc>
                <w:tcPr>
                  <w:tcW w:w="362" w:type="pct"/>
                  <w:vMerge w:val="restart"/>
                  <w:vAlign w:val="center"/>
                </w:tcPr>
                <w:p>
                  <w:pPr>
                    <w:jc w:val="center"/>
                    <w:rPr>
                      <w:color w:val="auto"/>
                      <w:szCs w:val="21"/>
                    </w:rPr>
                  </w:pPr>
                  <w:r>
                    <w:rPr>
                      <w:rFonts w:hint="eastAsia"/>
                      <w:color w:val="auto"/>
                      <w:szCs w:val="21"/>
                    </w:rPr>
                    <w:t>符合</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PrEx>
              <w:tc>
                <w:tcPr>
                  <w:tcW w:w="280" w:type="pct"/>
                  <w:vAlign w:val="center"/>
                </w:tcPr>
                <w:p>
                  <w:pPr>
                    <w:jc w:val="center"/>
                    <w:rPr>
                      <w:color w:val="auto"/>
                      <w:szCs w:val="21"/>
                    </w:rPr>
                  </w:pPr>
                  <w:r>
                    <w:rPr>
                      <w:rFonts w:hint="eastAsia"/>
                      <w:color w:val="auto"/>
                      <w:szCs w:val="21"/>
                    </w:rPr>
                    <w:t>3</w:t>
                  </w:r>
                </w:p>
              </w:tc>
              <w:tc>
                <w:tcPr>
                  <w:tcW w:w="2444" w:type="pct"/>
                  <w:vAlign w:val="center"/>
                </w:tcPr>
                <w:p>
                  <w:pPr>
                    <w:rPr>
                      <w:color w:val="auto"/>
                      <w:szCs w:val="21"/>
                    </w:rPr>
                  </w:pPr>
                  <w:r>
                    <w:rPr>
                      <w:rFonts w:hint="eastAsia"/>
                      <w:color w:val="auto"/>
                      <w:szCs w:val="21"/>
                    </w:rPr>
                    <w:t>应有足够的废水收集系统，以便收集溢出化地面，并在贮存区周围设置导流沟，导流的溶液。</w:t>
                  </w:r>
                </w:p>
              </w:tc>
              <w:tc>
                <w:tcPr>
                  <w:tcW w:w="1914" w:type="pct"/>
                  <w:vMerge w:val="continue"/>
                  <w:vAlign w:val="center"/>
                </w:tcPr>
                <w:p>
                  <w:pPr>
                    <w:rPr>
                      <w:color w:val="auto"/>
                      <w:szCs w:val="21"/>
                    </w:rPr>
                  </w:pPr>
                </w:p>
              </w:tc>
              <w:tc>
                <w:tcPr>
                  <w:tcW w:w="362" w:type="pct"/>
                  <w:vMerge w:val="continue"/>
                  <w:vAlign w:val="center"/>
                </w:tcPr>
                <w:p>
                  <w:pPr>
                    <w:jc w:val="center"/>
                    <w:rPr>
                      <w:color w:val="auto"/>
                      <w:szCs w:val="21"/>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PrEx>
              <w:tc>
                <w:tcPr>
                  <w:tcW w:w="280" w:type="pct"/>
                  <w:vAlign w:val="center"/>
                </w:tcPr>
                <w:p>
                  <w:pPr>
                    <w:jc w:val="center"/>
                    <w:rPr>
                      <w:color w:val="auto"/>
                      <w:szCs w:val="21"/>
                    </w:rPr>
                  </w:pPr>
                  <w:r>
                    <w:rPr>
                      <w:rFonts w:hint="eastAsia"/>
                      <w:color w:val="auto"/>
                      <w:szCs w:val="21"/>
                    </w:rPr>
                    <w:t>4</w:t>
                  </w:r>
                </w:p>
              </w:tc>
              <w:tc>
                <w:tcPr>
                  <w:tcW w:w="2444" w:type="pct"/>
                  <w:vAlign w:val="center"/>
                </w:tcPr>
                <w:p>
                  <w:pPr>
                    <w:rPr>
                      <w:color w:val="auto"/>
                      <w:szCs w:val="21"/>
                    </w:rPr>
                  </w:pPr>
                  <w:r>
                    <w:rPr>
                      <w:rFonts w:hint="eastAsia"/>
                      <w:color w:val="auto"/>
                      <w:szCs w:val="21"/>
                    </w:rPr>
                    <w:t>应设有适当的防火装置。</w:t>
                  </w:r>
                </w:p>
              </w:tc>
              <w:tc>
                <w:tcPr>
                  <w:tcW w:w="1914" w:type="pct"/>
                  <w:vAlign w:val="center"/>
                </w:tcPr>
                <w:p>
                  <w:pPr>
                    <w:rPr>
                      <w:color w:val="auto"/>
                      <w:szCs w:val="21"/>
                    </w:rPr>
                  </w:pPr>
                  <w:r>
                    <w:rPr>
                      <w:rFonts w:hint="eastAsia"/>
                      <w:color w:val="auto"/>
                      <w:szCs w:val="21"/>
                    </w:rPr>
                    <w:t>本工程拟配备防火装置及消防设施。</w:t>
                  </w:r>
                </w:p>
              </w:tc>
              <w:tc>
                <w:tcPr>
                  <w:tcW w:w="362" w:type="pct"/>
                  <w:vAlign w:val="center"/>
                </w:tcPr>
                <w:p>
                  <w:pPr>
                    <w:jc w:val="center"/>
                    <w:rPr>
                      <w:color w:val="auto"/>
                      <w:szCs w:val="21"/>
                    </w:rPr>
                  </w:pPr>
                  <w:r>
                    <w:rPr>
                      <w:rFonts w:hint="eastAsia"/>
                      <w:color w:val="auto"/>
                      <w:szCs w:val="21"/>
                    </w:rPr>
                    <w:t>符合</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PrEx>
              <w:tc>
                <w:tcPr>
                  <w:tcW w:w="280" w:type="pct"/>
                  <w:vAlign w:val="center"/>
                </w:tcPr>
                <w:p>
                  <w:pPr>
                    <w:jc w:val="center"/>
                    <w:rPr>
                      <w:color w:val="auto"/>
                      <w:szCs w:val="21"/>
                    </w:rPr>
                  </w:pPr>
                  <w:r>
                    <w:rPr>
                      <w:rFonts w:hint="eastAsia"/>
                      <w:color w:val="auto"/>
                      <w:szCs w:val="21"/>
                    </w:rPr>
                    <w:t>5</w:t>
                  </w:r>
                </w:p>
              </w:tc>
              <w:tc>
                <w:tcPr>
                  <w:tcW w:w="2444" w:type="pct"/>
                  <w:vAlign w:val="center"/>
                </w:tcPr>
                <w:p>
                  <w:pPr>
                    <w:rPr>
                      <w:color w:val="auto"/>
                      <w:szCs w:val="21"/>
                    </w:rPr>
                  </w:pPr>
                  <w:r>
                    <w:rPr>
                      <w:rFonts w:hint="eastAsia"/>
                      <w:color w:val="auto"/>
                      <w:szCs w:val="21"/>
                    </w:rPr>
                    <w:t>电池废料应堆放在阴凉干爽的地方，不得堆放在露天场地，不得存放在阳光直接照射，高温及潮湿的地方。</w:t>
                  </w:r>
                </w:p>
              </w:tc>
              <w:tc>
                <w:tcPr>
                  <w:tcW w:w="1914" w:type="pct"/>
                  <w:vAlign w:val="center"/>
                </w:tcPr>
                <w:p>
                  <w:pPr>
                    <w:rPr>
                      <w:color w:val="auto"/>
                      <w:szCs w:val="21"/>
                    </w:rPr>
                  </w:pPr>
                  <w:r>
                    <w:rPr>
                      <w:rFonts w:hint="eastAsia"/>
                      <w:color w:val="auto"/>
                      <w:szCs w:val="21"/>
                    </w:rPr>
                    <w:t>本工程的废旧蓄电池放置区环境阴凉干爽，无阳光直接照射，满足不高温、不潮湿的条件要求。</w:t>
                  </w:r>
                </w:p>
              </w:tc>
              <w:tc>
                <w:tcPr>
                  <w:tcW w:w="362" w:type="pct"/>
                  <w:vAlign w:val="center"/>
                </w:tcPr>
                <w:p>
                  <w:pPr>
                    <w:jc w:val="center"/>
                    <w:rPr>
                      <w:color w:val="auto"/>
                      <w:szCs w:val="21"/>
                    </w:rPr>
                  </w:pPr>
                  <w:r>
                    <w:rPr>
                      <w:rFonts w:hint="eastAsia"/>
                      <w:color w:val="auto"/>
                      <w:szCs w:val="21"/>
                    </w:rPr>
                    <w:t>符合</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PrEx>
              <w:tc>
                <w:tcPr>
                  <w:tcW w:w="280" w:type="pct"/>
                  <w:vAlign w:val="center"/>
                </w:tcPr>
                <w:p>
                  <w:pPr>
                    <w:jc w:val="center"/>
                    <w:rPr>
                      <w:color w:val="auto"/>
                      <w:szCs w:val="21"/>
                    </w:rPr>
                  </w:pPr>
                  <w:r>
                    <w:rPr>
                      <w:rFonts w:hint="eastAsia"/>
                      <w:color w:val="auto"/>
                      <w:szCs w:val="21"/>
                    </w:rPr>
                    <w:t>6</w:t>
                  </w:r>
                </w:p>
              </w:tc>
              <w:tc>
                <w:tcPr>
                  <w:tcW w:w="2444" w:type="pct"/>
                  <w:vAlign w:val="center"/>
                </w:tcPr>
                <w:p>
                  <w:pPr>
                    <w:rPr>
                      <w:color w:val="auto"/>
                      <w:szCs w:val="21"/>
                    </w:rPr>
                  </w:pPr>
                  <w:r>
                    <w:rPr>
                      <w:rFonts w:hint="eastAsia"/>
                      <w:color w:val="auto"/>
                      <w:szCs w:val="21"/>
                    </w:rPr>
                    <w:t>电池废料在贮存、运输过程中，应保证废电池的外壳完整，减少并防止有害物质的渗出。</w:t>
                  </w:r>
                </w:p>
              </w:tc>
              <w:tc>
                <w:tcPr>
                  <w:tcW w:w="1914" w:type="pct"/>
                  <w:vAlign w:val="center"/>
                </w:tcPr>
                <w:p>
                  <w:pPr>
                    <w:rPr>
                      <w:color w:val="auto"/>
                      <w:szCs w:val="21"/>
                    </w:rPr>
                  </w:pPr>
                  <w:r>
                    <w:rPr>
                      <w:rFonts w:hint="eastAsia"/>
                      <w:color w:val="auto"/>
                      <w:szCs w:val="21"/>
                    </w:rPr>
                    <w:t>本工程在收集过程中，工作人员应先检查废铅蓄电池相关情况，并在电池上黏贴相应标签，注明来源、规模、完好情况等信息。收集过程中，完整废电池均整齐有序的放在耐酸地面上，破损废电池在独立加盖耐酸的容器内单独存放，均黏贴相应标签。</w:t>
                  </w:r>
                </w:p>
              </w:tc>
              <w:tc>
                <w:tcPr>
                  <w:tcW w:w="362" w:type="pct"/>
                  <w:vAlign w:val="center"/>
                </w:tcPr>
                <w:p>
                  <w:pPr>
                    <w:jc w:val="center"/>
                    <w:rPr>
                      <w:color w:val="auto"/>
                      <w:szCs w:val="21"/>
                    </w:rPr>
                  </w:pPr>
                  <w:r>
                    <w:rPr>
                      <w:rFonts w:hint="eastAsia"/>
                      <w:color w:val="auto"/>
                      <w:szCs w:val="21"/>
                    </w:rPr>
                    <w:t>符合</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PrEx>
              <w:tc>
                <w:tcPr>
                  <w:tcW w:w="280" w:type="pct"/>
                  <w:vAlign w:val="center"/>
                </w:tcPr>
                <w:p>
                  <w:pPr>
                    <w:jc w:val="center"/>
                    <w:rPr>
                      <w:color w:val="auto"/>
                      <w:szCs w:val="21"/>
                    </w:rPr>
                  </w:pPr>
                  <w:r>
                    <w:rPr>
                      <w:rFonts w:hint="eastAsia"/>
                      <w:color w:val="auto"/>
                      <w:szCs w:val="21"/>
                    </w:rPr>
                    <w:t>7</w:t>
                  </w:r>
                </w:p>
              </w:tc>
              <w:tc>
                <w:tcPr>
                  <w:tcW w:w="2444" w:type="pct"/>
                  <w:vAlign w:val="center"/>
                </w:tcPr>
                <w:p>
                  <w:pPr>
                    <w:rPr>
                      <w:color w:val="auto"/>
                      <w:szCs w:val="21"/>
                    </w:rPr>
                  </w:pPr>
                  <w:r>
                    <w:rPr>
                      <w:rFonts w:hint="eastAsia"/>
                      <w:color w:val="auto"/>
                      <w:szCs w:val="21"/>
                    </w:rPr>
                    <w:t>电池废料的贮存仓库及场所应设专人管理，管理人员须具备电池方面的相关知识。</w:t>
                  </w:r>
                </w:p>
              </w:tc>
              <w:tc>
                <w:tcPr>
                  <w:tcW w:w="1914" w:type="pct"/>
                  <w:vAlign w:val="center"/>
                </w:tcPr>
                <w:p>
                  <w:pPr>
                    <w:rPr>
                      <w:color w:val="auto"/>
                      <w:szCs w:val="21"/>
                    </w:rPr>
                  </w:pPr>
                  <w:r>
                    <w:rPr>
                      <w:rFonts w:hint="eastAsia"/>
                      <w:color w:val="auto"/>
                      <w:szCs w:val="21"/>
                    </w:rPr>
                    <w:t>暂存库设置专人管理，并进行相关培训。</w:t>
                  </w:r>
                </w:p>
              </w:tc>
              <w:tc>
                <w:tcPr>
                  <w:tcW w:w="362" w:type="pct"/>
                  <w:vAlign w:val="center"/>
                </w:tcPr>
                <w:p>
                  <w:pPr>
                    <w:jc w:val="center"/>
                    <w:rPr>
                      <w:color w:val="auto"/>
                      <w:szCs w:val="21"/>
                    </w:rPr>
                  </w:pPr>
                  <w:r>
                    <w:rPr>
                      <w:rFonts w:hint="eastAsia"/>
                      <w:color w:val="auto"/>
                      <w:szCs w:val="21"/>
                    </w:rPr>
                    <w:t>符合</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PrEx>
              <w:tc>
                <w:tcPr>
                  <w:tcW w:w="280" w:type="pct"/>
                  <w:vAlign w:val="center"/>
                </w:tcPr>
                <w:p>
                  <w:pPr>
                    <w:jc w:val="center"/>
                    <w:rPr>
                      <w:color w:val="auto"/>
                      <w:szCs w:val="21"/>
                    </w:rPr>
                  </w:pPr>
                  <w:r>
                    <w:rPr>
                      <w:rFonts w:hint="eastAsia"/>
                      <w:color w:val="auto"/>
                      <w:szCs w:val="21"/>
                    </w:rPr>
                    <w:t>8</w:t>
                  </w:r>
                </w:p>
              </w:tc>
              <w:tc>
                <w:tcPr>
                  <w:tcW w:w="2444" w:type="pct"/>
                  <w:vAlign w:val="center"/>
                </w:tcPr>
                <w:p>
                  <w:pPr>
                    <w:rPr>
                      <w:color w:val="auto"/>
                      <w:szCs w:val="21"/>
                    </w:rPr>
                  </w:pPr>
                  <w:r>
                    <w:rPr>
                      <w:rFonts w:hint="eastAsia"/>
                      <w:color w:val="auto"/>
                      <w:szCs w:val="21"/>
                    </w:rPr>
                    <w:t>电池废料在贮存、运输过程中应处于放电状态。</w:t>
                  </w:r>
                </w:p>
              </w:tc>
              <w:tc>
                <w:tcPr>
                  <w:tcW w:w="1914" w:type="pct"/>
                  <w:vAlign w:val="center"/>
                </w:tcPr>
                <w:p>
                  <w:pPr>
                    <w:rPr>
                      <w:color w:val="auto"/>
                      <w:szCs w:val="21"/>
                    </w:rPr>
                  </w:pPr>
                  <w:r>
                    <w:rPr>
                      <w:rFonts w:hint="eastAsia"/>
                      <w:color w:val="auto"/>
                      <w:szCs w:val="21"/>
                    </w:rPr>
                    <w:t>电池废料在贮存、运输过程中应处于放电状态。</w:t>
                  </w:r>
                </w:p>
              </w:tc>
              <w:tc>
                <w:tcPr>
                  <w:tcW w:w="362" w:type="pct"/>
                  <w:vAlign w:val="center"/>
                </w:tcPr>
                <w:p>
                  <w:pPr>
                    <w:jc w:val="center"/>
                    <w:rPr>
                      <w:color w:val="auto"/>
                      <w:szCs w:val="21"/>
                    </w:rPr>
                  </w:pPr>
                  <w:r>
                    <w:rPr>
                      <w:rFonts w:hint="eastAsia"/>
                      <w:color w:val="auto"/>
                      <w:szCs w:val="21"/>
                    </w:rPr>
                    <w:t>符合</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PrEx>
              <w:tc>
                <w:tcPr>
                  <w:tcW w:w="280" w:type="pct"/>
                  <w:vAlign w:val="center"/>
                </w:tcPr>
                <w:p>
                  <w:pPr>
                    <w:jc w:val="center"/>
                    <w:rPr>
                      <w:color w:val="auto"/>
                      <w:szCs w:val="21"/>
                    </w:rPr>
                  </w:pPr>
                  <w:r>
                    <w:rPr>
                      <w:rFonts w:hint="eastAsia"/>
                      <w:color w:val="auto"/>
                      <w:szCs w:val="21"/>
                    </w:rPr>
                    <w:t>9</w:t>
                  </w:r>
                </w:p>
              </w:tc>
              <w:tc>
                <w:tcPr>
                  <w:tcW w:w="2444" w:type="pct"/>
                  <w:vAlign w:val="center"/>
                </w:tcPr>
                <w:p>
                  <w:pPr>
                    <w:rPr>
                      <w:color w:val="auto"/>
                      <w:szCs w:val="21"/>
                    </w:rPr>
                  </w:pPr>
                  <w:r>
                    <w:rPr>
                      <w:rFonts w:hint="eastAsia"/>
                      <w:color w:val="auto"/>
                      <w:szCs w:val="21"/>
                    </w:rPr>
                    <w:t>凡漏液的电池必须放置在耐酸的容器内。</w:t>
                  </w:r>
                </w:p>
              </w:tc>
              <w:tc>
                <w:tcPr>
                  <w:tcW w:w="1914" w:type="pct"/>
                  <w:vMerge w:val="restart"/>
                  <w:vAlign w:val="center"/>
                </w:tcPr>
                <w:p>
                  <w:pPr>
                    <w:rPr>
                      <w:color w:val="auto"/>
                      <w:szCs w:val="21"/>
                    </w:rPr>
                  </w:pPr>
                  <w:r>
                    <w:rPr>
                      <w:rFonts w:hint="eastAsia"/>
                      <w:color w:val="auto"/>
                      <w:szCs w:val="21"/>
                    </w:rPr>
                    <w:t>破损废电池在独立加盖耐酸的容器内单独存放，容器上按要求贴有标识。管理人员做好进出记录。</w:t>
                  </w:r>
                </w:p>
              </w:tc>
              <w:tc>
                <w:tcPr>
                  <w:tcW w:w="362" w:type="pct"/>
                  <w:vMerge w:val="restart"/>
                  <w:vAlign w:val="center"/>
                </w:tcPr>
                <w:p>
                  <w:pPr>
                    <w:jc w:val="center"/>
                    <w:rPr>
                      <w:color w:val="auto"/>
                      <w:szCs w:val="21"/>
                    </w:rPr>
                  </w:pPr>
                  <w:r>
                    <w:rPr>
                      <w:rFonts w:hint="eastAsia"/>
                      <w:color w:val="auto"/>
                      <w:szCs w:val="21"/>
                    </w:rPr>
                    <w:t>符合</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PrEx>
              <w:tc>
                <w:tcPr>
                  <w:tcW w:w="280" w:type="pct"/>
                  <w:vAlign w:val="center"/>
                </w:tcPr>
                <w:p>
                  <w:pPr>
                    <w:jc w:val="center"/>
                    <w:rPr>
                      <w:color w:val="auto"/>
                      <w:szCs w:val="21"/>
                    </w:rPr>
                  </w:pPr>
                  <w:r>
                    <w:rPr>
                      <w:rFonts w:hint="eastAsia"/>
                      <w:color w:val="auto"/>
                      <w:szCs w:val="21"/>
                    </w:rPr>
                    <w:t>10</w:t>
                  </w:r>
                </w:p>
              </w:tc>
              <w:tc>
                <w:tcPr>
                  <w:tcW w:w="2444" w:type="pct"/>
                  <w:vAlign w:val="center"/>
                </w:tcPr>
                <w:p>
                  <w:pPr>
                    <w:rPr>
                      <w:color w:val="auto"/>
                      <w:szCs w:val="21"/>
                    </w:rPr>
                  </w:pPr>
                  <w:r>
                    <w:rPr>
                      <w:rFonts w:hint="eastAsia"/>
                      <w:color w:val="auto"/>
                      <w:szCs w:val="21"/>
                    </w:rPr>
                    <w:t>电池废料的贮存容器上必须贴有标识，其上注明：a)电池废料类别、组别、名称；b)数量；c)危险废物标签(仅限含有毒有害物质电池废料)。</w:t>
                  </w:r>
                </w:p>
              </w:tc>
              <w:tc>
                <w:tcPr>
                  <w:tcW w:w="1914" w:type="pct"/>
                  <w:vMerge w:val="continue"/>
                  <w:vAlign w:val="center"/>
                </w:tcPr>
                <w:p>
                  <w:pPr>
                    <w:rPr>
                      <w:color w:val="auto"/>
                      <w:szCs w:val="21"/>
                    </w:rPr>
                  </w:pPr>
                </w:p>
              </w:tc>
              <w:tc>
                <w:tcPr>
                  <w:tcW w:w="362" w:type="pct"/>
                  <w:vMerge w:val="continue"/>
                  <w:vAlign w:val="center"/>
                </w:tcPr>
                <w:p>
                  <w:pPr>
                    <w:jc w:val="center"/>
                    <w:rPr>
                      <w:color w:val="auto"/>
                      <w:szCs w:val="21"/>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PrEx>
              <w:tc>
                <w:tcPr>
                  <w:tcW w:w="280" w:type="pct"/>
                  <w:vAlign w:val="center"/>
                </w:tcPr>
                <w:p>
                  <w:pPr>
                    <w:jc w:val="center"/>
                    <w:rPr>
                      <w:color w:val="auto"/>
                      <w:szCs w:val="21"/>
                    </w:rPr>
                  </w:pPr>
                  <w:r>
                    <w:rPr>
                      <w:rFonts w:hint="eastAsia"/>
                      <w:color w:val="auto"/>
                      <w:szCs w:val="21"/>
                    </w:rPr>
                    <w:t>11</w:t>
                  </w:r>
                </w:p>
              </w:tc>
              <w:tc>
                <w:tcPr>
                  <w:tcW w:w="2444" w:type="pct"/>
                  <w:vAlign w:val="center"/>
                </w:tcPr>
                <w:p>
                  <w:pPr>
                    <w:rPr>
                      <w:color w:val="auto"/>
                      <w:szCs w:val="21"/>
                    </w:rPr>
                  </w:pPr>
                  <w:r>
                    <w:rPr>
                      <w:rFonts w:hint="eastAsia"/>
                      <w:color w:val="auto"/>
                      <w:szCs w:val="21"/>
                    </w:rPr>
                    <w:t>电池废料的贮存仓库及场所的管理人员应做好电池废料进出的记录，记录上需注明电池废料类别、组别、名称、来源、数量、特性、入库日期、存放位置、电池废料出库日期及接收单位名称。</w:t>
                  </w:r>
                </w:p>
              </w:tc>
              <w:tc>
                <w:tcPr>
                  <w:tcW w:w="1914" w:type="pct"/>
                  <w:vMerge w:val="continue"/>
                  <w:vAlign w:val="center"/>
                </w:tcPr>
                <w:p>
                  <w:pPr>
                    <w:rPr>
                      <w:color w:val="auto"/>
                      <w:szCs w:val="21"/>
                    </w:rPr>
                  </w:pPr>
                </w:p>
              </w:tc>
              <w:tc>
                <w:tcPr>
                  <w:tcW w:w="362" w:type="pct"/>
                  <w:vMerge w:val="continue"/>
                  <w:vAlign w:val="center"/>
                </w:tcPr>
                <w:p>
                  <w:pPr>
                    <w:jc w:val="center"/>
                    <w:rPr>
                      <w:color w:val="auto"/>
                      <w:szCs w:val="21"/>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PrEx>
              <w:tc>
                <w:tcPr>
                  <w:tcW w:w="280" w:type="pct"/>
                  <w:vAlign w:val="center"/>
                </w:tcPr>
                <w:p>
                  <w:pPr>
                    <w:jc w:val="center"/>
                    <w:rPr>
                      <w:color w:val="auto"/>
                      <w:szCs w:val="21"/>
                    </w:rPr>
                  </w:pPr>
                  <w:r>
                    <w:rPr>
                      <w:rFonts w:hint="eastAsia"/>
                      <w:color w:val="auto"/>
                      <w:szCs w:val="21"/>
                    </w:rPr>
                    <w:t>12</w:t>
                  </w:r>
                </w:p>
              </w:tc>
              <w:tc>
                <w:tcPr>
                  <w:tcW w:w="2444" w:type="pct"/>
                  <w:vAlign w:val="center"/>
                </w:tcPr>
                <w:p>
                  <w:pPr>
                    <w:rPr>
                      <w:color w:val="auto"/>
                      <w:szCs w:val="21"/>
                    </w:rPr>
                  </w:pPr>
                  <w:r>
                    <w:rPr>
                      <w:rFonts w:hint="eastAsia"/>
                      <w:color w:val="auto"/>
                      <w:szCs w:val="21"/>
                    </w:rPr>
                    <w:t>运输车辆在运输途中必须持有道路运输经营许可证，其上应证明废物的来源、性质、数量、运往地点，必要时应有 单位人员负责押运工作。</w:t>
                  </w:r>
                </w:p>
              </w:tc>
              <w:tc>
                <w:tcPr>
                  <w:tcW w:w="1914" w:type="pct"/>
                  <w:vAlign w:val="center"/>
                </w:tcPr>
                <w:p>
                  <w:pPr>
                    <w:rPr>
                      <w:color w:val="auto"/>
                      <w:szCs w:val="21"/>
                    </w:rPr>
                  </w:pPr>
                  <w:r>
                    <w:rPr>
                      <w:rFonts w:hint="eastAsia"/>
                      <w:color w:val="auto"/>
                      <w:szCs w:val="21"/>
                    </w:rPr>
                    <w:t>要求运输单位为具有相应运输资质的单位。</w:t>
                  </w:r>
                </w:p>
              </w:tc>
              <w:tc>
                <w:tcPr>
                  <w:tcW w:w="362" w:type="pct"/>
                  <w:vAlign w:val="center"/>
                </w:tcPr>
                <w:p>
                  <w:pPr>
                    <w:jc w:val="center"/>
                    <w:rPr>
                      <w:color w:val="auto"/>
                      <w:szCs w:val="21"/>
                    </w:rPr>
                  </w:pPr>
                  <w:r>
                    <w:rPr>
                      <w:rFonts w:hint="eastAsia"/>
                      <w:color w:val="auto"/>
                      <w:szCs w:val="21"/>
                    </w:rPr>
                    <w:t>符合</w:t>
                  </w:r>
                </w:p>
              </w:tc>
            </w:tr>
          </w:tbl>
          <w:p>
            <w:pPr>
              <w:pStyle w:val="68"/>
              <w:ind w:firstLine="482"/>
              <w:rPr>
                <w:b/>
                <w:bCs/>
                <w:color w:val="auto"/>
              </w:rPr>
            </w:pPr>
            <w:r>
              <w:rPr>
                <w:rFonts w:hint="eastAsia"/>
                <w:b/>
                <w:bCs/>
                <w:color w:val="auto"/>
                <w:lang w:val="en-US" w:eastAsia="zh-CN"/>
              </w:rPr>
              <w:t>12</w:t>
            </w:r>
            <w:r>
              <w:rPr>
                <w:rFonts w:hint="eastAsia"/>
                <w:b/>
                <w:bCs/>
                <w:color w:val="auto"/>
              </w:rPr>
              <w:t>、与《废铅蓄电池处理污染控制技术规范》（HJ519-2020）符合性分析</w:t>
            </w:r>
          </w:p>
          <w:p>
            <w:pPr>
              <w:pStyle w:val="64"/>
              <w:spacing w:line="240" w:lineRule="auto"/>
              <w:ind w:firstLine="0" w:firstLineChars="0"/>
              <w:jc w:val="center"/>
              <w:rPr>
                <w:color w:val="auto"/>
              </w:rPr>
            </w:pPr>
            <w:r>
              <w:rPr>
                <w:rFonts w:hAnsi="Times New Roman" w:eastAsia="黑体"/>
                <w:b w:val="0"/>
                <w:bCs w:val="0"/>
                <w:color w:val="auto"/>
                <w:szCs w:val="24"/>
              </w:rPr>
              <w:t>表1-</w:t>
            </w:r>
            <w:r>
              <w:rPr>
                <w:rFonts w:hint="eastAsia" w:hAnsi="Times New Roman" w:eastAsia="黑体"/>
                <w:b w:val="0"/>
                <w:bCs w:val="0"/>
                <w:color w:val="auto"/>
                <w:szCs w:val="24"/>
                <w:lang w:val="en-US" w:eastAsia="zh-CN"/>
              </w:rPr>
              <w:t>6</w:t>
            </w:r>
            <w:r>
              <w:rPr>
                <w:rFonts w:hint="eastAsia" w:hAnsi="Times New Roman" w:eastAsia="黑体"/>
                <w:b w:val="0"/>
                <w:bCs w:val="0"/>
                <w:color w:val="auto"/>
                <w:szCs w:val="24"/>
              </w:rPr>
              <w:t xml:space="preserve">   与《废铅蓄电池处理污染控制技术规范》符合性分析</w:t>
            </w:r>
          </w:p>
          <w:tbl>
            <w:tblPr>
              <w:tblStyle w:val="32"/>
              <w:tblW w:w="0" w:type="auto"/>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550"/>
              <w:gridCol w:w="2935"/>
              <w:gridCol w:w="2434"/>
              <w:gridCol w:w="627"/>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PrEx>
              <w:tc>
                <w:tcPr>
                  <w:tcW w:w="556" w:type="dxa"/>
                  <w:vAlign w:val="center"/>
                </w:tcPr>
                <w:p>
                  <w:pPr>
                    <w:jc w:val="center"/>
                    <w:rPr>
                      <w:color w:val="auto"/>
                      <w:szCs w:val="21"/>
                    </w:rPr>
                  </w:pPr>
                  <w:r>
                    <w:rPr>
                      <w:rFonts w:hint="eastAsia"/>
                      <w:color w:val="auto"/>
                      <w:szCs w:val="21"/>
                    </w:rPr>
                    <w:t>序号</w:t>
                  </w:r>
                </w:p>
              </w:tc>
              <w:tc>
                <w:tcPr>
                  <w:tcW w:w="3025" w:type="dxa"/>
                  <w:vAlign w:val="center"/>
                </w:tcPr>
                <w:p>
                  <w:pPr>
                    <w:jc w:val="center"/>
                    <w:rPr>
                      <w:color w:val="auto"/>
                      <w:szCs w:val="21"/>
                    </w:rPr>
                  </w:pPr>
                  <w:r>
                    <w:rPr>
                      <w:rFonts w:hint="eastAsia"/>
                      <w:color w:val="auto"/>
                      <w:szCs w:val="21"/>
                    </w:rPr>
                    <w:t>内容、要求</w:t>
                  </w:r>
                </w:p>
              </w:tc>
              <w:tc>
                <w:tcPr>
                  <w:tcW w:w="2494" w:type="dxa"/>
                  <w:vAlign w:val="center"/>
                </w:tcPr>
                <w:p>
                  <w:pPr>
                    <w:jc w:val="center"/>
                    <w:rPr>
                      <w:color w:val="auto"/>
                      <w:szCs w:val="21"/>
                    </w:rPr>
                  </w:pPr>
                  <w:r>
                    <w:rPr>
                      <w:rFonts w:hint="eastAsia"/>
                      <w:color w:val="auto"/>
                      <w:szCs w:val="21"/>
                    </w:rPr>
                    <w:t>本工程</w:t>
                  </w:r>
                </w:p>
              </w:tc>
              <w:tc>
                <w:tcPr>
                  <w:tcW w:w="637" w:type="dxa"/>
                  <w:vAlign w:val="center"/>
                </w:tcPr>
                <w:p>
                  <w:pPr>
                    <w:jc w:val="center"/>
                    <w:rPr>
                      <w:color w:val="auto"/>
                      <w:szCs w:val="21"/>
                    </w:rPr>
                  </w:pPr>
                  <w:r>
                    <w:rPr>
                      <w:rFonts w:hint="eastAsia"/>
                      <w:color w:val="auto"/>
                      <w:szCs w:val="21"/>
                    </w:rPr>
                    <w:t>相符性</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PrEx>
              <w:tc>
                <w:tcPr>
                  <w:tcW w:w="556" w:type="dxa"/>
                  <w:vAlign w:val="center"/>
                </w:tcPr>
                <w:p>
                  <w:pPr>
                    <w:jc w:val="center"/>
                    <w:rPr>
                      <w:color w:val="auto"/>
                      <w:szCs w:val="21"/>
                    </w:rPr>
                  </w:pPr>
                  <w:r>
                    <w:rPr>
                      <w:rFonts w:hint="eastAsia"/>
                      <w:color w:val="auto"/>
                      <w:szCs w:val="21"/>
                    </w:rPr>
                    <w:t>1</w:t>
                  </w:r>
                </w:p>
              </w:tc>
              <w:tc>
                <w:tcPr>
                  <w:tcW w:w="3025" w:type="dxa"/>
                  <w:vAlign w:val="center"/>
                </w:tcPr>
                <w:p>
                  <w:pPr>
                    <w:rPr>
                      <w:color w:val="auto"/>
                      <w:szCs w:val="21"/>
                    </w:rPr>
                  </w:pPr>
                  <w:r>
                    <w:rPr>
                      <w:rFonts w:hint="eastAsia"/>
                      <w:color w:val="auto"/>
                      <w:szCs w:val="21"/>
                    </w:rPr>
                    <w:t>基于废铅蓄电池收集过程的特殊性及其环境风险，分为收集网点暂存和集中转运点贮存两种方式。收集网点暂存时间应不超过90天，重量应不超过3吨；集中转运点贮存时间最长不超过1年，贮存规模应小于贮存场所的设计容量。废铅蓄电池集中转运点贮存设施应开展环境影响评价，并参照GB18597的相关要求进行建设和管理，符合以下要求；</w:t>
                  </w:r>
                </w:p>
              </w:tc>
              <w:tc>
                <w:tcPr>
                  <w:tcW w:w="2494" w:type="dxa"/>
                  <w:vAlign w:val="center"/>
                </w:tcPr>
                <w:p>
                  <w:pPr>
                    <w:rPr>
                      <w:color w:val="auto"/>
                      <w:szCs w:val="21"/>
                    </w:rPr>
                  </w:pPr>
                  <w:r>
                    <w:rPr>
                      <w:rFonts w:hint="eastAsia"/>
                      <w:color w:val="auto"/>
                      <w:szCs w:val="21"/>
                    </w:rPr>
                    <w:t>本工程废铅蓄电池来源于中国石油运输有限公司</w:t>
                  </w:r>
                  <w:r>
                    <w:rPr>
                      <w:rFonts w:hint="eastAsia"/>
                      <w:color w:val="auto"/>
                      <w:szCs w:val="21"/>
                      <w:lang w:val="en-US" w:eastAsia="zh-CN"/>
                    </w:rPr>
                    <w:t>一分公司</w:t>
                  </w:r>
                  <w:r>
                    <w:rPr>
                      <w:rFonts w:hint="eastAsia"/>
                      <w:color w:val="auto"/>
                      <w:szCs w:val="21"/>
                    </w:rPr>
                    <w:t>准东油田运输大队车辆更换废旧电瓶，下游接收单位即为有资质的处置单位，本工程为收集网点，本工程设计贮存时间不超过</w:t>
                  </w:r>
                  <w:r>
                    <w:rPr>
                      <w:color w:val="auto"/>
                      <w:szCs w:val="21"/>
                    </w:rPr>
                    <w:t>90</w:t>
                  </w:r>
                  <w:r>
                    <w:rPr>
                      <w:rFonts w:hint="eastAsia"/>
                      <w:color w:val="auto"/>
                      <w:szCs w:val="21"/>
                    </w:rPr>
                    <w:t>天。</w:t>
                  </w:r>
                </w:p>
              </w:tc>
              <w:tc>
                <w:tcPr>
                  <w:tcW w:w="637" w:type="dxa"/>
                  <w:vAlign w:val="center"/>
                </w:tcPr>
                <w:p>
                  <w:pPr>
                    <w:jc w:val="center"/>
                    <w:rPr>
                      <w:color w:val="auto"/>
                      <w:szCs w:val="21"/>
                    </w:rPr>
                  </w:pPr>
                  <w:r>
                    <w:rPr>
                      <w:rFonts w:hint="eastAsia"/>
                      <w:color w:val="auto"/>
                      <w:szCs w:val="21"/>
                    </w:rPr>
                    <w:t>符合</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PrEx>
              <w:tc>
                <w:tcPr>
                  <w:tcW w:w="556" w:type="dxa"/>
                  <w:vAlign w:val="center"/>
                </w:tcPr>
                <w:p>
                  <w:pPr>
                    <w:jc w:val="center"/>
                    <w:rPr>
                      <w:color w:val="auto"/>
                      <w:szCs w:val="21"/>
                    </w:rPr>
                  </w:pPr>
                  <w:r>
                    <w:rPr>
                      <w:rFonts w:hint="eastAsia"/>
                      <w:color w:val="auto"/>
                      <w:szCs w:val="21"/>
                    </w:rPr>
                    <w:t>2</w:t>
                  </w:r>
                </w:p>
              </w:tc>
              <w:tc>
                <w:tcPr>
                  <w:tcW w:w="3025" w:type="dxa"/>
                  <w:vAlign w:val="center"/>
                </w:tcPr>
                <w:p>
                  <w:pPr>
                    <w:rPr>
                      <w:color w:val="auto"/>
                      <w:szCs w:val="21"/>
                    </w:rPr>
                  </w:pPr>
                  <w:r>
                    <w:rPr>
                      <w:rFonts w:hint="eastAsia"/>
                      <w:color w:val="auto"/>
                      <w:szCs w:val="21"/>
                    </w:rPr>
                    <w:t>应划分出专门存放区域，面积不少于3m</w:t>
                  </w:r>
                  <w:r>
                    <w:rPr>
                      <w:rFonts w:hint="eastAsia"/>
                      <w:color w:val="auto"/>
                      <w:szCs w:val="21"/>
                      <w:vertAlign w:val="superscript"/>
                    </w:rPr>
                    <w:t>2</w:t>
                  </w:r>
                  <w:r>
                    <w:rPr>
                      <w:rFonts w:hint="eastAsia"/>
                      <w:color w:val="auto"/>
                      <w:szCs w:val="21"/>
                    </w:rPr>
                    <w:t>。</w:t>
                  </w:r>
                </w:p>
              </w:tc>
              <w:tc>
                <w:tcPr>
                  <w:tcW w:w="2494" w:type="dxa"/>
                  <w:vAlign w:val="center"/>
                </w:tcPr>
                <w:p>
                  <w:pPr>
                    <w:rPr>
                      <w:color w:val="auto"/>
                      <w:szCs w:val="21"/>
                    </w:rPr>
                  </w:pPr>
                  <w:r>
                    <w:rPr>
                      <w:rFonts w:hint="eastAsia"/>
                      <w:color w:val="auto"/>
                      <w:szCs w:val="21"/>
                    </w:rPr>
                    <w:t>本工程危险废物存储点内铅蓄电池存储区面积5m</w:t>
                  </w:r>
                  <w:r>
                    <w:rPr>
                      <w:rFonts w:hint="eastAsia"/>
                      <w:color w:val="auto"/>
                      <w:szCs w:val="21"/>
                      <w:vertAlign w:val="superscript"/>
                    </w:rPr>
                    <w:t>2</w:t>
                  </w:r>
                  <w:r>
                    <w:rPr>
                      <w:rFonts w:hint="eastAsia"/>
                      <w:color w:val="auto"/>
                      <w:szCs w:val="21"/>
                    </w:rPr>
                    <w:t>。</w:t>
                  </w:r>
                </w:p>
              </w:tc>
              <w:tc>
                <w:tcPr>
                  <w:tcW w:w="637" w:type="dxa"/>
                  <w:vAlign w:val="center"/>
                </w:tcPr>
                <w:p>
                  <w:pPr>
                    <w:jc w:val="center"/>
                    <w:rPr>
                      <w:color w:val="auto"/>
                      <w:szCs w:val="21"/>
                    </w:rPr>
                  </w:pPr>
                  <w:r>
                    <w:rPr>
                      <w:rFonts w:hint="eastAsia"/>
                      <w:color w:val="auto"/>
                      <w:szCs w:val="21"/>
                    </w:rPr>
                    <w:t>符合</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PrEx>
              <w:tc>
                <w:tcPr>
                  <w:tcW w:w="556" w:type="dxa"/>
                  <w:vAlign w:val="center"/>
                </w:tcPr>
                <w:p>
                  <w:pPr>
                    <w:jc w:val="center"/>
                    <w:rPr>
                      <w:color w:val="auto"/>
                      <w:szCs w:val="21"/>
                    </w:rPr>
                  </w:pPr>
                  <w:r>
                    <w:rPr>
                      <w:rFonts w:hint="eastAsia"/>
                      <w:color w:val="auto"/>
                      <w:szCs w:val="21"/>
                    </w:rPr>
                    <w:t>6</w:t>
                  </w:r>
                </w:p>
              </w:tc>
              <w:tc>
                <w:tcPr>
                  <w:tcW w:w="3025" w:type="dxa"/>
                  <w:vAlign w:val="center"/>
                </w:tcPr>
                <w:p>
                  <w:pPr>
                    <w:rPr>
                      <w:color w:val="auto"/>
                      <w:szCs w:val="21"/>
                    </w:rPr>
                  </w:pPr>
                  <w:r>
                    <w:rPr>
                      <w:rFonts w:hint="eastAsia"/>
                      <w:color w:val="auto"/>
                      <w:szCs w:val="21"/>
                    </w:rPr>
                    <w:t>有防止废铅蓄电池破损和电解质泄漏的措施，硬化地面及有耐腐蚀包装容器。</w:t>
                  </w:r>
                </w:p>
              </w:tc>
              <w:tc>
                <w:tcPr>
                  <w:tcW w:w="2494" w:type="dxa"/>
                  <w:vAlign w:val="center"/>
                </w:tcPr>
                <w:p>
                  <w:pPr>
                    <w:rPr>
                      <w:color w:val="auto"/>
                      <w:szCs w:val="21"/>
                    </w:rPr>
                  </w:pPr>
                  <w:r>
                    <w:rPr>
                      <w:rFonts w:hint="eastAsia"/>
                      <w:color w:val="auto"/>
                      <w:szCs w:val="21"/>
                    </w:rPr>
                    <w:t>在废铅蓄电池存储区域设置0.1m围堰（围堰内容积0.2m³），作为渗滤液收集设施，可以有效防止事故危险废物的泄漏。</w:t>
                  </w:r>
                </w:p>
              </w:tc>
              <w:tc>
                <w:tcPr>
                  <w:tcW w:w="637" w:type="dxa"/>
                  <w:vAlign w:val="center"/>
                </w:tcPr>
                <w:p>
                  <w:pPr>
                    <w:jc w:val="center"/>
                    <w:rPr>
                      <w:color w:val="auto"/>
                      <w:szCs w:val="21"/>
                    </w:rPr>
                  </w:pPr>
                  <w:r>
                    <w:rPr>
                      <w:rFonts w:hint="eastAsia"/>
                      <w:color w:val="auto"/>
                      <w:szCs w:val="21"/>
                    </w:rPr>
                    <w:t>符合</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PrEx>
              <w:tc>
                <w:tcPr>
                  <w:tcW w:w="556" w:type="dxa"/>
                  <w:vAlign w:val="center"/>
                </w:tcPr>
                <w:p>
                  <w:pPr>
                    <w:jc w:val="center"/>
                    <w:rPr>
                      <w:color w:val="auto"/>
                      <w:szCs w:val="21"/>
                    </w:rPr>
                  </w:pPr>
                  <w:r>
                    <w:rPr>
                      <w:rFonts w:hint="eastAsia"/>
                      <w:color w:val="auto"/>
                      <w:szCs w:val="21"/>
                    </w:rPr>
                    <w:t>7</w:t>
                  </w:r>
                </w:p>
              </w:tc>
              <w:tc>
                <w:tcPr>
                  <w:tcW w:w="3025" w:type="dxa"/>
                  <w:vAlign w:val="center"/>
                </w:tcPr>
                <w:p>
                  <w:pPr>
                    <w:rPr>
                      <w:color w:val="auto"/>
                      <w:szCs w:val="21"/>
                    </w:rPr>
                  </w:pPr>
                  <w:r>
                    <w:rPr>
                      <w:rFonts w:hint="eastAsia"/>
                      <w:color w:val="auto"/>
                      <w:szCs w:val="21"/>
                    </w:rPr>
                    <w:t>废铅蓄电池应存放于耐腐蚀、具有防渗漏措施的托盘或容器中。</w:t>
                  </w:r>
                </w:p>
              </w:tc>
              <w:tc>
                <w:tcPr>
                  <w:tcW w:w="2494" w:type="dxa"/>
                  <w:vAlign w:val="center"/>
                </w:tcPr>
                <w:p>
                  <w:pPr>
                    <w:rPr>
                      <w:color w:val="auto"/>
                      <w:szCs w:val="21"/>
                    </w:rPr>
                  </w:pPr>
                  <w:r>
                    <w:rPr>
                      <w:rFonts w:hint="eastAsia"/>
                      <w:color w:val="auto"/>
                      <w:szCs w:val="21"/>
                    </w:rPr>
                    <w:t>本工程完整废电池均整齐有序的放在耐酸地面上，并做好标识，破损废电池在独立加盖耐酸的容器内单独存放，并黏贴危险废物标签。</w:t>
                  </w:r>
                </w:p>
              </w:tc>
              <w:tc>
                <w:tcPr>
                  <w:tcW w:w="637" w:type="dxa"/>
                  <w:vAlign w:val="center"/>
                </w:tcPr>
                <w:p>
                  <w:pPr>
                    <w:jc w:val="center"/>
                    <w:rPr>
                      <w:color w:val="auto"/>
                      <w:szCs w:val="21"/>
                    </w:rPr>
                  </w:pPr>
                  <w:r>
                    <w:rPr>
                      <w:rFonts w:hint="eastAsia"/>
                      <w:color w:val="auto"/>
                      <w:szCs w:val="21"/>
                    </w:rPr>
                    <w:t>符合</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PrEx>
              <w:tc>
                <w:tcPr>
                  <w:tcW w:w="556" w:type="dxa"/>
                  <w:vAlign w:val="center"/>
                </w:tcPr>
                <w:p>
                  <w:pPr>
                    <w:jc w:val="center"/>
                    <w:rPr>
                      <w:color w:val="auto"/>
                      <w:szCs w:val="21"/>
                    </w:rPr>
                  </w:pPr>
                  <w:r>
                    <w:rPr>
                      <w:rFonts w:hint="eastAsia"/>
                      <w:color w:val="auto"/>
                      <w:szCs w:val="21"/>
                    </w:rPr>
                    <w:t>8</w:t>
                  </w:r>
                </w:p>
              </w:tc>
              <w:tc>
                <w:tcPr>
                  <w:tcW w:w="3025" w:type="dxa"/>
                  <w:vAlign w:val="center"/>
                </w:tcPr>
                <w:p>
                  <w:pPr>
                    <w:rPr>
                      <w:color w:val="auto"/>
                      <w:szCs w:val="21"/>
                    </w:rPr>
                  </w:pPr>
                  <w:r>
                    <w:rPr>
                      <w:rFonts w:hint="eastAsia"/>
                      <w:color w:val="auto"/>
                      <w:szCs w:val="21"/>
                    </w:rPr>
                    <w:t>在显著位置张贴废铅蓄电池收集提示性信息和警示标志。</w:t>
                  </w:r>
                </w:p>
              </w:tc>
              <w:tc>
                <w:tcPr>
                  <w:tcW w:w="2494" w:type="dxa"/>
                  <w:vAlign w:val="center"/>
                </w:tcPr>
                <w:p>
                  <w:pPr>
                    <w:rPr>
                      <w:color w:val="auto"/>
                      <w:szCs w:val="21"/>
                    </w:rPr>
                  </w:pPr>
                  <w:r>
                    <w:rPr>
                      <w:rFonts w:hint="eastAsia"/>
                      <w:color w:val="auto"/>
                      <w:szCs w:val="21"/>
                    </w:rPr>
                    <w:t>本工程危险废物暂存库设立警示标志，严格执行管理制度，只允许收集废铅蓄电池的专门人员进入，工作人员均在上岗前进行环保知识与管理制度培训。</w:t>
                  </w:r>
                </w:p>
              </w:tc>
              <w:tc>
                <w:tcPr>
                  <w:tcW w:w="637" w:type="dxa"/>
                  <w:vAlign w:val="center"/>
                </w:tcPr>
                <w:p>
                  <w:pPr>
                    <w:jc w:val="center"/>
                    <w:rPr>
                      <w:color w:val="auto"/>
                      <w:szCs w:val="21"/>
                    </w:rPr>
                  </w:pPr>
                  <w:r>
                    <w:rPr>
                      <w:rFonts w:hint="eastAsia"/>
                      <w:color w:val="auto"/>
                      <w:szCs w:val="21"/>
                    </w:rPr>
                    <w:t>符合</w:t>
                  </w:r>
                </w:p>
              </w:tc>
            </w:tr>
          </w:tbl>
          <w:p>
            <w:pPr>
              <w:pStyle w:val="68"/>
              <w:ind w:firstLine="482"/>
              <w:rPr>
                <w:b/>
                <w:bCs/>
                <w:color w:val="auto"/>
              </w:rPr>
            </w:pPr>
            <w:r>
              <w:rPr>
                <w:rFonts w:hint="eastAsia"/>
                <w:b/>
                <w:bCs/>
                <w:color w:val="auto"/>
                <w:lang w:val="en-US" w:eastAsia="zh-CN"/>
              </w:rPr>
              <w:t>13</w:t>
            </w:r>
            <w:r>
              <w:rPr>
                <w:rFonts w:hint="eastAsia"/>
                <w:b/>
                <w:bCs/>
                <w:color w:val="auto"/>
              </w:rPr>
              <w:t>、与《新疆维吾尔自治区废铅蓄电池收集、贮存和转移管理规范（试行）》（新环字</w:t>
            </w:r>
            <w:r>
              <w:rPr>
                <w:rFonts w:hint="eastAsia"/>
                <w:b/>
                <w:bCs/>
                <w:color w:val="auto"/>
                <w:lang w:eastAsia="zh-CN"/>
              </w:rPr>
              <w:t>〔</w:t>
            </w:r>
            <w:r>
              <w:rPr>
                <w:rFonts w:hint="eastAsia"/>
                <w:b/>
                <w:bCs/>
                <w:color w:val="auto"/>
              </w:rPr>
              <w:t>2018</w:t>
            </w:r>
            <w:r>
              <w:rPr>
                <w:rFonts w:hint="eastAsia"/>
                <w:b/>
                <w:bCs/>
                <w:color w:val="auto"/>
                <w:lang w:eastAsia="zh-CN"/>
              </w:rPr>
              <w:t>〕</w:t>
            </w:r>
            <w:r>
              <w:rPr>
                <w:rFonts w:hint="eastAsia"/>
                <w:b/>
                <w:bCs/>
                <w:color w:val="auto"/>
              </w:rPr>
              <w:t>90号）符合性分析</w:t>
            </w:r>
          </w:p>
          <w:p>
            <w:pPr>
              <w:pStyle w:val="64"/>
              <w:spacing w:line="240" w:lineRule="auto"/>
              <w:ind w:firstLine="0" w:firstLineChars="0"/>
              <w:jc w:val="center"/>
              <w:rPr>
                <w:color w:val="auto"/>
              </w:rPr>
            </w:pPr>
            <w:r>
              <w:rPr>
                <w:rFonts w:hAnsi="Times New Roman" w:eastAsia="黑体"/>
                <w:b w:val="0"/>
                <w:bCs w:val="0"/>
                <w:color w:val="auto"/>
                <w:szCs w:val="24"/>
              </w:rPr>
              <w:t>表1-9</w:t>
            </w:r>
            <w:r>
              <w:rPr>
                <w:rFonts w:hint="eastAsia" w:hAnsi="Times New Roman" w:eastAsia="黑体"/>
                <w:b w:val="0"/>
                <w:bCs w:val="0"/>
                <w:color w:val="auto"/>
                <w:szCs w:val="24"/>
              </w:rPr>
              <w:t xml:space="preserve">   与《新疆维吾尔自治区废铅蓄电池收集、贮存和转移管理规范（试行）》符合性</w:t>
            </w:r>
            <w:r>
              <w:rPr>
                <w:rFonts w:hAnsi="Times New Roman" w:eastAsia="黑体"/>
                <w:b w:val="0"/>
                <w:bCs w:val="0"/>
                <w:color w:val="auto"/>
                <w:szCs w:val="24"/>
              </w:rPr>
              <w:t>分析</w:t>
            </w:r>
          </w:p>
          <w:tbl>
            <w:tblPr>
              <w:tblStyle w:val="32"/>
              <w:tblW w:w="0" w:type="auto"/>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544"/>
              <w:gridCol w:w="2967"/>
              <w:gridCol w:w="2555"/>
              <w:gridCol w:w="480"/>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PrEx>
              <w:tc>
                <w:tcPr>
                  <w:tcW w:w="794" w:type="dxa"/>
                  <w:vAlign w:val="center"/>
                </w:tcPr>
                <w:p>
                  <w:pPr>
                    <w:jc w:val="center"/>
                    <w:rPr>
                      <w:color w:val="auto"/>
                      <w:szCs w:val="21"/>
                    </w:rPr>
                  </w:pPr>
                  <w:r>
                    <w:rPr>
                      <w:rFonts w:hint="eastAsia"/>
                      <w:color w:val="auto"/>
                      <w:szCs w:val="21"/>
                    </w:rPr>
                    <w:t>序号</w:t>
                  </w:r>
                </w:p>
              </w:tc>
              <w:tc>
                <w:tcPr>
                  <w:tcW w:w="6177" w:type="dxa"/>
                  <w:vAlign w:val="center"/>
                </w:tcPr>
                <w:p>
                  <w:pPr>
                    <w:jc w:val="center"/>
                    <w:rPr>
                      <w:color w:val="auto"/>
                      <w:szCs w:val="21"/>
                    </w:rPr>
                  </w:pPr>
                  <w:r>
                    <w:rPr>
                      <w:rFonts w:hint="eastAsia"/>
                      <w:color w:val="auto"/>
                      <w:szCs w:val="21"/>
                    </w:rPr>
                    <w:t>内容、要求</w:t>
                  </w:r>
                </w:p>
              </w:tc>
              <w:tc>
                <w:tcPr>
                  <w:tcW w:w="6178" w:type="dxa"/>
                  <w:vAlign w:val="center"/>
                </w:tcPr>
                <w:p>
                  <w:pPr>
                    <w:jc w:val="center"/>
                    <w:rPr>
                      <w:color w:val="auto"/>
                      <w:szCs w:val="21"/>
                    </w:rPr>
                  </w:pPr>
                  <w:r>
                    <w:rPr>
                      <w:rFonts w:hint="eastAsia"/>
                      <w:color w:val="auto"/>
                      <w:szCs w:val="21"/>
                    </w:rPr>
                    <w:t>本工程</w:t>
                  </w:r>
                </w:p>
              </w:tc>
              <w:tc>
                <w:tcPr>
                  <w:tcW w:w="1025" w:type="dxa"/>
                  <w:vAlign w:val="center"/>
                </w:tcPr>
                <w:p>
                  <w:pPr>
                    <w:ind w:left="-105" w:leftChars="-50" w:right="-105" w:rightChars="-50"/>
                    <w:jc w:val="center"/>
                    <w:rPr>
                      <w:color w:val="auto"/>
                      <w:szCs w:val="21"/>
                    </w:rPr>
                  </w:pPr>
                  <w:r>
                    <w:rPr>
                      <w:rFonts w:hint="eastAsia"/>
                      <w:color w:val="auto"/>
                      <w:szCs w:val="21"/>
                    </w:rPr>
                    <w:t>相符性</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PrEx>
              <w:tc>
                <w:tcPr>
                  <w:tcW w:w="794" w:type="dxa"/>
                  <w:vAlign w:val="center"/>
                </w:tcPr>
                <w:p>
                  <w:pPr>
                    <w:jc w:val="center"/>
                    <w:rPr>
                      <w:color w:val="auto"/>
                      <w:szCs w:val="21"/>
                    </w:rPr>
                  </w:pPr>
                  <w:r>
                    <w:rPr>
                      <w:rFonts w:hint="eastAsia"/>
                      <w:color w:val="auto"/>
                      <w:szCs w:val="21"/>
                    </w:rPr>
                    <w:t>1</w:t>
                  </w:r>
                </w:p>
              </w:tc>
              <w:tc>
                <w:tcPr>
                  <w:tcW w:w="6177" w:type="dxa"/>
                  <w:vAlign w:val="center"/>
                </w:tcPr>
                <w:p>
                  <w:pPr>
                    <w:rPr>
                      <w:color w:val="auto"/>
                      <w:szCs w:val="21"/>
                    </w:rPr>
                  </w:pPr>
                  <w:r>
                    <w:rPr>
                      <w:rFonts w:hint="eastAsia"/>
                      <w:color w:val="auto"/>
                      <w:szCs w:val="21"/>
                    </w:rPr>
                    <w:t>收集过程中应保持废铅蓄电池结构和外形完整。</w:t>
                  </w:r>
                </w:p>
              </w:tc>
              <w:tc>
                <w:tcPr>
                  <w:tcW w:w="6178" w:type="dxa"/>
                  <w:vAlign w:val="center"/>
                </w:tcPr>
                <w:p>
                  <w:pPr>
                    <w:rPr>
                      <w:color w:val="auto"/>
                      <w:szCs w:val="21"/>
                    </w:rPr>
                  </w:pPr>
                  <w:r>
                    <w:rPr>
                      <w:rFonts w:hint="eastAsia"/>
                      <w:color w:val="auto"/>
                      <w:szCs w:val="21"/>
                    </w:rPr>
                    <w:t>电池运输采用耐酸、耐腐蚀的箱存放，运输过程中确保盛装危险废的容器和包装物无破损、泄露或其他缺陷。本工程使用专用运输工具进行运输，并具有处置突发环境事件的应急能力。</w:t>
                  </w:r>
                </w:p>
              </w:tc>
              <w:tc>
                <w:tcPr>
                  <w:tcW w:w="1025" w:type="dxa"/>
                  <w:vAlign w:val="center"/>
                </w:tcPr>
                <w:p>
                  <w:pPr>
                    <w:ind w:left="-105" w:leftChars="-50" w:right="-105" w:rightChars="-50"/>
                    <w:jc w:val="center"/>
                    <w:rPr>
                      <w:color w:val="auto"/>
                      <w:szCs w:val="21"/>
                    </w:rPr>
                  </w:pPr>
                  <w:r>
                    <w:rPr>
                      <w:rFonts w:hint="eastAsia"/>
                      <w:color w:val="auto"/>
                      <w:szCs w:val="21"/>
                    </w:rPr>
                    <w:t>符合</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PrEx>
              <w:tc>
                <w:tcPr>
                  <w:tcW w:w="794" w:type="dxa"/>
                  <w:vAlign w:val="center"/>
                </w:tcPr>
                <w:p>
                  <w:pPr>
                    <w:jc w:val="center"/>
                    <w:rPr>
                      <w:color w:val="auto"/>
                      <w:szCs w:val="21"/>
                    </w:rPr>
                  </w:pPr>
                  <w:r>
                    <w:rPr>
                      <w:rFonts w:hint="eastAsia"/>
                      <w:color w:val="auto"/>
                      <w:szCs w:val="21"/>
                    </w:rPr>
                    <w:t>2</w:t>
                  </w:r>
                </w:p>
              </w:tc>
              <w:tc>
                <w:tcPr>
                  <w:tcW w:w="6177" w:type="dxa"/>
                  <w:vAlign w:val="center"/>
                </w:tcPr>
                <w:p>
                  <w:pPr>
                    <w:rPr>
                      <w:color w:val="auto"/>
                      <w:szCs w:val="21"/>
                    </w:rPr>
                  </w:pPr>
                  <w:r>
                    <w:rPr>
                      <w:rFonts w:hint="eastAsia"/>
                      <w:color w:val="auto"/>
                      <w:szCs w:val="21"/>
                    </w:rPr>
                    <w:t>收集的废铅酸蓄电池确有电解液渗漏的，其渗漏液应贮存在耐酸容器中，并按要求处理处置。</w:t>
                  </w:r>
                </w:p>
              </w:tc>
              <w:tc>
                <w:tcPr>
                  <w:tcW w:w="6178" w:type="dxa"/>
                  <w:vAlign w:val="center"/>
                </w:tcPr>
                <w:p>
                  <w:pPr>
                    <w:rPr>
                      <w:color w:val="auto"/>
                      <w:szCs w:val="21"/>
                    </w:rPr>
                  </w:pPr>
                  <w:r>
                    <w:rPr>
                      <w:rFonts w:hint="eastAsia"/>
                      <w:color w:val="auto"/>
                      <w:szCs w:val="21"/>
                    </w:rPr>
                    <w:t>本工程收集的废铅蓄电池有电解液渗漏的贮存在耐酸容器中</w:t>
                  </w:r>
                </w:p>
              </w:tc>
              <w:tc>
                <w:tcPr>
                  <w:tcW w:w="1025" w:type="dxa"/>
                  <w:vAlign w:val="center"/>
                </w:tcPr>
                <w:p>
                  <w:pPr>
                    <w:ind w:left="-105" w:leftChars="-50" w:right="-105" w:rightChars="-50"/>
                    <w:jc w:val="center"/>
                    <w:rPr>
                      <w:color w:val="auto"/>
                      <w:szCs w:val="21"/>
                    </w:rPr>
                  </w:pPr>
                  <w:r>
                    <w:rPr>
                      <w:rFonts w:hint="eastAsia"/>
                      <w:color w:val="auto"/>
                      <w:szCs w:val="21"/>
                    </w:rPr>
                    <w:t>符合</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PrEx>
              <w:tc>
                <w:tcPr>
                  <w:tcW w:w="794" w:type="dxa"/>
                  <w:vAlign w:val="center"/>
                </w:tcPr>
                <w:p>
                  <w:pPr>
                    <w:jc w:val="center"/>
                    <w:rPr>
                      <w:color w:val="auto"/>
                      <w:szCs w:val="21"/>
                    </w:rPr>
                  </w:pPr>
                  <w:r>
                    <w:rPr>
                      <w:rFonts w:hint="eastAsia"/>
                      <w:color w:val="auto"/>
                      <w:szCs w:val="21"/>
                    </w:rPr>
                    <w:t>3</w:t>
                  </w:r>
                </w:p>
              </w:tc>
              <w:tc>
                <w:tcPr>
                  <w:tcW w:w="6177" w:type="dxa"/>
                  <w:vAlign w:val="center"/>
                </w:tcPr>
                <w:p>
                  <w:pPr>
                    <w:rPr>
                      <w:color w:val="auto"/>
                      <w:szCs w:val="21"/>
                    </w:rPr>
                  </w:pPr>
                  <w:r>
                    <w:rPr>
                      <w:rFonts w:hint="eastAsia"/>
                      <w:color w:val="auto"/>
                      <w:szCs w:val="21"/>
                    </w:rPr>
                    <w:t>收集和运输人员应配备必要的防护设施。</w:t>
                  </w:r>
                </w:p>
              </w:tc>
              <w:tc>
                <w:tcPr>
                  <w:tcW w:w="6178" w:type="dxa"/>
                  <w:vAlign w:val="center"/>
                </w:tcPr>
                <w:p>
                  <w:pPr>
                    <w:rPr>
                      <w:color w:val="auto"/>
                      <w:szCs w:val="21"/>
                    </w:rPr>
                  </w:pPr>
                  <w:r>
                    <w:rPr>
                      <w:rFonts w:hint="eastAsia"/>
                      <w:color w:val="auto"/>
                      <w:szCs w:val="21"/>
                    </w:rPr>
                    <w:t>作业人员配备耐酸工作服、专用眼镜、耐酸手套等个人防护装备。</w:t>
                  </w:r>
                </w:p>
              </w:tc>
              <w:tc>
                <w:tcPr>
                  <w:tcW w:w="1025" w:type="dxa"/>
                  <w:vAlign w:val="center"/>
                </w:tcPr>
                <w:p>
                  <w:pPr>
                    <w:ind w:left="-105" w:leftChars="-50" w:right="-105" w:rightChars="-50"/>
                    <w:jc w:val="center"/>
                    <w:rPr>
                      <w:color w:val="auto"/>
                      <w:szCs w:val="21"/>
                    </w:rPr>
                  </w:pPr>
                  <w:r>
                    <w:rPr>
                      <w:rFonts w:hint="eastAsia"/>
                      <w:color w:val="auto"/>
                      <w:szCs w:val="21"/>
                    </w:rPr>
                    <w:t>符合</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PrEx>
              <w:tc>
                <w:tcPr>
                  <w:tcW w:w="794" w:type="dxa"/>
                  <w:vAlign w:val="center"/>
                </w:tcPr>
                <w:p>
                  <w:pPr>
                    <w:jc w:val="center"/>
                    <w:rPr>
                      <w:color w:val="auto"/>
                      <w:szCs w:val="21"/>
                    </w:rPr>
                  </w:pPr>
                  <w:r>
                    <w:rPr>
                      <w:rFonts w:hint="eastAsia"/>
                      <w:color w:val="auto"/>
                      <w:szCs w:val="21"/>
                    </w:rPr>
                    <w:t>4</w:t>
                  </w:r>
                </w:p>
              </w:tc>
              <w:tc>
                <w:tcPr>
                  <w:tcW w:w="6177" w:type="dxa"/>
                  <w:vAlign w:val="center"/>
                </w:tcPr>
                <w:p>
                  <w:pPr>
                    <w:rPr>
                      <w:color w:val="auto"/>
                      <w:szCs w:val="21"/>
                    </w:rPr>
                  </w:pPr>
                  <w:r>
                    <w:rPr>
                      <w:rFonts w:hint="eastAsia"/>
                      <w:color w:val="auto"/>
                      <w:szCs w:val="21"/>
                    </w:rPr>
                    <w:t>废铅蓄电池的“暂存点”贮存设施应按照《危险废物贮存污染控制标准》（GB18597）的有关要求进行建设和管理，其中，“暂存点”还应符合以下要求：</w:t>
                  </w:r>
                </w:p>
                <w:p>
                  <w:pPr>
                    <w:rPr>
                      <w:color w:val="auto"/>
                      <w:szCs w:val="21"/>
                    </w:rPr>
                  </w:pPr>
                  <w:r>
                    <w:rPr>
                      <w:rFonts w:hint="eastAsia"/>
                      <w:color w:val="auto"/>
                      <w:szCs w:val="21"/>
                    </w:rPr>
                    <w:t>1、必须为独立的场地；</w:t>
                  </w:r>
                </w:p>
                <w:p>
                  <w:pPr>
                    <w:rPr>
                      <w:color w:val="auto"/>
                      <w:szCs w:val="21"/>
                    </w:rPr>
                  </w:pPr>
                  <w:r>
                    <w:rPr>
                      <w:rFonts w:hint="eastAsia"/>
                      <w:color w:val="auto"/>
                      <w:szCs w:val="21"/>
                    </w:rPr>
                    <w:t>2、设在远离水源、热源和居民集中区域，以及易燃、易爆等危险品仓库和高压输电线路安全防护距离以外；</w:t>
                  </w:r>
                </w:p>
                <w:p>
                  <w:pPr>
                    <w:rPr>
                      <w:color w:val="auto"/>
                      <w:szCs w:val="21"/>
                    </w:rPr>
                  </w:pPr>
                  <w:r>
                    <w:rPr>
                      <w:rFonts w:hint="eastAsia"/>
                      <w:color w:val="auto"/>
                      <w:szCs w:val="21"/>
                    </w:rPr>
                    <w:t>3、有耐酸地面隔离层，有废液截留和收集系统，能有效收集破损废铅蓄电池溢出的电解液；</w:t>
                  </w:r>
                </w:p>
                <w:p>
                  <w:pPr>
                    <w:rPr>
                      <w:color w:val="auto"/>
                      <w:szCs w:val="21"/>
                    </w:rPr>
                  </w:pPr>
                  <w:r>
                    <w:rPr>
                      <w:rFonts w:hint="eastAsia"/>
                      <w:color w:val="auto"/>
                      <w:szCs w:val="21"/>
                    </w:rPr>
                    <w:t>4、应有足够的废水（液）收集系统，以便溢出的溶液得到有效的收集与处理；</w:t>
                  </w:r>
                </w:p>
                <w:p>
                  <w:pPr>
                    <w:rPr>
                      <w:color w:val="auto"/>
                      <w:szCs w:val="21"/>
                    </w:rPr>
                  </w:pPr>
                  <w:r>
                    <w:rPr>
                      <w:rFonts w:hint="eastAsia"/>
                      <w:color w:val="auto"/>
                      <w:szCs w:val="21"/>
                    </w:rPr>
                    <w:t>5、应只有一个入口，并且在一般情况下，应关闭此入口以免灰尘的扩散；</w:t>
                  </w:r>
                </w:p>
                <w:p>
                  <w:pPr>
                    <w:rPr>
                      <w:color w:val="auto"/>
                      <w:szCs w:val="21"/>
                    </w:rPr>
                  </w:pPr>
                  <w:r>
                    <w:rPr>
                      <w:rFonts w:hint="eastAsia"/>
                      <w:color w:val="auto"/>
                      <w:szCs w:val="21"/>
                    </w:rPr>
                    <w:t>6、应具有空气收集、排气系统，用以过滤空气中的含铅灰尘和更新空气；</w:t>
                  </w:r>
                </w:p>
                <w:p>
                  <w:pPr>
                    <w:rPr>
                      <w:color w:val="auto"/>
                      <w:szCs w:val="21"/>
                    </w:rPr>
                  </w:pPr>
                  <w:r>
                    <w:rPr>
                      <w:rFonts w:hint="eastAsia"/>
                      <w:color w:val="auto"/>
                      <w:szCs w:val="21"/>
                    </w:rPr>
                    <w:t>7、应设有适当的防火装置和安全防护措施；</w:t>
                  </w:r>
                </w:p>
                <w:p>
                  <w:pPr>
                    <w:rPr>
                      <w:color w:val="auto"/>
                      <w:szCs w:val="21"/>
                    </w:rPr>
                  </w:pPr>
                  <w:r>
                    <w:rPr>
                      <w:rFonts w:hint="eastAsia"/>
                      <w:color w:val="auto"/>
                      <w:szCs w:val="21"/>
                    </w:rPr>
                    <w:t>8、按要求设立警示标志，只允许专门人员进入贮存设施；</w:t>
                  </w:r>
                </w:p>
                <w:p>
                  <w:pPr>
                    <w:rPr>
                      <w:color w:val="auto"/>
                      <w:szCs w:val="21"/>
                    </w:rPr>
                  </w:pPr>
                  <w:r>
                    <w:rPr>
                      <w:rFonts w:hint="eastAsia"/>
                      <w:color w:val="auto"/>
                      <w:szCs w:val="21"/>
                    </w:rPr>
                    <w:t>9、禁止废铅蓄电池露天堆放，避免遭受雨淋水浸。破损的废电池应单独贮存。</w:t>
                  </w:r>
                </w:p>
                <w:p>
                  <w:pPr>
                    <w:rPr>
                      <w:color w:val="auto"/>
                      <w:szCs w:val="21"/>
                    </w:rPr>
                  </w:pPr>
                  <w:r>
                    <w:rPr>
                      <w:rFonts w:hint="eastAsia"/>
                      <w:color w:val="auto"/>
                      <w:szCs w:val="21"/>
                    </w:rPr>
                    <w:t>10、贮存设施应按照GB18597的要求设置危险废物警示标志。</w:t>
                  </w:r>
                </w:p>
                <w:p>
                  <w:pPr>
                    <w:rPr>
                      <w:color w:val="auto"/>
                      <w:szCs w:val="21"/>
                    </w:rPr>
                  </w:pPr>
                  <w:r>
                    <w:rPr>
                      <w:rFonts w:hint="eastAsia"/>
                      <w:color w:val="auto"/>
                      <w:szCs w:val="21"/>
                    </w:rPr>
                    <w:t>11、废铅蓄电池贮存应按规定有序堆放，防止电池短路起火，造成事故。</w:t>
                  </w:r>
                </w:p>
                <w:p>
                  <w:pPr>
                    <w:rPr>
                      <w:color w:val="auto"/>
                      <w:szCs w:val="21"/>
                    </w:rPr>
                  </w:pPr>
                  <w:r>
                    <w:rPr>
                      <w:rFonts w:hint="eastAsia"/>
                      <w:color w:val="auto"/>
                      <w:szCs w:val="21"/>
                    </w:rPr>
                    <w:t>12、贮存场所应定期清理、清运。应避免废铅蓄电池大量贮存或贮存时间过长。</w:t>
                  </w:r>
                </w:p>
              </w:tc>
              <w:tc>
                <w:tcPr>
                  <w:tcW w:w="6178" w:type="dxa"/>
                  <w:vAlign w:val="center"/>
                </w:tcPr>
                <w:p>
                  <w:pPr>
                    <w:rPr>
                      <w:color w:val="auto"/>
                      <w:szCs w:val="21"/>
                    </w:rPr>
                  </w:pPr>
                  <w:r>
                    <w:rPr>
                      <w:rFonts w:hint="eastAsia"/>
                      <w:color w:val="auto"/>
                      <w:szCs w:val="21"/>
                    </w:rPr>
                    <w:t>1、本工程危险废物暂存库为独立的场地，按规定有序堆放；</w:t>
                  </w:r>
                </w:p>
                <w:p>
                  <w:pPr>
                    <w:rPr>
                      <w:color w:val="auto"/>
                      <w:szCs w:val="21"/>
                    </w:rPr>
                  </w:pPr>
                  <w:r>
                    <w:rPr>
                      <w:rFonts w:hint="eastAsia"/>
                      <w:color w:val="auto"/>
                      <w:szCs w:val="21"/>
                    </w:rPr>
                    <w:t>2、本工程危险废物暂存库为封闭式贮存，设计满足“防风、防雨、防晒”的三防要求，并严格执行环保责任制，确保其远离水源与热源；</w:t>
                  </w:r>
                </w:p>
                <w:p>
                  <w:pPr>
                    <w:rPr>
                      <w:color w:val="auto"/>
                      <w:szCs w:val="21"/>
                    </w:rPr>
                  </w:pPr>
                  <w:r>
                    <w:rPr>
                      <w:rFonts w:hint="eastAsia"/>
                      <w:color w:val="auto"/>
                      <w:szCs w:val="21"/>
                    </w:rPr>
                    <w:t>3-4、本工程危险废物暂存库设置围堰，可以有效防止事故危险废物的泄漏；</w:t>
                  </w:r>
                </w:p>
                <w:p>
                  <w:pPr>
                    <w:rPr>
                      <w:color w:val="auto"/>
                      <w:szCs w:val="21"/>
                    </w:rPr>
                  </w:pPr>
                  <w:r>
                    <w:rPr>
                      <w:rFonts w:hint="eastAsia"/>
                      <w:color w:val="auto"/>
                      <w:szCs w:val="21"/>
                    </w:rPr>
                    <w:t>5、本工程只有一个入口，并且在一般情况下关闭此入口；</w:t>
                  </w:r>
                </w:p>
                <w:p>
                  <w:pPr>
                    <w:rPr>
                      <w:color w:val="auto"/>
                      <w:szCs w:val="21"/>
                    </w:rPr>
                  </w:pPr>
                  <w:r>
                    <w:rPr>
                      <w:rFonts w:hint="eastAsia"/>
                      <w:color w:val="auto"/>
                      <w:szCs w:val="21"/>
                    </w:rPr>
                    <w:t>6、本工程配套设置足够的排风口，箱体随时自动换气通风；</w:t>
                  </w:r>
                </w:p>
                <w:p>
                  <w:pPr>
                    <w:rPr>
                      <w:color w:val="auto"/>
                      <w:szCs w:val="21"/>
                    </w:rPr>
                  </w:pPr>
                  <w:r>
                    <w:rPr>
                      <w:rFonts w:hint="eastAsia"/>
                      <w:color w:val="auto"/>
                      <w:szCs w:val="21"/>
                    </w:rPr>
                    <w:t>7、本工程危废暂存库配置相应的</w:t>
                  </w:r>
                  <w:r>
                    <w:rPr>
                      <w:rFonts w:hint="eastAsia" w:ascii="宋体" w:hAnsi="宋体" w:cs="宋体"/>
                      <w:color w:val="auto"/>
                      <w:szCs w:val="21"/>
                    </w:rPr>
                    <w:t>防爆配电系统、排风换气通风系统、漏液回收系统、防爆照明系统、自动消防灭火系统、联动内装设备系统；</w:t>
                  </w:r>
                </w:p>
                <w:p>
                  <w:pPr>
                    <w:rPr>
                      <w:color w:val="auto"/>
                      <w:szCs w:val="21"/>
                    </w:rPr>
                  </w:pPr>
                  <w:r>
                    <w:rPr>
                      <w:rFonts w:hint="eastAsia"/>
                      <w:color w:val="auto"/>
                      <w:szCs w:val="21"/>
                    </w:rPr>
                    <w:t>8-10、本工程危废暂存库设立警示标志，严格执行管理制度，只允许收集废铅蓄电池的专门人员进入，工作人员均在上岗前进行环保知识与管理制度培训。</w:t>
                  </w:r>
                </w:p>
                <w:p>
                  <w:pPr>
                    <w:rPr>
                      <w:color w:val="auto"/>
                      <w:szCs w:val="21"/>
                    </w:rPr>
                  </w:pPr>
                  <w:r>
                    <w:rPr>
                      <w:rFonts w:hint="eastAsia"/>
                      <w:color w:val="auto"/>
                      <w:szCs w:val="21"/>
                    </w:rPr>
                    <w:t>9、本工程危废暂存库为封闭式贮存，库房设计满足“防风、防雨、防晒”的三防要求，并严格执行环保责任制，确保其远离水源与热源。</w:t>
                  </w:r>
                </w:p>
                <w:p>
                  <w:pPr>
                    <w:rPr>
                      <w:color w:val="auto"/>
                      <w:szCs w:val="21"/>
                    </w:rPr>
                  </w:pPr>
                  <w:r>
                    <w:rPr>
                      <w:rFonts w:hint="eastAsia"/>
                      <w:color w:val="auto"/>
                      <w:szCs w:val="21"/>
                    </w:rPr>
                    <w:t>12、本项目危废暂存间为集装箱式，本工程设计贮存危险废物时间最长不超过1年（废铅蓄电池不大于90天）。</w:t>
                  </w:r>
                </w:p>
              </w:tc>
              <w:tc>
                <w:tcPr>
                  <w:tcW w:w="1025" w:type="dxa"/>
                  <w:vAlign w:val="center"/>
                </w:tcPr>
                <w:p>
                  <w:pPr>
                    <w:ind w:left="-105" w:leftChars="-50" w:right="-105" w:rightChars="-50"/>
                    <w:jc w:val="center"/>
                    <w:rPr>
                      <w:color w:val="auto"/>
                      <w:szCs w:val="21"/>
                    </w:rPr>
                  </w:pPr>
                  <w:r>
                    <w:rPr>
                      <w:rFonts w:hint="eastAsia"/>
                      <w:color w:val="auto"/>
                      <w:szCs w:val="21"/>
                    </w:rPr>
                    <w:t>符合</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PrEx>
              <w:tc>
                <w:tcPr>
                  <w:tcW w:w="794" w:type="dxa"/>
                  <w:vAlign w:val="center"/>
                </w:tcPr>
                <w:p>
                  <w:pPr>
                    <w:jc w:val="center"/>
                    <w:rPr>
                      <w:color w:val="auto"/>
                      <w:szCs w:val="21"/>
                    </w:rPr>
                  </w:pPr>
                  <w:r>
                    <w:rPr>
                      <w:rFonts w:hint="eastAsia"/>
                      <w:color w:val="auto"/>
                      <w:szCs w:val="21"/>
                    </w:rPr>
                    <w:t>5</w:t>
                  </w:r>
                </w:p>
              </w:tc>
              <w:tc>
                <w:tcPr>
                  <w:tcW w:w="6177" w:type="dxa"/>
                  <w:vAlign w:val="center"/>
                </w:tcPr>
                <w:p>
                  <w:pPr>
                    <w:rPr>
                      <w:color w:val="auto"/>
                      <w:szCs w:val="21"/>
                    </w:rPr>
                  </w:pPr>
                  <w:r>
                    <w:rPr>
                      <w:rFonts w:hint="eastAsia"/>
                      <w:color w:val="auto"/>
                      <w:szCs w:val="21"/>
                    </w:rPr>
                    <w:t>收集单位可委托有相应危险货物道路运输经营许可证的单位运输转移其所收集贮存的废铅蓄电池，运输单位应具有对运输过程废铅蓄电池外壳发生破裂、电解液泄露或其他事故进行安全处置的能力和相应的防护、处置措施。</w:t>
                  </w:r>
                </w:p>
              </w:tc>
              <w:tc>
                <w:tcPr>
                  <w:tcW w:w="6178" w:type="dxa"/>
                  <w:vAlign w:val="center"/>
                </w:tcPr>
                <w:p>
                  <w:pPr>
                    <w:rPr>
                      <w:color w:val="auto"/>
                      <w:szCs w:val="21"/>
                    </w:rPr>
                  </w:pPr>
                  <w:r>
                    <w:rPr>
                      <w:rFonts w:hint="eastAsia"/>
                      <w:color w:val="auto"/>
                      <w:szCs w:val="21"/>
                    </w:rPr>
                    <w:t>委托有相应危险货物道路运输经营许可证的单位运输转移其所收集贮存的废铅蓄电池，运输单位具有对运输过程废铅蓄电池外壳发生破裂、电解液泄露或其他事故进行安全处置的能力和相应的防护、处置措施。</w:t>
                  </w:r>
                </w:p>
              </w:tc>
              <w:tc>
                <w:tcPr>
                  <w:tcW w:w="1025" w:type="dxa"/>
                  <w:vAlign w:val="center"/>
                </w:tcPr>
                <w:p>
                  <w:pPr>
                    <w:ind w:left="-105" w:leftChars="-50" w:right="-105" w:rightChars="-50"/>
                    <w:jc w:val="center"/>
                    <w:rPr>
                      <w:color w:val="auto"/>
                      <w:szCs w:val="21"/>
                    </w:rPr>
                  </w:pPr>
                  <w:r>
                    <w:rPr>
                      <w:rFonts w:hint="eastAsia"/>
                      <w:color w:val="auto"/>
                      <w:szCs w:val="21"/>
                    </w:rPr>
                    <w:t>符合</w:t>
                  </w:r>
                </w:p>
              </w:tc>
            </w:tr>
          </w:tbl>
          <w:p>
            <w:pPr>
              <w:rPr>
                <w:color w:val="auto"/>
                <w:sz w:val="24"/>
              </w:rPr>
            </w:pPr>
          </w:p>
        </w:tc>
      </w:tr>
    </w:tbl>
    <w:p>
      <w:pPr>
        <w:spacing w:line="360" w:lineRule="auto"/>
        <w:outlineLvl w:val="0"/>
        <w:rPr>
          <w:rFonts w:eastAsia="黑体"/>
          <w:sz w:val="30"/>
        </w:rPr>
        <w:sectPr>
          <w:footerReference r:id="rId5" w:type="default"/>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p>
    <w:p>
      <w:pPr>
        <w:pStyle w:val="27"/>
        <w:jc w:val="center"/>
        <w:outlineLvl w:val="0"/>
        <w:rPr>
          <w:rFonts w:ascii="黑体" w:hAnsi="黑体" w:eastAsia="黑体"/>
          <w:snapToGrid w:val="0"/>
          <w:sz w:val="30"/>
          <w:szCs w:val="30"/>
        </w:rPr>
      </w:pPr>
      <w:r>
        <w:rPr>
          <w:rFonts w:hint="eastAsia" w:ascii="黑体" w:hAnsi="黑体" w:eastAsia="黑体"/>
          <w:snapToGrid w:val="0"/>
          <w:sz w:val="30"/>
          <w:szCs w:val="30"/>
        </w:rPr>
        <w:t>二、建设项目工程分析</w:t>
      </w:r>
    </w:p>
    <w:tbl>
      <w:tblPr>
        <w:tblStyle w:val="31"/>
        <w:tblW w:w="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23"/>
        <w:gridCol w:w="816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498" w:hRule="atLeast"/>
          <w:jc w:val="center"/>
        </w:trPr>
        <w:tc>
          <w:tcPr>
            <w:tcW w:w="823" w:type="dxa"/>
            <w:vAlign w:val="center"/>
          </w:tcPr>
          <w:p>
            <w:pPr>
              <w:pStyle w:val="27"/>
              <w:adjustRightInd w:val="0"/>
              <w:snapToGrid w:val="0"/>
              <w:spacing w:before="0" w:beforeAutospacing="0" w:after="0" w:afterAutospacing="0"/>
              <w:jc w:val="center"/>
              <w:rPr>
                <w:rFonts w:ascii="Times New Roman" w:hAnsi="Times New Roman"/>
                <w:color w:val="auto"/>
                <w:szCs w:val="24"/>
              </w:rPr>
            </w:pPr>
            <w:r>
              <w:rPr>
                <w:rFonts w:ascii="Times New Roman" w:hAnsi="Times New Roman"/>
                <w:color w:val="auto"/>
                <w:szCs w:val="24"/>
              </w:rPr>
              <w:t>建设内容</w:t>
            </w:r>
          </w:p>
        </w:tc>
        <w:tc>
          <w:tcPr>
            <w:tcW w:w="8161" w:type="dxa"/>
          </w:tcPr>
          <w:p>
            <w:pPr>
              <w:numPr>
                <w:ilvl w:val="0"/>
                <w:numId w:val="5"/>
              </w:numPr>
              <w:adjustRightInd w:val="0"/>
              <w:snapToGrid w:val="0"/>
              <w:spacing w:line="520" w:lineRule="exact"/>
              <w:ind w:firstLine="482" w:firstLineChars="200"/>
              <w:rPr>
                <w:b/>
                <w:color w:val="auto"/>
                <w:sz w:val="24"/>
              </w:rPr>
            </w:pPr>
            <w:r>
              <w:rPr>
                <w:rFonts w:hint="eastAsia"/>
                <w:b/>
                <w:color w:val="auto"/>
                <w:sz w:val="24"/>
              </w:rPr>
              <w:t>项目背景</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eastAsia="宋体"/>
                <w:color w:val="auto"/>
                <w:sz w:val="24"/>
                <w:lang w:val="en-US" w:eastAsia="zh-CN"/>
              </w:rPr>
            </w:pPr>
            <w:r>
              <w:rPr>
                <w:rFonts w:hint="eastAsia"/>
                <w:color w:val="auto"/>
                <w:sz w:val="24"/>
              </w:rPr>
              <w:t>中国石油天然气运输有限公司准东生产基地运输车辆维护、维修</w:t>
            </w:r>
            <w:r>
              <w:rPr>
                <w:rFonts w:hint="eastAsia"/>
                <w:color w:val="auto"/>
                <w:sz w:val="24"/>
                <w:lang w:val="en-US" w:eastAsia="zh-CN"/>
              </w:rPr>
              <w:t>等业务原在</w:t>
            </w:r>
            <w:r>
              <w:rPr>
                <w:rFonts w:hint="eastAsia"/>
                <w:b w:val="0"/>
                <w:bCs/>
                <w:color w:val="auto"/>
                <w:sz w:val="24"/>
                <w:lang w:val="en-US" w:eastAsia="zh-CN"/>
              </w:rPr>
              <w:t>承修方的场地进行维修工作（准东生产基地无废机油、机柴滤及废电瓶产生）</w:t>
            </w:r>
            <w:r>
              <w:rPr>
                <w:rFonts w:hint="eastAsia"/>
                <w:color w:val="auto"/>
                <w:sz w:val="24"/>
              </w:rPr>
              <w:t>。</w:t>
            </w:r>
            <w:r>
              <w:rPr>
                <w:rFonts w:hint="eastAsia"/>
                <w:color w:val="auto"/>
                <w:sz w:val="24"/>
                <w:lang w:val="en-US" w:eastAsia="zh-CN"/>
              </w:rPr>
              <w:t>为降低运维成本，</w:t>
            </w:r>
            <w:r>
              <w:rPr>
                <w:rFonts w:hint="eastAsia"/>
                <w:color w:val="auto"/>
                <w:sz w:val="24"/>
              </w:rPr>
              <w:t>中国石油天然气运输有限公司</w:t>
            </w:r>
            <w:r>
              <w:rPr>
                <w:rFonts w:hint="eastAsia"/>
                <w:color w:val="auto"/>
                <w:sz w:val="24"/>
                <w:lang w:val="en-US" w:eastAsia="zh-CN"/>
              </w:rPr>
              <w:t>一分公司</w:t>
            </w:r>
            <w:r>
              <w:rPr>
                <w:rFonts w:hint="eastAsia"/>
                <w:color w:val="auto"/>
                <w:sz w:val="24"/>
              </w:rPr>
              <w:t>准</w:t>
            </w:r>
            <w:r>
              <w:rPr>
                <w:rFonts w:hint="eastAsia"/>
                <w:color w:val="auto"/>
                <w:sz w:val="24"/>
                <w:lang w:val="en-US" w:eastAsia="zh-CN"/>
              </w:rPr>
              <w:t>东生产基地拟在厂区内设置维修车间，</w:t>
            </w:r>
            <w:r>
              <w:rPr>
                <w:rFonts w:hint="eastAsia"/>
                <w:color w:val="auto"/>
                <w:sz w:val="24"/>
              </w:rPr>
              <w:t>为更好的对危险危废进行贮存、管理，中国石油运输有限公司</w:t>
            </w:r>
            <w:r>
              <w:rPr>
                <w:rFonts w:hint="eastAsia"/>
                <w:color w:val="auto"/>
                <w:sz w:val="24"/>
                <w:lang w:val="en-US" w:eastAsia="zh-CN"/>
              </w:rPr>
              <w:t>一分公司厂区内</w:t>
            </w:r>
            <w:r>
              <w:rPr>
                <w:rFonts w:hint="eastAsia"/>
                <w:color w:val="auto"/>
                <w:sz w:val="24"/>
              </w:rPr>
              <w:t>新建一座危废暂存间，用于贮存运维过程中产生的废机油、机柴滤及废电瓶等。</w:t>
            </w:r>
            <w:r>
              <w:rPr>
                <w:rFonts w:hint="eastAsia"/>
                <w:color w:val="auto"/>
                <w:sz w:val="24"/>
                <w:lang w:val="en-US" w:eastAsia="zh-CN"/>
              </w:rPr>
              <w:t>本项目不对危险废物进行进一步的处理。</w:t>
            </w:r>
          </w:p>
          <w:p>
            <w:pPr>
              <w:numPr>
                <w:ilvl w:val="0"/>
                <w:numId w:val="5"/>
              </w:numPr>
              <w:adjustRightInd w:val="0"/>
              <w:snapToGrid w:val="0"/>
              <w:spacing w:line="520" w:lineRule="exact"/>
              <w:ind w:firstLine="482" w:firstLineChars="200"/>
              <w:rPr>
                <w:b/>
                <w:color w:val="auto"/>
                <w:sz w:val="24"/>
              </w:rPr>
            </w:pPr>
            <w:r>
              <w:rPr>
                <w:rFonts w:hint="eastAsia"/>
                <w:b/>
                <w:color w:val="auto"/>
                <w:sz w:val="24"/>
              </w:rPr>
              <w:t>建设地点及周边环境概况</w:t>
            </w:r>
          </w:p>
          <w:p>
            <w:pPr>
              <w:adjustRightInd w:val="0"/>
              <w:snapToGrid w:val="0"/>
              <w:spacing w:line="520" w:lineRule="exact"/>
              <w:ind w:firstLine="480" w:firstLineChars="200"/>
              <w:rPr>
                <w:color w:val="auto"/>
              </w:rPr>
            </w:pPr>
            <w:r>
              <w:rPr>
                <w:rFonts w:hint="eastAsia"/>
                <w:color w:val="auto"/>
                <w:sz w:val="24"/>
              </w:rPr>
              <w:t>项目位于新疆维吾尔自治区阜康市中国石油天然气运输有限公司准东生产基地内，中心地理坐标为：东经88</w:t>
            </w:r>
            <w:r>
              <w:rPr>
                <w:color w:val="auto"/>
                <w:sz w:val="24"/>
              </w:rPr>
              <w:t>°</w:t>
            </w:r>
            <w:r>
              <w:rPr>
                <w:rFonts w:hint="eastAsia"/>
                <w:color w:val="auto"/>
                <w:sz w:val="24"/>
              </w:rPr>
              <w:t>42</w:t>
            </w:r>
            <w:r>
              <w:rPr>
                <w:color w:val="auto"/>
                <w:sz w:val="24"/>
              </w:rPr>
              <w:t>′</w:t>
            </w:r>
            <w:r>
              <w:rPr>
                <w:rFonts w:hint="eastAsia"/>
                <w:color w:val="auto"/>
                <w:sz w:val="24"/>
              </w:rPr>
              <w:t>39.642</w:t>
            </w:r>
            <w:r>
              <w:rPr>
                <w:color w:val="auto"/>
                <w:sz w:val="24"/>
              </w:rPr>
              <w:t>″，</w:t>
            </w:r>
            <w:r>
              <w:rPr>
                <w:rFonts w:hint="eastAsia"/>
                <w:color w:val="auto"/>
                <w:sz w:val="24"/>
              </w:rPr>
              <w:t>北纬44</w:t>
            </w:r>
            <w:r>
              <w:rPr>
                <w:color w:val="auto"/>
                <w:sz w:val="24"/>
              </w:rPr>
              <w:t>°</w:t>
            </w:r>
            <w:r>
              <w:rPr>
                <w:rFonts w:hint="eastAsia"/>
                <w:color w:val="auto"/>
                <w:sz w:val="24"/>
              </w:rPr>
              <w:t>21</w:t>
            </w:r>
            <w:r>
              <w:rPr>
                <w:color w:val="auto"/>
                <w:sz w:val="24"/>
              </w:rPr>
              <w:t>′</w:t>
            </w:r>
            <w:r>
              <w:rPr>
                <w:rFonts w:hint="eastAsia"/>
                <w:color w:val="auto"/>
                <w:sz w:val="24"/>
              </w:rPr>
              <w:t>1.951</w:t>
            </w:r>
            <w:r>
              <w:rPr>
                <w:color w:val="auto"/>
                <w:sz w:val="24"/>
              </w:rPr>
              <w:t>″</w:t>
            </w:r>
            <w:r>
              <w:rPr>
                <w:rFonts w:hint="eastAsia"/>
                <w:color w:val="auto"/>
                <w:sz w:val="24"/>
              </w:rPr>
              <w:t>。项目区北侧</w:t>
            </w:r>
            <w:r>
              <w:rPr>
                <w:rFonts w:hint="eastAsia"/>
                <w:color w:val="auto"/>
                <w:sz w:val="24"/>
                <w:lang w:eastAsia="zh-CN"/>
              </w:rPr>
              <w:t>为</w:t>
            </w:r>
            <w:r>
              <w:rPr>
                <w:rFonts w:hint="eastAsia"/>
                <w:color w:val="auto"/>
                <w:sz w:val="24"/>
                <w:lang w:val="en-US" w:eastAsia="zh-CN"/>
              </w:rPr>
              <w:t>备件库</w:t>
            </w:r>
            <w:r>
              <w:rPr>
                <w:rFonts w:hint="eastAsia"/>
                <w:color w:val="auto"/>
                <w:sz w:val="24"/>
              </w:rPr>
              <w:t>、南侧为库房、西侧</w:t>
            </w:r>
            <w:r>
              <w:rPr>
                <w:rFonts w:hint="eastAsia"/>
                <w:color w:val="auto"/>
                <w:sz w:val="24"/>
                <w:lang w:eastAsia="zh-CN"/>
              </w:rPr>
              <w:t>、</w:t>
            </w:r>
            <w:r>
              <w:rPr>
                <w:rFonts w:hint="eastAsia"/>
                <w:color w:val="auto"/>
                <w:sz w:val="24"/>
              </w:rPr>
              <w:t>东侧为空地。项目地理位置详见附图1，项目区卫星图详见附图2。</w:t>
            </w:r>
          </w:p>
          <w:p>
            <w:pPr>
              <w:adjustRightInd w:val="0"/>
              <w:snapToGrid w:val="0"/>
              <w:spacing w:line="520" w:lineRule="exact"/>
              <w:ind w:firstLine="482" w:firstLineChars="200"/>
              <w:rPr>
                <w:b/>
                <w:color w:val="auto"/>
                <w:sz w:val="24"/>
              </w:rPr>
            </w:pPr>
            <w:r>
              <w:rPr>
                <w:rFonts w:hint="eastAsia"/>
                <w:b/>
                <w:color w:val="auto"/>
                <w:sz w:val="24"/>
              </w:rPr>
              <w:t>3</w:t>
            </w:r>
            <w:r>
              <w:rPr>
                <w:b/>
                <w:color w:val="auto"/>
                <w:sz w:val="24"/>
              </w:rPr>
              <w:t>、项目建设内容</w:t>
            </w:r>
          </w:p>
          <w:p>
            <w:pPr>
              <w:spacing w:line="560" w:lineRule="exact"/>
              <w:ind w:firstLine="480" w:firstLineChars="200"/>
              <w:jc w:val="left"/>
              <w:rPr>
                <w:color w:val="auto"/>
                <w:sz w:val="24"/>
              </w:rPr>
            </w:pPr>
            <w:r>
              <w:rPr>
                <w:rFonts w:hint="eastAsia"/>
                <w:color w:val="auto"/>
                <w:sz w:val="24"/>
              </w:rPr>
              <w:t>本项目主要为新建危废暂存间1座，建筑面积为15m</w:t>
            </w:r>
            <w:r>
              <w:rPr>
                <w:rFonts w:hint="eastAsia"/>
                <w:color w:val="auto"/>
                <w:sz w:val="24"/>
                <w:vertAlign w:val="superscript"/>
              </w:rPr>
              <w:t>2</w:t>
            </w:r>
            <w:r>
              <w:rPr>
                <w:rFonts w:hint="eastAsia"/>
                <w:color w:val="auto"/>
                <w:sz w:val="24"/>
              </w:rPr>
              <w:t>。</w:t>
            </w:r>
            <w:r>
              <w:rPr>
                <w:color w:val="auto"/>
                <w:sz w:val="24"/>
              </w:rPr>
              <w:t>工程项目组成见表2-1。</w:t>
            </w:r>
          </w:p>
          <w:p>
            <w:pPr>
              <w:pStyle w:val="64"/>
              <w:spacing w:line="240" w:lineRule="auto"/>
              <w:ind w:firstLine="480"/>
              <w:jc w:val="center"/>
              <w:rPr>
                <w:rFonts w:hAnsi="Times New Roman" w:eastAsia="黑体"/>
                <w:b w:val="0"/>
                <w:bCs w:val="0"/>
                <w:color w:val="auto"/>
                <w:szCs w:val="24"/>
              </w:rPr>
            </w:pPr>
            <w:r>
              <w:rPr>
                <w:rFonts w:hAnsi="Times New Roman" w:eastAsia="黑体"/>
                <w:b w:val="0"/>
                <w:bCs w:val="0"/>
                <w:color w:val="auto"/>
                <w:szCs w:val="24"/>
              </w:rPr>
              <w:t xml:space="preserve">表2-1  </w:t>
            </w:r>
            <w:r>
              <w:rPr>
                <w:rFonts w:hint="eastAsia" w:hAnsi="Times New Roman" w:eastAsia="黑体"/>
                <w:b w:val="0"/>
                <w:bCs w:val="0"/>
                <w:color w:val="auto"/>
                <w:szCs w:val="24"/>
              </w:rPr>
              <w:t xml:space="preserve">  </w:t>
            </w:r>
            <w:r>
              <w:rPr>
                <w:rFonts w:hAnsi="Times New Roman" w:eastAsia="黑体"/>
                <w:b w:val="0"/>
                <w:bCs w:val="0"/>
                <w:color w:val="auto"/>
                <w:szCs w:val="24"/>
              </w:rPr>
              <w:t>项目建设内容组成一览表</w:t>
            </w:r>
          </w:p>
          <w:tbl>
            <w:tblPr>
              <w:tblStyle w:val="31"/>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99"/>
              <w:gridCol w:w="1071"/>
              <w:gridCol w:w="637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1" w:hRule="atLeast"/>
              </w:trPr>
              <w:tc>
                <w:tcPr>
                  <w:tcW w:w="988" w:type="pct"/>
                  <w:gridSpan w:val="2"/>
                  <w:vAlign w:val="center"/>
                </w:tcPr>
                <w:p>
                  <w:pPr>
                    <w:widowControl/>
                    <w:jc w:val="center"/>
                    <w:rPr>
                      <w:color w:val="auto"/>
                      <w:kern w:val="0"/>
                      <w:szCs w:val="21"/>
                    </w:rPr>
                  </w:pPr>
                  <w:r>
                    <w:rPr>
                      <w:color w:val="auto"/>
                      <w:kern w:val="0"/>
                      <w:szCs w:val="21"/>
                    </w:rPr>
                    <w:t>项目组成</w:t>
                  </w:r>
                </w:p>
              </w:tc>
              <w:tc>
                <w:tcPr>
                  <w:tcW w:w="4011" w:type="pct"/>
                  <w:vAlign w:val="center"/>
                </w:tcPr>
                <w:p>
                  <w:pPr>
                    <w:widowControl/>
                    <w:jc w:val="center"/>
                    <w:rPr>
                      <w:color w:val="auto"/>
                      <w:kern w:val="0"/>
                      <w:szCs w:val="21"/>
                    </w:rPr>
                  </w:pPr>
                  <w:r>
                    <w:rPr>
                      <w:color w:val="auto"/>
                      <w:kern w:val="0"/>
                      <w:szCs w:val="21"/>
                    </w:rPr>
                    <w:t>工程内容及规模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76" w:hRule="atLeast"/>
              </w:trPr>
              <w:tc>
                <w:tcPr>
                  <w:tcW w:w="988" w:type="pct"/>
                  <w:gridSpan w:val="2"/>
                  <w:vAlign w:val="center"/>
                </w:tcPr>
                <w:p>
                  <w:pPr>
                    <w:widowControl/>
                    <w:jc w:val="center"/>
                    <w:rPr>
                      <w:color w:val="auto"/>
                      <w:kern w:val="0"/>
                      <w:szCs w:val="21"/>
                    </w:rPr>
                  </w:pPr>
                  <w:r>
                    <w:rPr>
                      <w:color w:val="auto"/>
                      <w:kern w:val="0"/>
                      <w:szCs w:val="21"/>
                    </w:rPr>
                    <w:t>主体工程</w:t>
                  </w:r>
                </w:p>
              </w:tc>
              <w:tc>
                <w:tcPr>
                  <w:tcW w:w="4011" w:type="pct"/>
                  <w:vAlign w:val="center"/>
                </w:tcPr>
                <w:p>
                  <w:pPr>
                    <w:pStyle w:val="38"/>
                    <w:rPr>
                      <w:rFonts w:ascii="Times New Roman" w:hAnsi="Times New Roman"/>
                      <w:color w:val="auto"/>
                    </w:rPr>
                  </w:pPr>
                  <w:r>
                    <w:rPr>
                      <w:rFonts w:hint="eastAsia" w:ascii="Times New Roman" w:hAnsi="Times New Roman"/>
                      <w:color w:val="auto"/>
                    </w:rPr>
                    <w:t>新建危废暂存间一座，占地面积15m</w:t>
                  </w:r>
                  <w:r>
                    <w:rPr>
                      <w:rFonts w:hint="eastAsia" w:ascii="Times New Roman" w:hAnsi="Times New Roman"/>
                      <w:color w:val="auto"/>
                      <w:vertAlign w:val="superscript"/>
                    </w:rPr>
                    <w:t>2</w:t>
                  </w:r>
                  <w:r>
                    <w:rPr>
                      <w:rFonts w:hint="eastAsia" w:ascii="Times New Roman" w:hAnsi="Times New Roman"/>
                      <w:color w:val="auto"/>
                    </w:rPr>
                    <w:t>，彩钢结构，地面防渗处理，分为单独的3</w:t>
                  </w:r>
                  <w:r>
                    <w:rPr>
                      <w:rFonts w:hint="eastAsia" w:ascii="Times New Roman" w:hAnsi="Times New Roman"/>
                      <w:color w:val="auto"/>
                      <w:lang w:val="en-US" w:eastAsia="zh-CN"/>
                    </w:rPr>
                    <w:t>个</w:t>
                  </w:r>
                  <w:r>
                    <w:rPr>
                      <w:rFonts w:hint="eastAsia" w:ascii="Times New Roman" w:hAnsi="Times New Roman"/>
                      <w:color w:val="auto"/>
                    </w:rPr>
                    <w:t>区，每个区占地面积约5m</w:t>
                  </w:r>
                  <w:r>
                    <w:rPr>
                      <w:rFonts w:hint="eastAsia" w:ascii="Times New Roman" w:hAnsi="Times New Roman"/>
                      <w:color w:val="auto"/>
                      <w:vertAlign w:val="superscript"/>
                    </w:rPr>
                    <w:t>2</w:t>
                  </w:r>
                  <w:r>
                    <w:rPr>
                      <w:rFonts w:hint="eastAsia" w:ascii="Times New Roman" w:hAnsi="Times New Roman"/>
                      <w:color w:val="auto"/>
                    </w:rPr>
                    <w:t>，分别贮存废机油、废滤芯和废蓄电池</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314" w:type="pct"/>
                  <w:vAlign w:val="center"/>
                </w:tcPr>
                <w:p>
                  <w:pPr>
                    <w:widowControl/>
                    <w:jc w:val="center"/>
                    <w:rPr>
                      <w:color w:val="auto"/>
                      <w:kern w:val="0"/>
                      <w:szCs w:val="21"/>
                    </w:rPr>
                  </w:pPr>
                  <w:r>
                    <w:rPr>
                      <w:rFonts w:hint="eastAsia"/>
                      <w:color w:val="auto"/>
                      <w:kern w:val="0"/>
                      <w:szCs w:val="21"/>
                    </w:rPr>
                    <w:t>辅助</w:t>
                  </w:r>
                </w:p>
                <w:p>
                  <w:pPr>
                    <w:widowControl/>
                    <w:jc w:val="center"/>
                    <w:rPr>
                      <w:color w:val="auto"/>
                      <w:kern w:val="0"/>
                      <w:szCs w:val="21"/>
                    </w:rPr>
                  </w:pPr>
                  <w:r>
                    <w:rPr>
                      <w:rFonts w:hint="eastAsia"/>
                      <w:color w:val="auto"/>
                      <w:kern w:val="0"/>
                      <w:szCs w:val="21"/>
                    </w:rPr>
                    <w:t>工程</w:t>
                  </w:r>
                </w:p>
              </w:tc>
              <w:tc>
                <w:tcPr>
                  <w:tcW w:w="674" w:type="pct"/>
                  <w:vAlign w:val="center"/>
                </w:tcPr>
                <w:p>
                  <w:pPr>
                    <w:widowControl/>
                    <w:jc w:val="center"/>
                    <w:rPr>
                      <w:snapToGrid w:val="0"/>
                      <w:color w:val="auto"/>
                      <w:szCs w:val="21"/>
                    </w:rPr>
                  </w:pPr>
                  <w:r>
                    <w:rPr>
                      <w:rFonts w:hint="eastAsia"/>
                      <w:snapToGrid w:val="0"/>
                      <w:color w:val="auto"/>
                      <w:szCs w:val="21"/>
                    </w:rPr>
                    <w:t>办公及生活辅助设施</w:t>
                  </w:r>
                </w:p>
              </w:tc>
              <w:tc>
                <w:tcPr>
                  <w:tcW w:w="4011" w:type="pct"/>
                  <w:vAlign w:val="center"/>
                </w:tcPr>
                <w:p>
                  <w:pPr>
                    <w:widowControl/>
                    <w:jc w:val="center"/>
                    <w:rPr>
                      <w:snapToGrid w:val="0"/>
                      <w:color w:val="auto"/>
                      <w:szCs w:val="21"/>
                    </w:rPr>
                  </w:pPr>
                  <w:r>
                    <w:rPr>
                      <w:rFonts w:hint="eastAsia"/>
                      <w:snapToGrid w:val="0"/>
                      <w:color w:val="auto"/>
                      <w:szCs w:val="21"/>
                    </w:rPr>
                    <w:t>依托准东生产基地现有办公设施；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314" w:type="pct"/>
                  <w:vMerge w:val="restart"/>
                  <w:vAlign w:val="center"/>
                </w:tcPr>
                <w:p>
                  <w:pPr>
                    <w:widowControl/>
                    <w:jc w:val="center"/>
                    <w:rPr>
                      <w:color w:val="auto"/>
                      <w:kern w:val="0"/>
                      <w:szCs w:val="21"/>
                    </w:rPr>
                  </w:pPr>
                  <w:r>
                    <w:rPr>
                      <w:rFonts w:hint="eastAsia"/>
                      <w:color w:val="auto"/>
                      <w:kern w:val="0"/>
                      <w:szCs w:val="21"/>
                    </w:rPr>
                    <w:t>公用</w:t>
                  </w:r>
                </w:p>
                <w:p>
                  <w:pPr>
                    <w:widowControl/>
                    <w:jc w:val="center"/>
                    <w:rPr>
                      <w:color w:val="auto"/>
                      <w:kern w:val="0"/>
                      <w:szCs w:val="21"/>
                    </w:rPr>
                  </w:pPr>
                  <w:r>
                    <w:rPr>
                      <w:rFonts w:hint="eastAsia"/>
                      <w:color w:val="auto"/>
                      <w:kern w:val="0"/>
                      <w:szCs w:val="21"/>
                    </w:rPr>
                    <w:t>工程</w:t>
                  </w:r>
                </w:p>
              </w:tc>
              <w:tc>
                <w:tcPr>
                  <w:tcW w:w="674" w:type="pct"/>
                  <w:vAlign w:val="center"/>
                </w:tcPr>
                <w:p>
                  <w:pPr>
                    <w:widowControl/>
                    <w:jc w:val="center"/>
                    <w:rPr>
                      <w:color w:val="auto"/>
                      <w:kern w:val="0"/>
                      <w:szCs w:val="21"/>
                    </w:rPr>
                  </w:pPr>
                  <w:r>
                    <w:rPr>
                      <w:color w:val="auto"/>
                      <w:kern w:val="0"/>
                      <w:szCs w:val="21"/>
                    </w:rPr>
                    <w:t>供水</w:t>
                  </w:r>
                </w:p>
              </w:tc>
              <w:tc>
                <w:tcPr>
                  <w:tcW w:w="4011" w:type="pct"/>
                  <w:vAlign w:val="center"/>
                </w:tcPr>
                <w:p>
                  <w:pPr>
                    <w:widowControl/>
                    <w:jc w:val="center"/>
                    <w:rPr>
                      <w:color w:val="auto"/>
                      <w:kern w:val="0"/>
                      <w:szCs w:val="21"/>
                    </w:rPr>
                  </w:pPr>
                  <w:r>
                    <w:rPr>
                      <w:rFonts w:hint="eastAsia"/>
                      <w:color w:val="auto"/>
                      <w:kern w:val="0"/>
                      <w:szCs w:val="21"/>
                    </w:rPr>
                    <w:t>本项目无需生产、生活用水；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1" w:hRule="atLeast"/>
              </w:trPr>
              <w:tc>
                <w:tcPr>
                  <w:tcW w:w="314" w:type="pct"/>
                  <w:vMerge w:val="continue"/>
                  <w:vAlign w:val="center"/>
                </w:tcPr>
                <w:p>
                  <w:pPr>
                    <w:widowControl/>
                    <w:jc w:val="center"/>
                    <w:rPr>
                      <w:color w:val="auto"/>
                      <w:kern w:val="0"/>
                      <w:szCs w:val="21"/>
                    </w:rPr>
                  </w:pPr>
                </w:p>
              </w:tc>
              <w:tc>
                <w:tcPr>
                  <w:tcW w:w="674" w:type="pct"/>
                  <w:vAlign w:val="center"/>
                </w:tcPr>
                <w:p>
                  <w:pPr>
                    <w:widowControl/>
                    <w:jc w:val="center"/>
                    <w:rPr>
                      <w:color w:val="auto"/>
                      <w:kern w:val="0"/>
                      <w:szCs w:val="21"/>
                    </w:rPr>
                  </w:pPr>
                  <w:r>
                    <w:rPr>
                      <w:color w:val="auto"/>
                      <w:kern w:val="0"/>
                      <w:szCs w:val="21"/>
                    </w:rPr>
                    <w:t>供电</w:t>
                  </w:r>
                </w:p>
              </w:tc>
              <w:tc>
                <w:tcPr>
                  <w:tcW w:w="4011" w:type="pct"/>
                  <w:vAlign w:val="center"/>
                </w:tcPr>
                <w:p>
                  <w:pPr>
                    <w:widowControl/>
                    <w:jc w:val="center"/>
                    <w:rPr>
                      <w:color w:val="auto"/>
                      <w:kern w:val="0"/>
                      <w:szCs w:val="21"/>
                    </w:rPr>
                  </w:pPr>
                  <w:r>
                    <w:rPr>
                      <w:rFonts w:hint="eastAsia"/>
                      <w:color w:val="auto"/>
                      <w:kern w:val="0"/>
                      <w:szCs w:val="21"/>
                    </w:rPr>
                    <w:t>依托厂区现有供电设施；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1" w:hRule="atLeast"/>
              </w:trPr>
              <w:tc>
                <w:tcPr>
                  <w:tcW w:w="314" w:type="pct"/>
                  <w:vMerge w:val="continue"/>
                  <w:vAlign w:val="center"/>
                </w:tcPr>
                <w:p>
                  <w:pPr>
                    <w:widowControl/>
                    <w:jc w:val="center"/>
                    <w:rPr>
                      <w:color w:val="auto"/>
                      <w:kern w:val="0"/>
                      <w:szCs w:val="21"/>
                    </w:rPr>
                  </w:pPr>
                </w:p>
              </w:tc>
              <w:tc>
                <w:tcPr>
                  <w:tcW w:w="674" w:type="pct"/>
                  <w:vAlign w:val="center"/>
                </w:tcPr>
                <w:p>
                  <w:pPr>
                    <w:widowControl/>
                    <w:jc w:val="center"/>
                    <w:rPr>
                      <w:color w:val="auto"/>
                      <w:kern w:val="0"/>
                      <w:szCs w:val="21"/>
                    </w:rPr>
                  </w:pPr>
                  <w:r>
                    <w:rPr>
                      <w:rFonts w:hint="eastAsia"/>
                      <w:color w:val="auto"/>
                      <w:kern w:val="0"/>
                      <w:szCs w:val="21"/>
                    </w:rPr>
                    <w:t>供暖</w:t>
                  </w:r>
                </w:p>
              </w:tc>
              <w:tc>
                <w:tcPr>
                  <w:tcW w:w="4011" w:type="pct"/>
                  <w:vAlign w:val="center"/>
                </w:tcPr>
                <w:p>
                  <w:pPr>
                    <w:widowControl/>
                    <w:jc w:val="center"/>
                    <w:rPr>
                      <w:color w:val="auto"/>
                      <w:kern w:val="0"/>
                      <w:szCs w:val="21"/>
                    </w:rPr>
                  </w:pPr>
                  <w:r>
                    <w:rPr>
                      <w:rFonts w:hint="eastAsia"/>
                      <w:color w:val="auto"/>
                      <w:kern w:val="0"/>
                      <w:szCs w:val="21"/>
                    </w:rPr>
                    <w:t>冬季无需供暖；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1" w:hRule="atLeast"/>
              </w:trPr>
              <w:tc>
                <w:tcPr>
                  <w:tcW w:w="314" w:type="pct"/>
                  <w:vMerge w:val="continue"/>
                  <w:vAlign w:val="center"/>
                </w:tcPr>
                <w:p>
                  <w:pPr>
                    <w:widowControl/>
                    <w:jc w:val="center"/>
                    <w:rPr>
                      <w:color w:val="auto"/>
                      <w:kern w:val="0"/>
                      <w:szCs w:val="21"/>
                    </w:rPr>
                  </w:pPr>
                </w:p>
              </w:tc>
              <w:tc>
                <w:tcPr>
                  <w:tcW w:w="674" w:type="pct"/>
                  <w:vAlign w:val="center"/>
                </w:tcPr>
                <w:p>
                  <w:pPr>
                    <w:widowControl/>
                    <w:jc w:val="center"/>
                    <w:rPr>
                      <w:rFonts w:hint="default" w:eastAsia="宋体"/>
                      <w:color w:val="auto"/>
                      <w:kern w:val="0"/>
                      <w:szCs w:val="21"/>
                      <w:lang w:val="en-US" w:eastAsia="zh-CN"/>
                    </w:rPr>
                  </w:pPr>
                  <w:r>
                    <w:rPr>
                      <w:rFonts w:hint="eastAsia"/>
                      <w:color w:val="auto"/>
                      <w:kern w:val="0"/>
                      <w:szCs w:val="21"/>
                      <w:lang w:val="en-US" w:eastAsia="zh-CN"/>
                    </w:rPr>
                    <w:t>防静电</w:t>
                  </w:r>
                </w:p>
              </w:tc>
              <w:tc>
                <w:tcPr>
                  <w:tcW w:w="4011" w:type="pct"/>
                  <w:vAlign w:val="center"/>
                </w:tcPr>
                <w:p>
                  <w:pPr>
                    <w:widowControl/>
                    <w:jc w:val="center"/>
                    <w:rPr>
                      <w:rFonts w:hint="default" w:eastAsia="宋体"/>
                      <w:color w:val="auto"/>
                      <w:kern w:val="0"/>
                      <w:szCs w:val="21"/>
                      <w:lang w:val="en-US" w:eastAsia="zh-CN"/>
                    </w:rPr>
                  </w:pPr>
                  <w:r>
                    <w:rPr>
                      <w:rFonts w:hint="eastAsia"/>
                      <w:color w:val="auto"/>
                      <w:kern w:val="0"/>
                      <w:szCs w:val="21"/>
                      <w:lang w:val="en-US" w:eastAsia="zh-CN"/>
                    </w:rPr>
                    <w:t>按要求按照防静电接地线</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314" w:type="pct"/>
                  <w:vMerge w:val="restart"/>
                  <w:vAlign w:val="center"/>
                </w:tcPr>
                <w:p>
                  <w:pPr>
                    <w:widowControl/>
                    <w:jc w:val="center"/>
                    <w:rPr>
                      <w:color w:val="auto"/>
                      <w:kern w:val="0"/>
                      <w:szCs w:val="21"/>
                    </w:rPr>
                  </w:pPr>
                  <w:r>
                    <w:rPr>
                      <w:rFonts w:hint="eastAsia"/>
                      <w:color w:val="auto"/>
                      <w:kern w:val="0"/>
                      <w:szCs w:val="21"/>
                    </w:rPr>
                    <w:t>环保</w:t>
                  </w:r>
                </w:p>
                <w:p>
                  <w:pPr>
                    <w:widowControl/>
                    <w:jc w:val="center"/>
                    <w:rPr>
                      <w:color w:val="auto"/>
                      <w:kern w:val="0"/>
                      <w:szCs w:val="21"/>
                    </w:rPr>
                  </w:pPr>
                  <w:r>
                    <w:rPr>
                      <w:rFonts w:hint="eastAsia"/>
                      <w:color w:val="auto"/>
                      <w:kern w:val="0"/>
                      <w:szCs w:val="21"/>
                    </w:rPr>
                    <w:t>工程</w:t>
                  </w:r>
                </w:p>
              </w:tc>
              <w:tc>
                <w:tcPr>
                  <w:tcW w:w="674" w:type="pct"/>
                  <w:vAlign w:val="center"/>
                </w:tcPr>
                <w:p>
                  <w:pPr>
                    <w:widowControl/>
                    <w:jc w:val="center"/>
                    <w:rPr>
                      <w:color w:val="auto"/>
                      <w:kern w:val="0"/>
                      <w:szCs w:val="21"/>
                    </w:rPr>
                  </w:pPr>
                  <w:r>
                    <w:rPr>
                      <w:rFonts w:hint="eastAsia"/>
                      <w:color w:val="auto"/>
                      <w:kern w:val="0"/>
                      <w:szCs w:val="21"/>
                    </w:rPr>
                    <w:t>废气</w:t>
                  </w:r>
                </w:p>
              </w:tc>
              <w:tc>
                <w:tcPr>
                  <w:tcW w:w="4011" w:type="pct"/>
                  <w:vAlign w:val="center"/>
                </w:tcPr>
                <w:p>
                  <w:pPr>
                    <w:widowControl/>
                    <w:jc w:val="center"/>
                    <w:rPr>
                      <w:color w:val="auto"/>
                      <w:kern w:val="0"/>
                      <w:szCs w:val="21"/>
                    </w:rPr>
                  </w:pPr>
                  <w:r>
                    <w:rPr>
                      <w:rFonts w:hint="eastAsia"/>
                      <w:color w:val="auto"/>
                    </w:rPr>
                    <w:t>废气主要为废油挥发产生的极少量有机气体及硫酸雾</w:t>
                  </w:r>
                  <w:r>
                    <w:rPr>
                      <w:color w:val="auto"/>
                    </w:rPr>
                    <w:t>，</w:t>
                  </w:r>
                  <w:r>
                    <w:rPr>
                      <w:rFonts w:hint="eastAsia"/>
                      <w:color w:val="auto"/>
                    </w:rPr>
                    <w:t>经排风装置（排风扇+自然通风）无组织排放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1" w:hRule="atLeast"/>
              </w:trPr>
              <w:tc>
                <w:tcPr>
                  <w:tcW w:w="314" w:type="pct"/>
                  <w:vMerge w:val="continue"/>
                  <w:vAlign w:val="center"/>
                </w:tcPr>
                <w:p>
                  <w:pPr>
                    <w:widowControl/>
                    <w:jc w:val="center"/>
                    <w:rPr>
                      <w:color w:val="auto"/>
                      <w:kern w:val="0"/>
                      <w:szCs w:val="21"/>
                    </w:rPr>
                  </w:pPr>
                </w:p>
              </w:tc>
              <w:tc>
                <w:tcPr>
                  <w:tcW w:w="674" w:type="pct"/>
                  <w:vAlign w:val="center"/>
                </w:tcPr>
                <w:p>
                  <w:pPr>
                    <w:widowControl/>
                    <w:jc w:val="center"/>
                    <w:rPr>
                      <w:color w:val="auto"/>
                      <w:kern w:val="0"/>
                      <w:szCs w:val="21"/>
                    </w:rPr>
                  </w:pPr>
                  <w:r>
                    <w:rPr>
                      <w:rFonts w:hint="eastAsia"/>
                      <w:color w:val="auto"/>
                      <w:kern w:val="0"/>
                      <w:szCs w:val="21"/>
                    </w:rPr>
                    <w:t>固废</w:t>
                  </w:r>
                </w:p>
              </w:tc>
              <w:tc>
                <w:tcPr>
                  <w:tcW w:w="4011" w:type="pct"/>
                  <w:vAlign w:val="center"/>
                </w:tcPr>
                <w:p>
                  <w:pPr>
                    <w:widowControl/>
                    <w:jc w:val="center"/>
                    <w:rPr>
                      <w:color w:val="auto"/>
                      <w:kern w:val="0"/>
                      <w:szCs w:val="21"/>
                    </w:rPr>
                  </w:pPr>
                  <w:r>
                    <w:rPr>
                      <w:rFonts w:hint="eastAsia"/>
                      <w:color w:val="auto"/>
                      <w:kern w:val="0"/>
                      <w:szCs w:val="21"/>
                    </w:rPr>
                    <w:t>本项目不产生危险废物，只储存设备维护时产生的废机油、机柴滤及废电瓶；</w:t>
                  </w:r>
                </w:p>
                <w:p>
                  <w:pPr>
                    <w:widowControl/>
                    <w:jc w:val="center"/>
                    <w:rPr>
                      <w:color w:val="auto"/>
                      <w:kern w:val="0"/>
                      <w:szCs w:val="21"/>
                    </w:rPr>
                  </w:pPr>
                  <w:r>
                    <w:rPr>
                      <w:rFonts w:hint="eastAsia"/>
                      <w:color w:val="auto"/>
                      <w:kern w:val="0"/>
                      <w:szCs w:val="21"/>
                    </w:rPr>
                    <w:t>项目不新增员工，无新增生活垃圾产生；少量</w:t>
                  </w:r>
                  <w:r>
                    <w:rPr>
                      <w:rFonts w:hint="eastAsia"/>
                      <w:color w:val="auto"/>
                      <w:szCs w:val="21"/>
                    </w:rPr>
                    <w:t>含油抹布混入</w:t>
                  </w:r>
                  <w:r>
                    <w:rPr>
                      <w:rFonts w:hint="eastAsia"/>
                      <w:color w:val="auto"/>
                      <w:szCs w:val="21"/>
                      <w:lang w:val="en-US" w:eastAsia="zh-CN"/>
                    </w:rPr>
                    <w:t>准东运输基地</w:t>
                  </w:r>
                  <w:r>
                    <w:rPr>
                      <w:rFonts w:hint="eastAsia"/>
                      <w:color w:val="auto"/>
                      <w:szCs w:val="21"/>
                    </w:rPr>
                    <w:t>生活垃圾，收集后环卫部门统一清运；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1" w:hRule="atLeast"/>
              </w:trPr>
              <w:tc>
                <w:tcPr>
                  <w:tcW w:w="314" w:type="pct"/>
                  <w:vMerge w:val="continue"/>
                  <w:vAlign w:val="center"/>
                </w:tcPr>
                <w:p>
                  <w:pPr>
                    <w:widowControl/>
                    <w:jc w:val="center"/>
                    <w:rPr>
                      <w:color w:val="auto"/>
                      <w:kern w:val="0"/>
                      <w:szCs w:val="21"/>
                    </w:rPr>
                  </w:pPr>
                </w:p>
              </w:tc>
              <w:tc>
                <w:tcPr>
                  <w:tcW w:w="674" w:type="pct"/>
                  <w:vAlign w:val="center"/>
                </w:tcPr>
                <w:p>
                  <w:pPr>
                    <w:widowControl/>
                    <w:jc w:val="center"/>
                    <w:rPr>
                      <w:color w:val="auto"/>
                      <w:kern w:val="0"/>
                      <w:szCs w:val="21"/>
                    </w:rPr>
                  </w:pPr>
                  <w:r>
                    <w:rPr>
                      <w:rFonts w:hint="eastAsia"/>
                      <w:color w:val="auto"/>
                      <w:kern w:val="0"/>
                      <w:szCs w:val="21"/>
                    </w:rPr>
                    <w:t>噪声</w:t>
                  </w:r>
                </w:p>
              </w:tc>
              <w:tc>
                <w:tcPr>
                  <w:tcW w:w="4011" w:type="pct"/>
                  <w:vAlign w:val="center"/>
                </w:tcPr>
                <w:p>
                  <w:pPr>
                    <w:widowControl/>
                    <w:jc w:val="center"/>
                    <w:rPr>
                      <w:color w:val="auto"/>
                      <w:kern w:val="0"/>
                      <w:szCs w:val="21"/>
                    </w:rPr>
                  </w:pPr>
                  <w:r>
                    <w:rPr>
                      <w:rFonts w:hint="eastAsia" w:ascii="Times New Roman" w:hAnsi="Times New Roman" w:eastAsia="宋体" w:cs="Times New Roman"/>
                      <w:color w:val="auto"/>
                      <w:lang w:val="en-US" w:eastAsia="zh-CN"/>
                    </w:rPr>
                    <w:t>该项目只为危险废物的暂存，营运过程噪声仅危废搬运及转运车辆进出厂区少量噪声。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314" w:type="pct"/>
                  <w:vMerge w:val="continue"/>
                  <w:vAlign w:val="center"/>
                </w:tcPr>
                <w:p>
                  <w:pPr>
                    <w:widowControl/>
                    <w:jc w:val="center"/>
                    <w:rPr>
                      <w:color w:val="auto"/>
                      <w:kern w:val="0"/>
                      <w:szCs w:val="21"/>
                    </w:rPr>
                  </w:pPr>
                </w:p>
              </w:tc>
              <w:tc>
                <w:tcPr>
                  <w:tcW w:w="674" w:type="pct"/>
                  <w:vAlign w:val="center"/>
                </w:tcPr>
                <w:p>
                  <w:pPr>
                    <w:widowControl/>
                    <w:jc w:val="center"/>
                    <w:rPr>
                      <w:color w:val="auto"/>
                      <w:kern w:val="0"/>
                      <w:szCs w:val="21"/>
                    </w:rPr>
                  </w:pPr>
                  <w:r>
                    <w:rPr>
                      <w:rFonts w:hint="eastAsia"/>
                      <w:color w:val="auto"/>
                      <w:kern w:val="0"/>
                      <w:szCs w:val="21"/>
                    </w:rPr>
                    <w:t>防渗工程</w:t>
                  </w:r>
                </w:p>
              </w:tc>
              <w:tc>
                <w:tcPr>
                  <w:tcW w:w="4011" w:type="pct"/>
                  <w:vAlign w:val="center"/>
                </w:tcPr>
                <w:p>
                  <w:pPr>
                    <w:widowControl/>
                    <w:jc w:val="center"/>
                    <w:rPr>
                      <w:color w:val="auto"/>
                      <w:kern w:val="0"/>
                      <w:szCs w:val="21"/>
                    </w:rPr>
                  </w:pPr>
                  <w:r>
                    <w:rPr>
                      <w:rFonts w:hint="eastAsia"/>
                      <w:color w:val="auto"/>
                    </w:rPr>
                    <w:t>本项目危废暂存间为集装箱式，底板采用100mm钢板并用</w:t>
                  </w:r>
                  <w:r>
                    <w:rPr>
                      <w:rFonts w:hint="eastAsia"/>
                      <w:color w:val="auto"/>
                      <w:lang w:eastAsia="zh-CN"/>
                    </w:rPr>
                    <w:t>环氧树脂</w:t>
                  </w:r>
                  <w:r>
                    <w:rPr>
                      <w:rFonts w:hint="eastAsia"/>
                      <w:color w:val="auto"/>
                    </w:rPr>
                    <w:t>胶泥灌封，集装箱由固定滑轮支撑，箱体处于悬空状态，集装箱下设C30混凝土硬化地面，渗透系数≤10</w:t>
                  </w:r>
                  <w:r>
                    <w:rPr>
                      <w:rFonts w:hint="eastAsia"/>
                      <w:color w:val="auto"/>
                      <w:vertAlign w:val="superscript"/>
                    </w:rPr>
                    <w:t>-10</w:t>
                  </w:r>
                  <w:r>
                    <w:rPr>
                      <w:rFonts w:hint="eastAsia"/>
                      <w:color w:val="auto"/>
                    </w:rPr>
                    <w:t>cm/s。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1" w:hRule="atLeast"/>
              </w:trPr>
              <w:tc>
                <w:tcPr>
                  <w:tcW w:w="314" w:type="pct"/>
                  <w:vMerge w:val="continue"/>
                  <w:vAlign w:val="center"/>
                </w:tcPr>
                <w:p>
                  <w:pPr>
                    <w:widowControl/>
                    <w:jc w:val="center"/>
                    <w:rPr>
                      <w:color w:val="auto"/>
                      <w:kern w:val="0"/>
                      <w:szCs w:val="21"/>
                    </w:rPr>
                  </w:pPr>
                </w:p>
              </w:tc>
              <w:tc>
                <w:tcPr>
                  <w:tcW w:w="674" w:type="pct"/>
                  <w:vAlign w:val="center"/>
                </w:tcPr>
                <w:p>
                  <w:pPr>
                    <w:widowControl/>
                    <w:jc w:val="center"/>
                    <w:rPr>
                      <w:color w:val="auto"/>
                      <w:kern w:val="0"/>
                      <w:szCs w:val="21"/>
                    </w:rPr>
                  </w:pPr>
                  <w:r>
                    <w:rPr>
                      <w:rFonts w:hint="eastAsia"/>
                      <w:color w:val="auto"/>
                      <w:kern w:val="0"/>
                      <w:szCs w:val="21"/>
                    </w:rPr>
                    <w:t>风险</w:t>
                  </w:r>
                </w:p>
              </w:tc>
              <w:tc>
                <w:tcPr>
                  <w:tcW w:w="4011" w:type="pct"/>
                  <w:vAlign w:val="center"/>
                </w:tcPr>
                <w:p>
                  <w:pPr>
                    <w:widowControl/>
                    <w:jc w:val="center"/>
                    <w:rPr>
                      <w:color w:val="auto"/>
                      <w:kern w:val="0"/>
                      <w:szCs w:val="21"/>
                    </w:rPr>
                  </w:pPr>
                  <w:r>
                    <w:rPr>
                      <w:rFonts w:hint="eastAsia"/>
                      <w:color w:val="auto"/>
                      <w:szCs w:val="21"/>
                    </w:rPr>
                    <w:t>做好防风、防雨、防晒措施，地面、裙脚等做好防漏、防渗措施，</w:t>
                  </w:r>
                  <w:r>
                    <w:rPr>
                      <w:rFonts w:hint="eastAsia"/>
                      <w:color w:val="auto"/>
                      <w:szCs w:val="21"/>
                      <w:highlight w:val="none"/>
                    </w:rPr>
                    <w:t>废电池存储区及废机油存储区设置0</w:t>
                  </w:r>
                  <w:r>
                    <w:rPr>
                      <w:color w:val="auto"/>
                      <w:szCs w:val="21"/>
                      <w:highlight w:val="none"/>
                    </w:rPr>
                    <w:t>.1</w:t>
                  </w:r>
                  <w:r>
                    <w:rPr>
                      <w:rFonts w:hint="eastAsia"/>
                      <w:color w:val="auto"/>
                      <w:szCs w:val="21"/>
                      <w:highlight w:val="none"/>
                    </w:rPr>
                    <w:t>m高围堰，用于收集渗滤液和泄漏机油，废机油收集桶底部配置托盘，</w:t>
                  </w:r>
                  <w:r>
                    <w:rPr>
                      <w:rFonts w:hint="eastAsia" w:ascii="Calibri" w:hAnsi="Calibri" w:cs="方正楷体_GBK"/>
                      <w:color w:val="auto"/>
                      <w:highlight w:val="none"/>
                      <w:lang w:val="en-US" w:eastAsia="zh-CN"/>
                    </w:rPr>
                    <w:t>本环评要求在废铅蓄电池及废机油存储区各放置一个备用铁桶，作为渗滤液的收集装置，发生大量泄露时，将泄漏液体采用油泵入备用铁桶，</w:t>
                  </w:r>
                  <w:r>
                    <w:rPr>
                      <w:rFonts w:hint="eastAsia"/>
                      <w:color w:val="auto"/>
                      <w:szCs w:val="21"/>
                      <w:highlight w:val="none"/>
                    </w:rPr>
                    <w:t>防止事故状态下废液泄漏污染土壤及地下水；收集桶设置警示标志，危险废物标识按照《危险废物识别标志设置技术规范》（HJ1276-2022）、《环境保护图形标志 固体废物贮存（处置）场》（GB15562.2-1995）</w:t>
                  </w:r>
                  <w:r>
                    <w:rPr>
                      <w:rFonts w:hint="eastAsia"/>
                      <w:color w:val="auto"/>
                      <w:szCs w:val="21"/>
                    </w:rPr>
                    <w:t>及修改单的规定设置警示标志。</w:t>
                  </w:r>
                </w:p>
              </w:tc>
            </w:tr>
          </w:tbl>
          <w:p>
            <w:pPr>
              <w:adjustRightInd w:val="0"/>
              <w:snapToGrid w:val="0"/>
              <w:spacing w:line="520" w:lineRule="exact"/>
              <w:ind w:firstLine="482" w:firstLineChars="200"/>
              <w:rPr>
                <w:b/>
                <w:bCs/>
                <w:color w:val="auto"/>
                <w:sz w:val="24"/>
              </w:rPr>
            </w:pPr>
            <w:r>
              <w:rPr>
                <w:rFonts w:hint="eastAsia"/>
                <w:b/>
                <w:bCs/>
                <w:color w:val="auto"/>
                <w:sz w:val="24"/>
              </w:rPr>
              <w:t>4、建设规模</w:t>
            </w:r>
          </w:p>
          <w:p>
            <w:pPr>
              <w:spacing w:line="560" w:lineRule="exact"/>
              <w:ind w:firstLine="480" w:firstLineChars="200"/>
              <w:jc w:val="left"/>
              <w:rPr>
                <w:rFonts w:ascii="Arial" w:hAnsi="Arial" w:cs="Arial" w:eastAsiaTheme="minorEastAsia"/>
                <w:color w:val="auto"/>
                <w:kern w:val="0"/>
                <w:sz w:val="28"/>
                <w:szCs w:val="28"/>
              </w:rPr>
            </w:pPr>
            <w:r>
              <w:rPr>
                <w:rFonts w:hint="eastAsia"/>
                <w:color w:val="auto"/>
                <w:sz w:val="24"/>
              </w:rPr>
              <w:t>设计存储能力：废机油1.2t/a、废滤芯：0.5t/a、废电瓶2t/a。本项目危险废物时间最长不超过1年（废铅蓄电池不大于90天）。</w:t>
            </w:r>
          </w:p>
          <w:p>
            <w:pPr>
              <w:adjustRightInd w:val="0"/>
              <w:snapToGrid w:val="0"/>
              <w:spacing w:line="520" w:lineRule="exact"/>
              <w:ind w:left="479" w:leftChars="228"/>
              <w:rPr>
                <w:b/>
                <w:bCs/>
                <w:color w:val="auto"/>
                <w:sz w:val="24"/>
              </w:rPr>
            </w:pPr>
            <w:r>
              <w:rPr>
                <w:rFonts w:hint="eastAsia"/>
                <w:b/>
                <w:bCs/>
                <w:color w:val="auto"/>
                <w:sz w:val="24"/>
              </w:rPr>
              <w:t>5</w:t>
            </w:r>
            <w:r>
              <w:rPr>
                <w:b/>
                <w:bCs/>
                <w:color w:val="auto"/>
                <w:sz w:val="24"/>
              </w:rPr>
              <w:t>、</w:t>
            </w:r>
            <w:r>
              <w:rPr>
                <w:rFonts w:hint="eastAsia"/>
                <w:b/>
                <w:bCs/>
                <w:color w:val="auto"/>
                <w:sz w:val="24"/>
              </w:rPr>
              <w:t>主要生产单元及主要工艺</w:t>
            </w:r>
          </w:p>
          <w:p>
            <w:pPr>
              <w:adjustRightInd w:val="0"/>
              <w:snapToGrid w:val="0"/>
              <w:spacing w:line="520" w:lineRule="exact"/>
              <w:ind w:firstLine="482" w:firstLineChars="200"/>
              <w:rPr>
                <w:color w:val="auto"/>
                <w:sz w:val="24"/>
              </w:rPr>
            </w:pPr>
            <w:r>
              <w:rPr>
                <w:rFonts w:hint="eastAsia"/>
                <w:b/>
                <w:bCs/>
                <w:color w:val="auto"/>
                <w:sz w:val="24"/>
              </w:rPr>
              <w:t>主要生产单元</w:t>
            </w:r>
            <w:r>
              <w:rPr>
                <w:rFonts w:hint="eastAsia"/>
                <w:color w:val="auto"/>
                <w:sz w:val="24"/>
              </w:rPr>
              <w:t>：危废暂存间</w:t>
            </w:r>
          </w:p>
          <w:p>
            <w:pPr>
              <w:adjustRightInd w:val="0"/>
              <w:snapToGrid w:val="0"/>
              <w:spacing w:line="520" w:lineRule="exact"/>
              <w:ind w:firstLine="482" w:firstLineChars="200"/>
              <w:rPr>
                <w:rFonts w:hint="eastAsia" w:eastAsia="宋体"/>
                <w:b/>
                <w:bCs/>
                <w:color w:val="auto"/>
                <w:sz w:val="24"/>
                <w:lang w:val="en-US" w:eastAsia="zh-CN"/>
              </w:rPr>
            </w:pPr>
            <w:r>
              <w:rPr>
                <w:rFonts w:hint="eastAsia"/>
                <w:b/>
                <w:bCs/>
                <w:color w:val="auto"/>
                <w:sz w:val="24"/>
              </w:rPr>
              <w:t>主要工艺：</w:t>
            </w:r>
            <w:r>
              <w:rPr>
                <w:rFonts w:hint="eastAsia"/>
                <w:color w:val="auto"/>
                <w:sz w:val="24"/>
              </w:rPr>
              <w:t>收集-存储-</w:t>
            </w:r>
            <w:r>
              <w:rPr>
                <w:rFonts w:hint="eastAsia"/>
                <w:color w:val="auto"/>
                <w:sz w:val="24"/>
                <w:lang w:val="en-US" w:eastAsia="zh-CN"/>
              </w:rPr>
              <w:t>转运</w:t>
            </w:r>
          </w:p>
          <w:p>
            <w:pPr>
              <w:numPr>
                <w:ilvl w:val="0"/>
                <w:numId w:val="6"/>
              </w:numPr>
              <w:adjustRightInd w:val="0"/>
              <w:snapToGrid w:val="0"/>
              <w:spacing w:line="520" w:lineRule="exact"/>
              <w:ind w:firstLine="482" w:firstLineChars="200"/>
              <w:rPr>
                <w:rFonts w:hint="eastAsia"/>
                <w:b/>
                <w:bCs/>
                <w:color w:val="auto"/>
                <w:sz w:val="24"/>
                <w:lang w:val="en-US" w:eastAsia="zh-CN"/>
              </w:rPr>
            </w:pPr>
            <w:r>
              <w:rPr>
                <w:rFonts w:hint="eastAsia"/>
                <w:b/>
                <w:bCs/>
                <w:color w:val="auto"/>
                <w:sz w:val="24"/>
                <w:lang w:val="en-US" w:eastAsia="zh-CN"/>
              </w:rPr>
              <w:t>危废来源、产生量及处置情况</w:t>
            </w:r>
          </w:p>
          <w:p>
            <w:pPr>
              <w:pStyle w:val="12"/>
              <w:keepNext w:val="0"/>
              <w:keepLines w:val="0"/>
              <w:pageBreakBefore w:val="0"/>
              <w:widowControl/>
              <w:numPr>
                <w:ilvl w:val="0"/>
                <w:numId w:val="0"/>
              </w:numPr>
              <w:kinsoku/>
              <w:wordWrap/>
              <w:overflowPunct/>
              <w:topLinePunct w:val="0"/>
              <w:autoSpaceDE/>
              <w:autoSpaceDN/>
              <w:bidi w:val="0"/>
              <w:adjustRightInd/>
              <w:snapToGrid w:val="0"/>
              <w:spacing w:before="0" w:after="0" w:line="520" w:lineRule="exact"/>
              <w:ind w:right="0" w:rightChars="0" w:firstLine="480" w:firstLineChars="200"/>
              <w:textAlignment w:val="auto"/>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项目危废来源于中国石油天然气运输有限公司准东生产基地车辆维修保养过程产生的废机油、废滤芯及废蓄电池。</w:t>
            </w:r>
          </w:p>
          <w:p>
            <w:pPr>
              <w:jc w:val="center"/>
              <w:rPr>
                <w:rFonts w:ascii="Times New Roman" w:hAnsi="Times New Roman" w:eastAsia="黑体" w:cs="Times New Roman"/>
                <w:color w:val="auto"/>
                <w:spacing w:val="6"/>
                <w:sz w:val="24"/>
              </w:rPr>
            </w:pPr>
            <w:r>
              <w:rPr>
                <w:rFonts w:hint="eastAsia" w:ascii="Times New Roman" w:hAnsi="Times New Roman" w:eastAsia="黑体" w:cs="Times New Roman"/>
                <w:color w:val="auto"/>
                <w:spacing w:val="6"/>
                <w:sz w:val="24"/>
              </w:rPr>
              <w:t>表</w:t>
            </w:r>
            <w:r>
              <w:rPr>
                <w:rFonts w:ascii="Times New Roman" w:hAnsi="Times New Roman" w:eastAsia="黑体" w:cs="Times New Roman"/>
                <w:color w:val="auto"/>
                <w:spacing w:val="6"/>
                <w:sz w:val="24"/>
              </w:rPr>
              <w:t>2-</w:t>
            </w:r>
            <w:r>
              <w:rPr>
                <w:rFonts w:hint="eastAsia" w:ascii="Times New Roman" w:hAnsi="Times New Roman" w:eastAsia="黑体" w:cs="Times New Roman"/>
                <w:color w:val="auto"/>
                <w:spacing w:val="6"/>
                <w:sz w:val="24"/>
              </w:rPr>
              <w:t xml:space="preserve">2  </w:t>
            </w:r>
            <w:r>
              <w:rPr>
                <w:rFonts w:hint="eastAsia" w:ascii="Times New Roman" w:hAnsi="Times New Roman" w:eastAsia="黑体" w:cs="Times New Roman"/>
                <w:color w:val="auto"/>
                <w:spacing w:val="6"/>
                <w:sz w:val="24"/>
                <w:lang w:val="en-US" w:eastAsia="zh-CN"/>
              </w:rPr>
              <w:t>危废来源</w:t>
            </w:r>
            <w:r>
              <w:rPr>
                <w:rFonts w:hint="eastAsia" w:ascii="Times New Roman" w:hAnsi="Times New Roman" w:eastAsia="黑体" w:cs="Times New Roman"/>
                <w:color w:val="auto"/>
                <w:spacing w:val="6"/>
                <w:sz w:val="24"/>
              </w:rPr>
              <w:t>及处置措施</w:t>
            </w:r>
          </w:p>
          <w:tbl>
            <w:tblPr>
              <w:tblStyle w:val="32"/>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22"/>
              <w:gridCol w:w="637"/>
              <w:gridCol w:w="1263"/>
              <w:gridCol w:w="1076"/>
              <w:gridCol w:w="1150"/>
              <w:gridCol w:w="825"/>
              <w:gridCol w:w="925"/>
              <w:gridCol w:w="767"/>
              <w:gridCol w:w="47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9" w:hRule="atLeast"/>
                <w:jc w:val="center"/>
              </w:trPr>
              <w:tc>
                <w:tcPr>
                  <w:tcW w:w="517" w:type="pct"/>
                  <w:tcBorders>
                    <w:tl2br w:val="nil"/>
                    <w:tr2bl w:val="nil"/>
                  </w:tcBorders>
                  <w:vAlign w:val="center"/>
                </w:tcPr>
                <w:p>
                  <w:pPr>
                    <w:widowControl/>
                    <w:spacing w:line="240" w:lineRule="auto"/>
                    <w:ind w:firstLine="0" w:firstLineChars="0"/>
                    <w:jc w:val="center"/>
                    <w:rPr>
                      <w:rFonts w:hint="eastAsia" w:eastAsia="宋体"/>
                      <w:b w:val="0"/>
                      <w:bCs w:val="0"/>
                      <w:color w:val="auto"/>
                      <w:sz w:val="15"/>
                      <w:szCs w:val="15"/>
                      <w:lang w:val="en-US" w:eastAsia="zh-CN"/>
                    </w:rPr>
                  </w:pPr>
                  <w:r>
                    <w:rPr>
                      <w:b w:val="0"/>
                      <w:bCs w:val="0"/>
                      <w:color w:val="auto"/>
                      <w:kern w:val="0"/>
                      <w:sz w:val="15"/>
                      <w:szCs w:val="15"/>
                      <w:lang w:bidi="ar"/>
                    </w:rPr>
                    <w:t>危险废物</w:t>
                  </w:r>
                  <w:r>
                    <w:rPr>
                      <w:rFonts w:hint="eastAsia"/>
                      <w:b w:val="0"/>
                      <w:bCs w:val="0"/>
                      <w:color w:val="auto"/>
                      <w:kern w:val="0"/>
                      <w:sz w:val="15"/>
                      <w:szCs w:val="15"/>
                      <w:lang w:val="en-US" w:eastAsia="zh-CN" w:bidi="ar"/>
                    </w:rPr>
                    <w:t>名称</w:t>
                  </w:r>
                </w:p>
              </w:tc>
              <w:tc>
                <w:tcPr>
                  <w:tcW w:w="401" w:type="pct"/>
                  <w:tcBorders>
                    <w:tl2br w:val="nil"/>
                    <w:tr2bl w:val="nil"/>
                  </w:tcBorders>
                  <w:vAlign w:val="center"/>
                </w:tcPr>
                <w:p>
                  <w:pPr>
                    <w:widowControl/>
                    <w:spacing w:line="240" w:lineRule="auto"/>
                    <w:ind w:firstLine="0" w:firstLineChars="0"/>
                    <w:jc w:val="center"/>
                    <w:rPr>
                      <w:rFonts w:hint="default" w:eastAsia="宋体"/>
                      <w:b w:val="0"/>
                      <w:bCs w:val="0"/>
                      <w:color w:val="auto"/>
                      <w:kern w:val="0"/>
                      <w:sz w:val="15"/>
                      <w:szCs w:val="15"/>
                      <w:lang w:val="en-US" w:eastAsia="zh-CN" w:bidi="ar"/>
                    </w:rPr>
                  </w:pPr>
                  <w:r>
                    <w:rPr>
                      <w:rFonts w:hint="eastAsia"/>
                      <w:b w:val="0"/>
                      <w:bCs w:val="0"/>
                      <w:color w:val="auto"/>
                      <w:kern w:val="0"/>
                      <w:sz w:val="15"/>
                      <w:szCs w:val="15"/>
                      <w:lang w:val="en-US" w:eastAsia="zh-CN" w:bidi="ar"/>
                    </w:rPr>
                    <w:t>产生环节</w:t>
                  </w:r>
                </w:p>
              </w:tc>
              <w:tc>
                <w:tcPr>
                  <w:tcW w:w="795" w:type="pct"/>
                  <w:tcBorders>
                    <w:tl2br w:val="nil"/>
                    <w:tr2bl w:val="nil"/>
                  </w:tcBorders>
                  <w:vAlign w:val="center"/>
                </w:tcPr>
                <w:p>
                  <w:pPr>
                    <w:widowControl/>
                    <w:spacing w:line="240" w:lineRule="auto"/>
                    <w:ind w:firstLine="0" w:firstLineChars="0"/>
                    <w:jc w:val="center"/>
                    <w:rPr>
                      <w:rFonts w:hint="default"/>
                      <w:b w:val="0"/>
                      <w:bCs w:val="0"/>
                      <w:color w:val="auto"/>
                      <w:kern w:val="0"/>
                      <w:sz w:val="15"/>
                      <w:szCs w:val="15"/>
                      <w:lang w:val="en-US" w:eastAsia="zh-CN" w:bidi="ar"/>
                    </w:rPr>
                  </w:pPr>
                  <w:r>
                    <w:rPr>
                      <w:rFonts w:hint="eastAsia"/>
                      <w:b w:val="0"/>
                      <w:bCs w:val="0"/>
                      <w:color w:val="auto"/>
                      <w:kern w:val="0"/>
                      <w:sz w:val="15"/>
                      <w:szCs w:val="15"/>
                      <w:lang w:val="en-US" w:eastAsia="zh-CN" w:bidi="ar"/>
                    </w:rPr>
                    <w:t>危险废物类别</w:t>
                  </w:r>
                </w:p>
              </w:tc>
              <w:tc>
                <w:tcPr>
                  <w:tcW w:w="677" w:type="pct"/>
                  <w:tcBorders>
                    <w:tl2br w:val="nil"/>
                    <w:tr2bl w:val="nil"/>
                  </w:tcBorders>
                  <w:vAlign w:val="center"/>
                </w:tcPr>
                <w:p>
                  <w:pPr>
                    <w:widowControl/>
                    <w:spacing w:line="240" w:lineRule="auto"/>
                    <w:ind w:firstLine="0" w:firstLineChars="0"/>
                    <w:jc w:val="center"/>
                    <w:rPr>
                      <w:b w:val="0"/>
                      <w:bCs w:val="0"/>
                      <w:color w:val="auto"/>
                      <w:sz w:val="15"/>
                      <w:szCs w:val="15"/>
                    </w:rPr>
                  </w:pPr>
                  <w:r>
                    <w:rPr>
                      <w:b w:val="0"/>
                      <w:bCs w:val="0"/>
                      <w:color w:val="auto"/>
                      <w:kern w:val="0"/>
                      <w:sz w:val="15"/>
                      <w:szCs w:val="15"/>
                      <w:lang w:bidi="ar"/>
                    </w:rPr>
                    <w:t>危废代码</w:t>
                  </w:r>
                </w:p>
              </w:tc>
              <w:tc>
                <w:tcPr>
                  <w:tcW w:w="724" w:type="pct"/>
                  <w:tcBorders>
                    <w:tl2br w:val="nil"/>
                    <w:tr2bl w:val="nil"/>
                  </w:tcBorders>
                  <w:vAlign w:val="center"/>
                </w:tcPr>
                <w:p>
                  <w:pPr>
                    <w:widowControl/>
                    <w:spacing w:line="240" w:lineRule="auto"/>
                    <w:ind w:firstLine="0" w:firstLineChars="0"/>
                    <w:jc w:val="center"/>
                    <w:rPr>
                      <w:b w:val="0"/>
                      <w:bCs w:val="0"/>
                      <w:color w:val="auto"/>
                      <w:sz w:val="15"/>
                      <w:szCs w:val="15"/>
                    </w:rPr>
                  </w:pPr>
                  <w:r>
                    <w:rPr>
                      <w:b w:val="0"/>
                      <w:bCs w:val="0"/>
                      <w:color w:val="auto"/>
                      <w:kern w:val="0"/>
                      <w:sz w:val="15"/>
                      <w:szCs w:val="15"/>
                      <w:lang w:bidi="ar"/>
                    </w:rPr>
                    <w:t>产生量（t/a）</w:t>
                  </w:r>
                </w:p>
              </w:tc>
              <w:tc>
                <w:tcPr>
                  <w:tcW w:w="519" w:type="pct"/>
                  <w:tcBorders>
                    <w:tl2br w:val="nil"/>
                    <w:tr2bl w:val="nil"/>
                  </w:tcBorders>
                  <w:vAlign w:val="center"/>
                </w:tcPr>
                <w:p>
                  <w:pPr>
                    <w:widowControl/>
                    <w:spacing w:line="240" w:lineRule="auto"/>
                    <w:ind w:firstLine="0" w:firstLineChars="0"/>
                    <w:jc w:val="center"/>
                    <w:rPr>
                      <w:rFonts w:hint="eastAsia" w:eastAsia="宋体"/>
                      <w:b w:val="0"/>
                      <w:bCs w:val="0"/>
                      <w:color w:val="auto"/>
                      <w:kern w:val="0"/>
                      <w:sz w:val="15"/>
                      <w:szCs w:val="15"/>
                      <w:lang w:val="en-US" w:eastAsia="zh-CN" w:bidi="ar"/>
                    </w:rPr>
                  </w:pPr>
                  <w:r>
                    <w:rPr>
                      <w:rFonts w:hint="eastAsia"/>
                      <w:b w:val="0"/>
                      <w:bCs w:val="0"/>
                      <w:color w:val="auto"/>
                      <w:kern w:val="0"/>
                      <w:sz w:val="15"/>
                      <w:szCs w:val="15"/>
                      <w:lang w:val="en-US" w:eastAsia="zh-CN" w:bidi="ar"/>
                    </w:rPr>
                    <w:t>形态</w:t>
                  </w:r>
                </w:p>
              </w:tc>
              <w:tc>
                <w:tcPr>
                  <w:tcW w:w="582" w:type="pct"/>
                  <w:tcBorders>
                    <w:tl2br w:val="nil"/>
                    <w:tr2bl w:val="nil"/>
                  </w:tcBorders>
                  <w:vAlign w:val="center"/>
                </w:tcPr>
                <w:p>
                  <w:pPr>
                    <w:widowControl/>
                    <w:spacing w:line="240" w:lineRule="auto"/>
                    <w:ind w:firstLine="0" w:firstLineChars="0"/>
                    <w:jc w:val="center"/>
                    <w:rPr>
                      <w:rFonts w:hint="eastAsia"/>
                      <w:b w:val="0"/>
                      <w:bCs w:val="0"/>
                      <w:color w:val="auto"/>
                      <w:kern w:val="0"/>
                      <w:sz w:val="15"/>
                      <w:szCs w:val="15"/>
                      <w:lang w:val="en-US" w:eastAsia="zh-CN" w:bidi="ar"/>
                    </w:rPr>
                  </w:pPr>
                  <w:r>
                    <w:rPr>
                      <w:rFonts w:hint="eastAsia"/>
                      <w:b w:val="0"/>
                      <w:bCs w:val="0"/>
                      <w:color w:val="auto"/>
                      <w:kern w:val="0"/>
                      <w:sz w:val="15"/>
                      <w:szCs w:val="15"/>
                      <w:lang w:val="en-US" w:eastAsia="zh-CN" w:bidi="ar"/>
                    </w:rPr>
                    <w:t>危险</w:t>
                  </w:r>
                </w:p>
                <w:p>
                  <w:pPr>
                    <w:widowControl/>
                    <w:spacing w:line="240" w:lineRule="auto"/>
                    <w:ind w:firstLine="0" w:firstLineChars="0"/>
                    <w:jc w:val="center"/>
                    <w:rPr>
                      <w:rFonts w:hint="default"/>
                      <w:b w:val="0"/>
                      <w:bCs w:val="0"/>
                      <w:color w:val="auto"/>
                      <w:kern w:val="0"/>
                      <w:sz w:val="15"/>
                      <w:szCs w:val="15"/>
                      <w:lang w:val="en-US" w:eastAsia="zh-CN" w:bidi="ar"/>
                    </w:rPr>
                  </w:pPr>
                  <w:r>
                    <w:rPr>
                      <w:rFonts w:hint="eastAsia"/>
                      <w:b w:val="0"/>
                      <w:bCs w:val="0"/>
                      <w:color w:val="auto"/>
                      <w:kern w:val="0"/>
                      <w:sz w:val="15"/>
                      <w:szCs w:val="15"/>
                      <w:lang w:val="en-US" w:eastAsia="zh-CN" w:bidi="ar"/>
                    </w:rPr>
                    <w:t>特性</w:t>
                  </w:r>
                </w:p>
              </w:tc>
              <w:tc>
                <w:tcPr>
                  <w:tcW w:w="483" w:type="pct"/>
                  <w:tcBorders>
                    <w:tl2br w:val="nil"/>
                    <w:tr2bl w:val="nil"/>
                  </w:tcBorders>
                  <w:vAlign w:val="center"/>
                </w:tcPr>
                <w:p>
                  <w:pPr>
                    <w:widowControl/>
                    <w:spacing w:line="240" w:lineRule="auto"/>
                    <w:ind w:firstLine="0" w:firstLineChars="0"/>
                    <w:jc w:val="center"/>
                    <w:rPr>
                      <w:rFonts w:hint="eastAsia"/>
                      <w:b w:val="0"/>
                      <w:bCs w:val="0"/>
                      <w:color w:val="auto"/>
                      <w:kern w:val="0"/>
                      <w:sz w:val="15"/>
                      <w:szCs w:val="15"/>
                      <w:lang w:val="en-US" w:eastAsia="zh-CN" w:bidi="ar"/>
                    </w:rPr>
                  </w:pPr>
                  <w:r>
                    <w:rPr>
                      <w:rFonts w:hint="eastAsia"/>
                      <w:b w:val="0"/>
                      <w:bCs w:val="0"/>
                      <w:color w:val="auto"/>
                      <w:kern w:val="0"/>
                      <w:sz w:val="15"/>
                      <w:szCs w:val="15"/>
                      <w:lang w:val="en-US" w:eastAsia="zh-CN" w:bidi="ar"/>
                    </w:rPr>
                    <w:t>存储</w:t>
                  </w:r>
                </w:p>
                <w:p>
                  <w:pPr>
                    <w:widowControl/>
                    <w:spacing w:line="240" w:lineRule="auto"/>
                    <w:ind w:firstLine="0" w:firstLineChars="0"/>
                    <w:jc w:val="center"/>
                    <w:rPr>
                      <w:rFonts w:hint="default" w:ascii="Times New Roman" w:hAnsi="Times New Roman" w:eastAsia="宋体" w:cs="Times New Roman"/>
                      <w:b w:val="0"/>
                      <w:bCs w:val="0"/>
                      <w:color w:val="auto"/>
                      <w:kern w:val="0"/>
                      <w:sz w:val="15"/>
                      <w:szCs w:val="15"/>
                      <w:lang w:val="en-US" w:eastAsia="zh-CN" w:bidi="ar"/>
                    </w:rPr>
                  </w:pPr>
                  <w:r>
                    <w:rPr>
                      <w:rFonts w:hint="eastAsia"/>
                      <w:b w:val="0"/>
                      <w:bCs w:val="0"/>
                      <w:color w:val="auto"/>
                      <w:kern w:val="0"/>
                      <w:sz w:val="15"/>
                      <w:szCs w:val="15"/>
                      <w:lang w:val="en-US" w:eastAsia="zh-CN" w:bidi="ar"/>
                    </w:rPr>
                    <w:t>周期</w:t>
                  </w:r>
                </w:p>
              </w:tc>
              <w:tc>
                <w:tcPr>
                  <w:tcW w:w="298" w:type="pct"/>
                  <w:tcBorders>
                    <w:tl2br w:val="nil"/>
                    <w:tr2bl w:val="nil"/>
                  </w:tcBorders>
                  <w:vAlign w:val="center"/>
                </w:tcPr>
                <w:p>
                  <w:pPr>
                    <w:widowControl/>
                    <w:spacing w:line="240" w:lineRule="auto"/>
                    <w:ind w:firstLine="0" w:firstLineChars="0"/>
                    <w:jc w:val="center"/>
                    <w:rPr>
                      <w:rFonts w:ascii="Times New Roman" w:hAnsi="Times New Roman" w:eastAsia="宋体" w:cs="Times New Roman"/>
                      <w:b w:val="0"/>
                      <w:bCs w:val="0"/>
                      <w:color w:val="auto"/>
                      <w:kern w:val="2"/>
                      <w:sz w:val="15"/>
                      <w:szCs w:val="15"/>
                      <w:lang w:val="en-US" w:eastAsia="zh-CN" w:bidi="ar-SA"/>
                    </w:rPr>
                  </w:pPr>
                  <w:r>
                    <w:rPr>
                      <w:b w:val="0"/>
                      <w:bCs w:val="0"/>
                      <w:color w:val="auto"/>
                      <w:kern w:val="0"/>
                      <w:sz w:val="15"/>
                      <w:szCs w:val="15"/>
                      <w:lang w:bidi="ar"/>
                    </w:rPr>
                    <w:t>处置措施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1" w:hRule="atLeast"/>
                <w:jc w:val="center"/>
              </w:trPr>
              <w:tc>
                <w:tcPr>
                  <w:tcW w:w="517" w:type="pct"/>
                  <w:tcBorders>
                    <w:tl2br w:val="nil"/>
                    <w:tr2bl w:val="nil"/>
                  </w:tcBorders>
                  <w:vAlign w:val="center"/>
                </w:tcPr>
                <w:p>
                  <w:pPr>
                    <w:widowControl/>
                    <w:spacing w:line="240" w:lineRule="auto"/>
                    <w:ind w:firstLine="0" w:firstLineChars="0"/>
                    <w:jc w:val="center"/>
                    <w:rPr>
                      <w:rFonts w:hint="eastAsia" w:ascii="Times New Roman" w:hAnsi="Times New Roman" w:eastAsia="宋体" w:cs="Times New Roman"/>
                      <w:color w:val="auto"/>
                      <w:kern w:val="0"/>
                      <w:sz w:val="15"/>
                      <w:szCs w:val="15"/>
                      <w:lang w:eastAsia="zh-CN" w:bidi="ar"/>
                    </w:rPr>
                  </w:pPr>
                  <w:r>
                    <w:rPr>
                      <w:rFonts w:hint="eastAsia" w:ascii="Times New Roman" w:hAnsi="Times New Roman" w:eastAsia="宋体" w:cs="Times New Roman"/>
                      <w:color w:val="auto"/>
                      <w:kern w:val="0"/>
                      <w:sz w:val="15"/>
                      <w:szCs w:val="15"/>
                      <w:lang w:val="en-US" w:eastAsia="zh-CN" w:bidi="ar"/>
                    </w:rPr>
                    <w:t>废机油</w:t>
                  </w:r>
                </w:p>
              </w:tc>
              <w:tc>
                <w:tcPr>
                  <w:tcW w:w="401" w:type="pct"/>
                  <w:vMerge w:val="restart"/>
                  <w:tcBorders>
                    <w:tl2br w:val="nil"/>
                    <w:tr2bl w:val="nil"/>
                  </w:tcBorders>
                  <w:vAlign w:val="center"/>
                </w:tcPr>
                <w:p>
                  <w:pPr>
                    <w:widowControl/>
                    <w:spacing w:line="240" w:lineRule="auto"/>
                    <w:ind w:firstLine="0" w:firstLineChars="0"/>
                    <w:jc w:val="center"/>
                    <w:rPr>
                      <w:rFonts w:hint="default" w:eastAsia="宋体"/>
                      <w:color w:val="auto"/>
                      <w:kern w:val="0"/>
                      <w:sz w:val="15"/>
                      <w:szCs w:val="15"/>
                      <w:lang w:val="en-US" w:eastAsia="zh-CN" w:bidi="ar"/>
                    </w:rPr>
                  </w:pPr>
                  <w:r>
                    <w:rPr>
                      <w:rFonts w:hint="eastAsia" w:eastAsia="宋体"/>
                      <w:color w:val="auto"/>
                      <w:kern w:val="0"/>
                      <w:sz w:val="15"/>
                      <w:szCs w:val="15"/>
                      <w:lang w:val="en-US" w:eastAsia="zh-CN" w:bidi="ar"/>
                    </w:rPr>
                    <w:t>车辆维修、保养</w:t>
                  </w:r>
                </w:p>
              </w:tc>
              <w:tc>
                <w:tcPr>
                  <w:tcW w:w="795" w:type="pct"/>
                  <w:tcBorders>
                    <w:tl2br w:val="nil"/>
                    <w:tr2bl w:val="nil"/>
                  </w:tcBorders>
                  <w:vAlign w:val="center"/>
                </w:tcPr>
                <w:p>
                  <w:pPr>
                    <w:widowControl/>
                    <w:spacing w:line="240" w:lineRule="auto"/>
                    <w:ind w:firstLine="0" w:firstLineChars="0"/>
                    <w:jc w:val="center"/>
                    <w:rPr>
                      <w:rFonts w:hint="eastAsia" w:eastAsia="宋体"/>
                      <w:color w:val="auto"/>
                      <w:kern w:val="0"/>
                      <w:sz w:val="15"/>
                      <w:szCs w:val="15"/>
                      <w:lang w:val="en-US" w:eastAsia="zh-CN" w:bidi="ar"/>
                    </w:rPr>
                  </w:pPr>
                  <w:r>
                    <w:rPr>
                      <w:rFonts w:hint="eastAsia" w:eastAsia="宋体"/>
                      <w:color w:val="auto"/>
                      <w:kern w:val="0"/>
                      <w:sz w:val="15"/>
                      <w:szCs w:val="15"/>
                      <w:lang w:val="en-US" w:eastAsia="zh-CN" w:bidi="ar"/>
                    </w:rPr>
                    <w:t>废矿物油与含矿物油废物</w:t>
                  </w:r>
                </w:p>
              </w:tc>
              <w:tc>
                <w:tcPr>
                  <w:tcW w:w="677" w:type="pct"/>
                  <w:tcBorders>
                    <w:tl2br w:val="nil"/>
                    <w:tr2bl w:val="nil"/>
                  </w:tcBorders>
                  <w:vAlign w:val="center"/>
                </w:tcPr>
                <w:p>
                  <w:pPr>
                    <w:widowControl/>
                    <w:spacing w:line="240" w:lineRule="auto"/>
                    <w:ind w:firstLine="0" w:firstLineChars="0"/>
                    <w:jc w:val="center"/>
                    <w:rPr>
                      <w:color w:val="auto"/>
                      <w:kern w:val="0"/>
                      <w:sz w:val="15"/>
                      <w:szCs w:val="15"/>
                      <w:lang w:bidi="ar"/>
                    </w:rPr>
                  </w:pPr>
                  <w:r>
                    <w:rPr>
                      <w:color w:val="auto"/>
                      <w:kern w:val="0"/>
                      <w:sz w:val="15"/>
                      <w:szCs w:val="15"/>
                      <w:lang w:bidi="ar"/>
                    </w:rPr>
                    <w:t>HW08</w:t>
                  </w:r>
                </w:p>
                <w:p>
                  <w:pPr>
                    <w:widowControl/>
                    <w:spacing w:line="240" w:lineRule="auto"/>
                    <w:ind w:firstLine="0" w:firstLineChars="0"/>
                    <w:jc w:val="center"/>
                    <w:rPr>
                      <w:color w:val="auto"/>
                      <w:kern w:val="0"/>
                      <w:sz w:val="15"/>
                      <w:szCs w:val="15"/>
                      <w:lang w:bidi="ar"/>
                    </w:rPr>
                  </w:pPr>
                  <w:r>
                    <w:rPr>
                      <w:color w:val="auto"/>
                      <w:sz w:val="15"/>
                      <w:szCs w:val="15"/>
                    </w:rPr>
                    <w:t>900-214-08</w:t>
                  </w:r>
                </w:p>
              </w:tc>
              <w:tc>
                <w:tcPr>
                  <w:tcW w:w="724" w:type="pct"/>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eastAsia="宋体"/>
                      <w:color w:val="auto"/>
                      <w:sz w:val="15"/>
                      <w:szCs w:val="15"/>
                      <w:lang w:val="en-US" w:eastAsia="zh-CN"/>
                    </w:rPr>
                  </w:pPr>
                  <w:r>
                    <w:rPr>
                      <w:rFonts w:hint="eastAsia"/>
                      <w:color w:val="auto"/>
                      <w:sz w:val="15"/>
                      <w:szCs w:val="15"/>
                      <w:lang w:val="en-US" w:eastAsia="zh-CN"/>
                    </w:rPr>
                    <w:t>0.5</w:t>
                  </w:r>
                </w:p>
              </w:tc>
              <w:tc>
                <w:tcPr>
                  <w:tcW w:w="519" w:type="pct"/>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color w:val="auto"/>
                      <w:sz w:val="15"/>
                      <w:szCs w:val="15"/>
                      <w:lang w:val="en-US" w:eastAsia="zh-CN"/>
                    </w:rPr>
                  </w:pPr>
                  <w:r>
                    <w:rPr>
                      <w:rFonts w:hint="eastAsia"/>
                      <w:color w:val="auto"/>
                      <w:sz w:val="15"/>
                      <w:szCs w:val="15"/>
                      <w:lang w:val="en-US" w:eastAsia="zh-CN"/>
                    </w:rPr>
                    <w:t>液态</w:t>
                  </w:r>
                </w:p>
              </w:tc>
              <w:tc>
                <w:tcPr>
                  <w:tcW w:w="582" w:type="pct"/>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color w:val="auto"/>
                      <w:sz w:val="15"/>
                      <w:szCs w:val="15"/>
                      <w:lang w:val="en-US" w:eastAsia="zh-CN"/>
                    </w:rPr>
                  </w:pPr>
                  <w:r>
                    <w:rPr>
                      <w:rFonts w:hint="eastAsia"/>
                      <w:color w:val="auto"/>
                      <w:sz w:val="15"/>
                      <w:szCs w:val="15"/>
                      <w:lang w:val="en-US" w:eastAsia="zh-CN"/>
                    </w:rPr>
                    <w:t>T、I</w:t>
                  </w:r>
                </w:p>
              </w:tc>
              <w:tc>
                <w:tcPr>
                  <w:tcW w:w="483" w:type="pct"/>
                  <w:vMerge w:val="restart"/>
                  <w:tcBorders>
                    <w:tl2br w:val="nil"/>
                    <w:tr2bl w:val="nil"/>
                  </w:tcBorders>
                  <w:vAlign w:val="center"/>
                </w:tcPr>
                <w:p>
                  <w:pPr>
                    <w:widowControl/>
                    <w:spacing w:line="240" w:lineRule="auto"/>
                    <w:ind w:firstLine="0" w:firstLineChars="0"/>
                    <w:jc w:val="center"/>
                    <w:rPr>
                      <w:rFonts w:hint="eastAsia" w:ascii="Times New Roman" w:hAnsi="Times New Roman" w:eastAsia="宋体" w:cs="Times New Roman"/>
                      <w:color w:val="auto"/>
                      <w:kern w:val="2"/>
                      <w:sz w:val="15"/>
                      <w:szCs w:val="15"/>
                      <w:lang w:val="en-US" w:eastAsia="zh-CN" w:bidi="ar-SA"/>
                    </w:rPr>
                  </w:pPr>
                  <w:r>
                    <w:rPr>
                      <w:rFonts w:hint="eastAsia"/>
                      <w:color w:val="auto"/>
                      <w:sz w:val="15"/>
                      <w:szCs w:val="15"/>
                      <w:lang w:val="en-US" w:eastAsia="zh-CN"/>
                    </w:rPr>
                    <w:t>不超过一年</w:t>
                  </w:r>
                </w:p>
              </w:tc>
              <w:tc>
                <w:tcPr>
                  <w:tcW w:w="298" w:type="pct"/>
                  <w:vMerge w:val="restart"/>
                  <w:tcBorders>
                    <w:tl2br w:val="nil"/>
                    <w:tr2bl w:val="nil"/>
                  </w:tcBorders>
                  <w:vAlign w:val="center"/>
                </w:tcPr>
                <w:p>
                  <w:pPr>
                    <w:widowControl/>
                    <w:spacing w:line="240" w:lineRule="auto"/>
                    <w:ind w:firstLine="0" w:firstLineChars="0"/>
                    <w:jc w:val="center"/>
                    <w:rPr>
                      <w:rFonts w:hint="eastAsia" w:ascii="Times New Roman" w:hAnsi="Times New Roman" w:eastAsia="宋体" w:cs="Times New Roman"/>
                      <w:color w:val="auto"/>
                      <w:kern w:val="2"/>
                      <w:sz w:val="15"/>
                      <w:szCs w:val="15"/>
                      <w:lang w:val="en-US" w:eastAsia="zh-CN" w:bidi="ar-SA"/>
                    </w:rPr>
                  </w:pPr>
                  <w:r>
                    <w:rPr>
                      <w:rFonts w:hint="eastAsia"/>
                      <w:color w:val="auto"/>
                      <w:sz w:val="15"/>
                      <w:szCs w:val="15"/>
                    </w:rPr>
                    <w:t>委托有资质单位处置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517" w:type="pct"/>
                  <w:tcBorders>
                    <w:tl2br w:val="nil"/>
                    <w:tr2bl w:val="nil"/>
                  </w:tcBorders>
                  <w:vAlign w:val="center"/>
                </w:tcPr>
                <w:p>
                  <w:pPr>
                    <w:widowControl/>
                    <w:spacing w:line="240" w:lineRule="auto"/>
                    <w:ind w:firstLine="0" w:firstLineChars="0"/>
                    <w:jc w:val="center"/>
                    <w:rPr>
                      <w:rFonts w:hint="default" w:ascii="Times New Roman" w:hAnsi="Times New Roman" w:eastAsia="宋体" w:cs="Times New Roman"/>
                      <w:color w:val="auto"/>
                      <w:kern w:val="0"/>
                      <w:sz w:val="15"/>
                      <w:szCs w:val="15"/>
                      <w:lang w:val="en-US" w:eastAsia="zh-CN" w:bidi="ar"/>
                    </w:rPr>
                  </w:pPr>
                  <w:r>
                    <w:rPr>
                      <w:rFonts w:hint="eastAsia" w:ascii="Times New Roman" w:hAnsi="Times New Roman" w:eastAsia="宋体" w:cs="Times New Roman"/>
                      <w:color w:val="auto"/>
                      <w:kern w:val="0"/>
                      <w:sz w:val="15"/>
                      <w:szCs w:val="15"/>
                      <w:lang w:val="en-US" w:eastAsia="zh-CN" w:bidi="ar"/>
                    </w:rPr>
                    <w:t>废滤芯</w:t>
                  </w:r>
                </w:p>
              </w:tc>
              <w:tc>
                <w:tcPr>
                  <w:tcW w:w="401" w:type="pct"/>
                  <w:vMerge w:val="continue"/>
                  <w:tcBorders>
                    <w:tl2br w:val="nil"/>
                    <w:tr2bl w:val="nil"/>
                  </w:tcBorders>
                  <w:vAlign w:val="center"/>
                </w:tcPr>
                <w:p>
                  <w:pPr>
                    <w:widowControl/>
                    <w:spacing w:line="240" w:lineRule="auto"/>
                    <w:ind w:firstLine="0" w:firstLineChars="0"/>
                    <w:jc w:val="center"/>
                    <w:rPr>
                      <w:rFonts w:hint="eastAsia"/>
                      <w:color w:val="auto"/>
                      <w:kern w:val="0"/>
                      <w:sz w:val="15"/>
                      <w:szCs w:val="15"/>
                      <w:lang w:val="en-US" w:eastAsia="zh-CN" w:bidi="ar"/>
                    </w:rPr>
                  </w:pPr>
                </w:p>
              </w:tc>
              <w:tc>
                <w:tcPr>
                  <w:tcW w:w="795" w:type="pct"/>
                  <w:tcBorders>
                    <w:tl2br w:val="nil"/>
                    <w:tr2bl w:val="nil"/>
                  </w:tcBorders>
                  <w:vAlign w:val="center"/>
                </w:tcPr>
                <w:p>
                  <w:pPr>
                    <w:widowControl/>
                    <w:spacing w:line="240" w:lineRule="auto"/>
                    <w:ind w:firstLine="0" w:firstLineChars="0"/>
                    <w:jc w:val="center"/>
                    <w:rPr>
                      <w:rFonts w:hint="default"/>
                      <w:color w:val="auto"/>
                      <w:kern w:val="0"/>
                      <w:sz w:val="15"/>
                      <w:szCs w:val="15"/>
                      <w:lang w:val="en-US" w:eastAsia="zh-CN" w:bidi="ar"/>
                    </w:rPr>
                  </w:pPr>
                  <w:r>
                    <w:rPr>
                      <w:rFonts w:hint="eastAsia"/>
                      <w:color w:val="auto"/>
                      <w:kern w:val="0"/>
                      <w:sz w:val="15"/>
                      <w:szCs w:val="15"/>
                      <w:lang w:val="en-US" w:eastAsia="zh-CN" w:bidi="ar"/>
                    </w:rPr>
                    <w:t>其他废物</w:t>
                  </w:r>
                </w:p>
              </w:tc>
              <w:tc>
                <w:tcPr>
                  <w:tcW w:w="677" w:type="pct"/>
                  <w:tcBorders>
                    <w:tl2br w:val="nil"/>
                    <w:tr2bl w:val="nil"/>
                  </w:tcBorders>
                  <w:vAlign w:val="center"/>
                </w:tcPr>
                <w:p>
                  <w:pPr>
                    <w:widowControl/>
                    <w:spacing w:line="240" w:lineRule="auto"/>
                    <w:ind w:firstLine="0" w:firstLineChars="0"/>
                    <w:jc w:val="center"/>
                    <w:rPr>
                      <w:color w:val="auto"/>
                      <w:kern w:val="0"/>
                      <w:sz w:val="15"/>
                      <w:szCs w:val="15"/>
                      <w:lang w:bidi="ar"/>
                    </w:rPr>
                  </w:pPr>
                  <w:r>
                    <w:rPr>
                      <w:color w:val="auto"/>
                      <w:kern w:val="0"/>
                      <w:sz w:val="15"/>
                      <w:szCs w:val="15"/>
                      <w:lang w:bidi="ar"/>
                    </w:rPr>
                    <w:t>HW08</w:t>
                  </w:r>
                </w:p>
                <w:p>
                  <w:pPr>
                    <w:widowControl/>
                    <w:spacing w:line="240" w:lineRule="auto"/>
                    <w:ind w:firstLine="0" w:firstLineChars="0"/>
                    <w:jc w:val="center"/>
                    <w:rPr>
                      <w:color w:val="auto"/>
                      <w:sz w:val="15"/>
                      <w:szCs w:val="15"/>
                    </w:rPr>
                  </w:pPr>
                  <w:r>
                    <w:rPr>
                      <w:rFonts w:hint="default"/>
                      <w:color w:val="auto"/>
                      <w:sz w:val="15"/>
                      <w:szCs w:val="15"/>
                    </w:rPr>
                    <w:t>900-</w:t>
                  </w:r>
                  <w:r>
                    <w:rPr>
                      <w:rFonts w:hint="default"/>
                      <w:color w:val="auto"/>
                      <w:sz w:val="15"/>
                      <w:szCs w:val="15"/>
                      <w:lang w:val="en-US" w:eastAsia="zh-CN"/>
                    </w:rPr>
                    <w:t>041</w:t>
                  </w:r>
                  <w:r>
                    <w:rPr>
                      <w:rFonts w:hint="default"/>
                      <w:color w:val="auto"/>
                      <w:sz w:val="15"/>
                      <w:szCs w:val="15"/>
                    </w:rPr>
                    <w:t>-</w:t>
                  </w:r>
                  <w:r>
                    <w:rPr>
                      <w:rFonts w:hint="default"/>
                      <w:color w:val="auto"/>
                      <w:sz w:val="15"/>
                      <w:szCs w:val="15"/>
                      <w:lang w:val="en-US" w:eastAsia="zh-CN"/>
                    </w:rPr>
                    <w:t>49</w:t>
                  </w:r>
                </w:p>
              </w:tc>
              <w:tc>
                <w:tcPr>
                  <w:tcW w:w="724" w:type="pct"/>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eastAsia="宋体"/>
                      <w:color w:val="auto"/>
                      <w:sz w:val="15"/>
                      <w:szCs w:val="15"/>
                      <w:lang w:val="en-US" w:eastAsia="zh-CN"/>
                    </w:rPr>
                  </w:pPr>
                  <w:r>
                    <w:rPr>
                      <w:rFonts w:hint="eastAsia" w:eastAsia="宋体"/>
                      <w:color w:val="auto"/>
                      <w:sz w:val="15"/>
                      <w:szCs w:val="15"/>
                      <w:lang w:val="en-US" w:eastAsia="zh-CN"/>
                    </w:rPr>
                    <w:t>0.</w:t>
                  </w:r>
                  <w:r>
                    <w:rPr>
                      <w:rFonts w:hint="eastAsia"/>
                      <w:color w:val="auto"/>
                      <w:sz w:val="15"/>
                      <w:szCs w:val="15"/>
                      <w:lang w:val="en-US" w:eastAsia="zh-CN"/>
                    </w:rPr>
                    <w:t>2</w:t>
                  </w:r>
                </w:p>
              </w:tc>
              <w:tc>
                <w:tcPr>
                  <w:tcW w:w="519" w:type="pct"/>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eastAsia="宋体"/>
                      <w:color w:val="auto"/>
                      <w:sz w:val="15"/>
                      <w:szCs w:val="15"/>
                      <w:lang w:val="en-US" w:eastAsia="zh-CN"/>
                    </w:rPr>
                  </w:pPr>
                  <w:r>
                    <w:rPr>
                      <w:rFonts w:hint="eastAsia"/>
                      <w:color w:val="auto"/>
                      <w:sz w:val="15"/>
                      <w:szCs w:val="15"/>
                      <w:lang w:val="en-US" w:eastAsia="zh-CN"/>
                    </w:rPr>
                    <w:t>固态</w:t>
                  </w:r>
                </w:p>
              </w:tc>
              <w:tc>
                <w:tcPr>
                  <w:tcW w:w="582" w:type="pct"/>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eastAsia="宋体"/>
                      <w:color w:val="auto"/>
                      <w:sz w:val="15"/>
                      <w:szCs w:val="15"/>
                      <w:lang w:val="en-US" w:eastAsia="zh-CN"/>
                    </w:rPr>
                  </w:pPr>
                  <w:r>
                    <w:rPr>
                      <w:rFonts w:hint="eastAsia"/>
                      <w:color w:val="auto"/>
                      <w:sz w:val="15"/>
                      <w:szCs w:val="15"/>
                      <w:lang w:val="en-US" w:eastAsia="zh-CN"/>
                    </w:rPr>
                    <w:t>T、In</w:t>
                  </w:r>
                </w:p>
              </w:tc>
              <w:tc>
                <w:tcPr>
                  <w:tcW w:w="483" w:type="pct"/>
                  <w:vMerge w:val="continue"/>
                  <w:tcBorders>
                    <w:tl2br w:val="nil"/>
                    <w:tr2bl w:val="nil"/>
                  </w:tcBorders>
                  <w:vAlign w:val="center"/>
                </w:tcPr>
                <w:p>
                  <w:pPr>
                    <w:widowControl/>
                    <w:spacing w:line="240" w:lineRule="auto"/>
                    <w:ind w:firstLine="300" w:firstLineChars="200"/>
                    <w:jc w:val="center"/>
                    <w:rPr>
                      <w:rFonts w:hint="eastAsia" w:ascii="Times New Roman" w:hAnsi="Times New Roman" w:eastAsia="宋体" w:cs="Times New Roman"/>
                      <w:color w:val="auto"/>
                      <w:kern w:val="2"/>
                      <w:sz w:val="15"/>
                      <w:szCs w:val="15"/>
                      <w:lang w:val="en-US" w:eastAsia="zh-CN" w:bidi="ar-SA"/>
                    </w:rPr>
                  </w:pPr>
                </w:p>
              </w:tc>
              <w:tc>
                <w:tcPr>
                  <w:tcW w:w="298" w:type="pct"/>
                  <w:vMerge w:val="continue"/>
                  <w:tcBorders>
                    <w:tl2br w:val="nil"/>
                    <w:tr2bl w:val="nil"/>
                  </w:tcBorders>
                  <w:vAlign w:val="center"/>
                </w:tcPr>
                <w:p>
                  <w:pPr>
                    <w:widowControl/>
                    <w:spacing w:line="240" w:lineRule="auto"/>
                    <w:ind w:firstLine="300" w:firstLineChars="200"/>
                    <w:jc w:val="center"/>
                    <w:rPr>
                      <w:rFonts w:hint="eastAsia" w:eastAsia="宋体"/>
                      <w:color w:val="auto"/>
                      <w:sz w:val="15"/>
                      <w:szCs w:val="15"/>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517" w:type="pct"/>
                  <w:tcBorders>
                    <w:tl2br w:val="nil"/>
                    <w:tr2bl w:val="nil"/>
                  </w:tcBorders>
                  <w:vAlign w:val="center"/>
                </w:tcPr>
                <w:p>
                  <w:pPr>
                    <w:widowControl/>
                    <w:spacing w:line="240" w:lineRule="auto"/>
                    <w:ind w:firstLine="0" w:firstLineChars="0"/>
                    <w:jc w:val="center"/>
                    <w:rPr>
                      <w:rFonts w:hint="default" w:ascii="Times New Roman" w:hAnsi="Times New Roman" w:eastAsia="宋体" w:cs="Times New Roman"/>
                      <w:color w:val="auto"/>
                      <w:kern w:val="0"/>
                      <w:sz w:val="15"/>
                      <w:szCs w:val="15"/>
                      <w:lang w:val="en-US" w:eastAsia="zh-CN" w:bidi="ar"/>
                    </w:rPr>
                  </w:pPr>
                  <w:r>
                    <w:rPr>
                      <w:rFonts w:hint="eastAsia" w:ascii="Times New Roman" w:hAnsi="Times New Roman" w:eastAsia="宋体" w:cs="Times New Roman"/>
                      <w:color w:val="auto"/>
                      <w:kern w:val="0"/>
                      <w:sz w:val="15"/>
                      <w:szCs w:val="15"/>
                      <w:lang w:val="en-US" w:eastAsia="zh-CN" w:bidi="ar"/>
                    </w:rPr>
                    <w:t>废蓄电池</w:t>
                  </w:r>
                </w:p>
              </w:tc>
              <w:tc>
                <w:tcPr>
                  <w:tcW w:w="401" w:type="pct"/>
                  <w:vMerge w:val="continue"/>
                  <w:tcBorders>
                    <w:tl2br w:val="nil"/>
                    <w:tr2bl w:val="nil"/>
                  </w:tcBorders>
                  <w:vAlign w:val="center"/>
                </w:tcPr>
                <w:p>
                  <w:pPr>
                    <w:widowControl/>
                    <w:spacing w:line="240" w:lineRule="auto"/>
                    <w:ind w:firstLine="300" w:firstLineChars="200"/>
                    <w:jc w:val="center"/>
                    <w:rPr>
                      <w:rFonts w:hint="eastAsia"/>
                      <w:color w:val="auto"/>
                      <w:kern w:val="0"/>
                      <w:sz w:val="15"/>
                      <w:szCs w:val="15"/>
                      <w:lang w:val="en-US" w:eastAsia="zh-CN" w:bidi="ar"/>
                    </w:rPr>
                  </w:pPr>
                </w:p>
              </w:tc>
              <w:tc>
                <w:tcPr>
                  <w:tcW w:w="795" w:type="pct"/>
                  <w:tcBorders>
                    <w:tl2br w:val="nil"/>
                    <w:tr2bl w:val="nil"/>
                  </w:tcBorders>
                  <w:vAlign w:val="center"/>
                </w:tcPr>
                <w:p>
                  <w:pPr>
                    <w:widowControl/>
                    <w:spacing w:line="240" w:lineRule="auto"/>
                    <w:jc w:val="center"/>
                    <w:rPr>
                      <w:rFonts w:hint="default"/>
                      <w:color w:val="auto"/>
                      <w:kern w:val="0"/>
                      <w:sz w:val="15"/>
                      <w:szCs w:val="15"/>
                      <w:lang w:val="en-US" w:eastAsia="zh-CN" w:bidi="ar"/>
                    </w:rPr>
                  </w:pPr>
                  <w:r>
                    <w:rPr>
                      <w:rFonts w:hint="eastAsia"/>
                      <w:color w:val="auto"/>
                      <w:kern w:val="0"/>
                      <w:sz w:val="15"/>
                      <w:szCs w:val="15"/>
                      <w:lang w:val="en-US" w:eastAsia="zh-CN" w:bidi="ar"/>
                    </w:rPr>
                    <w:t>含铅废物</w:t>
                  </w:r>
                </w:p>
              </w:tc>
              <w:tc>
                <w:tcPr>
                  <w:tcW w:w="677" w:type="pct"/>
                  <w:tcBorders>
                    <w:tl2br w:val="nil"/>
                    <w:tr2bl w:val="nil"/>
                  </w:tcBorders>
                  <w:vAlign w:val="center"/>
                </w:tcPr>
                <w:p>
                  <w:pPr>
                    <w:widowControl/>
                    <w:spacing w:line="240" w:lineRule="auto"/>
                    <w:ind w:firstLine="300" w:firstLineChars="200"/>
                    <w:jc w:val="center"/>
                    <w:rPr>
                      <w:rFonts w:hint="eastAsia"/>
                      <w:color w:val="auto"/>
                      <w:kern w:val="0"/>
                      <w:sz w:val="15"/>
                      <w:szCs w:val="15"/>
                      <w:lang w:val="en-US" w:eastAsia="zh-CN" w:bidi="ar"/>
                    </w:rPr>
                  </w:pPr>
                  <w:r>
                    <w:rPr>
                      <w:color w:val="auto"/>
                      <w:kern w:val="0"/>
                      <w:sz w:val="15"/>
                      <w:szCs w:val="15"/>
                      <w:lang w:bidi="ar"/>
                    </w:rPr>
                    <w:t>HW</w:t>
                  </w:r>
                  <w:r>
                    <w:rPr>
                      <w:rFonts w:hint="eastAsia"/>
                      <w:color w:val="auto"/>
                      <w:kern w:val="0"/>
                      <w:sz w:val="15"/>
                      <w:szCs w:val="15"/>
                      <w:lang w:val="en-US" w:eastAsia="zh-CN" w:bidi="ar"/>
                    </w:rPr>
                    <w:t>31</w:t>
                  </w:r>
                </w:p>
                <w:p>
                  <w:pPr>
                    <w:widowControl/>
                    <w:spacing w:line="240" w:lineRule="auto"/>
                    <w:ind w:firstLine="150" w:firstLineChars="100"/>
                    <w:jc w:val="center"/>
                    <w:rPr>
                      <w:color w:val="auto"/>
                      <w:kern w:val="0"/>
                      <w:sz w:val="15"/>
                      <w:szCs w:val="15"/>
                      <w:lang w:bidi="ar"/>
                    </w:rPr>
                  </w:pPr>
                  <w:r>
                    <w:rPr>
                      <w:rFonts w:hint="eastAsia"/>
                      <w:color w:val="auto"/>
                      <w:sz w:val="15"/>
                      <w:szCs w:val="15"/>
                    </w:rPr>
                    <w:t>900-052-31</w:t>
                  </w:r>
                </w:p>
              </w:tc>
              <w:tc>
                <w:tcPr>
                  <w:tcW w:w="724" w:type="pct"/>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eastAsia="宋体"/>
                      <w:color w:val="auto"/>
                      <w:sz w:val="15"/>
                      <w:szCs w:val="15"/>
                      <w:lang w:val="en-US" w:eastAsia="zh-CN"/>
                    </w:rPr>
                  </w:pPr>
                  <w:r>
                    <w:rPr>
                      <w:rFonts w:hint="eastAsia"/>
                      <w:color w:val="auto"/>
                      <w:sz w:val="15"/>
                      <w:szCs w:val="15"/>
                      <w:lang w:val="en-US" w:eastAsia="zh-CN"/>
                    </w:rPr>
                    <w:t>1.0</w:t>
                  </w:r>
                </w:p>
              </w:tc>
              <w:tc>
                <w:tcPr>
                  <w:tcW w:w="519" w:type="pct"/>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color w:val="auto"/>
                      <w:sz w:val="15"/>
                      <w:szCs w:val="15"/>
                      <w:lang w:val="en-US" w:eastAsia="zh-CN"/>
                    </w:rPr>
                  </w:pPr>
                  <w:r>
                    <w:rPr>
                      <w:rFonts w:hint="eastAsia"/>
                      <w:color w:val="auto"/>
                      <w:sz w:val="15"/>
                      <w:szCs w:val="15"/>
                      <w:lang w:val="en-US" w:eastAsia="zh-CN"/>
                    </w:rPr>
                    <w:t>固态</w:t>
                  </w:r>
                </w:p>
              </w:tc>
              <w:tc>
                <w:tcPr>
                  <w:tcW w:w="582" w:type="pct"/>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color w:val="auto"/>
                      <w:sz w:val="15"/>
                      <w:szCs w:val="15"/>
                      <w:lang w:val="en-US" w:eastAsia="zh-CN"/>
                    </w:rPr>
                  </w:pPr>
                  <w:r>
                    <w:rPr>
                      <w:rFonts w:hint="eastAsia"/>
                      <w:color w:val="auto"/>
                      <w:sz w:val="15"/>
                      <w:szCs w:val="15"/>
                      <w:lang w:val="en-US" w:eastAsia="zh-CN"/>
                    </w:rPr>
                    <w:t>T、C</w:t>
                  </w:r>
                </w:p>
              </w:tc>
              <w:tc>
                <w:tcPr>
                  <w:tcW w:w="483" w:type="pct"/>
                  <w:tcBorders>
                    <w:tl2br w:val="nil"/>
                    <w:tr2bl w:val="nil"/>
                  </w:tcBorders>
                  <w:vAlign w:val="center"/>
                </w:tcPr>
                <w:p>
                  <w:pPr>
                    <w:widowControl/>
                    <w:spacing w:line="240" w:lineRule="auto"/>
                    <w:jc w:val="center"/>
                    <w:rPr>
                      <w:rFonts w:hint="eastAsia" w:ascii="Times New Roman" w:hAnsi="Times New Roman" w:eastAsia="宋体" w:cs="Times New Roman"/>
                      <w:color w:val="auto"/>
                      <w:kern w:val="2"/>
                      <w:sz w:val="15"/>
                      <w:szCs w:val="15"/>
                      <w:lang w:val="en-US" w:eastAsia="zh-CN" w:bidi="ar-SA"/>
                    </w:rPr>
                  </w:pPr>
                  <w:r>
                    <w:rPr>
                      <w:rFonts w:hint="eastAsia"/>
                      <w:color w:val="auto"/>
                      <w:sz w:val="15"/>
                      <w:szCs w:val="15"/>
                      <w:lang w:val="en-US" w:eastAsia="zh-CN"/>
                    </w:rPr>
                    <w:t>不超过90天</w:t>
                  </w:r>
                </w:p>
              </w:tc>
              <w:tc>
                <w:tcPr>
                  <w:tcW w:w="298" w:type="pct"/>
                  <w:vMerge w:val="continue"/>
                  <w:tcBorders>
                    <w:tl2br w:val="nil"/>
                    <w:tr2bl w:val="nil"/>
                  </w:tcBorders>
                  <w:vAlign w:val="center"/>
                </w:tcPr>
                <w:p>
                  <w:pPr>
                    <w:widowControl/>
                    <w:spacing w:line="240" w:lineRule="auto"/>
                    <w:ind w:firstLine="300" w:firstLineChars="200"/>
                    <w:jc w:val="center"/>
                    <w:rPr>
                      <w:rFonts w:hint="eastAsia"/>
                      <w:color w:val="auto"/>
                      <w:sz w:val="15"/>
                      <w:szCs w:val="15"/>
                      <w:lang w:val="en-US" w:eastAsia="zh-CN"/>
                    </w:rPr>
                  </w:pPr>
                </w:p>
              </w:tc>
            </w:tr>
          </w:tbl>
          <w:p>
            <w:pPr>
              <w:spacing w:line="560" w:lineRule="exact"/>
              <w:ind w:firstLine="480" w:firstLineChars="200"/>
              <w:jc w:val="left"/>
              <w:rPr>
                <w:rFonts w:hint="default" w:ascii="Arial" w:hAnsi="Arial" w:eastAsia="宋体" w:cs="Arial"/>
                <w:color w:val="auto"/>
                <w:kern w:val="0"/>
                <w:sz w:val="24"/>
                <w:szCs w:val="24"/>
                <w:lang w:val="en-US" w:eastAsia="zh-CN"/>
              </w:rPr>
            </w:pPr>
            <w:r>
              <w:rPr>
                <w:rFonts w:hint="eastAsia"/>
                <w:color w:val="auto"/>
                <w:sz w:val="24"/>
                <w:szCs w:val="24"/>
                <w:lang w:val="en-US" w:eastAsia="zh-CN"/>
              </w:rPr>
              <w:t>本项目危废暂存间</w:t>
            </w:r>
            <w:r>
              <w:rPr>
                <w:rFonts w:hint="eastAsia" w:ascii="Times New Roman" w:hAnsi="Times New Roman"/>
                <w:color w:val="auto"/>
                <w:sz w:val="24"/>
                <w:szCs w:val="24"/>
              </w:rPr>
              <w:t>占地面积15m</w:t>
            </w:r>
            <w:r>
              <w:rPr>
                <w:rFonts w:hint="eastAsia" w:ascii="Times New Roman" w:hAnsi="Times New Roman"/>
                <w:color w:val="auto"/>
                <w:sz w:val="24"/>
                <w:szCs w:val="24"/>
                <w:vertAlign w:val="superscript"/>
              </w:rPr>
              <w:t>2</w:t>
            </w:r>
            <w:r>
              <w:rPr>
                <w:rFonts w:hint="eastAsia" w:ascii="Times New Roman" w:hAnsi="Times New Roman"/>
                <w:color w:val="auto"/>
                <w:sz w:val="24"/>
                <w:szCs w:val="24"/>
              </w:rPr>
              <w:t>，分为单独的3</w:t>
            </w:r>
            <w:r>
              <w:rPr>
                <w:rFonts w:hint="eastAsia" w:ascii="Times New Roman" w:hAnsi="Times New Roman"/>
                <w:color w:val="auto"/>
                <w:sz w:val="24"/>
                <w:szCs w:val="24"/>
                <w:lang w:val="en-US" w:eastAsia="zh-CN"/>
              </w:rPr>
              <w:t>个</w:t>
            </w:r>
            <w:r>
              <w:rPr>
                <w:rFonts w:hint="eastAsia" w:ascii="Times New Roman" w:hAnsi="Times New Roman"/>
                <w:color w:val="auto"/>
                <w:sz w:val="24"/>
                <w:szCs w:val="24"/>
              </w:rPr>
              <w:t>区，每个区占地面积约5m</w:t>
            </w:r>
            <w:r>
              <w:rPr>
                <w:rFonts w:hint="eastAsia" w:ascii="Times New Roman" w:hAnsi="Times New Roman"/>
                <w:color w:val="auto"/>
                <w:sz w:val="24"/>
                <w:szCs w:val="24"/>
                <w:vertAlign w:val="superscript"/>
              </w:rPr>
              <w:t>2</w:t>
            </w:r>
            <w:r>
              <w:rPr>
                <w:rFonts w:hint="eastAsia" w:ascii="Times New Roman" w:hAnsi="Times New Roman"/>
                <w:color w:val="auto"/>
                <w:sz w:val="24"/>
                <w:szCs w:val="24"/>
              </w:rPr>
              <w:t>，分别贮存废机油、废滤芯和废蓄电池</w:t>
            </w:r>
            <w:r>
              <w:rPr>
                <w:rFonts w:hint="eastAsia" w:ascii="Times New Roman" w:hAnsi="Times New Roman"/>
                <w:color w:val="auto"/>
                <w:sz w:val="24"/>
                <w:szCs w:val="24"/>
                <w:lang w:eastAsia="zh-CN"/>
              </w:rPr>
              <w:t>，</w:t>
            </w:r>
            <w:r>
              <w:rPr>
                <w:rFonts w:hint="eastAsia"/>
                <w:color w:val="auto"/>
                <w:sz w:val="24"/>
                <w:szCs w:val="24"/>
              </w:rPr>
              <w:t>设计存储能力：废机油1.2t/a、废滤芯：0.5t/a、废电瓶2t/a</w:t>
            </w:r>
            <w:r>
              <w:rPr>
                <w:rFonts w:hint="eastAsia"/>
                <w:color w:val="auto"/>
                <w:sz w:val="24"/>
                <w:szCs w:val="24"/>
                <w:lang w:eastAsia="zh-CN"/>
              </w:rPr>
              <w:t>，</w:t>
            </w:r>
            <w:r>
              <w:rPr>
                <w:rFonts w:hint="eastAsia"/>
                <w:color w:val="auto"/>
                <w:sz w:val="24"/>
                <w:szCs w:val="24"/>
              </w:rPr>
              <w:t>本项目危险废物时间最长不超过1年（废铅蓄电池不大于90天）。</w:t>
            </w:r>
            <w:r>
              <w:rPr>
                <w:rFonts w:hint="eastAsia"/>
                <w:color w:val="auto"/>
                <w:sz w:val="24"/>
                <w:szCs w:val="24"/>
                <w:lang w:val="en-US" w:eastAsia="zh-CN"/>
              </w:rPr>
              <w:t>完全满足车辆维修、保养过程中危险废物的临时贮存。</w:t>
            </w:r>
          </w:p>
          <w:p>
            <w:pPr>
              <w:spacing w:line="560" w:lineRule="exact"/>
              <w:ind w:firstLine="480" w:firstLineChars="200"/>
              <w:jc w:val="left"/>
              <w:rPr>
                <w:rFonts w:hint="eastAsia" w:eastAsia="宋体"/>
                <w:color w:val="auto"/>
                <w:sz w:val="24"/>
                <w:szCs w:val="24"/>
                <w:lang w:val="en-US" w:eastAsia="zh-CN"/>
              </w:rPr>
            </w:pPr>
            <w:r>
              <w:rPr>
                <w:rFonts w:hint="eastAsia" w:eastAsia="宋体"/>
                <w:color w:val="auto"/>
                <w:sz w:val="24"/>
                <w:szCs w:val="24"/>
                <w:lang w:val="en-US" w:eastAsia="zh-CN"/>
              </w:rPr>
              <w:t>故本环评认为本项目危废暂存间面积设施合理。</w:t>
            </w:r>
          </w:p>
          <w:p>
            <w:pPr>
              <w:spacing w:line="560" w:lineRule="exact"/>
              <w:ind w:firstLine="480" w:firstLineChars="200"/>
              <w:jc w:val="left"/>
              <w:rPr>
                <w:rFonts w:hint="default" w:eastAsia="宋体"/>
                <w:color w:val="auto"/>
                <w:sz w:val="24"/>
                <w:szCs w:val="24"/>
                <w:lang w:val="en-US" w:eastAsia="zh-CN"/>
              </w:rPr>
            </w:pPr>
            <w:r>
              <w:rPr>
                <w:rFonts w:hint="eastAsia" w:eastAsia="宋体"/>
                <w:color w:val="auto"/>
                <w:sz w:val="24"/>
                <w:szCs w:val="24"/>
                <w:lang w:val="en-US" w:eastAsia="zh-CN"/>
              </w:rPr>
              <w:t>本项目危废暂存间建设情况见下表。</w:t>
            </w:r>
          </w:p>
          <w:p>
            <w:pPr>
              <w:jc w:val="center"/>
              <w:rPr>
                <w:rFonts w:hint="eastAsia" w:eastAsia="黑体"/>
                <w:color w:val="auto"/>
                <w:spacing w:val="6"/>
                <w:sz w:val="24"/>
              </w:rPr>
            </w:pPr>
            <w:r>
              <w:rPr>
                <w:rFonts w:hint="eastAsia" w:eastAsia="黑体"/>
                <w:color w:val="auto"/>
                <w:spacing w:val="6"/>
                <w:sz w:val="24"/>
              </w:rPr>
              <w:t>表2</w:t>
            </w:r>
            <w:r>
              <w:rPr>
                <w:rFonts w:hint="eastAsia" w:eastAsia="黑体"/>
                <w:color w:val="auto"/>
                <w:spacing w:val="6"/>
                <w:sz w:val="24"/>
                <w:lang w:val="en-US" w:eastAsia="zh-CN"/>
              </w:rPr>
              <w:t>-2</w:t>
            </w:r>
            <w:r>
              <w:rPr>
                <w:rFonts w:hint="eastAsia" w:eastAsia="黑体"/>
                <w:color w:val="auto"/>
                <w:spacing w:val="6"/>
                <w:sz w:val="24"/>
              </w:rPr>
              <w:t xml:space="preserve">  </w:t>
            </w:r>
            <w:r>
              <w:rPr>
                <w:rFonts w:hint="eastAsia" w:eastAsia="黑体"/>
                <w:color w:val="auto"/>
                <w:spacing w:val="6"/>
                <w:sz w:val="24"/>
                <w:lang w:val="en-US" w:eastAsia="zh-CN"/>
              </w:rPr>
              <w:t>危废暂存间建设情况表</w:t>
            </w:r>
          </w:p>
          <w:tbl>
            <w:tblPr>
              <w:tblStyle w:val="31"/>
              <w:tblW w:w="4996" w:type="pct"/>
              <w:tblInd w:w="1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96"/>
              <w:gridCol w:w="1098"/>
              <w:gridCol w:w="1087"/>
              <w:gridCol w:w="1147"/>
              <w:gridCol w:w="749"/>
              <w:gridCol w:w="1452"/>
              <w:gridCol w:w="867"/>
              <w:gridCol w:w="104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864" w:hRule="atLeast"/>
              </w:trPr>
              <w:tc>
                <w:tcPr>
                  <w:tcW w:w="312" w:type="pct"/>
                  <w:tcBorders>
                    <w:tl2br w:val="nil"/>
                    <w:tr2bl w:val="nil"/>
                  </w:tcBorders>
                  <w:noWrap w:val="0"/>
                  <w:vAlign w:val="center"/>
                </w:tcPr>
                <w:p>
                  <w:pPr>
                    <w:keepNext w:val="0"/>
                    <w:keepLines w:val="0"/>
                    <w:pageBreakBefore w:val="0"/>
                    <w:widowControl/>
                    <w:kinsoku/>
                    <w:wordWrap/>
                    <w:overflowPunct/>
                    <w:autoSpaceDE/>
                    <w:autoSpaceDN/>
                    <w:bidi w:val="0"/>
                    <w:spacing w:line="240" w:lineRule="auto"/>
                    <w:ind w:firstLine="0" w:firstLineChars="0"/>
                    <w:jc w:val="center"/>
                    <w:textAlignment w:val="auto"/>
                    <w:rPr>
                      <w:rFonts w:hint="default" w:ascii="Times New Roman" w:hAnsi="Times New Roman" w:eastAsia="宋体" w:cs="Times New Roman"/>
                      <w:b w:val="0"/>
                      <w:bCs w:val="0"/>
                      <w:color w:val="auto"/>
                      <w:kern w:val="0"/>
                      <w:sz w:val="18"/>
                      <w:szCs w:val="18"/>
                      <w:lang w:bidi="ar"/>
                    </w:rPr>
                  </w:pPr>
                  <w:r>
                    <w:rPr>
                      <w:rFonts w:hint="default" w:ascii="Times New Roman" w:hAnsi="Times New Roman" w:eastAsia="宋体" w:cs="Times New Roman"/>
                      <w:b w:val="0"/>
                      <w:bCs w:val="0"/>
                      <w:color w:val="auto"/>
                      <w:kern w:val="0"/>
                      <w:sz w:val="18"/>
                      <w:szCs w:val="18"/>
                      <w:lang w:bidi="ar"/>
                    </w:rPr>
                    <w:t>序号</w:t>
                  </w:r>
                </w:p>
              </w:tc>
              <w:tc>
                <w:tcPr>
                  <w:tcW w:w="691" w:type="pct"/>
                  <w:tcBorders>
                    <w:tl2br w:val="nil"/>
                    <w:tr2bl w:val="nil"/>
                  </w:tcBorders>
                  <w:noWrap w:val="0"/>
                  <w:vAlign w:val="center"/>
                </w:tcPr>
                <w:p>
                  <w:pPr>
                    <w:keepNext w:val="0"/>
                    <w:keepLines w:val="0"/>
                    <w:pageBreakBefore w:val="0"/>
                    <w:widowControl/>
                    <w:kinsoku/>
                    <w:wordWrap/>
                    <w:overflowPunct/>
                    <w:autoSpaceDE/>
                    <w:autoSpaceDN/>
                    <w:bidi w:val="0"/>
                    <w:spacing w:line="240" w:lineRule="auto"/>
                    <w:ind w:firstLine="0" w:firstLineChars="0"/>
                    <w:jc w:val="center"/>
                    <w:textAlignment w:val="auto"/>
                    <w:rPr>
                      <w:rFonts w:hint="default" w:ascii="Times New Roman" w:hAnsi="Times New Roman" w:eastAsia="宋体" w:cs="Times New Roman"/>
                      <w:b w:val="0"/>
                      <w:bCs w:val="0"/>
                      <w:color w:val="auto"/>
                      <w:kern w:val="0"/>
                      <w:sz w:val="18"/>
                      <w:szCs w:val="18"/>
                      <w:lang w:bidi="ar"/>
                    </w:rPr>
                  </w:pPr>
                  <w:r>
                    <w:rPr>
                      <w:rFonts w:hint="default" w:ascii="Times New Roman" w:hAnsi="Times New Roman" w:eastAsia="宋体" w:cs="Times New Roman"/>
                      <w:b w:val="0"/>
                      <w:bCs w:val="0"/>
                      <w:color w:val="auto"/>
                      <w:kern w:val="0"/>
                      <w:sz w:val="18"/>
                      <w:szCs w:val="18"/>
                      <w:lang w:bidi="ar"/>
                    </w:rPr>
                    <w:t>危险废物名称</w:t>
                  </w:r>
                </w:p>
              </w:tc>
              <w:tc>
                <w:tcPr>
                  <w:tcW w:w="684" w:type="pct"/>
                  <w:tcBorders>
                    <w:tl2br w:val="nil"/>
                    <w:tr2bl w:val="nil"/>
                  </w:tcBorders>
                  <w:noWrap w:val="0"/>
                  <w:vAlign w:val="top"/>
                </w:tcPr>
                <w:p>
                  <w:pPr>
                    <w:keepNext w:val="0"/>
                    <w:keepLines w:val="0"/>
                    <w:pageBreakBefore w:val="0"/>
                    <w:widowControl/>
                    <w:kinsoku/>
                    <w:wordWrap/>
                    <w:overflowPunct/>
                    <w:autoSpaceDE/>
                    <w:autoSpaceDN/>
                    <w:bidi w:val="0"/>
                    <w:spacing w:line="240" w:lineRule="auto"/>
                    <w:ind w:firstLine="0" w:firstLineChars="0"/>
                    <w:jc w:val="center"/>
                    <w:textAlignment w:val="auto"/>
                    <w:rPr>
                      <w:rFonts w:hint="default" w:ascii="Times New Roman" w:hAnsi="Times New Roman" w:eastAsia="宋体" w:cs="Times New Roman"/>
                      <w:b w:val="0"/>
                      <w:bCs w:val="0"/>
                      <w:color w:val="auto"/>
                      <w:kern w:val="0"/>
                      <w:sz w:val="18"/>
                      <w:szCs w:val="18"/>
                      <w:lang w:bidi="ar"/>
                    </w:rPr>
                  </w:pPr>
                  <w:r>
                    <w:rPr>
                      <w:rFonts w:hint="default" w:ascii="Times New Roman" w:hAnsi="Times New Roman" w:eastAsia="宋体" w:cs="Times New Roman"/>
                      <w:b w:val="0"/>
                      <w:bCs w:val="0"/>
                      <w:color w:val="auto"/>
                      <w:kern w:val="0"/>
                      <w:sz w:val="18"/>
                      <w:szCs w:val="18"/>
                      <w:lang w:bidi="ar"/>
                    </w:rPr>
                    <w:t>危险废物类别</w:t>
                  </w:r>
                </w:p>
              </w:tc>
              <w:tc>
                <w:tcPr>
                  <w:tcW w:w="722" w:type="pct"/>
                  <w:tcBorders>
                    <w:tl2br w:val="nil"/>
                    <w:tr2bl w:val="nil"/>
                  </w:tcBorders>
                  <w:noWrap w:val="0"/>
                  <w:vAlign w:val="top"/>
                </w:tcPr>
                <w:p>
                  <w:pPr>
                    <w:keepNext w:val="0"/>
                    <w:keepLines w:val="0"/>
                    <w:pageBreakBefore w:val="0"/>
                    <w:widowControl/>
                    <w:kinsoku/>
                    <w:wordWrap/>
                    <w:overflowPunct/>
                    <w:autoSpaceDE/>
                    <w:autoSpaceDN/>
                    <w:bidi w:val="0"/>
                    <w:spacing w:line="240" w:lineRule="auto"/>
                    <w:ind w:firstLine="0" w:firstLineChars="0"/>
                    <w:jc w:val="center"/>
                    <w:textAlignment w:val="auto"/>
                    <w:rPr>
                      <w:rFonts w:hint="default" w:ascii="Times New Roman" w:hAnsi="Times New Roman" w:eastAsia="宋体" w:cs="Times New Roman"/>
                      <w:b w:val="0"/>
                      <w:bCs w:val="0"/>
                      <w:color w:val="auto"/>
                      <w:kern w:val="0"/>
                      <w:sz w:val="18"/>
                      <w:szCs w:val="18"/>
                      <w:lang w:bidi="ar"/>
                    </w:rPr>
                  </w:pPr>
                  <w:r>
                    <w:rPr>
                      <w:rFonts w:hint="default" w:ascii="Times New Roman" w:hAnsi="Times New Roman" w:eastAsia="宋体" w:cs="Times New Roman"/>
                      <w:b w:val="0"/>
                      <w:bCs w:val="0"/>
                      <w:color w:val="auto"/>
                      <w:kern w:val="0"/>
                      <w:sz w:val="18"/>
                      <w:szCs w:val="18"/>
                      <w:lang w:bidi="ar"/>
                    </w:rPr>
                    <w:t>危险废物代码</w:t>
                  </w:r>
                </w:p>
              </w:tc>
              <w:tc>
                <w:tcPr>
                  <w:tcW w:w="471" w:type="pct"/>
                  <w:tcBorders>
                    <w:tl2br w:val="nil"/>
                    <w:tr2bl w:val="nil"/>
                  </w:tcBorders>
                  <w:noWrap w:val="0"/>
                  <w:vAlign w:val="center"/>
                </w:tcPr>
                <w:p>
                  <w:pPr>
                    <w:keepNext w:val="0"/>
                    <w:keepLines w:val="0"/>
                    <w:pageBreakBefore w:val="0"/>
                    <w:widowControl/>
                    <w:kinsoku/>
                    <w:wordWrap/>
                    <w:overflowPunct/>
                    <w:autoSpaceDE/>
                    <w:autoSpaceDN/>
                    <w:bidi w:val="0"/>
                    <w:spacing w:line="240" w:lineRule="auto"/>
                    <w:ind w:firstLine="0" w:firstLineChars="0"/>
                    <w:jc w:val="center"/>
                    <w:textAlignment w:val="auto"/>
                    <w:rPr>
                      <w:rFonts w:hint="default" w:ascii="Times New Roman" w:hAnsi="Times New Roman" w:eastAsia="宋体" w:cs="Times New Roman"/>
                      <w:b w:val="0"/>
                      <w:bCs w:val="0"/>
                      <w:color w:val="auto"/>
                      <w:kern w:val="0"/>
                      <w:sz w:val="18"/>
                      <w:szCs w:val="18"/>
                      <w:lang w:eastAsia="zh-CN" w:bidi="ar"/>
                    </w:rPr>
                  </w:pPr>
                  <w:r>
                    <w:rPr>
                      <w:rFonts w:hint="default" w:ascii="Times New Roman" w:hAnsi="Times New Roman" w:eastAsia="宋体" w:cs="Times New Roman"/>
                      <w:b w:val="0"/>
                      <w:bCs w:val="0"/>
                      <w:color w:val="auto"/>
                      <w:kern w:val="0"/>
                      <w:sz w:val="18"/>
                      <w:szCs w:val="18"/>
                      <w:lang w:bidi="ar"/>
                    </w:rPr>
                    <w:t>占地面积</w:t>
                  </w:r>
                  <w:r>
                    <w:rPr>
                      <w:rFonts w:hint="default" w:ascii="Times New Roman" w:hAnsi="Times New Roman" w:eastAsia="宋体" w:cs="Times New Roman"/>
                      <w:b w:val="0"/>
                      <w:bCs w:val="0"/>
                      <w:color w:val="auto"/>
                      <w:kern w:val="0"/>
                      <w:sz w:val="18"/>
                      <w:szCs w:val="18"/>
                      <w:lang w:eastAsia="zh-CN" w:bidi="ar"/>
                    </w:rPr>
                    <w:t>（</w:t>
                  </w:r>
                  <w:r>
                    <w:rPr>
                      <w:rFonts w:hint="default" w:ascii="Times New Roman" w:hAnsi="Times New Roman" w:eastAsia="宋体" w:cs="Times New Roman"/>
                      <w:b w:val="0"/>
                      <w:bCs w:val="0"/>
                      <w:color w:val="auto"/>
                      <w:kern w:val="0"/>
                      <w:sz w:val="18"/>
                      <w:szCs w:val="18"/>
                      <w:lang w:val="en-US" w:eastAsia="zh-CN" w:bidi="ar"/>
                    </w:rPr>
                    <w:t>m</w:t>
                  </w:r>
                  <w:r>
                    <w:rPr>
                      <w:rFonts w:hint="default" w:ascii="Times New Roman" w:hAnsi="Times New Roman" w:eastAsia="宋体" w:cs="Times New Roman"/>
                      <w:b w:val="0"/>
                      <w:bCs w:val="0"/>
                      <w:color w:val="auto"/>
                      <w:kern w:val="0"/>
                      <w:sz w:val="18"/>
                      <w:szCs w:val="18"/>
                      <w:vertAlign w:val="superscript"/>
                      <w:lang w:val="en-US" w:eastAsia="zh-CN" w:bidi="ar"/>
                    </w:rPr>
                    <w:t>2</w:t>
                  </w:r>
                  <w:r>
                    <w:rPr>
                      <w:rFonts w:hint="default" w:ascii="Times New Roman" w:hAnsi="Times New Roman" w:eastAsia="宋体" w:cs="Times New Roman"/>
                      <w:b w:val="0"/>
                      <w:bCs w:val="0"/>
                      <w:color w:val="auto"/>
                      <w:kern w:val="0"/>
                      <w:sz w:val="18"/>
                      <w:szCs w:val="18"/>
                      <w:lang w:eastAsia="zh-CN" w:bidi="ar"/>
                    </w:rPr>
                    <w:t>）</w:t>
                  </w:r>
                </w:p>
              </w:tc>
              <w:tc>
                <w:tcPr>
                  <w:tcW w:w="914" w:type="pct"/>
                  <w:tcBorders>
                    <w:tl2br w:val="nil"/>
                    <w:tr2bl w:val="nil"/>
                  </w:tcBorders>
                  <w:noWrap w:val="0"/>
                  <w:vAlign w:val="center"/>
                </w:tcPr>
                <w:p>
                  <w:pPr>
                    <w:keepNext w:val="0"/>
                    <w:keepLines w:val="0"/>
                    <w:pageBreakBefore w:val="0"/>
                    <w:widowControl/>
                    <w:kinsoku/>
                    <w:wordWrap/>
                    <w:overflowPunct/>
                    <w:autoSpaceDE/>
                    <w:autoSpaceDN/>
                    <w:bidi w:val="0"/>
                    <w:spacing w:line="240" w:lineRule="auto"/>
                    <w:ind w:firstLine="0" w:firstLineChars="0"/>
                    <w:jc w:val="center"/>
                    <w:textAlignment w:val="auto"/>
                    <w:rPr>
                      <w:rFonts w:hint="default" w:ascii="Times New Roman" w:hAnsi="Times New Roman" w:eastAsia="宋体" w:cs="Times New Roman"/>
                      <w:b w:val="0"/>
                      <w:bCs w:val="0"/>
                      <w:color w:val="auto"/>
                      <w:kern w:val="0"/>
                      <w:sz w:val="18"/>
                      <w:szCs w:val="18"/>
                      <w:lang w:bidi="ar"/>
                    </w:rPr>
                  </w:pPr>
                  <w:r>
                    <w:rPr>
                      <w:rFonts w:hint="default" w:ascii="Times New Roman" w:hAnsi="Times New Roman" w:eastAsia="宋体" w:cs="Times New Roman"/>
                      <w:b w:val="0"/>
                      <w:bCs w:val="0"/>
                      <w:color w:val="auto"/>
                      <w:kern w:val="0"/>
                      <w:sz w:val="18"/>
                      <w:szCs w:val="18"/>
                      <w:lang w:bidi="ar"/>
                    </w:rPr>
                    <w:t>贮存方式</w:t>
                  </w:r>
                </w:p>
              </w:tc>
              <w:tc>
                <w:tcPr>
                  <w:tcW w:w="546" w:type="pct"/>
                  <w:tcBorders>
                    <w:tl2br w:val="nil"/>
                    <w:tr2bl w:val="nil"/>
                  </w:tcBorders>
                  <w:noWrap w:val="0"/>
                  <w:vAlign w:val="center"/>
                </w:tcPr>
                <w:p>
                  <w:pPr>
                    <w:keepNext w:val="0"/>
                    <w:keepLines w:val="0"/>
                    <w:pageBreakBefore w:val="0"/>
                    <w:widowControl/>
                    <w:kinsoku/>
                    <w:wordWrap/>
                    <w:overflowPunct/>
                    <w:autoSpaceDE/>
                    <w:autoSpaceDN/>
                    <w:bidi w:val="0"/>
                    <w:spacing w:line="240" w:lineRule="auto"/>
                    <w:ind w:firstLine="0" w:firstLineChars="0"/>
                    <w:jc w:val="center"/>
                    <w:textAlignment w:val="auto"/>
                    <w:rPr>
                      <w:rFonts w:hint="default" w:ascii="Times New Roman" w:hAnsi="Times New Roman" w:eastAsia="宋体" w:cs="Times New Roman"/>
                      <w:b w:val="0"/>
                      <w:bCs w:val="0"/>
                      <w:color w:val="auto"/>
                      <w:kern w:val="0"/>
                      <w:sz w:val="18"/>
                      <w:szCs w:val="18"/>
                      <w:lang w:bidi="ar"/>
                    </w:rPr>
                  </w:pPr>
                  <w:r>
                    <w:rPr>
                      <w:rFonts w:hint="default" w:ascii="Times New Roman" w:hAnsi="Times New Roman" w:eastAsia="宋体" w:cs="Times New Roman"/>
                      <w:b w:val="0"/>
                      <w:bCs w:val="0"/>
                      <w:color w:val="auto"/>
                      <w:kern w:val="0"/>
                      <w:sz w:val="18"/>
                      <w:szCs w:val="18"/>
                      <w:lang w:bidi="ar"/>
                    </w:rPr>
                    <w:t>贮存</w:t>
                  </w:r>
                </w:p>
                <w:p>
                  <w:pPr>
                    <w:keepNext w:val="0"/>
                    <w:keepLines w:val="0"/>
                    <w:pageBreakBefore w:val="0"/>
                    <w:widowControl/>
                    <w:kinsoku/>
                    <w:wordWrap/>
                    <w:overflowPunct/>
                    <w:autoSpaceDE/>
                    <w:autoSpaceDN/>
                    <w:bidi w:val="0"/>
                    <w:spacing w:line="240" w:lineRule="auto"/>
                    <w:ind w:firstLine="0" w:firstLineChars="0"/>
                    <w:jc w:val="center"/>
                    <w:textAlignment w:val="auto"/>
                    <w:rPr>
                      <w:rFonts w:hint="eastAsia" w:ascii="Times New Roman" w:hAnsi="Times New Roman" w:eastAsia="宋体" w:cs="Times New Roman"/>
                      <w:b w:val="0"/>
                      <w:bCs w:val="0"/>
                      <w:color w:val="auto"/>
                      <w:kern w:val="0"/>
                      <w:sz w:val="18"/>
                      <w:szCs w:val="18"/>
                      <w:lang w:eastAsia="zh-CN" w:bidi="ar"/>
                    </w:rPr>
                  </w:pPr>
                  <w:r>
                    <w:rPr>
                      <w:rFonts w:hint="default" w:ascii="Times New Roman" w:hAnsi="Times New Roman" w:eastAsia="宋体" w:cs="Times New Roman"/>
                      <w:b w:val="0"/>
                      <w:bCs w:val="0"/>
                      <w:color w:val="auto"/>
                      <w:kern w:val="0"/>
                      <w:sz w:val="18"/>
                      <w:szCs w:val="18"/>
                      <w:lang w:bidi="ar"/>
                    </w:rPr>
                    <w:t>能力</w:t>
                  </w:r>
                  <w:r>
                    <w:rPr>
                      <w:rFonts w:hint="eastAsia" w:eastAsia="宋体" w:cs="Times New Roman"/>
                      <w:b w:val="0"/>
                      <w:bCs w:val="0"/>
                      <w:color w:val="auto"/>
                      <w:kern w:val="0"/>
                      <w:sz w:val="18"/>
                      <w:szCs w:val="18"/>
                      <w:lang w:eastAsia="zh-CN" w:bidi="ar"/>
                    </w:rPr>
                    <w:t>（</w:t>
                  </w:r>
                  <w:r>
                    <w:rPr>
                      <w:rFonts w:hint="eastAsia" w:eastAsia="宋体" w:cs="Times New Roman"/>
                      <w:b w:val="0"/>
                      <w:bCs w:val="0"/>
                      <w:color w:val="auto"/>
                      <w:kern w:val="0"/>
                      <w:sz w:val="18"/>
                      <w:szCs w:val="18"/>
                      <w:lang w:val="en-US" w:eastAsia="zh-CN" w:bidi="ar"/>
                    </w:rPr>
                    <w:t>t/a</w:t>
                  </w:r>
                  <w:r>
                    <w:rPr>
                      <w:rFonts w:hint="eastAsia" w:eastAsia="宋体" w:cs="Times New Roman"/>
                      <w:b w:val="0"/>
                      <w:bCs w:val="0"/>
                      <w:color w:val="auto"/>
                      <w:kern w:val="0"/>
                      <w:sz w:val="18"/>
                      <w:szCs w:val="18"/>
                      <w:lang w:eastAsia="zh-CN" w:bidi="ar"/>
                    </w:rPr>
                    <w:t>）</w:t>
                  </w:r>
                </w:p>
              </w:tc>
              <w:tc>
                <w:tcPr>
                  <w:tcW w:w="657" w:type="pct"/>
                  <w:tcBorders>
                    <w:tl2br w:val="nil"/>
                    <w:tr2bl w:val="nil"/>
                  </w:tcBorders>
                  <w:noWrap w:val="0"/>
                  <w:vAlign w:val="center"/>
                </w:tcPr>
                <w:p>
                  <w:pPr>
                    <w:keepNext w:val="0"/>
                    <w:keepLines w:val="0"/>
                    <w:pageBreakBefore w:val="0"/>
                    <w:widowControl/>
                    <w:kinsoku/>
                    <w:wordWrap/>
                    <w:overflowPunct/>
                    <w:autoSpaceDE/>
                    <w:autoSpaceDN/>
                    <w:bidi w:val="0"/>
                    <w:spacing w:line="240" w:lineRule="auto"/>
                    <w:ind w:firstLine="0" w:firstLineChars="0"/>
                    <w:jc w:val="center"/>
                    <w:textAlignment w:val="auto"/>
                    <w:rPr>
                      <w:rFonts w:hint="default" w:ascii="Times New Roman" w:hAnsi="Times New Roman" w:eastAsia="宋体" w:cs="Times New Roman"/>
                      <w:b w:val="0"/>
                      <w:bCs w:val="0"/>
                      <w:color w:val="auto"/>
                      <w:kern w:val="0"/>
                      <w:sz w:val="18"/>
                      <w:szCs w:val="18"/>
                      <w:lang w:bidi="ar"/>
                    </w:rPr>
                  </w:pPr>
                  <w:r>
                    <w:rPr>
                      <w:rFonts w:hint="default" w:ascii="Times New Roman" w:hAnsi="Times New Roman" w:eastAsia="宋体" w:cs="Times New Roman"/>
                      <w:b w:val="0"/>
                      <w:bCs w:val="0"/>
                      <w:color w:val="auto"/>
                      <w:kern w:val="0"/>
                      <w:sz w:val="18"/>
                      <w:szCs w:val="18"/>
                      <w:lang w:bidi="ar"/>
                    </w:rPr>
                    <w:t>贮存</w:t>
                  </w:r>
                </w:p>
                <w:p>
                  <w:pPr>
                    <w:keepNext w:val="0"/>
                    <w:keepLines w:val="0"/>
                    <w:pageBreakBefore w:val="0"/>
                    <w:widowControl/>
                    <w:kinsoku/>
                    <w:wordWrap/>
                    <w:overflowPunct/>
                    <w:autoSpaceDE/>
                    <w:autoSpaceDN/>
                    <w:bidi w:val="0"/>
                    <w:spacing w:line="240" w:lineRule="auto"/>
                    <w:ind w:firstLine="0" w:firstLineChars="0"/>
                    <w:jc w:val="center"/>
                    <w:textAlignment w:val="auto"/>
                    <w:rPr>
                      <w:rFonts w:hint="default" w:ascii="Times New Roman" w:hAnsi="Times New Roman" w:eastAsia="宋体" w:cs="Times New Roman"/>
                      <w:b w:val="0"/>
                      <w:bCs w:val="0"/>
                      <w:color w:val="auto"/>
                      <w:kern w:val="0"/>
                      <w:sz w:val="18"/>
                      <w:szCs w:val="18"/>
                      <w:lang w:bidi="ar"/>
                    </w:rPr>
                  </w:pPr>
                  <w:r>
                    <w:rPr>
                      <w:rFonts w:hint="default" w:ascii="Times New Roman" w:hAnsi="Times New Roman" w:eastAsia="宋体" w:cs="Times New Roman"/>
                      <w:b w:val="0"/>
                      <w:bCs w:val="0"/>
                      <w:color w:val="auto"/>
                      <w:kern w:val="0"/>
                      <w:sz w:val="18"/>
                      <w:szCs w:val="18"/>
                      <w:lang w:bidi="ar"/>
                    </w:rPr>
                    <w:t>周期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312" w:type="pct"/>
                  <w:tcBorders>
                    <w:tl2br w:val="nil"/>
                    <w:tr2bl w:val="nil"/>
                  </w:tcBorders>
                  <w:noWrap w:val="0"/>
                  <w:vAlign w:val="center"/>
                </w:tcPr>
                <w:p>
                  <w:pPr>
                    <w:keepNext w:val="0"/>
                    <w:keepLines w:val="0"/>
                    <w:pageBreakBefore w:val="0"/>
                    <w:widowControl/>
                    <w:kinsoku/>
                    <w:wordWrap/>
                    <w:overflowPunct/>
                    <w:autoSpaceDE/>
                    <w:autoSpaceDN/>
                    <w:bidi w:val="0"/>
                    <w:spacing w:line="240" w:lineRule="auto"/>
                    <w:ind w:firstLine="0" w:firstLineChars="0"/>
                    <w:jc w:val="center"/>
                    <w:textAlignment w:val="auto"/>
                    <w:rPr>
                      <w:rFonts w:hint="default" w:ascii="Times New Roman" w:hAnsi="Times New Roman" w:eastAsia="宋体" w:cs="Times New Roman"/>
                      <w:b w:val="0"/>
                      <w:bCs w:val="0"/>
                      <w:color w:val="auto"/>
                      <w:kern w:val="0"/>
                      <w:sz w:val="18"/>
                      <w:szCs w:val="18"/>
                      <w:lang w:bidi="ar"/>
                    </w:rPr>
                  </w:pPr>
                  <w:r>
                    <w:rPr>
                      <w:rFonts w:hint="default" w:ascii="Times New Roman" w:hAnsi="Times New Roman" w:eastAsia="宋体" w:cs="Times New Roman"/>
                      <w:b w:val="0"/>
                      <w:bCs w:val="0"/>
                      <w:color w:val="auto"/>
                      <w:kern w:val="0"/>
                      <w:sz w:val="18"/>
                      <w:szCs w:val="18"/>
                      <w:lang w:bidi="ar"/>
                    </w:rPr>
                    <w:t>1</w:t>
                  </w:r>
                </w:p>
              </w:tc>
              <w:tc>
                <w:tcPr>
                  <w:tcW w:w="691" w:type="pct"/>
                  <w:tcBorders>
                    <w:tl2br w:val="nil"/>
                    <w:tr2bl w:val="nil"/>
                  </w:tcBorders>
                  <w:noWrap w:val="0"/>
                  <w:vAlign w:val="center"/>
                </w:tcPr>
                <w:p>
                  <w:pPr>
                    <w:keepNext w:val="0"/>
                    <w:keepLines w:val="0"/>
                    <w:pageBreakBefore w:val="0"/>
                    <w:widowControl/>
                    <w:kinsoku/>
                    <w:wordWrap/>
                    <w:overflowPunct/>
                    <w:autoSpaceDE/>
                    <w:autoSpaceDN/>
                    <w:bidi w:val="0"/>
                    <w:spacing w:line="240" w:lineRule="auto"/>
                    <w:ind w:firstLine="0" w:firstLineChars="0"/>
                    <w:jc w:val="center"/>
                    <w:textAlignment w:val="auto"/>
                    <w:rPr>
                      <w:rFonts w:hint="default" w:ascii="Times New Roman" w:hAnsi="Times New Roman" w:eastAsia="宋体" w:cs="Times New Roman"/>
                      <w:b w:val="0"/>
                      <w:bCs w:val="0"/>
                      <w:color w:val="auto"/>
                      <w:kern w:val="0"/>
                      <w:sz w:val="18"/>
                      <w:szCs w:val="18"/>
                      <w:lang w:bidi="ar"/>
                    </w:rPr>
                  </w:pPr>
                  <w:r>
                    <w:rPr>
                      <w:rFonts w:hint="default" w:ascii="Times New Roman" w:hAnsi="Times New Roman" w:eastAsia="宋体" w:cs="Times New Roman"/>
                      <w:b w:val="0"/>
                      <w:bCs w:val="0"/>
                      <w:color w:val="auto"/>
                      <w:kern w:val="0"/>
                      <w:sz w:val="18"/>
                      <w:szCs w:val="18"/>
                      <w:lang w:val="en-US" w:eastAsia="zh-CN" w:bidi="ar"/>
                    </w:rPr>
                    <w:t>废机油</w:t>
                  </w:r>
                </w:p>
              </w:tc>
              <w:tc>
                <w:tcPr>
                  <w:tcW w:w="684" w:type="pct"/>
                  <w:tcBorders>
                    <w:tl2br w:val="nil"/>
                    <w:tr2bl w:val="nil"/>
                  </w:tcBorders>
                  <w:noWrap w:val="0"/>
                  <w:vAlign w:val="center"/>
                </w:tcPr>
                <w:p>
                  <w:pPr>
                    <w:keepNext w:val="0"/>
                    <w:keepLines w:val="0"/>
                    <w:pageBreakBefore w:val="0"/>
                    <w:widowControl/>
                    <w:kinsoku/>
                    <w:wordWrap/>
                    <w:overflowPunct/>
                    <w:autoSpaceDE/>
                    <w:autoSpaceDN/>
                    <w:bidi w:val="0"/>
                    <w:spacing w:line="240" w:lineRule="auto"/>
                    <w:ind w:firstLine="0" w:firstLineChars="0"/>
                    <w:jc w:val="center"/>
                    <w:textAlignment w:val="auto"/>
                    <w:rPr>
                      <w:rFonts w:hint="default" w:ascii="Times New Roman" w:hAnsi="Times New Roman" w:eastAsia="宋体" w:cs="Times New Roman"/>
                      <w:b w:val="0"/>
                      <w:bCs w:val="0"/>
                      <w:color w:val="auto"/>
                      <w:kern w:val="0"/>
                      <w:sz w:val="18"/>
                      <w:szCs w:val="18"/>
                      <w:lang w:bidi="ar"/>
                    </w:rPr>
                  </w:pPr>
                  <w:r>
                    <w:rPr>
                      <w:rFonts w:hint="default" w:ascii="Times New Roman" w:hAnsi="Times New Roman" w:eastAsia="宋体" w:cs="Times New Roman"/>
                      <w:b w:val="0"/>
                      <w:bCs w:val="0"/>
                      <w:color w:val="auto"/>
                      <w:kern w:val="0"/>
                      <w:sz w:val="18"/>
                      <w:szCs w:val="18"/>
                      <w:lang w:val="en-US" w:eastAsia="zh-CN" w:bidi="ar"/>
                    </w:rPr>
                    <w:t>废矿物油与含矿物油废物</w:t>
                  </w:r>
                </w:p>
              </w:tc>
              <w:tc>
                <w:tcPr>
                  <w:tcW w:w="722" w:type="pct"/>
                  <w:tcBorders>
                    <w:tl2br w:val="nil"/>
                    <w:tr2bl w:val="nil"/>
                  </w:tcBorders>
                  <w:noWrap w:val="0"/>
                  <w:vAlign w:val="center"/>
                </w:tcPr>
                <w:p>
                  <w:pPr>
                    <w:keepNext w:val="0"/>
                    <w:keepLines w:val="0"/>
                    <w:pageBreakBefore w:val="0"/>
                    <w:widowControl/>
                    <w:kinsoku/>
                    <w:wordWrap/>
                    <w:overflowPunct/>
                    <w:autoSpaceDE/>
                    <w:autoSpaceDN/>
                    <w:bidi w:val="0"/>
                    <w:spacing w:line="240" w:lineRule="auto"/>
                    <w:ind w:firstLine="0" w:firstLineChars="0"/>
                    <w:jc w:val="center"/>
                    <w:textAlignment w:val="auto"/>
                    <w:rPr>
                      <w:rFonts w:hint="default" w:ascii="Times New Roman" w:hAnsi="Times New Roman" w:cs="Times New Roman"/>
                      <w:b w:val="0"/>
                      <w:bCs w:val="0"/>
                      <w:color w:val="auto"/>
                      <w:kern w:val="0"/>
                      <w:sz w:val="18"/>
                      <w:szCs w:val="18"/>
                      <w:lang w:bidi="ar"/>
                    </w:rPr>
                  </w:pPr>
                  <w:r>
                    <w:rPr>
                      <w:rFonts w:hint="default" w:ascii="Times New Roman" w:hAnsi="Times New Roman" w:cs="Times New Roman"/>
                      <w:b w:val="0"/>
                      <w:bCs w:val="0"/>
                      <w:color w:val="auto"/>
                      <w:kern w:val="0"/>
                      <w:sz w:val="18"/>
                      <w:szCs w:val="18"/>
                      <w:lang w:bidi="ar"/>
                    </w:rPr>
                    <w:t>HW08</w:t>
                  </w:r>
                </w:p>
                <w:p>
                  <w:pPr>
                    <w:keepNext w:val="0"/>
                    <w:keepLines w:val="0"/>
                    <w:pageBreakBefore w:val="0"/>
                    <w:widowControl/>
                    <w:kinsoku/>
                    <w:wordWrap/>
                    <w:overflowPunct/>
                    <w:autoSpaceDE/>
                    <w:autoSpaceDN/>
                    <w:bidi w:val="0"/>
                    <w:spacing w:line="240" w:lineRule="auto"/>
                    <w:ind w:firstLine="0" w:firstLineChars="0"/>
                    <w:jc w:val="center"/>
                    <w:textAlignment w:val="auto"/>
                    <w:rPr>
                      <w:rFonts w:hint="default" w:ascii="Times New Roman" w:hAnsi="Times New Roman" w:eastAsia="宋体" w:cs="Times New Roman"/>
                      <w:b w:val="0"/>
                      <w:bCs w:val="0"/>
                      <w:color w:val="auto"/>
                      <w:kern w:val="0"/>
                      <w:sz w:val="18"/>
                      <w:szCs w:val="18"/>
                      <w:lang w:bidi="ar"/>
                    </w:rPr>
                  </w:pPr>
                  <w:r>
                    <w:rPr>
                      <w:rFonts w:hint="default" w:ascii="Times New Roman" w:hAnsi="Times New Roman" w:cs="Times New Roman"/>
                      <w:b w:val="0"/>
                      <w:bCs w:val="0"/>
                      <w:color w:val="auto"/>
                      <w:sz w:val="18"/>
                      <w:szCs w:val="18"/>
                    </w:rPr>
                    <w:t>900-214-08</w:t>
                  </w:r>
                </w:p>
              </w:tc>
              <w:tc>
                <w:tcPr>
                  <w:tcW w:w="471" w:type="pct"/>
                  <w:tcBorders>
                    <w:tl2br w:val="nil"/>
                    <w:tr2bl w:val="nil"/>
                  </w:tcBorders>
                  <w:noWrap w:val="0"/>
                  <w:vAlign w:val="center"/>
                </w:tcPr>
                <w:p>
                  <w:pPr>
                    <w:keepNext w:val="0"/>
                    <w:keepLines w:val="0"/>
                    <w:pageBreakBefore w:val="0"/>
                    <w:widowControl/>
                    <w:kinsoku/>
                    <w:wordWrap/>
                    <w:overflowPunct/>
                    <w:autoSpaceDE/>
                    <w:autoSpaceDN/>
                    <w:bidi w:val="0"/>
                    <w:spacing w:line="240" w:lineRule="auto"/>
                    <w:ind w:firstLine="0" w:firstLineChars="0"/>
                    <w:jc w:val="center"/>
                    <w:textAlignment w:val="auto"/>
                    <w:rPr>
                      <w:rFonts w:hint="eastAsia" w:ascii="Times New Roman" w:hAnsi="Times New Roman" w:eastAsia="宋体" w:cs="Times New Roman"/>
                      <w:b w:val="0"/>
                      <w:bCs w:val="0"/>
                      <w:color w:val="auto"/>
                      <w:kern w:val="0"/>
                      <w:sz w:val="18"/>
                      <w:szCs w:val="18"/>
                      <w:lang w:val="en-US" w:eastAsia="zh-CN" w:bidi="ar"/>
                    </w:rPr>
                  </w:pPr>
                  <w:r>
                    <w:rPr>
                      <w:rFonts w:hint="eastAsia" w:ascii="Times New Roman" w:hAnsi="Times New Roman" w:eastAsia="宋体" w:cs="Times New Roman"/>
                      <w:b w:val="0"/>
                      <w:bCs w:val="0"/>
                      <w:color w:val="auto"/>
                      <w:kern w:val="0"/>
                      <w:sz w:val="18"/>
                      <w:szCs w:val="18"/>
                      <w:lang w:val="en-US" w:eastAsia="zh-CN" w:bidi="ar"/>
                    </w:rPr>
                    <w:t>5</w:t>
                  </w:r>
                </w:p>
              </w:tc>
              <w:tc>
                <w:tcPr>
                  <w:tcW w:w="914" w:type="pct"/>
                  <w:tcBorders>
                    <w:tl2br w:val="nil"/>
                    <w:tr2bl w:val="nil"/>
                  </w:tcBorders>
                  <w:noWrap w:val="0"/>
                  <w:vAlign w:val="center"/>
                </w:tcPr>
                <w:p>
                  <w:pPr>
                    <w:keepNext w:val="0"/>
                    <w:keepLines w:val="0"/>
                    <w:pageBreakBefore w:val="0"/>
                    <w:widowControl/>
                    <w:kinsoku/>
                    <w:wordWrap/>
                    <w:overflowPunct/>
                    <w:autoSpaceDE/>
                    <w:autoSpaceDN/>
                    <w:bidi w:val="0"/>
                    <w:spacing w:line="240" w:lineRule="auto"/>
                    <w:ind w:firstLine="0" w:firstLineChars="0"/>
                    <w:jc w:val="center"/>
                    <w:textAlignment w:val="auto"/>
                    <w:rPr>
                      <w:rFonts w:hint="default" w:ascii="Times New Roman" w:hAnsi="Times New Roman" w:eastAsia="宋体" w:cs="Times New Roman"/>
                      <w:b w:val="0"/>
                      <w:bCs w:val="0"/>
                      <w:color w:val="auto"/>
                      <w:kern w:val="0"/>
                      <w:sz w:val="18"/>
                      <w:szCs w:val="18"/>
                      <w:lang w:val="en-US" w:eastAsia="zh-CN" w:bidi="ar"/>
                    </w:rPr>
                  </w:pPr>
                  <w:r>
                    <w:rPr>
                      <w:rFonts w:hint="eastAsia" w:ascii="Times New Roman" w:hAnsi="Times New Roman" w:eastAsia="宋体" w:cs="Times New Roman"/>
                      <w:b w:val="0"/>
                      <w:bCs w:val="0"/>
                      <w:color w:val="auto"/>
                      <w:kern w:val="0"/>
                      <w:sz w:val="18"/>
                      <w:szCs w:val="18"/>
                      <w:lang w:val="en-US" w:eastAsia="zh-CN" w:bidi="ar"/>
                    </w:rPr>
                    <w:t>密闭铁桶</w:t>
                  </w:r>
                </w:p>
              </w:tc>
              <w:tc>
                <w:tcPr>
                  <w:tcW w:w="546" w:type="pct"/>
                  <w:tcBorders>
                    <w:tl2br w:val="nil"/>
                    <w:tr2bl w:val="nil"/>
                  </w:tcBorders>
                  <w:noWrap w:val="0"/>
                  <w:vAlign w:val="center"/>
                </w:tcPr>
                <w:p>
                  <w:pPr>
                    <w:keepNext w:val="0"/>
                    <w:keepLines w:val="0"/>
                    <w:pageBreakBefore w:val="0"/>
                    <w:widowControl/>
                    <w:kinsoku/>
                    <w:wordWrap/>
                    <w:overflowPunct/>
                    <w:autoSpaceDE/>
                    <w:autoSpaceDN/>
                    <w:bidi w:val="0"/>
                    <w:spacing w:line="240" w:lineRule="auto"/>
                    <w:ind w:firstLine="0" w:firstLineChars="0"/>
                    <w:jc w:val="center"/>
                    <w:textAlignment w:val="auto"/>
                    <w:rPr>
                      <w:rFonts w:hint="default" w:ascii="Times New Roman" w:hAnsi="Times New Roman" w:eastAsia="宋体" w:cs="Times New Roman"/>
                      <w:b w:val="0"/>
                      <w:bCs w:val="0"/>
                      <w:color w:val="auto"/>
                      <w:kern w:val="0"/>
                      <w:sz w:val="18"/>
                      <w:szCs w:val="18"/>
                      <w:lang w:val="en-US" w:eastAsia="zh-CN" w:bidi="ar"/>
                    </w:rPr>
                  </w:pPr>
                  <w:r>
                    <w:rPr>
                      <w:rFonts w:hint="eastAsia" w:ascii="Times New Roman" w:hAnsi="Times New Roman" w:eastAsia="宋体" w:cs="Times New Roman"/>
                      <w:b w:val="0"/>
                      <w:bCs w:val="0"/>
                      <w:color w:val="auto"/>
                      <w:kern w:val="0"/>
                      <w:sz w:val="18"/>
                      <w:szCs w:val="18"/>
                      <w:lang w:val="en-US" w:eastAsia="zh-CN" w:bidi="ar"/>
                    </w:rPr>
                    <w:t>1.2</w:t>
                  </w:r>
                </w:p>
              </w:tc>
              <w:tc>
                <w:tcPr>
                  <w:tcW w:w="657" w:type="pct"/>
                  <w:vMerge w:val="restart"/>
                  <w:tcBorders>
                    <w:tl2br w:val="nil"/>
                    <w:tr2bl w:val="nil"/>
                  </w:tcBorders>
                  <w:noWrap w:val="0"/>
                  <w:vAlign w:val="center"/>
                </w:tcPr>
                <w:p>
                  <w:pPr>
                    <w:keepNext w:val="0"/>
                    <w:keepLines w:val="0"/>
                    <w:pageBreakBefore w:val="0"/>
                    <w:kinsoku/>
                    <w:wordWrap/>
                    <w:overflowPunct/>
                    <w:topLinePunct/>
                    <w:autoSpaceDE/>
                    <w:autoSpaceDN/>
                    <w:bidi w:val="0"/>
                    <w:adjustRightInd w:val="0"/>
                    <w:snapToGrid w:val="0"/>
                    <w:ind w:firstLine="0" w:firstLineChars="0"/>
                    <w:jc w:val="center"/>
                    <w:textAlignment w:val="auto"/>
                    <w:rPr>
                      <w:rFonts w:hint="default" w:ascii="Times New Roman" w:hAnsi="Times New Roman" w:cs="Times New Roman"/>
                      <w:b w:val="0"/>
                      <w:bCs w:val="0"/>
                      <w:color w:val="auto"/>
                      <w:kern w:val="0"/>
                      <w:sz w:val="18"/>
                      <w:szCs w:val="18"/>
                    </w:rPr>
                  </w:pPr>
                  <w:r>
                    <w:rPr>
                      <w:rFonts w:hint="eastAsia"/>
                      <w:color w:val="auto"/>
                      <w:sz w:val="18"/>
                      <w:szCs w:val="18"/>
                      <w:lang w:val="en-US" w:eastAsia="zh-CN"/>
                    </w:rPr>
                    <w:t>不超过一年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567" w:hRule="atLeast"/>
              </w:trPr>
              <w:tc>
                <w:tcPr>
                  <w:tcW w:w="312" w:type="pct"/>
                  <w:tcBorders>
                    <w:tl2br w:val="nil"/>
                    <w:tr2bl w:val="nil"/>
                  </w:tcBorders>
                  <w:noWrap w:val="0"/>
                  <w:vAlign w:val="center"/>
                </w:tcPr>
                <w:p>
                  <w:pPr>
                    <w:keepNext w:val="0"/>
                    <w:keepLines w:val="0"/>
                    <w:pageBreakBefore w:val="0"/>
                    <w:widowControl/>
                    <w:kinsoku/>
                    <w:wordWrap/>
                    <w:overflowPunct/>
                    <w:autoSpaceDE/>
                    <w:autoSpaceDN/>
                    <w:bidi w:val="0"/>
                    <w:spacing w:line="240" w:lineRule="auto"/>
                    <w:ind w:firstLine="0" w:firstLineChars="0"/>
                    <w:jc w:val="center"/>
                    <w:textAlignment w:val="auto"/>
                    <w:rPr>
                      <w:rFonts w:hint="default" w:ascii="Times New Roman" w:hAnsi="Times New Roman" w:eastAsia="宋体" w:cs="Times New Roman"/>
                      <w:b w:val="0"/>
                      <w:bCs w:val="0"/>
                      <w:color w:val="auto"/>
                      <w:kern w:val="0"/>
                      <w:sz w:val="18"/>
                      <w:szCs w:val="18"/>
                      <w:lang w:bidi="ar"/>
                    </w:rPr>
                  </w:pPr>
                  <w:r>
                    <w:rPr>
                      <w:rFonts w:hint="default" w:ascii="Times New Roman" w:hAnsi="Times New Roman" w:eastAsia="宋体" w:cs="Times New Roman"/>
                      <w:b w:val="0"/>
                      <w:bCs w:val="0"/>
                      <w:color w:val="auto"/>
                      <w:kern w:val="0"/>
                      <w:sz w:val="18"/>
                      <w:szCs w:val="18"/>
                      <w:lang w:bidi="ar"/>
                    </w:rPr>
                    <w:t>2</w:t>
                  </w:r>
                </w:p>
              </w:tc>
              <w:tc>
                <w:tcPr>
                  <w:tcW w:w="691" w:type="pct"/>
                  <w:tcBorders>
                    <w:tl2br w:val="nil"/>
                    <w:tr2bl w:val="nil"/>
                  </w:tcBorders>
                  <w:noWrap w:val="0"/>
                  <w:vAlign w:val="center"/>
                </w:tcPr>
                <w:p>
                  <w:pPr>
                    <w:keepNext w:val="0"/>
                    <w:keepLines w:val="0"/>
                    <w:pageBreakBefore w:val="0"/>
                    <w:widowControl/>
                    <w:kinsoku/>
                    <w:wordWrap/>
                    <w:overflowPunct/>
                    <w:autoSpaceDE/>
                    <w:autoSpaceDN/>
                    <w:bidi w:val="0"/>
                    <w:spacing w:line="240" w:lineRule="auto"/>
                    <w:ind w:firstLine="0" w:firstLineChars="0"/>
                    <w:jc w:val="center"/>
                    <w:textAlignment w:val="auto"/>
                    <w:rPr>
                      <w:rFonts w:hint="default" w:ascii="Times New Roman" w:hAnsi="Times New Roman" w:eastAsia="宋体" w:cs="Times New Roman"/>
                      <w:b w:val="0"/>
                      <w:bCs w:val="0"/>
                      <w:color w:val="auto"/>
                      <w:kern w:val="0"/>
                      <w:sz w:val="18"/>
                      <w:szCs w:val="18"/>
                      <w:lang w:bidi="ar"/>
                    </w:rPr>
                  </w:pPr>
                  <w:r>
                    <w:rPr>
                      <w:rFonts w:hint="default" w:ascii="Times New Roman" w:hAnsi="Times New Roman" w:eastAsia="宋体" w:cs="Times New Roman"/>
                      <w:b w:val="0"/>
                      <w:bCs w:val="0"/>
                      <w:color w:val="auto"/>
                      <w:kern w:val="0"/>
                      <w:sz w:val="18"/>
                      <w:szCs w:val="18"/>
                      <w:lang w:val="en-US" w:eastAsia="zh-CN" w:bidi="ar"/>
                    </w:rPr>
                    <w:t>废滤芯</w:t>
                  </w:r>
                </w:p>
              </w:tc>
              <w:tc>
                <w:tcPr>
                  <w:tcW w:w="684" w:type="pct"/>
                  <w:tcBorders>
                    <w:tl2br w:val="nil"/>
                    <w:tr2bl w:val="nil"/>
                  </w:tcBorders>
                  <w:noWrap w:val="0"/>
                  <w:vAlign w:val="center"/>
                </w:tcPr>
                <w:p>
                  <w:pPr>
                    <w:keepNext w:val="0"/>
                    <w:keepLines w:val="0"/>
                    <w:pageBreakBefore w:val="0"/>
                    <w:widowControl/>
                    <w:kinsoku/>
                    <w:wordWrap/>
                    <w:overflowPunct/>
                    <w:autoSpaceDE/>
                    <w:autoSpaceDN/>
                    <w:bidi w:val="0"/>
                    <w:spacing w:line="240" w:lineRule="auto"/>
                    <w:ind w:firstLine="0" w:firstLineChars="0"/>
                    <w:jc w:val="center"/>
                    <w:textAlignment w:val="auto"/>
                    <w:rPr>
                      <w:rFonts w:hint="default" w:ascii="Times New Roman" w:hAnsi="Times New Roman" w:eastAsia="宋体" w:cs="Times New Roman"/>
                      <w:b w:val="0"/>
                      <w:bCs w:val="0"/>
                      <w:color w:val="auto"/>
                      <w:kern w:val="0"/>
                      <w:sz w:val="18"/>
                      <w:szCs w:val="18"/>
                      <w:lang w:bidi="ar"/>
                    </w:rPr>
                  </w:pPr>
                  <w:r>
                    <w:rPr>
                      <w:rFonts w:hint="default" w:ascii="Times New Roman" w:hAnsi="Times New Roman" w:cs="Times New Roman"/>
                      <w:b w:val="0"/>
                      <w:bCs w:val="0"/>
                      <w:color w:val="auto"/>
                      <w:kern w:val="0"/>
                      <w:sz w:val="18"/>
                      <w:szCs w:val="18"/>
                      <w:lang w:val="en-US" w:eastAsia="zh-CN" w:bidi="ar"/>
                    </w:rPr>
                    <w:t>其他废物</w:t>
                  </w:r>
                </w:p>
              </w:tc>
              <w:tc>
                <w:tcPr>
                  <w:tcW w:w="722" w:type="pct"/>
                  <w:tcBorders>
                    <w:tl2br w:val="nil"/>
                    <w:tr2bl w:val="nil"/>
                  </w:tcBorders>
                  <w:noWrap w:val="0"/>
                  <w:vAlign w:val="center"/>
                </w:tcPr>
                <w:p>
                  <w:pPr>
                    <w:keepNext w:val="0"/>
                    <w:keepLines w:val="0"/>
                    <w:pageBreakBefore w:val="0"/>
                    <w:widowControl/>
                    <w:kinsoku/>
                    <w:wordWrap/>
                    <w:overflowPunct/>
                    <w:autoSpaceDE/>
                    <w:autoSpaceDN/>
                    <w:bidi w:val="0"/>
                    <w:spacing w:line="240" w:lineRule="auto"/>
                    <w:ind w:firstLine="0" w:firstLineChars="0"/>
                    <w:jc w:val="center"/>
                    <w:textAlignment w:val="auto"/>
                    <w:rPr>
                      <w:rFonts w:hint="default" w:ascii="Times New Roman" w:hAnsi="Times New Roman" w:cs="Times New Roman"/>
                      <w:b w:val="0"/>
                      <w:bCs w:val="0"/>
                      <w:color w:val="auto"/>
                      <w:kern w:val="0"/>
                      <w:sz w:val="18"/>
                      <w:szCs w:val="18"/>
                      <w:lang w:bidi="ar"/>
                    </w:rPr>
                  </w:pPr>
                  <w:r>
                    <w:rPr>
                      <w:rFonts w:hint="default" w:ascii="Times New Roman" w:hAnsi="Times New Roman" w:cs="Times New Roman"/>
                      <w:b w:val="0"/>
                      <w:bCs w:val="0"/>
                      <w:color w:val="auto"/>
                      <w:kern w:val="0"/>
                      <w:sz w:val="18"/>
                      <w:szCs w:val="18"/>
                      <w:lang w:bidi="ar"/>
                    </w:rPr>
                    <w:t>HW08</w:t>
                  </w:r>
                </w:p>
                <w:p>
                  <w:pPr>
                    <w:keepNext w:val="0"/>
                    <w:keepLines w:val="0"/>
                    <w:pageBreakBefore w:val="0"/>
                    <w:widowControl/>
                    <w:kinsoku/>
                    <w:wordWrap/>
                    <w:overflowPunct/>
                    <w:autoSpaceDE/>
                    <w:autoSpaceDN/>
                    <w:bidi w:val="0"/>
                    <w:spacing w:line="240" w:lineRule="auto"/>
                    <w:ind w:firstLine="0" w:firstLineChars="0"/>
                    <w:jc w:val="center"/>
                    <w:textAlignment w:val="auto"/>
                    <w:rPr>
                      <w:rFonts w:hint="default" w:ascii="Times New Roman" w:hAnsi="Times New Roman" w:eastAsia="宋体" w:cs="Times New Roman"/>
                      <w:b w:val="0"/>
                      <w:bCs w:val="0"/>
                      <w:color w:val="auto"/>
                      <w:kern w:val="0"/>
                      <w:sz w:val="18"/>
                      <w:szCs w:val="18"/>
                      <w:lang w:bidi="ar"/>
                    </w:rPr>
                  </w:pPr>
                  <w:r>
                    <w:rPr>
                      <w:rFonts w:hint="default" w:ascii="Times New Roman" w:hAnsi="Times New Roman" w:cs="Times New Roman"/>
                      <w:b w:val="0"/>
                      <w:bCs w:val="0"/>
                      <w:color w:val="auto"/>
                      <w:sz w:val="18"/>
                      <w:szCs w:val="18"/>
                    </w:rPr>
                    <w:t>900-</w:t>
                  </w:r>
                  <w:r>
                    <w:rPr>
                      <w:rFonts w:hint="default" w:ascii="Times New Roman" w:hAnsi="Times New Roman" w:cs="Times New Roman"/>
                      <w:b w:val="0"/>
                      <w:bCs w:val="0"/>
                      <w:color w:val="auto"/>
                      <w:sz w:val="18"/>
                      <w:szCs w:val="18"/>
                      <w:lang w:val="en-US" w:eastAsia="zh-CN"/>
                    </w:rPr>
                    <w:t>041</w:t>
                  </w:r>
                  <w:r>
                    <w:rPr>
                      <w:rFonts w:hint="default" w:ascii="Times New Roman" w:hAnsi="Times New Roman" w:cs="Times New Roman"/>
                      <w:b w:val="0"/>
                      <w:bCs w:val="0"/>
                      <w:color w:val="auto"/>
                      <w:sz w:val="18"/>
                      <w:szCs w:val="18"/>
                    </w:rPr>
                    <w:t>-</w:t>
                  </w:r>
                  <w:r>
                    <w:rPr>
                      <w:rFonts w:hint="default" w:ascii="Times New Roman" w:hAnsi="Times New Roman" w:cs="Times New Roman"/>
                      <w:b w:val="0"/>
                      <w:bCs w:val="0"/>
                      <w:color w:val="auto"/>
                      <w:sz w:val="18"/>
                      <w:szCs w:val="18"/>
                      <w:lang w:val="en-US" w:eastAsia="zh-CN"/>
                    </w:rPr>
                    <w:t>49</w:t>
                  </w:r>
                </w:p>
              </w:tc>
              <w:tc>
                <w:tcPr>
                  <w:tcW w:w="471" w:type="pct"/>
                  <w:tcBorders>
                    <w:tl2br w:val="nil"/>
                    <w:tr2bl w:val="nil"/>
                  </w:tcBorders>
                  <w:noWrap w:val="0"/>
                  <w:vAlign w:val="center"/>
                </w:tcPr>
                <w:p>
                  <w:pPr>
                    <w:keepNext w:val="0"/>
                    <w:keepLines w:val="0"/>
                    <w:pageBreakBefore w:val="0"/>
                    <w:widowControl/>
                    <w:kinsoku/>
                    <w:wordWrap/>
                    <w:overflowPunct/>
                    <w:autoSpaceDE/>
                    <w:autoSpaceDN/>
                    <w:bidi w:val="0"/>
                    <w:spacing w:line="240" w:lineRule="auto"/>
                    <w:ind w:firstLine="0" w:firstLineChars="0"/>
                    <w:jc w:val="center"/>
                    <w:textAlignment w:val="auto"/>
                    <w:rPr>
                      <w:rFonts w:hint="eastAsia" w:ascii="Times New Roman" w:hAnsi="Times New Roman" w:eastAsia="宋体" w:cs="Times New Roman"/>
                      <w:b w:val="0"/>
                      <w:bCs w:val="0"/>
                      <w:color w:val="auto"/>
                      <w:kern w:val="0"/>
                      <w:sz w:val="18"/>
                      <w:szCs w:val="18"/>
                      <w:lang w:val="en-US" w:eastAsia="zh-CN" w:bidi="ar"/>
                    </w:rPr>
                  </w:pPr>
                  <w:r>
                    <w:rPr>
                      <w:rFonts w:hint="eastAsia" w:ascii="Times New Roman" w:hAnsi="Times New Roman" w:eastAsia="宋体" w:cs="Times New Roman"/>
                      <w:b w:val="0"/>
                      <w:bCs w:val="0"/>
                      <w:color w:val="auto"/>
                      <w:kern w:val="0"/>
                      <w:sz w:val="18"/>
                      <w:szCs w:val="18"/>
                      <w:lang w:val="en-US" w:eastAsia="zh-CN" w:bidi="ar"/>
                    </w:rPr>
                    <w:t>5</w:t>
                  </w:r>
                </w:p>
              </w:tc>
              <w:tc>
                <w:tcPr>
                  <w:tcW w:w="914" w:type="pct"/>
                  <w:tcBorders>
                    <w:tl2br w:val="nil"/>
                    <w:tr2bl w:val="nil"/>
                  </w:tcBorders>
                  <w:noWrap w:val="0"/>
                  <w:vAlign w:val="center"/>
                </w:tcPr>
                <w:p>
                  <w:pPr>
                    <w:keepNext w:val="0"/>
                    <w:keepLines w:val="0"/>
                    <w:pageBreakBefore w:val="0"/>
                    <w:widowControl/>
                    <w:kinsoku/>
                    <w:wordWrap/>
                    <w:overflowPunct/>
                    <w:autoSpaceDE/>
                    <w:autoSpaceDN/>
                    <w:bidi w:val="0"/>
                    <w:spacing w:line="240" w:lineRule="auto"/>
                    <w:ind w:firstLine="0" w:firstLineChars="0"/>
                    <w:jc w:val="center"/>
                    <w:textAlignment w:val="auto"/>
                    <w:rPr>
                      <w:rFonts w:hint="default" w:ascii="Times New Roman" w:hAnsi="Times New Roman" w:eastAsia="宋体" w:cs="Times New Roman"/>
                      <w:b w:val="0"/>
                      <w:bCs w:val="0"/>
                      <w:color w:val="auto"/>
                      <w:kern w:val="0"/>
                      <w:sz w:val="18"/>
                      <w:szCs w:val="18"/>
                      <w:lang w:bidi="ar"/>
                    </w:rPr>
                  </w:pPr>
                  <w:r>
                    <w:rPr>
                      <w:rFonts w:hint="eastAsia"/>
                      <w:color w:val="auto"/>
                      <w:sz w:val="18"/>
                      <w:szCs w:val="18"/>
                    </w:rPr>
                    <w:t>加盖容器内存放</w:t>
                  </w:r>
                </w:p>
              </w:tc>
              <w:tc>
                <w:tcPr>
                  <w:tcW w:w="546" w:type="pct"/>
                  <w:tcBorders>
                    <w:tl2br w:val="nil"/>
                    <w:tr2bl w:val="nil"/>
                  </w:tcBorders>
                  <w:noWrap w:val="0"/>
                  <w:vAlign w:val="center"/>
                </w:tcPr>
                <w:p>
                  <w:pPr>
                    <w:keepNext w:val="0"/>
                    <w:keepLines w:val="0"/>
                    <w:pageBreakBefore w:val="0"/>
                    <w:widowControl/>
                    <w:kinsoku/>
                    <w:wordWrap/>
                    <w:overflowPunct/>
                    <w:autoSpaceDE/>
                    <w:autoSpaceDN/>
                    <w:bidi w:val="0"/>
                    <w:spacing w:line="240" w:lineRule="auto"/>
                    <w:ind w:firstLine="0" w:firstLineChars="0"/>
                    <w:jc w:val="center"/>
                    <w:textAlignment w:val="auto"/>
                    <w:rPr>
                      <w:rFonts w:hint="default" w:ascii="Times New Roman" w:hAnsi="Times New Roman" w:eastAsia="宋体" w:cs="Times New Roman"/>
                      <w:b w:val="0"/>
                      <w:bCs w:val="0"/>
                      <w:color w:val="auto"/>
                      <w:kern w:val="0"/>
                      <w:sz w:val="18"/>
                      <w:szCs w:val="18"/>
                      <w:lang w:val="en-US" w:eastAsia="zh-CN" w:bidi="ar"/>
                    </w:rPr>
                  </w:pPr>
                  <w:r>
                    <w:rPr>
                      <w:rFonts w:hint="eastAsia" w:ascii="Times New Roman" w:hAnsi="Times New Roman" w:eastAsia="宋体" w:cs="Times New Roman"/>
                      <w:b w:val="0"/>
                      <w:bCs w:val="0"/>
                      <w:color w:val="auto"/>
                      <w:kern w:val="0"/>
                      <w:sz w:val="18"/>
                      <w:szCs w:val="18"/>
                      <w:lang w:val="en-US" w:eastAsia="zh-CN" w:bidi="ar"/>
                    </w:rPr>
                    <w:t>0.5</w:t>
                  </w:r>
                </w:p>
              </w:tc>
              <w:tc>
                <w:tcPr>
                  <w:tcW w:w="657" w:type="pct"/>
                  <w:vMerge w:val="continue"/>
                  <w:tcBorders>
                    <w:tl2br w:val="nil"/>
                    <w:tr2bl w:val="nil"/>
                  </w:tcBorders>
                  <w:noWrap w:val="0"/>
                  <w:vAlign w:val="center"/>
                </w:tcPr>
                <w:p>
                  <w:pPr>
                    <w:keepNext w:val="0"/>
                    <w:keepLines w:val="0"/>
                    <w:pageBreakBefore w:val="0"/>
                    <w:kinsoku/>
                    <w:wordWrap/>
                    <w:overflowPunct/>
                    <w:topLinePunct/>
                    <w:autoSpaceDE/>
                    <w:autoSpaceDN/>
                    <w:bidi w:val="0"/>
                    <w:adjustRightInd w:val="0"/>
                    <w:snapToGrid w:val="0"/>
                    <w:ind w:firstLine="0" w:firstLineChars="0"/>
                    <w:jc w:val="center"/>
                    <w:textAlignment w:val="auto"/>
                    <w:rPr>
                      <w:rFonts w:hint="default" w:ascii="Times New Roman" w:hAnsi="Times New Roman" w:cs="Times New Roman"/>
                      <w:b w:val="0"/>
                      <w:bCs w:val="0"/>
                      <w:color w:val="auto"/>
                      <w:kern w:val="0"/>
                      <w:sz w:val="18"/>
                      <w:szCs w:val="18"/>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312" w:type="pct"/>
                  <w:tcBorders>
                    <w:tl2br w:val="nil"/>
                    <w:tr2bl w:val="nil"/>
                  </w:tcBorders>
                  <w:noWrap w:val="0"/>
                  <w:vAlign w:val="center"/>
                </w:tcPr>
                <w:p>
                  <w:pPr>
                    <w:keepNext w:val="0"/>
                    <w:keepLines w:val="0"/>
                    <w:pageBreakBefore w:val="0"/>
                    <w:widowControl/>
                    <w:kinsoku/>
                    <w:wordWrap/>
                    <w:overflowPunct/>
                    <w:autoSpaceDE/>
                    <w:autoSpaceDN/>
                    <w:bidi w:val="0"/>
                    <w:spacing w:line="240" w:lineRule="auto"/>
                    <w:ind w:firstLine="0" w:firstLineChars="0"/>
                    <w:jc w:val="center"/>
                    <w:textAlignment w:val="auto"/>
                    <w:rPr>
                      <w:rFonts w:hint="eastAsia" w:ascii="Times New Roman" w:hAnsi="Times New Roman" w:eastAsia="宋体" w:cs="Times New Roman"/>
                      <w:b w:val="0"/>
                      <w:bCs w:val="0"/>
                      <w:color w:val="auto"/>
                      <w:kern w:val="0"/>
                      <w:sz w:val="18"/>
                      <w:szCs w:val="18"/>
                      <w:lang w:eastAsia="zh-CN" w:bidi="ar"/>
                    </w:rPr>
                  </w:pPr>
                  <w:r>
                    <w:rPr>
                      <w:rFonts w:hint="eastAsia" w:ascii="Times New Roman" w:hAnsi="Times New Roman" w:eastAsia="宋体" w:cs="Times New Roman"/>
                      <w:b w:val="0"/>
                      <w:bCs w:val="0"/>
                      <w:color w:val="auto"/>
                      <w:kern w:val="0"/>
                      <w:sz w:val="18"/>
                      <w:szCs w:val="18"/>
                      <w:lang w:val="en-US" w:eastAsia="zh-CN" w:bidi="ar"/>
                    </w:rPr>
                    <w:t>3</w:t>
                  </w:r>
                </w:p>
              </w:tc>
              <w:tc>
                <w:tcPr>
                  <w:tcW w:w="691" w:type="pct"/>
                  <w:tcBorders>
                    <w:tl2br w:val="nil"/>
                    <w:tr2bl w:val="nil"/>
                  </w:tcBorders>
                  <w:noWrap w:val="0"/>
                  <w:vAlign w:val="center"/>
                </w:tcPr>
                <w:p>
                  <w:pPr>
                    <w:keepNext w:val="0"/>
                    <w:keepLines w:val="0"/>
                    <w:pageBreakBefore w:val="0"/>
                    <w:widowControl/>
                    <w:kinsoku/>
                    <w:wordWrap/>
                    <w:overflowPunct/>
                    <w:autoSpaceDE/>
                    <w:autoSpaceDN/>
                    <w:bidi w:val="0"/>
                    <w:spacing w:line="240" w:lineRule="auto"/>
                    <w:ind w:firstLine="0" w:firstLineChars="0"/>
                    <w:jc w:val="center"/>
                    <w:textAlignment w:val="auto"/>
                    <w:rPr>
                      <w:rFonts w:hint="default" w:ascii="Times New Roman" w:hAnsi="Times New Roman" w:eastAsia="宋体" w:cs="Times New Roman"/>
                      <w:b w:val="0"/>
                      <w:bCs w:val="0"/>
                      <w:color w:val="auto"/>
                      <w:kern w:val="0"/>
                      <w:sz w:val="18"/>
                      <w:szCs w:val="18"/>
                      <w:lang w:bidi="ar"/>
                    </w:rPr>
                  </w:pPr>
                  <w:r>
                    <w:rPr>
                      <w:rFonts w:hint="default" w:ascii="Times New Roman" w:hAnsi="Times New Roman" w:eastAsia="宋体" w:cs="Times New Roman"/>
                      <w:b w:val="0"/>
                      <w:bCs w:val="0"/>
                      <w:color w:val="auto"/>
                      <w:kern w:val="0"/>
                      <w:sz w:val="18"/>
                      <w:szCs w:val="18"/>
                      <w:lang w:val="en-US" w:eastAsia="zh-CN" w:bidi="ar"/>
                    </w:rPr>
                    <w:t>废蓄电池</w:t>
                  </w:r>
                </w:p>
              </w:tc>
              <w:tc>
                <w:tcPr>
                  <w:tcW w:w="684" w:type="pct"/>
                  <w:tcBorders>
                    <w:tl2br w:val="nil"/>
                    <w:tr2bl w:val="nil"/>
                  </w:tcBorders>
                  <w:noWrap w:val="0"/>
                  <w:vAlign w:val="center"/>
                </w:tcPr>
                <w:p>
                  <w:pPr>
                    <w:keepNext w:val="0"/>
                    <w:keepLines w:val="0"/>
                    <w:pageBreakBefore w:val="0"/>
                    <w:widowControl/>
                    <w:kinsoku/>
                    <w:wordWrap/>
                    <w:overflowPunct/>
                    <w:autoSpaceDE/>
                    <w:autoSpaceDN/>
                    <w:bidi w:val="0"/>
                    <w:spacing w:line="240" w:lineRule="auto"/>
                    <w:ind w:firstLine="0" w:firstLineChars="0"/>
                    <w:jc w:val="center"/>
                    <w:textAlignment w:val="auto"/>
                    <w:rPr>
                      <w:rFonts w:hint="default" w:ascii="Times New Roman" w:hAnsi="Times New Roman" w:eastAsia="宋体" w:cs="Times New Roman"/>
                      <w:b w:val="0"/>
                      <w:bCs w:val="0"/>
                      <w:color w:val="auto"/>
                      <w:kern w:val="0"/>
                      <w:sz w:val="18"/>
                      <w:szCs w:val="18"/>
                      <w:lang w:bidi="ar"/>
                    </w:rPr>
                  </w:pPr>
                  <w:r>
                    <w:rPr>
                      <w:rFonts w:hint="default" w:ascii="Times New Roman" w:hAnsi="Times New Roman" w:cs="Times New Roman"/>
                      <w:b w:val="0"/>
                      <w:bCs w:val="0"/>
                      <w:color w:val="auto"/>
                      <w:kern w:val="0"/>
                      <w:sz w:val="18"/>
                      <w:szCs w:val="18"/>
                      <w:lang w:val="en-US" w:eastAsia="zh-CN" w:bidi="ar"/>
                    </w:rPr>
                    <w:t>含铅废物</w:t>
                  </w:r>
                </w:p>
              </w:tc>
              <w:tc>
                <w:tcPr>
                  <w:tcW w:w="722" w:type="pct"/>
                  <w:tcBorders>
                    <w:tl2br w:val="nil"/>
                    <w:tr2bl w:val="nil"/>
                  </w:tcBorders>
                  <w:noWrap w:val="0"/>
                  <w:vAlign w:val="center"/>
                </w:tcPr>
                <w:p>
                  <w:pPr>
                    <w:keepNext w:val="0"/>
                    <w:keepLines w:val="0"/>
                    <w:pageBreakBefore w:val="0"/>
                    <w:widowControl/>
                    <w:kinsoku/>
                    <w:wordWrap/>
                    <w:overflowPunct/>
                    <w:autoSpaceDE/>
                    <w:autoSpaceDN/>
                    <w:bidi w:val="0"/>
                    <w:spacing w:line="240" w:lineRule="auto"/>
                    <w:ind w:firstLine="0" w:firstLineChars="0"/>
                    <w:jc w:val="center"/>
                    <w:textAlignment w:val="auto"/>
                    <w:rPr>
                      <w:rFonts w:hint="default" w:ascii="Times New Roman" w:hAnsi="Times New Roman" w:cs="Times New Roman"/>
                      <w:b w:val="0"/>
                      <w:bCs w:val="0"/>
                      <w:color w:val="auto"/>
                      <w:kern w:val="0"/>
                      <w:sz w:val="18"/>
                      <w:szCs w:val="18"/>
                      <w:lang w:val="en-US" w:eastAsia="zh-CN" w:bidi="ar"/>
                    </w:rPr>
                  </w:pPr>
                  <w:r>
                    <w:rPr>
                      <w:rFonts w:hint="default" w:ascii="Times New Roman" w:hAnsi="Times New Roman" w:cs="Times New Roman"/>
                      <w:b w:val="0"/>
                      <w:bCs w:val="0"/>
                      <w:color w:val="auto"/>
                      <w:kern w:val="0"/>
                      <w:sz w:val="18"/>
                      <w:szCs w:val="18"/>
                      <w:lang w:bidi="ar"/>
                    </w:rPr>
                    <w:t>HW</w:t>
                  </w:r>
                  <w:r>
                    <w:rPr>
                      <w:rFonts w:hint="default" w:ascii="Times New Roman" w:hAnsi="Times New Roman" w:cs="Times New Roman"/>
                      <w:b w:val="0"/>
                      <w:bCs w:val="0"/>
                      <w:color w:val="auto"/>
                      <w:kern w:val="0"/>
                      <w:sz w:val="18"/>
                      <w:szCs w:val="18"/>
                      <w:lang w:val="en-US" w:eastAsia="zh-CN" w:bidi="ar"/>
                    </w:rPr>
                    <w:t>31</w:t>
                  </w:r>
                </w:p>
                <w:p>
                  <w:pPr>
                    <w:keepNext w:val="0"/>
                    <w:keepLines w:val="0"/>
                    <w:pageBreakBefore w:val="0"/>
                    <w:widowControl/>
                    <w:kinsoku/>
                    <w:wordWrap/>
                    <w:overflowPunct/>
                    <w:autoSpaceDE/>
                    <w:autoSpaceDN/>
                    <w:bidi w:val="0"/>
                    <w:spacing w:line="240" w:lineRule="auto"/>
                    <w:ind w:firstLine="0" w:firstLineChars="0"/>
                    <w:jc w:val="center"/>
                    <w:textAlignment w:val="auto"/>
                    <w:rPr>
                      <w:rFonts w:hint="default" w:ascii="Times New Roman" w:hAnsi="Times New Roman" w:eastAsia="宋体" w:cs="Times New Roman"/>
                      <w:b w:val="0"/>
                      <w:bCs w:val="0"/>
                      <w:color w:val="auto"/>
                      <w:kern w:val="0"/>
                      <w:sz w:val="18"/>
                      <w:szCs w:val="18"/>
                      <w:lang w:bidi="ar"/>
                    </w:rPr>
                  </w:pPr>
                  <w:r>
                    <w:rPr>
                      <w:rFonts w:hint="default" w:ascii="Times New Roman" w:hAnsi="Times New Roman" w:cs="Times New Roman"/>
                      <w:b w:val="0"/>
                      <w:bCs w:val="0"/>
                      <w:color w:val="auto"/>
                      <w:sz w:val="18"/>
                      <w:szCs w:val="18"/>
                    </w:rPr>
                    <w:t>900-052-31</w:t>
                  </w:r>
                </w:p>
              </w:tc>
              <w:tc>
                <w:tcPr>
                  <w:tcW w:w="471" w:type="pct"/>
                  <w:tcBorders>
                    <w:tl2br w:val="nil"/>
                    <w:tr2bl w:val="nil"/>
                  </w:tcBorders>
                  <w:noWrap w:val="0"/>
                  <w:vAlign w:val="center"/>
                </w:tcPr>
                <w:p>
                  <w:pPr>
                    <w:keepNext w:val="0"/>
                    <w:keepLines w:val="0"/>
                    <w:pageBreakBefore w:val="0"/>
                    <w:widowControl/>
                    <w:kinsoku/>
                    <w:wordWrap/>
                    <w:overflowPunct/>
                    <w:autoSpaceDE/>
                    <w:autoSpaceDN/>
                    <w:bidi w:val="0"/>
                    <w:spacing w:line="240" w:lineRule="auto"/>
                    <w:ind w:firstLine="0" w:firstLineChars="0"/>
                    <w:jc w:val="center"/>
                    <w:textAlignment w:val="auto"/>
                    <w:rPr>
                      <w:rFonts w:hint="eastAsia" w:ascii="Times New Roman" w:hAnsi="Times New Roman" w:eastAsia="宋体" w:cs="Times New Roman"/>
                      <w:b w:val="0"/>
                      <w:bCs w:val="0"/>
                      <w:color w:val="auto"/>
                      <w:kern w:val="0"/>
                      <w:sz w:val="18"/>
                      <w:szCs w:val="18"/>
                      <w:lang w:val="en-US" w:eastAsia="zh-CN" w:bidi="ar"/>
                    </w:rPr>
                  </w:pPr>
                  <w:r>
                    <w:rPr>
                      <w:rFonts w:hint="eastAsia" w:ascii="Times New Roman" w:hAnsi="Times New Roman" w:eastAsia="宋体" w:cs="Times New Roman"/>
                      <w:b w:val="0"/>
                      <w:bCs w:val="0"/>
                      <w:color w:val="auto"/>
                      <w:kern w:val="0"/>
                      <w:sz w:val="18"/>
                      <w:szCs w:val="18"/>
                      <w:lang w:val="en-US" w:eastAsia="zh-CN" w:bidi="ar"/>
                    </w:rPr>
                    <w:t>5</w:t>
                  </w:r>
                </w:p>
              </w:tc>
              <w:tc>
                <w:tcPr>
                  <w:tcW w:w="914" w:type="pct"/>
                  <w:tcBorders>
                    <w:tl2br w:val="nil"/>
                    <w:tr2bl w:val="nil"/>
                  </w:tcBorders>
                  <w:noWrap w:val="0"/>
                  <w:vAlign w:val="center"/>
                </w:tcPr>
                <w:p>
                  <w:pPr>
                    <w:keepNext w:val="0"/>
                    <w:keepLines w:val="0"/>
                    <w:pageBreakBefore w:val="0"/>
                    <w:widowControl/>
                    <w:kinsoku/>
                    <w:wordWrap/>
                    <w:overflowPunct/>
                    <w:autoSpaceDE/>
                    <w:autoSpaceDN/>
                    <w:bidi w:val="0"/>
                    <w:spacing w:line="240" w:lineRule="auto"/>
                    <w:ind w:firstLine="0" w:firstLineChars="0"/>
                    <w:jc w:val="center"/>
                    <w:textAlignment w:val="auto"/>
                    <w:rPr>
                      <w:rFonts w:hint="default" w:ascii="Times New Roman" w:hAnsi="Times New Roman" w:eastAsia="宋体" w:cs="Times New Roman"/>
                      <w:b w:val="0"/>
                      <w:bCs w:val="0"/>
                      <w:color w:val="auto"/>
                      <w:kern w:val="0"/>
                      <w:sz w:val="18"/>
                      <w:szCs w:val="18"/>
                      <w:lang w:bidi="ar"/>
                    </w:rPr>
                  </w:pPr>
                  <w:r>
                    <w:rPr>
                      <w:rFonts w:hint="eastAsia"/>
                      <w:color w:val="auto"/>
                      <w:sz w:val="18"/>
                      <w:szCs w:val="18"/>
                    </w:rPr>
                    <w:t>完整废电池均整齐有序的放在耐酸地面上，并做好标识，破损废电池在独立加盖耐酸的容器内单独存放</w:t>
                  </w:r>
                </w:p>
              </w:tc>
              <w:tc>
                <w:tcPr>
                  <w:tcW w:w="546" w:type="pct"/>
                  <w:tcBorders>
                    <w:tl2br w:val="nil"/>
                    <w:tr2bl w:val="nil"/>
                  </w:tcBorders>
                  <w:noWrap w:val="0"/>
                  <w:vAlign w:val="center"/>
                </w:tcPr>
                <w:p>
                  <w:pPr>
                    <w:keepNext w:val="0"/>
                    <w:keepLines w:val="0"/>
                    <w:pageBreakBefore w:val="0"/>
                    <w:widowControl/>
                    <w:kinsoku/>
                    <w:wordWrap/>
                    <w:overflowPunct/>
                    <w:autoSpaceDE/>
                    <w:autoSpaceDN/>
                    <w:bidi w:val="0"/>
                    <w:spacing w:line="240" w:lineRule="auto"/>
                    <w:ind w:firstLine="0" w:firstLineChars="0"/>
                    <w:jc w:val="center"/>
                    <w:textAlignment w:val="auto"/>
                    <w:rPr>
                      <w:rFonts w:hint="eastAsia" w:ascii="Times New Roman" w:hAnsi="Times New Roman" w:eastAsia="宋体" w:cs="Times New Roman"/>
                      <w:b w:val="0"/>
                      <w:bCs w:val="0"/>
                      <w:color w:val="auto"/>
                      <w:kern w:val="0"/>
                      <w:sz w:val="18"/>
                      <w:szCs w:val="18"/>
                      <w:lang w:val="en-US" w:eastAsia="zh-CN" w:bidi="ar"/>
                    </w:rPr>
                  </w:pPr>
                  <w:r>
                    <w:rPr>
                      <w:rFonts w:hint="eastAsia" w:ascii="Times New Roman" w:hAnsi="Times New Roman" w:eastAsia="宋体" w:cs="Times New Roman"/>
                      <w:b w:val="0"/>
                      <w:bCs w:val="0"/>
                      <w:color w:val="auto"/>
                      <w:kern w:val="0"/>
                      <w:sz w:val="18"/>
                      <w:szCs w:val="18"/>
                      <w:lang w:val="en-US" w:eastAsia="zh-CN" w:bidi="ar"/>
                    </w:rPr>
                    <w:t>2</w:t>
                  </w:r>
                </w:p>
              </w:tc>
              <w:tc>
                <w:tcPr>
                  <w:tcW w:w="657" w:type="pct"/>
                  <w:tcBorders>
                    <w:tl2br w:val="nil"/>
                    <w:tr2bl w:val="nil"/>
                  </w:tcBorders>
                  <w:noWrap w:val="0"/>
                  <w:vAlign w:val="center"/>
                </w:tcPr>
                <w:p>
                  <w:pPr>
                    <w:keepNext w:val="0"/>
                    <w:keepLines w:val="0"/>
                    <w:pageBreakBefore w:val="0"/>
                    <w:kinsoku/>
                    <w:wordWrap/>
                    <w:overflowPunct/>
                    <w:topLinePunct/>
                    <w:autoSpaceDE/>
                    <w:autoSpaceDN/>
                    <w:bidi w:val="0"/>
                    <w:adjustRightInd w:val="0"/>
                    <w:snapToGrid w:val="0"/>
                    <w:ind w:firstLine="0" w:firstLineChars="0"/>
                    <w:jc w:val="center"/>
                    <w:textAlignment w:val="auto"/>
                    <w:rPr>
                      <w:rFonts w:hint="default" w:ascii="Times New Roman" w:hAnsi="Times New Roman" w:cs="Times New Roman"/>
                      <w:b w:val="0"/>
                      <w:bCs w:val="0"/>
                      <w:color w:val="auto"/>
                      <w:kern w:val="0"/>
                      <w:sz w:val="18"/>
                      <w:szCs w:val="18"/>
                    </w:rPr>
                  </w:pPr>
                  <w:r>
                    <w:rPr>
                      <w:rFonts w:hint="eastAsia"/>
                      <w:color w:val="auto"/>
                      <w:sz w:val="18"/>
                      <w:szCs w:val="18"/>
                      <w:lang w:val="en-US" w:eastAsia="zh-CN"/>
                    </w:rPr>
                    <w:t>不超过90天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567" w:hRule="atLeast"/>
              </w:trPr>
              <w:tc>
                <w:tcPr>
                  <w:tcW w:w="5000" w:type="pct"/>
                  <w:gridSpan w:val="8"/>
                  <w:tcBorders>
                    <w:tl2br w:val="nil"/>
                    <w:tr2bl w:val="nil"/>
                  </w:tcBorders>
                  <w:noWrap w:val="0"/>
                  <w:vAlign w:val="center"/>
                </w:tcPr>
                <w:p>
                  <w:pPr>
                    <w:keepNext w:val="0"/>
                    <w:keepLines w:val="0"/>
                    <w:pageBreakBefore w:val="0"/>
                    <w:kinsoku/>
                    <w:wordWrap/>
                    <w:overflowPunct/>
                    <w:topLinePunct/>
                    <w:autoSpaceDE/>
                    <w:autoSpaceDN/>
                    <w:bidi w:val="0"/>
                    <w:adjustRightInd w:val="0"/>
                    <w:snapToGrid w:val="0"/>
                    <w:ind w:firstLine="0" w:firstLineChars="0"/>
                    <w:jc w:val="center"/>
                    <w:textAlignment w:val="auto"/>
                    <w:rPr>
                      <w:rFonts w:hint="default" w:ascii="Times New Roman" w:hAnsi="Times New Roman" w:cs="Times New Roman"/>
                      <w:b w:val="0"/>
                      <w:bCs w:val="0"/>
                      <w:color w:val="auto"/>
                      <w:kern w:val="0"/>
                      <w:sz w:val="18"/>
                      <w:szCs w:val="18"/>
                    </w:rPr>
                  </w:pPr>
                  <w:r>
                    <w:rPr>
                      <w:rFonts w:hint="eastAsia"/>
                      <w:color w:val="auto"/>
                      <w:sz w:val="18"/>
                      <w:szCs w:val="18"/>
                      <w:lang w:val="en-US" w:eastAsia="zh-CN"/>
                    </w:rPr>
                    <w:t>本项目危废暂存间</w:t>
                  </w:r>
                  <w:r>
                    <w:rPr>
                      <w:rFonts w:hint="eastAsia" w:ascii="Times New Roman" w:hAnsi="Times New Roman"/>
                      <w:color w:val="auto"/>
                      <w:sz w:val="18"/>
                      <w:szCs w:val="18"/>
                    </w:rPr>
                    <w:t>占地面积15m</w:t>
                  </w:r>
                  <w:r>
                    <w:rPr>
                      <w:rFonts w:hint="eastAsia" w:ascii="Times New Roman" w:hAnsi="Times New Roman"/>
                      <w:color w:val="auto"/>
                      <w:sz w:val="18"/>
                      <w:szCs w:val="18"/>
                      <w:vertAlign w:val="superscript"/>
                    </w:rPr>
                    <w:t>2</w:t>
                  </w:r>
                  <w:r>
                    <w:rPr>
                      <w:rFonts w:hint="eastAsia" w:ascii="Times New Roman" w:hAnsi="Times New Roman"/>
                      <w:color w:val="auto"/>
                      <w:sz w:val="18"/>
                      <w:szCs w:val="18"/>
                    </w:rPr>
                    <w:t>，分为单独的3</w:t>
                  </w:r>
                  <w:r>
                    <w:rPr>
                      <w:rFonts w:hint="eastAsia" w:ascii="Times New Roman" w:hAnsi="Times New Roman"/>
                      <w:color w:val="auto"/>
                      <w:sz w:val="18"/>
                      <w:szCs w:val="18"/>
                      <w:lang w:val="en-US" w:eastAsia="zh-CN"/>
                    </w:rPr>
                    <w:t>个</w:t>
                  </w:r>
                  <w:r>
                    <w:rPr>
                      <w:rFonts w:hint="eastAsia" w:ascii="Times New Roman" w:hAnsi="Times New Roman"/>
                      <w:color w:val="auto"/>
                      <w:sz w:val="18"/>
                      <w:szCs w:val="18"/>
                    </w:rPr>
                    <w:t>区，每个区占地面积约5m</w:t>
                  </w:r>
                  <w:r>
                    <w:rPr>
                      <w:rFonts w:hint="eastAsia" w:ascii="Times New Roman" w:hAnsi="Times New Roman"/>
                      <w:color w:val="auto"/>
                      <w:sz w:val="18"/>
                      <w:szCs w:val="18"/>
                      <w:vertAlign w:val="superscript"/>
                    </w:rPr>
                    <w:t>2</w:t>
                  </w:r>
                  <w:r>
                    <w:rPr>
                      <w:rFonts w:hint="eastAsia" w:ascii="Times New Roman" w:hAnsi="Times New Roman"/>
                      <w:color w:val="auto"/>
                      <w:sz w:val="18"/>
                      <w:szCs w:val="18"/>
                    </w:rPr>
                    <w:t>，分别贮存废机油、废滤芯和废蓄电池</w:t>
                  </w:r>
                </w:p>
              </w:tc>
            </w:tr>
          </w:tbl>
          <w:p>
            <w:pPr>
              <w:spacing w:line="520" w:lineRule="exact"/>
              <w:ind w:firstLine="480" w:firstLineChars="200"/>
              <w:rPr>
                <w:color w:val="auto"/>
                <w:sz w:val="24"/>
              </w:rPr>
            </w:pPr>
            <w:r>
              <w:rPr>
                <w:rFonts w:hint="eastAsia"/>
                <w:color w:val="auto"/>
                <w:sz w:val="24"/>
              </w:rPr>
              <w:t>本项目</w:t>
            </w:r>
            <w:r>
              <w:rPr>
                <w:rFonts w:hint="eastAsia"/>
                <w:color w:val="auto"/>
                <w:sz w:val="24"/>
                <w:lang w:val="en-US" w:eastAsia="zh-CN"/>
              </w:rPr>
              <w:t>涉及</w:t>
            </w:r>
            <w:r>
              <w:rPr>
                <w:rFonts w:hint="eastAsia"/>
                <w:color w:val="auto"/>
                <w:sz w:val="24"/>
              </w:rPr>
              <w:t>危险废物理化性质及危险特性见下表。</w:t>
            </w:r>
          </w:p>
          <w:p>
            <w:pPr>
              <w:jc w:val="center"/>
              <w:rPr>
                <w:b/>
                <w:bCs/>
                <w:color w:val="auto"/>
                <w:spacing w:val="6"/>
                <w:szCs w:val="21"/>
              </w:rPr>
            </w:pPr>
            <w:r>
              <w:rPr>
                <w:rFonts w:eastAsia="黑体"/>
                <w:color w:val="auto"/>
                <w:spacing w:val="6"/>
                <w:sz w:val="24"/>
              </w:rPr>
              <w:t>表</w:t>
            </w:r>
            <w:r>
              <w:rPr>
                <w:rFonts w:hint="eastAsia" w:eastAsia="黑体"/>
                <w:color w:val="auto"/>
                <w:spacing w:val="6"/>
                <w:sz w:val="24"/>
              </w:rPr>
              <w:t>2-</w:t>
            </w:r>
            <w:r>
              <w:rPr>
                <w:rFonts w:hint="eastAsia" w:eastAsia="黑体"/>
                <w:color w:val="auto"/>
                <w:spacing w:val="6"/>
                <w:sz w:val="24"/>
                <w:lang w:val="en-US" w:eastAsia="zh-CN"/>
              </w:rPr>
              <w:t>3</w:t>
            </w:r>
            <w:r>
              <w:rPr>
                <w:rFonts w:eastAsia="黑体"/>
                <w:color w:val="auto"/>
                <w:spacing w:val="6"/>
                <w:sz w:val="24"/>
              </w:rPr>
              <w:t xml:space="preserve"> </w:t>
            </w:r>
            <w:r>
              <w:rPr>
                <w:rFonts w:hint="eastAsia" w:eastAsia="黑体"/>
                <w:color w:val="auto"/>
                <w:spacing w:val="6"/>
                <w:sz w:val="24"/>
              </w:rPr>
              <w:t xml:space="preserve">  </w:t>
            </w:r>
            <w:r>
              <w:rPr>
                <w:rFonts w:eastAsia="黑体"/>
                <w:color w:val="auto"/>
                <w:spacing w:val="6"/>
                <w:sz w:val="24"/>
              </w:rPr>
              <w:t xml:space="preserve"> </w:t>
            </w:r>
            <w:r>
              <w:rPr>
                <w:rFonts w:hint="eastAsia" w:eastAsia="黑体"/>
                <w:color w:val="auto"/>
                <w:spacing w:val="6"/>
                <w:sz w:val="24"/>
              </w:rPr>
              <w:t>废机</w:t>
            </w:r>
            <w:r>
              <w:rPr>
                <w:rFonts w:eastAsia="黑体"/>
                <w:color w:val="auto"/>
                <w:spacing w:val="6"/>
                <w:sz w:val="24"/>
              </w:rPr>
              <w:t>油的理化性质和危险特性</w:t>
            </w:r>
          </w:p>
          <w:tbl>
            <w:tblPr>
              <w:tblStyle w:val="31"/>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Layout w:type="fixed"/>
              <w:tblCellMar>
                <w:top w:w="0" w:type="dxa"/>
                <w:left w:w="108" w:type="dxa"/>
                <w:bottom w:w="0" w:type="dxa"/>
                <w:right w:w="108" w:type="dxa"/>
              </w:tblCellMar>
            </w:tblPr>
            <w:tblGrid>
              <w:gridCol w:w="1118"/>
              <w:gridCol w:w="2495"/>
              <w:gridCol w:w="1545"/>
              <w:gridCol w:w="2787"/>
            </w:tblGrid>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cantSplit/>
                <w:trHeight w:val="310" w:hRule="exact"/>
                <w:jc w:val="center"/>
              </w:trPr>
              <w:tc>
                <w:tcPr>
                  <w:tcW w:w="5000" w:type="pct"/>
                  <w:gridSpan w:val="4"/>
                  <w:tcBorders>
                    <w:tl2br w:val="nil"/>
                    <w:tr2bl w:val="nil"/>
                  </w:tcBorders>
                  <w:vAlign w:val="center"/>
                </w:tcPr>
                <w:p>
                  <w:pPr>
                    <w:jc w:val="center"/>
                    <w:rPr>
                      <w:bCs/>
                      <w:color w:val="auto"/>
                      <w:szCs w:val="21"/>
                    </w:rPr>
                  </w:pPr>
                  <w:r>
                    <w:rPr>
                      <w:bCs/>
                      <w:color w:val="auto"/>
                      <w:szCs w:val="21"/>
                    </w:rPr>
                    <w:t>危险性概述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cantSplit/>
                <w:trHeight w:val="919" w:hRule="exact"/>
                <w:jc w:val="center"/>
              </w:trPr>
              <w:tc>
                <w:tcPr>
                  <w:tcW w:w="704" w:type="pct"/>
                  <w:tcBorders>
                    <w:tl2br w:val="nil"/>
                    <w:tr2bl w:val="nil"/>
                  </w:tcBorders>
                  <w:vAlign w:val="center"/>
                </w:tcPr>
                <w:p>
                  <w:pPr>
                    <w:jc w:val="center"/>
                    <w:rPr>
                      <w:color w:val="auto"/>
                      <w:szCs w:val="21"/>
                    </w:rPr>
                  </w:pPr>
                  <w:r>
                    <w:rPr>
                      <w:color w:val="auto"/>
                      <w:szCs w:val="21"/>
                    </w:rPr>
                    <w:t>中文名称</w:t>
                  </w:r>
                </w:p>
              </w:tc>
              <w:tc>
                <w:tcPr>
                  <w:tcW w:w="1570" w:type="pct"/>
                  <w:tcBorders>
                    <w:tl2br w:val="nil"/>
                    <w:tr2bl w:val="nil"/>
                  </w:tcBorders>
                  <w:vAlign w:val="center"/>
                </w:tcPr>
                <w:p>
                  <w:pPr>
                    <w:jc w:val="center"/>
                    <w:rPr>
                      <w:color w:val="auto"/>
                      <w:szCs w:val="21"/>
                    </w:rPr>
                  </w:pPr>
                  <w:r>
                    <w:rPr>
                      <w:rFonts w:hint="eastAsia"/>
                      <w:color w:val="auto"/>
                      <w:szCs w:val="21"/>
                    </w:rPr>
                    <w:t>废机油</w:t>
                  </w:r>
                </w:p>
              </w:tc>
              <w:tc>
                <w:tcPr>
                  <w:tcW w:w="972" w:type="pct"/>
                  <w:tcBorders>
                    <w:tl2br w:val="nil"/>
                    <w:tr2bl w:val="nil"/>
                  </w:tcBorders>
                  <w:vAlign w:val="center"/>
                </w:tcPr>
                <w:p>
                  <w:pPr>
                    <w:jc w:val="center"/>
                    <w:rPr>
                      <w:color w:val="auto"/>
                      <w:szCs w:val="21"/>
                    </w:rPr>
                  </w:pPr>
                  <w:r>
                    <w:rPr>
                      <w:color w:val="auto"/>
                      <w:szCs w:val="21"/>
                    </w:rPr>
                    <w:t>外观与</w:t>
                  </w:r>
                  <w:r>
                    <w:rPr>
                      <w:rFonts w:hint="eastAsia"/>
                      <w:color w:val="auto"/>
                      <w:szCs w:val="21"/>
                    </w:rPr>
                    <w:t>性质</w:t>
                  </w:r>
                </w:p>
              </w:tc>
              <w:tc>
                <w:tcPr>
                  <w:tcW w:w="1753" w:type="pct"/>
                  <w:tcBorders>
                    <w:tl2br w:val="nil"/>
                    <w:tr2bl w:val="nil"/>
                  </w:tcBorders>
                  <w:vAlign w:val="center"/>
                </w:tcPr>
                <w:p>
                  <w:pPr>
                    <w:jc w:val="center"/>
                    <w:rPr>
                      <w:color w:val="auto"/>
                      <w:szCs w:val="21"/>
                    </w:rPr>
                  </w:pPr>
                  <w:r>
                    <w:rPr>
                      <w:rFonts w:hint="eastAsia"/>
                      <w:color w:val="auto"/>
                      <w:szCs w:val="21"/>
                    </w:rPr>
                    <w:t>无色液体</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cantSplit/>
                <w:trHeight w:val="335" w:hRule="exact"/>
                <w:jc w:val="center"/>
              </w:trPr>
              <w:tc>
                <w:tcPr>
                  <w:tcW w:w="704" w:type="pct"/>
                  <w:tcBorders>
                    <w:tl2br w:val="nil"/>
                    <w:tr2bl w:val="nil"/>
                  </w:tcBorders>
                  <w:vAlign w:val="center"/>
                </w:tcPr>
                <w:p>
                  <w:pPr>
                    <w:jc w:val="center"/>
                    <w:rPr>
                      <w:color w:val="auto"/>
                      <w:szCs w:val="21"/>
                    </w:rPr>
                  </w:pPr>
                  <w:r>
                    <w:rPr>
                      <w:color w:val="auto"/>
                      <w:szCs w:val="21"/>
                    </w:rPr>
                    <w:t>闪点（℃）</w:t>
                  </w:r>
                </w:p>
              </w:tc>
              <w:tc>
                <w:tcPr>
                  <w:tcW w:w="1570" w:type="pct"/>
                  <w:tcBorders>
                    <w:tl2br w:val="nil"/>
                    <w:tr2bl w:val="nil"/>
                  </w:tcBorders>
                  <w:vAlign w:val="center"/>
                </w:tcPr>
                <w:p>
                  <w:pPr>
                    <w:jc w:val="center"/>
                    <w:rPr>
                      <w:color w:val="auto"/>
                      <w:szCs w:val="21"/>
                    </w:rPr>
                  </w:pPr>
                  <w:r>
                    <w:rPr>
                      <w:rFonts w:hint="eastAsia"/>
                      <w:color w:val="auto"/>
                      <w:szCs w:val="21"/>
                    </w:rPr>
                    <w:t>-22</w:t>
                  </w:r>
                </w:p>
              </w:tc>
              <w:tc>
                <w:tcPr>
                  <w:tcW w:w="972" w:type="pct"/>
                  <w:tcBorders>
                    <w:tl2br w:val="nil"/>
                    <w:tr2bl w:val="nil"/>
                  </w:tcBorders>
                  <w:vAlign w:val="center"/>
                </w:tcPr>
                <w:p>
                  <w:pPr>
                    <w:jc w:val="center"/>
                    <w:rPr>
                      <w:color w:val="auto"/>
                      <w:szCs w:val="21"/>
                    </w:rPr>
                  </w:pPr>
                  <w:r>
                    <w:rPr>
                      <w:color w:val="auto"/>
                      <w:szCs w:val="21"/>
                    </w:rPr>
                    <w:t>沸点（℃）</w:t>
                  </w:r>
                </w:p>
              </w:tc>
              <w:tc>
                <w:tcPr>
                  <w:tcW w:w="1753" w:type="pct"/>
                  <w:tcBorders>
                    <w:tl2br w:val="nil"/>
                    <w:tr2bl w:val="nil"/>
                  </w:tcBorders>
                  <w:vAlign w:val="center"/>
                </w:tcPr>
                <w:p>
                  <w:pPr>
                    <w:jc w:val="center"/>
                    <w:rPr>
                      <w:color w:val="auto"/>
                      <w:szCs w:val="21"/>
                    </w:rPr>
                  </w:pPr>
                  <w:r>
                    <w:rPr>
                      <w:rFonts w:hint="eastAsia"/>
                      <w:color w:val="auto"/>
                      <w:szCs w:val="21"/>
                    </w:rPr>
                    <w:t>69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PrEx>
              <w:trPr>
                <w:cantSplit/>
                <w:trHeight w:val="335" w:hRule="exact"/>
                <w:jc w:val="center"/>
              </w:trPr>
              <w:tc>
                <w:tcPr>
                  <w:tcW w:w="704" w:type="pct"/>
                  <w:tcBorders>
                    <w:tl2br w:val="nil"/>
                    <w:tr2bl w:val="nil"/>
                  </w:tcBorders>
                  <w:vAlign w:val="center"/>
                </w:tcPr>
                <w:p>
                  <w:pPr>
                    <w:jc w:val="center"/>
                    <w:rPr>
                      <w:color w:val="auto"/>
                      <w:szCs w:val="21"/>
                    </w:rPr>
                  </w:pPr>
                  <w:r>
                    <w:rPr>
                      <w:color w:val="auto"/>
                      <w:szCs w:val="21"/>
                    </w:rPr>
                    <w:t>密度</w:t>
                  </w:r>
                </w:p>
              </w:tc>
              <w:tc>
                <w:tcPr>
                  <w:tcW w:w="1570" w:type="pct"/>
                  <w:tcBorders>
                    <w:tl2br w:val="nil"/>
                    <w:tr2bl w:val="nil"/>
                  </w:tcBorders>
                  <w:vAlign w:val="center"/>
                </w:tcPr>
                <w:p>
                  <w:pPr>
                    <w:jc w:val="center"/>
                    <w:rPr>
                      <w:color w:val="auto"/>
                      <w:szCs w:val="21"/>
                    </w:rPr>
                  </w:pPr>
                  <w:r>
                    <w:rPr>
                      <w:color w:val="auto"/>
                      <w:szCs w:val="21"/>
                    </w:rPr>
                    <w:t>相对密度（水＝1）</w:t>
                  </w:r>
                  <w:r>
                    <w:rPr>
                      <w:rFonts w:hint="eastAsia"/>
                      <w:color w:val="auto"/>
                      <w:szCs w:val="21"/>
                    </w:rPr>
                    <w:t>0.66</w:t>
                  </w:r>
                </w:p>
              </w:tc>
              <w:tc>
                <w:tcPr>
                  <w:tcW w:w="972" w:type="pct"/>
                  <w:tcBorders>
                    <w:tl2br w:val="nil"/>
                    <w:tr2bl w:val="nil"/>
                  </w:tcBorders>
                  <w:vAlign w:val="center"/>
                </w:tcPr>
                <w:p>
                  <w:pPr>
                    <w:jc w:val="center"/>
                    <w:rPr>
                      <w:color w:val="auto"/>
                      <w:szCs w:val="21"/>
                    </w:rPr>
                  </w:pPr>
                  <w:r>
                    <w:rPr>
                      <w:color w:val="auto"/>
                      <w:szCs w:val="21"/>
                    </w:rPr>
                    <w:t>稳定性</w:t>
                  </w:r>
                </w:p>
              </w:tc>
              <w:tc>
                <w:tcPr>
                  <w:tcW w:w="1753" w:type="pct"/>
                  <w:tcBorders>
                    <w:tl2br w:val="nil"/>
                    <w:tr2bl w:val="nil"/>
                  </w:tcBorders>
                  <w:vAlign w:val="center"/>
                </w:tcPr>
                <w:p>
                  <w:pPr>
                    <w:jc w:val="center"/>
                    <w:rPr>
                      <w:color w:val="auto"/>
                      <w:szCs w:val="21"/>
                    </w:rPr>
                  </w:pPr>
                  <w:r>
                    <w:rPr>
                      <w:color w:val="auto"/>
                      <w:szCs w:val="21"/>
                    </w:rPr>
                    <w:t>稳定</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PrEx>
              <w:trPr>
                <w:cantSplit/>
                <w:trHeight w:val="505" w:hRule="atLeast"/>
                <w:jc w:val="center"/>
              </w:trPr>
              <w:tc>
                <w:tcPr>
                  <w:tcW w:w="704" w:type="pct"/>
                  <w:tcBorders>
                    <w:tl2br w:val="nil"/>
                    <w:tr2bl w:val="nil"/>
                  </w:tcBorders>
                  <w:vAlign w:val="center"/>
                </w:tcPr>
                <w:p>
                  <w:pPr>
                    <w:jc w:val="center"/>
                    <w:rPr>
                      <w:color w:val="auto"/>
                      <w:szCs w:val="21"/>
                    </w:rPr>
                  </w:pPr>
                  <w:r>
                    <w:rPr>
                      <w:color w:val="auto"/>
                      <w:szCs w:val="21"/>
                    </w:rPr>
                    <w:t>健康危害</w:t>
                  </w:r>
                </w:p>
              </w:tc>
              <w:tc>
                <w:tcPr>
                  <w:tcW w:w="4295" w:type="pct"/>
                  <w:gridSpan w:val="3"/>
                  <w:tcBorders>
                    <w:tl2br w:val="nil"/>
                    <w:tr2bl w:val="nil"/>
                  </w:tcBorders>
                  <w:vAlign w:val="center"/>
                </w:tcPr>
                <w:p>
                  <w:pPr>
                    <w:pStyle w:val="28"/>
                    <w:tabs>
                      <w:tab w:val="clear" w:pos="5580"/>
                    </w:tabs>
                    <w:spacing w:line="240" w:lineRule="auto"/>
                    <w:jc w:val="center"/>
                    <w:rPr>
                      <w:rFonts w:ascii="Times New Roman" w:hAnsi="Times New Roman"/>
                      <w:color w:val="auto"/>
                      <w:spacing w:val="0"/>
                      <w:szCs w:val="21"/>
                    </w:rPr>
                  </w:pPr>
                  <w:r>
                    <w:rPr>
                      <w:rFonts w:hint="eastAsia" w:ascii="Times New Roman" w:hAnsi="Times New Roman"/>
                      <w:color w:val="auto"/>
                      <w:spacing w:val="0"/>
                      <w:szCs w:val="21"/>
                    </w:rPr>
                    <w:t>本品有麻醉和刺激作用，长期接触可致周围神经炎。吸入高浓度本品出现头痛、头晕、恶心、共济失调等；</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PrEx>
              <w:trPr>
                <w:cantSplit/>
                <w:trHeight w:val="351" w:hRule="exact"/>
                <w:jc w:val="center"/>
              </w:trPr>
              <w:tc>
                <w:tcPr>
                  <w:tcW w:w="704" w:type="pct"/>
                  <w:tcBorders>
                    <w:tl2br w:val="nil"/>
                    <w:tr2bl w:val="nil"/>
                  </w:tcBorders>
                  <w:vAlign w:val="center"/>
                </w:tcPr>
                <w:p>
                  <w:pPr>
                    <w:jc w:val="center"/>
                    <w:rPr>
                      <w:color w:val="auto"/>
                      <w:szCs w:val="21"/>
                    </w:rPr>
                  </w:pPr>
                  <w:r>
                    <w:rPr>
                      <w:color w:val="auto"/>
                      <w:szCs w:val="21"/>
                    </w:rPr>
                    <w:t>安全危害</w:t>
                  </w:r>
                </w:p>
              </w:tc>
              <w:tc>
                <w:tcPr>
                  <w:tcW w:w="4295" w:type="pct"/>
                  <w:gridSpan w:val="3"/>
                  <w:tcBorders>
                    <w:tl2br w:val="nil"/>
                    <w:tr2bl w:val="nil"/>
                  </w:tcBorders>
                  <w:vAlign w:val="center"/>
                </w:tcPr>
                <w:p>
                  <w:pPr>
                    <w:jc w:val="center"/>
                    <w:rPr>
                      <w:color w:val="auto"/>
                      <w:szCs w:val="21"/>
                    </w:rPr>
                  </w:pPr>
                  <w:r>
                    <w:rPr>
                      <w:rFonts w:hint="eastAsia"/>
                      <w:color w:val="auto"/>
                      <w:szCs w:val="21"/>
                    </w:rPr>
                    <w:t>可燃，并具有腐蚀性，属于危险废物；</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PrEx>
              <w:trPr>
                <w:cantSplit/>
                <w:trHeight w:val="566" w:hRule="exact"/>
                <w:jc w:val="center"/>
              </w:trPr>
              <w:tc>
                <w:tcPr>
                  <w:tcW w:w="704" w:type="pct"/>
                  <w:tcBorders>
                    <w:tl2br w:val="nil"/>
                    <w:tr2bl w:val="nil"/>
                  </w:tcBorders>
                  <w:vAlign w:val="center"/>
                </w:tcPr>
                <w:p>
                  <w:pPr>
                    <w:jc w:val="center"/>
                    <w:rPr>
                      <w:color w:val="auto"/>
                      <w:szCs w:val="21"/>
                    </w:rPr>
                  </w:pPr>
                  <w:r>
                    <w:rPr>
                      <w:color w:val="auto"/>
                      <w:szCs w:val="21"/>
                    </w:rPr>
                    <w:t>吸入</w:t>
                  </w:r>
                </w:p>
              </w:tc>
              <w:tc>
                <w:tcPr>
                  <w:tcW w:w="4295" w:type="pct"/>
                  <w:gridSpan w:val="3"/>
                  <w:tcBorders>
                    <w:tl2br w:val="nil"/>
                    <w:tr2bl w:val="nil"/>
                  </w:tcBorders>
                  <w:vAlign w:val="center"/>
                </w:tcPr>
                <w:p>
                  <w:pPr>
                    <w:jc w:val="center"/>
                    <w:rPr>
                      <w:color w:val="auto"/>
                      <w:szCs w:val="21"/>
                    </w:rPr>
                  </w:pPr>
                  <w:r>
                    <w:rPr>
                      <w:color w:val="auto"/>
                      <w:szCs w:val="21"/>
                    </w:rPr>
                    <w:t>眩晕或反胃不太可能出现，如果发生，将患者移到有新鲜空气的地方、若症状持续则要求求助医生</w:t>
                  </w:r>
                  <w:r>
                    <w:rPr>
                      <w:rFonts w:hint="eastAsia"/>
                      <w:color w:val="auto"/>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PrEx>
              <w:trPr>
                <w:cantSplit/>
                <w:trHeight w:val="549" w:hRule="exact"/>
                <w:jc w:val="center"/>
              </w:trPr>
              <w:tc>
                <w:tcPr>
                  <w:tcW w:w="704" w:type="pct"/>
                  <w:tcBorders>
                    <w:tl2br w:val="nil"/>
                    <w:tr2bl w:val="nil"/>
                  </w:tcBorders>
                  <w:vAlign w:val="center"/>
                </w:tcPr>
                <w:p>
                  <w:pPr>
                    <w:jc w:val="center"/>
                    <w:rPr>
                      <w:color w:val="auto"/>
                      <w:szCs w:val="21"/>
                    </w:rPr>
                  </w:pPr>
                  <w:r>
                    <w:rPr>
                      <w:color w:val="auto"/>
                      <w:szCs w:val="21"/>
                    </w:rPr>
                    <w:t>危险</w:t>
                  </w:r>
                  <w:r>
                    <w:rPr>
                      <w:rFonts w:hint="eastAsia"/>
                      <w:color w:val="auto"/>
                      <w:szCs w:val="21"/>
                    </w:rPr>
                    <w:t>性类别</w:t>
                  </w:r>
                </w:p>
              </w:tc>
              <w:tc>
                <w:tcPr>
                  <w:tcW w:w="4295" w:type="pct"/>
                  <w:gridSpan w:val="3"/>
                  <w:tcBorders>
                    <w:tl2br w:val="nil"/>
                    <w:tr2bl w:val="nil"/>
                  </w:tcBorders>
                  <w:vAlign w:val="center"/>
                </w:tcPr>
                <w:p>
                  <w:pPr>
                    <w:jc w:val="center"/>
                    <w:rPr>
                      <w:color w:val="auto"/>
                      <w:szCs w:val="21"/>
                    </w:rPr>
                  </w:pPr>
                  <w:r>
                    <w:rPr>
                      <w:rFonts w:hint="eastAsia"/>
                      <w:color w:val="auto"/>
                      <w:szCs w:val="21"/>
                    </w:rPr>
                    <w:t>易燃，其蒸气与空气可形成爆炸性混合物，遇明火、高热能引起燃烧爆炸。与氧化剂接触发生化学反应，甚至引起燃烧。</w:t>
                  </w:r>
                </w:p>
              </w:tc>
            </w:tr>
          </w:tbl>
          <w:p>
            <w:pPr>
              <w:jc w:val="center"/>
              <w:rPr>
                <w:b/>
                <w:bCs/>
                <w:color w:val="auto"/>
                <w:spacing w:val="6"/>
                <w:szCs w:val="21"/>
              </w:rPr>
            </w:pPr>
            <w:r>
              <w:rPr>
                <w:rFonts w:eastAsia="黑体"/>
                <w:color w:val="auto"/>
                <w:spacing w:val="6"/>
                <w:sz w:val="24"/>
              </w:rPr>
              <w:t>表</w:t>
            </w:r>
            <w:r>
              <w:rPr>
                <w:rFonts w:hint="eastAsia" w:eastAsia="黑体"/>
                <w:color w:val="auto"/>
                <w:spacing w:val="6"/>
                <w:sz w:val="24"/>
              </w:rPr>
              <w:t>2-</w:t>
            </w:r>
            <w:r>
              <w:rPr>
                <w:rFonts w:hint="eastAsia" w:eastAsia="黑体"/>
                <w:color w:val="auto"/>
                <w:spacing w:val="6"/>
                <w:sz w:val="24"/>
                <w:lang w:val="en-US" w:eastAsia="zh-CN"/>
              </w:rPr>
              <w:t>4</w:t>
            </w:r>
            <w:r>
              <w:rPr>
                <w:rFonts w:hint="eastAsia" w:eastAsia="黑体"/>
                <w:color w:val="auto"/>
                <w:spacing w:val="6"/>
                <w:sz w:val="24"/>
              </w:rPr>
              <w:t xml:space="preserve">   废蓄电池</w:t>
            </w:r>
            <w:r>
              <w:rPr>
                <w:rFonts w:eastAsia="黑体"/>
                <w:color w:val="auto"/>
                <w:spacing w:val="6"/>
                <w:sz w:val="24"/>
              </w:rPr>
              <w:t>的理化性质和危险特性</w:t>
            </w:r>
          </w:p>
          <w:tbl>
            <w:tblPr>
              <w:tblStyle w:val="31"/>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Layout w:type="fixed"/>
              <w:tblCellMar>
                <w:top w:w="0" w:type="dxa"/>
                <w:left w:w="108" w:type="dxa"/>
                <w:bottom w:w="0" w:type="dxa"/>
                <w:right w:w="108" w:type="dxa"/>
              </w:tblCellMar>
            </w:tblPr>
            <w:tblGrid>
              <w:gridCol w:w="1116"/>
              <w:gridCol w:w="2495"/>
              <w:gridCol w:w="1545"/>
              <w:gridCol w:w="2789"/>
            </w:tblGrid>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PrEx>
              <w:trPr>
                <w:cantSplit/>
                <w:trHeight w:val="310" w:hRule="exact"/>
                <w:jc w:val="center"/>
              </w:trPr>
              <w:tc>
                <w:tcPr>
                  <w:tcW w:w="5000" w:type="pct"/>
                  <w:gridSpan w:val="4"/>
                  <w:tcBorders>
                    <w:tl2br w:val="nil"/>
                    <w:tr2bl w:val="nil"/>
                  </w:tcBorders>
                  <w:vAlign w:val="center"/>
                </w:tcPr>
                <w:p>
                  <w:pPr>
                    <w:jc w:val="center"/>
                    <w:rPr>
                      <w:bCs/>
                      <w:color w:val="auto"/>
                      <w:szCs w:val="21"/>
                    </w:rPr>
                  </w:pPr>
                  <w:r>
                    <w:rPr>
                      <w:bCs/>
                      <w:color w:val="auto"/>
                      <w:szCs w:val="21"/>
                    </w:rPr>
                    <w:t>危险性概述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cantSplit/>
                <w:trHeight w:val="919" w:hRule="exact"/>
                <w:jc w:val="center"/>
              </w:trPr>
              <w:tc>
                <w:tcPr>
                  <w:tcW w:w="703" w:type="pct"/>
                  <w:tcBorders>
                    <w:tl2br w:val="nil"/>
                    <w:tr2bl w:val="nil"/>
                  </w:tcBorders>
                  <w:vAlign w:val="center"/>
                </w:tcPr>
                <w:p>
                  <w:pPr>
                    <w:jc w:val="center"/>
                    <w:rPr>
                      <w:color w:val="auto"/>
                      <w:szCs w:val="21"/>
                    </w:rPr>
                  </w:pPr>
                  <w:r>
                    <w:rPr>
                      <w:color w:val="auto"/>
                      <w:szCs w:val="21"/>
                    </w:rPr>
                    <w:t>中文名称</w:t>
                  </w:r>
                </w:p>
              </w:tc>
              <w:tc>
                <w:tcPr>
                  <w:tcW w:w="1570" w:type="pct"/>
                  <w:tcBorders>
                    <w:tl2br w:val="nil"/>
                    <w:tr2bl w:val="nil"/>
                  </w:tcBorders>
                  <w:vAlign w:val="center"/>
                </w:tcPr>
                <w:p>
                  <w:pPr>
                    <w:jc w:val="center"/>
                    <w:rPr>
                      <w:color w:val="auto"/>
                      <w:szCs w:val="21"/>
                    </w:rPr>
                  </w:pPr>
                  <w:r>
                    <w:rPr>
                      <w:rFonts w:hint="eastAsia"/>
                      <w:color w:val="auto"/>
                      <w:szCs w:val="21"/>
                    </w:rPr>
                    <w:t>废蓄电池</w:t>
                  </w:r>
                </w:p>
              </w:tc>
              <w:tc>
                <w:tcPr>
                  <w:tcW w:w="972" w:type="pct"/>
                  <w:tcBorders>
                    <w:tl2br w:val="nil"/>
                    <w:tr2bl w:val="nil"/>
                  </w:tcBorders>
                  <w:vAlign w:val="center"/>
                </w:tcPr>
                <w:p>
                  <w:pPr>
                    <w:jc w:val="center"/>
                    <w:rPr>
                      <w:color w:val="auto"/>
                      <w:szCs w:val="21"/>
                    </w:rPr>
                  </w:pPr>
                  <w:r>
                    <w:rPr>
                      <w:color w:val="auto"/>
                      <w:szCs w:val="21"/>
                    </w:rPr>
                    <w:t>外观与</w:t>
                  </w:r>
                  <w:r>
                    <w:rPr>
                      <w:rFonts w:hint="eastAsia"/>
                      <w:color w:val="auto"/>
                      <w:szCs w:val="21"/>
                    </w:rPr>
                    <w:t>性质</w:t>
                  </w:r>
                </w:p>
              </w:tc>
              <w:tc>
                <w:tcPr>
                  <w:tcW w:w="1753" w:type="pct"/>
                  <w:tcBorders>
                    <w:tl2br w:val="nil"/>
                    <w:tr2bl w:val="nil"/>
                  </w:tcBorders>
                  <w:vAlign w:val="center"/>
                </w:tcPr>
                <w:p>
                  <w:pPr>
                    <w:jc w:val="center"/>
                    <w:rPr>
                      <w:color w:val="auto"/>
                      <w:szCs w:val="21"/>
                    </w:rPr>
                  </w:pPr>
                  <w:r>
                    <w:rPr>
                      <w:rFonts w:hint="eastAsia"/>
                      <w:color w:val="auto"/>
                      <w:szCs w:val="21"/>
                    </w:rPr>
                    <w:t>固体</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cantSplit/>
                <w:trHeight w:val="335" w:hRule="exact"/>
                <w:jc w:val="center"/>
              </w:trPr>
              <w:tc>
                <w:tcPr>
                  <w:tcW w:w="703" w:type="pct"/>
                  <w:tcBorders>
                    <w:tl2br w:val="nil"/>
                    <w:tr2bl w:val="nil"/>
                  </w:tcBorders>
                  <w:vAlign w:val="center"/>
                </w:tcPr>
                <w:p>
                  <w:pPr>
                    <w:jc w:val="center"/>
                    <w:rPr>
                      <w:color w:val="auto"/>
                      <w:szCs w:val="21"/>
                    </w:rPr>
                  </w:pPr>
                  <w:r>
                    <w:rPr>
                      <w:color w:val="auto"/>
                      <w:szCs w:val="21"/>
                    </w:rPr>
                    <w:t>闪点（℃）</w:t>
                  </w:r>
                </w:p>
              </w:tc>
              <w:tc>
                <w:tcPr>
                  <w:tcW w:w="1570" w:type="pct"/>
                  <w:tcBorders>
                    <w:tl2br w:val="nil"/>
                    <w:tr2bl w:val="nil"/>
                  </w:tcBorders>
                  <w:vAlign w:val="center"/>
                </w:tcPr>
                <w:p>
                  <w:pPr>
                    <w:jc w:val="center"/>
                    <w:rPr>
                      <w:color w:val="auto"/>
                      <w:szCs w:val="21"/>
                    </w:rPr>
                  </w:pPr>
                  <w:r>
                    <w:rPr>
                      <w:rFonts w:hint="eastAsia"/>
                      <w:color w:val="auto"/>
                      <w:szCs w:val="21"/>
                    </w:rPr>
                    <w:t>-</w:t>
                  </w:r>
                </w:p>
              </w:tc>
              <w:tc>
                <w:tcPr>
                  <w:tcW w:w="972" w:type="pct"/>
                  <w:tcBorders>
                    <w:tl2br w:val="nil"/>
                    <w:tr2bl w:val="nil"/>
                  </w:tcBorders>
                  <w:vAlign w:val="center"/>
                </w:tcPr>
                <w:p>
                  <w:pPr>
                    <w:jc w:val="center"/>
                    <w:rPr>
                      <w:color w:val="auto"/>
                      <w:szCs w:val="21"/>
                    </w:rPr>
                  </w:pPr>
                  <w:r>
                    <w:rPr>
                      <w:color w:val="auto"/>
                      <w:szCs w:val="21"/>
                    </w:rPr>
                    <w:t>沸点（℃）</w:t>
                  </w:r>
                </w:p>
              </w:tc>
              <w:tc>
                <w:tcPr>
                  <w:tcW w:w="1753" w:type="pct"/>
                  <w:tcBorders>
                    <w:tl2br w:val="nil"/>
                    <w:tr2bl w:val="nil"/>
                  </w:tcBorders>
                  <w:vAlign w:val="center"/>
                </w:tcPr>
                <w:p>
                  <w:pPr>
                    <w:jc w:val="center"/>
                    <w:rPr>
                      <w:color w:val="auto"/>
                      <w:szCs w:val="21"/>
                    </w:rPr>
                  </w:pPr>
                  <w:r>
                    <w:rPr>
                      <w:rFonts w:hint="eastAsia"/>
                      <w:color w:val="auto"/>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PrEx>
              <w:trPr>
                <w:cantSplit/>
                <w:trHeight w:val="335" w:hRule="exact"/>
                <w:jc w:val="center"/>
              </w:trPr>
              <w:tc>
                <w:tcPr>
                  <w:tcW w:w="703" w:type="pct"/>
                  <w:tcBorders>
                    <w:tl2br w:val="nil"/>
                    <w:tr2bl w:val="nil"/>
                  </w:tcBorders>
                  <w:vAlign w:val="center"/>
                </w:tcPr>
                <w:p>
                  <w:pPr>
                    <w:jc w:val="center"/>
                    <w:rPr>
                      <w:color w:val="auto"/>
                      <w:szCs w:val="21"/>
                    </w:rPr>
                  </w:pPr>
                  <w:r>
                    <w:rPr>
                      <w:color w:val="auto"/>
                      <w:szCs w:val="21"/>
                    </w:rPr>
                    <w:t>密度</w:t>
                  </w:r>
                </w:p>
              </w:tc>
              <w:tc>
                <w:tcPr>
                  <w:tcW w:w="1570" w:type="pct"/>
                  <w:tcBorders>
                    <w:tl2br w:val="nil"/>
                    <w:tr2bl w:val="nil"/>
                  </w:tcBorders>
                  <w:vAlign w:val="center"/>
                </w:tcPr>
                <w:p>
                  <w:pPr>
                    <w:jc w:val="center"/>
                    <w:rPr>
                      <w:color w:val="auto"/>
                      <w:szCs w:val="21"/>
                    </w:rPr>
                  </w:pPr>
                  <w:r>
                    <w:rPr>
                      <w:rFonts w:hint="eastAsia"/>
                      <w:color w:val="auto"/>
                      <w:szCs w:val="21"/>
                    </w:rPr>
                    <w:t>-</w:t>
                  </w:r>
                </w:p>
              </w:tc>
              <w:tc>
                <w:tcPr>
                  <w:tcW w:w="972" w:type="pct"/>
                  <w:tcBorders>
                    <w:tl2br w:val="nil"/>
                    <w:tr2bl w:val="nil"/>
                  </w:tcBorders>
                  <w:vAlign w:val="center"/>
                </w:tcPr>
                <w:p>
                  <w:pPr>
                    <w:jc w:val="center"/>
                    <w:rPr>
                      <w:color w:val="auto"/>
                      <w:szCs w:val="21"/>
                    </w:rPr>
                  </w:pPr>
                  <w:r>
                    <w:rPr>
                      <w:color w:val="auto"/>
                      <w:szCs w:val="21"/>
                    </w:rPr>
                    <w:t>稳定性</w:t>
                  </w:r>
                </w:p>
              </w:tc>
              <w:tc>
                <w:tcPr>
                  <w:tcW w:w="1753" w:type="pct"/>
                  <w:tcBorders>
                    <w:tl2br w:val="nil"/>
                    <w:tr2bl w:val="nil"/>
                  </w:tcBorders>
                  <w:vAlign w:val="center"/>
                </w:tcPr>
                <w:p>
                  <w:pPr>
                    <w:jc w:val="center"/>
                    <w:rPr>
                      <w:color w:val="auto"/>
                      <w:szCs w:val="21"/>
                    </w:rPr>
                  </w:pPr>
                  <w:r>
                    <w:rPr>
                      <w:color w:val="auto"/>
                      <w:szCs w:val="21"/>
                    </w:rPr>
                    <w:t>稳定</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PrEx>
              <w:trPr>
                <w:cantSplit/>
                <w:trHeight w:val="505" w:hRule="atLeast"/>
                <w:jc w:val="center"/>
              </w:trPr>
              <w:tc>
                <w:tcPr>
                  <w:tcW w:w="703" w:type="pct"/>
                  <w:tcBorders>
                    <w:tl2br w:val="nil"/>
                    <w:tr2bl w:val="nil"/>
                  </w:tcBorders>
                  <w:vAlign w:val="center"/>
                </w:tcPr>
                <w:p>
                  <w:pPr>
                    <w:jc w:val="center"/>
                    <w:rPr>
                      <w:color w:val="auto"/>
                      <w:szCs w:val="21"/>
                    </w:rPr>
                  </w:pPr>
                  <w:r>
                    <w:rPr>
                      <w:color w:val="auto"/>
                      <w:szCs w:val="21"/>
                    </w:rPr>
                    <w:t>健康危害</w:t>
                  </w:r>
                </w:p>
              </w:tc>
              <w:tc>
                <w:tcPr>
                  <w:tcW w:w="4296" w:type="pct"/>
                  <w:gridSpan w:val="3"/>
                  <w:tcBorders>
                    <w:tl2br w:val="nil"/>
                    <w:tr2bl w:val="nil"/>
                  </w:tcBorders>
                  <w:vAlign w:val="center"/>
                </w:tcPr>
                <w:p>
                  <w:pPr>
                    <w:pStyle w:val="28"/>
                    <w:tabs>
                      <w:tab w:val="clear" w:pos="5580"/>
                    </w:tabs>
                    <w:spacing w:line="240" w:lineRule="auto"/>
                    <w:jc w:val="center"/>
                    <w:rPr>
                      <w:rFonts w:ascii="Times New Roman" w:hAnsi="Times New Roman"/>
                      <w:color w:val="auto"/>
                      <w:spacing w:val="0"/>
                      <w:szCs w:val="21"/>
                    </w:rPr>
                  </w:pPr>
                  <w:r>
                    <w:rPr>
                      <w:rFonts w:hint="eastAsia" w:ascii="Times New Roman" w:hAnsi="Times New Roman"/>
                      <w:color w:val="auto"/>
                      <w:spacing w:val="0"/>
                      <w:szCs w:val="21"/>
                    </w:rPr>
                    <w:t>本品有麻醉和刺激作用，长期接触可致周围神经炎。吸入高浓度本品出现头痛、头晕、恶心、共济失调等；</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PrEx>
              <w:trPr>
                <w:cantSplit/>
                <w:trHeight w:val="351" w:hRule="exact"/>
                <w:jc w:val="center"/>
              </w:trPr>
              <w:tc>
                <w:tcPr>
                  <w:tcW w:w="703" w:type="pct"/>
                  <w:tcBorders>
                    <w:tl2br w:val="nil"/>
                    <w:tr2bl w:val="nil"/>
                  </w:tcBorders>
                  <w:vAlign w:val="center"/>
                </w:tcPr>
                <w:p>
                  <w:pPr>
                    <w:jc w:val="center"/>
                    <w:rPr>
                      <w:color w:val="auto"/>
                      <w:szCs w:val="21"/>
                    </w:rPr>
                  </w:pPr>
                  <w:r>
                    <w:rPr>
                      <w:color w:val="auto"/>
                      <w:szCs w:val="21"/>
                    </w:rPr>
                    <w:t>安全危害</w:t>
                  </w:r>
                </w:p>
              </w:tc>
              <w:tc>
                <w:tcPr>
                  <w:tcW w:w="4296" w:type="pct"/>
                  <w:gridSpan w:val="3"/>
                  <w:tcBorders>
                    <w:tl2br w:val="nil"/>
                    <w:tr2bl w:val="nil"/>
                  </w:tcBorders>
                  <w:vAlign w:val="center"/>
                </w:tcPr>
                <w:p>
                  <w:pPr>
                    <w:jc w:val="center"/>
                    <w:rPr>
                      <w:color w:val="auto"/>
                      <w:szCs w:val="21"/>
                    </w:rPr>
                  </w:pPr>
                  <w:r>
                    <w:rPr>
                      <w:rFonts w:hint="eastAsia"/>
                      <w:color w:val="auto"/>
                      <w:szCs w:val="21"/>
                    </w:rPr>
                    <w:t>可燃，并具有腐蚀性，属于危险废物；</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PrEx>
              <w:trPr>
                <w:cantSplit/>
                <w:trHeight w:val="566" w:hRule="exact"/>
                <w:jc w:val="center"/>
              </w:trPr>
              <w:tc>
                <w:tcPr>
                  <w:tcW w:w="703" w:type="pct"/>
                  <w:tcBorders>
                    <w:tl2br w:val="nil"/>
                    <w:tr2bl w:val="nil"/>
                  </w:tcBorders>
                  <w:vAlign w:val="center"/>
                </w:tcPr>
                <w:p>
                  <w:pPr>
                    <w:jc w:val="center"/>
                    <w:rPr>
                      <w:color w:val="auto"/>
                      <w:szCs w:val="21"/>
                    </w:rPr>
                  </w:pPr>
                  <w:r>
                    <w:rPr>
                      <w:color w:val="auto"/>
                      <w:szCs w:val="21"/>
                    </w:rPr>
                    <w:t>吸入</w:t>
                  </w:r>
                </w:p>
              </w:tc>
              <w:tc>
                <w:tcPr>
                  <w:tcW w:w="4296" w:type="pct"/>
                  <w:gridSpan w:val="3"/>
                  <w:tcBorders>
                    <w:tl2br w:val="nil"/>
                    <w:tr2bl w:val="nil"/>
                  </w:tcBorders>
                  <w:vAlign w:val="center"/>
                </w:tcPr>
                <w:p>
                  <w:pPr>
                    <w:jc w:val="center"/>
                    <w:rPr>
                      <w:color w:val="auto"/>
                      <w:szCs w:val="21"/>
                    </w:rPr>
                  </w:pPr>
                  <w:r>
                    <w:rPr>
                      <w:color w:val="auto"/>
                      <w:szCs w:val="21"/>
                    </w:rPr>
                    <w:t>眩晕或反胃不太可能出现，如果发生，将患者移到有新鲜空气的地方、若症状持续则要求求助医生</w:t>
                  </w:r>
                  <w:r>
                    <w:rPr>
                      <w:rFonts w:hint="eastAsia"/>
                      <w:color w:val="auto"/>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PrEx>
              <w:trPr>
                <w:cantSplit/>
                <w:trHeight w:val="549" w:hRule="exact"/>
                <w:jc w:val="center"/>
              </w:trPr>
              <w:tc>
                <w:tcPr>
                  <w:tcW w:w="703" w:type="pct"/>
                  <w:tcBorders>
                    <w:tl2br w:val="nil"/>
                    <w:tr2bl w:val="nil"/>
                  </w:tcBorders>
                  <w:vAlign w:val="center"/>
                </w:tcPr>
                <w:p>
                  <w:pPr>
                    <w:jc w:val="center"/>
                    <w:rPr>
                      <w:color w:val="auto"/>
                      <w:szCs w:val="21"/>
                    </w:rPr>
                  </w:pPr>
                  <w:r>
                    <w:rPr>
                      <w:color w:val="auto"/>
                      <w:szCs w:val="21"/>
                    </w:rPr>
                    <w:t>危险</w:t>
                  </w:r>
                  <w:r>
                    <w:rPr>
                      <w:rFonts w:hint="eastAsia"/>
                      <w:color w:val="auto"/>
                      <w:szCs w:val="21"/>
                    </w:rPr>
                    <w:t>性类别</w:t>
                  </w:r>
                </w:p>
              </w:tc>
              <w:tc>
                <w:tcPr>
                  <w:tcW w:w="4296" w:type="pct"/>
                  <w:gridSpan w:val="3"/>
                  <w:tcBorders>
                    <w:tl2br w:val="nil"/>
                    <w:tr2bl w:val="nil"/>
                  </w:tcBorders>
                  <w:vAlign w:val="center"/>
                </w:tcPr>
                <w:p>
                  <w:pPr>
                    <w:jc w:val="center"/>
                    <w:rPr>
                      <w:color w:val="auto"/>
                      <w:szCs w:val="21"/>
                    </w:rPr>
                  </w:pPr>
                  <w:r>
                    <w:rPr>
                      <w:rFonts w:hint="eastAsia"/>
                      <w:color w:val="auto"/>
                      <w:szCs w:val="21"/>
                    </w:rPr>
                    <w:t>易燃，其蒸气与空气可形成爆炸性混合物，遇明火、高热能引起燃烧爆炸。与氧化剂接触发生化学反应，甚至引起燃烧。</w:t>
                  </w:r>
                </w:p>
              </w:tc>
            </w:tr>
          </w:tbl>
          <w:p>
            <w:pPr>
              <w:spacing w:line="520" w:lineRule="exact"/>
              <w:ind w:firstLine="480" w:firstLineChars="200"/>
              <w:rPr>
                <w:color w:val="auto"/>
                <w:sz w:val="24"/>
              </w:rPr>
            </w:pPr>
            <w:r>
              <w:rPr>
                <w:rFonts w:hint="eastAsia"/>
                <w:color w:val="auto"/>
                <w:sz w:val="24"/>
              </w:rPr>
              <w:t>铅蓄电池主要成分为铅及铅的化合物、汞、镉、塑料、硫酸、玻璃纤维、铜等，主要成分组成见表</w:t>
            </w:r>
            <w:r>
              <w:rPr>
                <w:color w:val="auto"/>
                <w:sz w:val="24"/>
              </w:rPr>
              <w:t>2-</w:t>
            </w:r>
            <w:r>
              <w:rPr>
                <w:rFonts w:hint="eastAsia"/>
                <w:color w:val="auto"/>
                <w:sz w:val="24"/>
                <w:lang w:val="en-US" w:eastAsia="zh-CN"/>
              </w:rPr>
              <w:t>5</w:t>
            </w:r>
            <w:r>
              <w:rPr>
                <w:rFonts w:hint="eastAsia"/>
                <w:color w:val="auto"/>
                <w:sz w:val="24"/>
              </w:rPr>
              <w:t>。</w:t>
            </w:r>
          </w:p>
          <w:p>
            <w:pPr>
              <w:keepNext/>
              <w:jc w:val="center"/>
              <w:rPr>
                <w:rFonts w:eastAsia="黑体"/>
                <w:color w:val="auto"/>
                <w:spacing w:val="6"/>
                <w:sz w:val="24"/>
              </w:rPr>
            </w:pPr>
            <w:r>
              <w:rPr>
                <w:rFonts w:hint="eastAsia" w:eastAsia="黑体"/>
                <w:color w:val="auto"/>
                <w:spacing w:val="6"/>
                <w:sz w:val="24"/>
              </w:rPr>
              <w:t>表</w:t>
            </w:r>
            <w:r>
              <w:rPr>
                <w:rFonts w:eastAsia="黑体"/>
                <w:color w:val="auto"/>
                <w:spacing w:val="6"/>
                <w:sz w:val="24"/>
              </w:rPr>
              <w:t>2-</w:t>
            </w:r>
            <w:r>
              <w:rPr>
                <w:rFonts w:hint="eastAsia" w:eastAsia="黑体"/>
                <w:color w:val="auto"/>
                <w:spacing w:val="6"/>
                <w:sz w:val="24"/>
                <w:lang w:val="en-US" w:eastAsia="zh-CN"/>
              </w:rPr>
              <w:t>5</w:t>
            </w:r>
            <w:r>
              <w:rPr>
                <w:rFonts w:eastAsia="黑体"/>
                <w:color w:val="auto"/>
                <w:spacing w:val="6"/>
                <w:sz w:val="24"/>
              </w:rPr>
              <w:t xml:space="preserve">   </w:t>
            </w:r>
            <w:r>
              <w:rPr>
                <w:rFonts w:hint="eastAsia" w:eastAsia="黑体"/>
                <w:color w:val="auto"/>
                <w:spacing w:val="6"/>
                <w:sz w:val="24"/>
              </w:rPr>
              <w:t>铅蓄电池成分组成表</w:t>
            </w:r>
          </w:p>
          <w:tbl>
            <w:tblPr>
              <w:tblStyle w:val="32"/>
              <w:tblW w:w="7729" w:type="dxa"/>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1255"/>
              <w:gridCol w:w="2118"/>
              <w:gridCol w:w="3286"/>
              <w:gridCol w:w="1070"/>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PrEx>
              <w:trPr>
                <w:jc w:val="center"/>
              </w:trPr>
              <w:tc>
                <w:tcPr>
                  <w:tcW w:w="812" w:type="pct"/>
                  <w:vAlign w:val="center"/>
                </w:tcPr>
                <w:p>
                  <w:pPr>
                    <w:jc w:val="center"/>
                    <w:rPr>
                      <w:color w:val="auto"/>
                      <w:szCs w:val="21"/>
                    </w:rPr>
                  </w:pPr>
                  <w:r>
                    <w:rPr>
                      <w:rFonts w:hint="eastAsia"/>
                      <w:color w:val="auto"/>
                      <w:szCs w:val="21"/>
                    </w:rPr>
                    <w:t>主要构成</w:t>
                  </w:r>
                </w:p>
              </w:tc>
              <w:tc>
                <w:tcPr>
                  <w:tcW w:w="1370" w:type="pct"/>
                  <w:vAlign w:val="center"/>
                </w:tcPr>
                <w:p>
                  <w:pPr>
                    <w:jc w:val="center"/>
                    <w:rPr>
                      <w:color w:val="auto"/>
                      <w:szCs w:val="21"/>
                    </w:rPr>
                  </w:pPr>
                  <w:r>
                    <w:rPr>
                      <w:rFonts w:hint="eastAsia"/>
                      <w:color w:val="auto"/>
                      <w:szCs w:val="21"/>
                    </w:rPr>
                    <w:t>材料</w:t>
                  </w:r>
                  <w:r>
                    <w:rPr>
                      <w:color w:val="auto"/>
                      <w:szCs w:val="21"/>
                    </w:rPr>
                    <w:t>/</w:t>
                  </w:r>
                  <w:r>
                    <w:rPr>
                      <w:rFonts w:hint="eastAsia"/>
                      <w:color w:val="auto"/>
                      <w:szCs w:val="21"/>
                    </w:rPr>
                    <w:t>成分</w:t>
                  </w:r>
                </w:p>
              </w:tc>
              <w:tc>
                <w:tcPr>
                  <w:tcW w:w="2126" w:type="pct"/>
                  <w:vAlign w:val="center"/>
                </w:tcPr>
                <w:p>
                  <w:pPr>
                    <w:jc w:val="center"/>
                    <w:rPr>
                      <w:color w:val="auto"/>
                      <w:szCs w:val="21"/>
                    </w:rPr>
                  </w:pPr>
                  <w:r>
                    <w:rPr>
                      <w:rFonts w:hint="eastAsia"/>
                      <w:color w:val="auto"/>
                      <w:szCs w:val="21"/>
                    </w:rPr>
                    <w:t>作用</w:t>
                  </w:r>
                </w:p>
              </w:tc>
              <w:tc>
                <w:tcPr>
                  <w:tcW w:w="692" w:type="pct"/>
                  <w:vAlign w:val="center"/>
                </w:tcPr>
                <w:p>
                  <w:pPr>
                    <w:jc w:val="center"/>
                    <w:rPr>
                      <w:color w:val="auto"/>
                      <w:szCs w:val="21"/>
                    </w:rPr>
                  </w:pPr>
                  <w:r>
                    <w:rPr>
                      <w:rFonts w:hint="eastAsia"/>
                      <w:color w:val="auto"/>
                      <w:szCs w:val="21"/>
                    </w:rPr>
                    <w:t>所占比例</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PrEx>
              <w:trPr>
                <w:jc w:val="center"/>
              </w:trPr>
              <w:tc>
                <w:tcPr>
                  <w:tcW w:w="812" w:type="pct"/>
                  <w:vAlign w:val="center"/>
                </w:tcPr>
                <w:p>
                  <w:pPr>
                    <w:jc w:val="center"/>
                    <w:rPr>
                      <w:color w:val="auto"/>
                      <w:szCs w:val="21"/>
                    </w:rPr>
                  </w:pPr>
                  <w:r>
                    <w:rPr>
                      <w:rFonts w:hint="eastAsia"/>
                      <w:color w:val="auto"/>
                      <w:szCs w:val="21"/>
                    </w:rPr>
                    <w:t>正电极</w:t>
                  </w:r>
                </w:p>
              </w:tc>
              <w:tc>
                <w:tcPr>
                  <w:tcW w:w="1370" w:type="pct"/>
                  <w:vAlign w:val="center"/>
                </w:tcPr>
                <w:p>
                  <w:pPr>
                    <w:jc w:val="center"/>
                    <w:rPr>
                      <w:color w:val="auto"/>
                      <w:szCs w:val="21"/>
                    </w:rPr>
                  </w:pPr>
                  <w:r>
                    <w:rPr>
                      <w:rFonts w:hint="eastAsia"/>
                      <w:color w:val="auto"/>
                      <w:szCs w:val="21"/>
                    </w:rPr>
                    <w:t>铅及二氧化铅</w:t>
                  </w:r>
                </w:p>
              </w:tc>
              <w:tc>
                <w:tcPr>
                  <w:tcW w:w="2126" w:type="pct"/>
                  <w:vMerge w:val="restart"/>
                  <w:vAlign w:val="center"/>
                </w:tcPr>
                <w:p>
                  <w:pPr>
                    <w:jc w:val="center"/>
                    <w:rPr>
                      <w:color w:val="auto"/>
                      <w:szCs w:val="21"/>
                    </w:rPr>
                  </w:pPr>
                  <w:r>
                    <w:rPr>
                      <w:rFonts w:hint="eastAsia"/>
                      <w:color w:val="auto"/>
                      <w:szCs w:val="21"/>
                    </w:rPr>
                    <w:t>保证足够容量，长时间使用中保持电池容量，减少放电</w:t>
                  </w:r>
                </w:p>
              </w:tc>
              <w:tc>
                <w:tcPr>
                  <w:tcW w:w="692" w:type="pct"/>
                  <w:vMerge w:val="restart"/>
                  <w:vAlign w:val="center"/>
                </w:tcPr>
                <w:p>
                  <w:pPr>
                    <w:jc w:val="center"/>
                    <w:rPr>
                      <w:color w:val="auto"/>
                      <w:szCs w:val="21"/>
                    </w:rPr>
                  </w:pPr>
                  <w:r>
                    <w:rPr>
                      <w:color w:val="auto"/>
                      <w:szCs w:val="21"/>
                    </w:rPr>
                    <w:t>64%-82%</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PrEx>
              <w:trPr>
                <w:jc w:val="center"/>
              </w:trPr>
              <w:tc>
                <w:tcPr>
                  <w:tcW w:w="812" w:type="pct"/>
                  <w:vAlign w:val="center"/>
                </w:tcPr>
                <w:p>
                  <w:pPr>
                    <w:jc w:val="center"/>
                    <w:rPr>
                      <w:color w:val="auto"/>
                      <w:szCs w:val="21"/>
                    </w:rPr>
                  </w:pPr>
                  <w:r>
                    <w:rPr>
                      <w:rFonts w:hint="eastAsia"/>
                      <w:color w:val="auto"/>
                      <w:szCs w:val="21"/>
                    </w:rPr>
                    <w:t>负电极</w:t>
                  </w:r>
                </w:p>
              </w:tc>
              <w:tc>
                <w:tcPr>
                  <w:tcW w:w="1370" w:type="pct"/>
                  <w:vAlign w:val="center"/>
                </w:tcPr>
                <w:p>
                  <w:pPr>
                    <w:jc w:val="center"/>
                    <w:rPr>
                      <w:color w:val="auto"/>
                      <w:szCs w:val="21"/>
                    </w:rPr>
                  </w:pPr>
                  <w:r>
                    <w:rPr>
                      <w:rFonts w:hint="eastAsia"/>
                      <w:color w:val="auto"/>
                      <w:szCs w:val="21"/>
                    </w:rPr>
                    <w:t>海绵状金属铅</w:t>
                  </w:r>
                </w:p>
              </w:tc>
              <w:tc>
                <w:tcPr>
                  <w:tcW w:w="2126" w:type="pct"/>
                  <w:vMerge w:val="continue"/>
                  <w:vAlign w:val="center"/>
                </w:tcPr>
                <w:p>
                  <w:pPr>
                    <w:jc w:val="center"/>
                    <w:rPr>
                      <w:color w:val="auto"/>
                      <w:szCs w:val="21"/>
                    </w:rPr>
                  </w:pPr>
                </w:p>
              </w:tc>
              <w:tc>
                <w:tcPr>
                  <w:tcW w:w="692" w:type="pct"/>
                  <w:vMerge w:val="continue"/>
                  <w:vAlign w:val="center"/>
                </w:tcPr>
                <w:p>
                  <w:pPr>
                    <w:jc w:val="center"/>
                    <w:rPr>
                      <w:color w:val="auto"/>
                      <w:szCs w:val="21"/>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PrEx>
              <w:trPr>
                <w:jc w:val="center"/>
              </w:trPr>
              <w:tc>
                <w:tcPr>
                  <w:tcW w:w="812" w:type="pct"/>
                  <w:vAlign w:val="center"/>
                </w:tcPr>
                <w:p>
                  <w:pPr>
                    <w:jc w:val="center"/>
                    <w:rPr>
                      <w:color w:val="auto"/>
                      <w:szCs w:val="21"/>
                    </w:rPr>
                  </w:pPr>
                  <w:r>
                    <w:rPr>
                      <w:rFonts w:hint="eastAsia"/>
                      <w:color w:val="auto"/>
                      <w:szCs w:val="21"/>
                    </w:rPr>
                    <w:t>外壳、盖子</w:t>
                  </w:r>
                </w:p>
              </w:tc>
              <w:tc>
                <w:tcPr>
                  <w:tcW w:w="1370" w:type="pct"/>
                  <w:vAlign w:val="center"/>
                </w:tcPr>
                <w:p>
                  <w:pPr>
                    <w:jc w:val="center"/>
                    <w:rPr>
                      <w:color w:val="auto"/>
                      <w:szCs w:val="21"/>
                    </w:rPr>
                  </w:pPr>
                  <w:r>
                    <w:rPr>
                      <w:rFonts w:hint="eastAsia"/>
                      <w:color w:val="auto"/>
                      <w:szCs w:val="21"/>
                    </w:rPr>
                    <w:t>塑料、橡胶</w:t>
                  </w:r>
                </w:p>
              </w:tc>
              <w:tc>
                <w:tcPr>
                  <w:tcW w:w="2126" w:type="pct"/>
                  <w:vAlign w:val="center"/>
                </w:tcPr>
                <w:p>
                  <w:pPr>
                    <w:jc w:val="center"/>
                    <w:rPr>
                      <w:color w:val="auto"/>
                      <w:szCs w:val="21"/>
                    </w:rPr>
                  </w:pPr>
                  <w:r>
                    <w:rPr>
                      <w:rFonts w:hint="eastAsia"/>
                      <w:color w:val="auto"/>
                      <w:szCs w:val="21"/>
                    </w:rPr>
                    <w:t>提供电池正负极组合板放置空间，具有足够额机械强度可承受电池内部压力</w:t>
                  </w:r>
                </w:p>
              </w:tc>
              <w:tc>
                <w:tcPr>
                  <w:tcW w:w="692" w:type="pct"/>
                  <w:vMerge w:val="restart"/>
                  <w:vAlign w:val="center"/>
                </w:tcPr>
                <w:p>
                  <w:pPr>
                    <w:jc w:val="center"/>
                    <w:rPr>
                      <w:color w:val="auto"/>
                      <w:szCs w:val="21"/>
                    </w:rPr>
                  </w:pPr>
                  <w:r>
                    <w:rPr>
                      <w:color w:val="auto"/>
                      <w:szCs w:val="21"/>
                    </w:rPr>
                    <w:t>9%</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PrEx>
              <w:trPr>
                <w:jc w:val="center"/>
              </w:trPr>
              <w:tc>
                <w:tcPr>
                  <w:tcW w:w="812" w:type="pct"/>
                  <w:vAlign w:val="center"/>
                </w:tcPr>
                <w:p>
                  <w:pPr>
                    <w:jc w:val="center"/>
                    <w:rPr>
                      <w:color w:val="auto"/>
                      <w:szCs w:val="21"/>
                    </w:rPr>
                  </w:pPr>
                  <w:r>
                    <w:rPr>
                      <w:rFonts w:hint="eastAsia"/>
                      <w:color w:val="auto"/>
                      <w:szCs w:val="21"/>
                    </w:rPr>
                    <w:t>安全阀</w:t>
                  </w:r>
                </w:p>
              </w:tc>
              <w:tc>
                <w:tcPr>
                  <w:tcW w:w="1370" w:type="pct"/>
                  <w:vAlign w:val="center"/>
                </w:tcPr>
                <w:p>
                  <w:pPr>
                    <w:jc w:val="center"/>
                    <w:rPr>
                      <w:color w:val="auto"/>
                      <w:szCs w:val="21"/>
                    </w:rPr>
                  </w:pPr>
                  <w:r>
                    <w:rPr>
                      <w:rFonts w:hint="eastAsia"/>
                      <w:color w:val="auto"/>
                      <w:szCs w:val="21"/>
                    </w:rPr>
                    <w:t>超细玻璃纤维</w:t>
                  </w:r>
                </w:p>
              </w:tc>
              <w:tc>
                <w:tcPr>
                  <w:tcW w:w="2126" w:type="pct"/>
                  <w:vAlign w:val="center"/>
                </w:tcPr>
                <w:p>
                  <w:pPr>
                    <w:jc w:val="center"/>
                    <w:rPr>
                      <w:color w:val="auto"/>
                      <w:szCs w:val="21"/>
                    </w:rPr>
                  </w:pPr>
                  <w:r>
                    <w:rPr>
                      <w:rFonts w:hint="eastAsia"/>
                      <w:color w:val="auto"/>
                      <w:szCs w:val="21"/>
                    </w:rPr>
                    <w:t>电池内压高于正常压力时放气，保持压力正常，阻止氧气进入</w:t>
                  </w:r>
                </w:p>
              </w:tc>
              <w:tc>
                <w:tcPr>
                  <w:tcW w:w="692" w:type="pct"/>
                  <w:vMerge w:val="continue"/>
                  <w:vAlign w:val="center"/>
                </w:tcPr>
                <w:p>
                  <w:pPr>
                    <w:jc w:val="center"/>
                    <w:rPr>
                      <w:color w:val="auto"/>
                      <w:szCs w:val="21"/>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PrEx>
              <w:trPr>
                <w:jc w:val="center"/>
              </w:trPr>
              <w:tc>
                <w:tcPr>
                  <w:tcW w:w="812" w:type="pct"/>
                  <w:vAlign w:val="center"/>
                </w:tcPr>
                <w:p>
                  <w:pPr>
                    <w:jc w:val="center"/>
                    <w:rPr>
                      <w:color w:val="auto"/>
                      <w:szCs w:val="21"/>
                    </w:rPr>
                  </w:pPr>
                  <w:r>
                    <w:rPr>
                      <w:rFonts w:hint="eastAsia"/>
                      <w:color w:val="auto"/>
                      <w:szCs w:val="21"/>
                    </w:rPr>
                    <w:t>隔板</w:t>
                  </w:r>
                </w:p>
              </w:tc>
              <w:tc>
                <w:tcPr>
                  <w:tcW w:w="1370" w:type="pct"/>
                  <w:vAlign w:val="center"/>
                </w:tcPr>
                <w:p>
                  <w:pPr>
                    <w:jc w:val="center"/>
                    <w:rPr>
                      <w:color w:val="auto"/>
                      <w:szCs w:val="21"/>
                    </w:rPr>
                  </w:pPr>
                  <w:r>
                    <w:rPr>
                      <w:rFonts w:hint="eastAsia"/>
                      <w:color w:val="auto"/>
                      <w:szCs w:val="21"/>
                    </w:rPr>
                    <w:t>镉、铜</w:t>
                  </w:r>
                </w:p>
              </w:tc>
              <w:tc>
                <w:tcPr>
                  <w:tcW w:w="2126" w:type="pct"/>
                  <w:vAlign w:val="center"/>
                </w:tcPr>
                <w:p>
                  <w:pPr>
                    <w:jc w:val="center"/>
                    <w:rPr>
                      <w:color w:val="auto"/>
                      <w:szCs w:val="21"/>
                    </w:rPr>
                  </w:pPr>
                  <w:r>
                    <w:rPr>
                      <w:rFonts w:hint="eastAsia"/>
                      <w:color w:val="auto"/>
                      <w:szCs w:val="21"/>
                    </w:rPr>
                    <w:t>包括连续片，棒状，螺旋或引出线，密封端子有助于大电流放电</w:t>
                  </w:r>
                </w:p>
              </w:tc>
              <w:tc>
                <w:tcPr>
                  <w:tcW w:w="692" w:type="pct"/>
                  <w:vAlign w:val="center"/>
                </w:tcPr>
                <w:p>
                  <w:pPr>
                    <w:jc w:val="center"/>
                    <w:rPr>
                      <w:color w:val="auto"/>
                      <w:szCs w:val="21"/>
                    </w:rPr>
                  </w:pPr>
                  <w:r>
                    <w:rPr>
                      <w:color w:val="auto"/>
                      <w:szCs w:val="21"/>
                    </w:rPr>
                    <w:t>2%</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PrEx>
              <w:trPr>
                <w:jc w:val="center"/>
              </w:trPr>
              <w:tc>
                <w:tcPr>
                  <w:tcW w:w="812" w:type="pct"/>
                  <w:vAlign w:val="center"/>
                </w:tcPr>
                <w:p>
                  <w:pPr>
                    <w:jc w:val="center"/>
                    <w:rPr>
                      <w:color w:val="auto"/>
                      <w:szCs w:val="21"/>
                    </w:rPr>
                  </w:pPr>
                  <w:r>
                    <w:rPr>
                      <w:rFonts w:hint="eastAsia"/>
                      <w:color w:val="auto"/>
                      <w:szCs w:val="21"/>
                    </w:rPr>
                    <w:t>电解液</w:t>
                  </w:r>
                </w:p>
              </w:tc>
              <w:tc>
                <w:tcPr>
                  <w:tcW w:w="1370" w:type="pct"/>
                  <w:vAlign w:val="center"/>
                </w:tcPr>
                <w:p>
                  <w:pPr>
                    <w:jc w:val="center"/>
                    <w:rPr>
                      <w:color w:val="auto"/>
                      <w:szCs w:val="21"/>
                    </w:rPr>
                  </w:pPr>
                  <w:r>
                    <w:rPr>
                      <w:rFonts w:hint="eastAsia"/>
                      <w:color w:val="auto"/>
                      <w:szCs w:val="21"/>
                    </w:rPr>
                    <w:t>汞缓蚀剂、硫酸溶液，密度为</w:t>
                  </w:r>
                  <w:r>
                    <w:rPr>
                      <w:color w:val="auto"/>
                      <w:szCs w:val="21"/>
                    </w:rPr>
                    <w:t>1.28±0.005g/cm</w:t>
                  </w:r>
                  <w:r>
                    <w:rPr>
                      <w:color w:val="auto"/>
                      <w:szCs w:val="21"/>
                      <w:vertAlign w:val="superscript"/>
                    </w:rPr>
                    <w:t>3</w:t>
                  </w:r>
                  <w:r>
                    <w:rPr>
                      <w:color w:val="auto"/>
                      <w:szCs w:val="21"/>
                    </w:rPr>
                    <w:t>（</w:t>
                  </w:r>
                  <w:r>
                    <w:rPr>
                      <w:rFonts w:hint="eastAsia"/>
                      <w:color w:val="auto"/>
                      <w:szCs w:val="21"/>
                    </w:rPr>
                    <w:t>相当于溶度</w:t>
                  </w:r>
                  <w:r>
                    <w:rPr>
                      <w:color w:val="auto"/>
                      <w:szCs w:val="21"/>
                    </w:rPr>
                    <w:t>40%）</w:t>
                  </w:r>
                </w:p>
              </w:tc>
              <w:tc>
                <w:tcPr>
                  <w:tcW w:w="2126" w:type="pct"/>
                  <w:vAlign w:val="center"/>
                </w:tcPr>
                <w:p>
                  <w:pPr>
                    <w:jc w:val="center"/>
                    <w:rPr>
                      <w:color w:val="auto"/>
                      <w:szCs w:val="21"/>
                    </w:rPr>
                  </w:pPr>
                  <w:r>
                    <w:rPr>
                      <w:rFonts w:hint="eastAsia"/>
                      <w:color w:val="auto"/>
                      <w:szCs w:val="21"/>
                    </w:rPr>
                    <w:t>使电子能在电池正负极活性物质间转移</w:t>
                  </w:r>
                </w:p>
              </w:tc>
              <w:tc>
                <w:tcPr>
                  <w:tcW w:w="692" w:type="pct"/>
                  <w:vAlign w:val="center"/>
                </w:tcPr>
                <w:p>
                  <w:pPr>
                    <w:jc w:val="center"/>
                    <w:rPr>
                      <w:color w:val="auto"/>
                      <w:szCs w:val="21"/>
                    </w:rPr>
                  </w:pPr>
                  <w:r>
                    <w:rPr>
                      <w:color w:val="auto"/>
                      <w:szCs w:val="21"/>
                    </w:rPr>
                    <w:t>7-25%</w:t>
                  </w:r>
                </w:p>
              </w:tc>
            </w:tr>
          </w:tbl>
          <w:p>
            <w:pPr>
              <w:adjustRightInd w:val="0"/>
              <w:snapToGrid w:val="0"/>
              <w:spacing w:line="520" w:lineRule="exact"/>
              <w:ind w:firstLine="482" w:firstLineChars="200"/>
              <w:rPr>
                <w:b/>
                <w:bCs/>
                <w:color w:val="auto"/>
                <w:sz w:val="24"/>
              </w:rPr>
            </w:pPr>
            <w:r>
              <w:rPr>
                <w:rFonts w:hint="eastAsia"/>
                <w:b/>
                <w:bCs/>
                <w:color w:val="auto"/>
                <w:sz w:val="24"/>
              </w:rPr>
              <w:t>7</w:t>
            </w:r>
            <w:r>
              <w:rPr>
                <w:b/>
                <w:bCs/>
                <w:color w:val="auto"/>
                <w:sz w:val="24"/>
              </w:rPr>
              <w:t>、公用工程</w:t>
            </w:r>
          </w:p>
          <w:p>
            <w:pPr>
              <w:adjustRightInd w:val="0"/>
              <w:snapToGrid w:val="0"/>
              <w:spacing w:line="520" w:lineRule="exact"/>
              <w:ind w:firstLine="480" w:firstLineChars="200"/>
              <w:rPr>
                <w:color w:val="auto"/>
                <w:sz w:val="24"/>
              </w:rPr>
            </w:pPr>
            <w:r>
              <w:rPr>
                <w:color w:val="auto"/>
                <w:sz w:val="24"/>
              </w:rPr>
              <w:t>（1）给</w:t>
            </w:r>
            <w:r>
              <w:rPr>
                <w:rFonts w:hint="eastAsia"/>
                <w:color w:val="auto"/>
                <w:sz w:val="24"/>
              </w:rPr>
              <w:t>排</w:t>
            </w:r>
            <w:r>
              <w:rPr>
                <w:color w:val="auto"/>
                <w:sz w:val="24"/>
              </w:rPr>
              <w:t>水</w:t>
            </w:r>
          </w:p>
          <w:p>
            <w:pPr>
              <w:adjustRightInd w:val="0"/>
              <w:snapToGrid w:val="0"/>
              <w:spacing w:line="520" w:lineRule="exact"/>
              <w:ind w:firstLine="480" w:firstLineChars="200"/>
              <w:rPr>
                <w:color w:val="auto"/>
                <w:sz w:val="24"/>
              </w:rPr>
            </w:pPr>
            <w:r>
              <w:rPr>
                <w:rFonts w:hint="eastAsia"/>
                <w:color w:val="auto"/>
                <w:sz w:val="24"/>
              </w:rPr>
              <w:t>本项目不新增劳动定员，故无新增用水。</w:t>
            </w:r>
          </w:p>
          <w:p>
            <w:pPr>
              <w:numPr>
                <w:ilvl w:val="0"/>
                <w:numId w:val="7"/>
              </w:numPr>
              <w:adjustRightInd w:val="0"/>
              <w:snapToGrid w:val="0"/>
              <w:spacing w:line="520" w:lineRule="exact"/>
              <w:ind w:firstLine="480" w:firstLineChars="200"/>
              <w:rPr>
                <w:color w:val="auto"/>
                <w:sz w:val="24"/>
              </w:rPr>
            </w:pPr>
            <w:r>
              <w:rPr>
                <w:rFonts w:hint="eastAsia"/>
                <w:color w:val="auto"/>
                <w:sz w:val="24"/>
              </w:rPr>
              <w:t>供电</w:t>
            </w:r>
          </w:p>
          <w:p>
            <w:pPr>
              <w:adjustRightInd w:val="0"/>
              <w:snapToGrid w:val="0"/>
              <w:spacing w:line="520" w:lineRule="exact"/>
              <w:ind w:firstLine="480" w:firstLineChars="200"/>
              <w:rPr>
                <w:color w:val="auto"/>
                <w:sz w:val="24"/>
              </w:rPr>
            </w:pPr>
            <w:r>
              <w:rPr>
                <w:rFonts w:hint="eastAsia"/>
                <w:color w:val="auto"/>
                <w:sz w:val="24"/>
              </w:rPr>
              <w:t>本项目供电依托准东油田运输大队现有供电系统。</w:t>
            </w:r>
          </w:p>
          <w:p>
            <w:pPr>
              <w:numPr>
                <w:ilvl w:val="0"/>
                <w:numId w:val="7"/>
              </w:numPr>
              <w:adjustRightInd w:val="0"/>
              <w:snapToGrid w:val="0"/>
              <w:spacing w:line="520" w:lineRule="exact"/>
              <w:ind w:firstLine="480" w:firstLineChars="200"/>
              <w:rPr>
                <w:color w:val="auto"/>
                <w:sz w:val="24"/>
              </w:rPr>
            </w:pPr>
            <w:r>
              <w:rPr>
                <w:rFonts w:hint="eastAsia"/>
                <w:color w:val="auto"/>
                <w:sz w:val="24"/>
              </w:rPr>
              <w:t>通风系统</w:t>
            </w:r>
          </w:p>
          <w:p>
            <w:pPr>
              <w:adjustRightInd w:val="0"/>
              <w:snapToGrid w:val="0"/>
              <w:spacing w:line="520" w:lineRule="exact"/>
              <w:ind w:firstLine="480" w:firstLineChars="200"/>
              <w:rPr>
                <w:color w:val="auto"/>
                <w:sz w:val="24"/>
              </w:rPr>
            </w:pPr>
            <w:r>
              <w:rPr>
                <w:rFonts w:hint="eastAsia"/>
                <w:color w:val="auto"/>
                <w:sz w:val="24"/>
              </w:rPr>
              <w:t>塑钢窗户。</w:t>
            </w:r>
          </w:p>
          <w:p>
            <w:pPr>
              <w:adjustRightInd w:val="0"/>
              <w:snapToGrid w:val="0"/>
              <w:spacing w:line="520" w:lineRule="exact"/>
              <w:ind w:firstLine="482" w:firstLineChars="200"/>
              <w:rPr>
                <w:color w:val="auto"/>
                <w:sz w:val="24"/>
              </w:rPr>
            </w:pPr>
            <w:r>
              <w:rPr>
                <w:rFonts w:hint="eastAsia"/>
                <w:b/>
                <w:bCs/>
                <w:color w:val="auto"/>
                <w:sz w:val="24"/>
              </w:rPr>
              <w:t>8</w:t>
            </w:r>
            <w:r>
              <w:rPr>
                <w:b/>
                <w:bCs/>
                <w:color w:val="auto"/>
                <w:sz w:val="24"/>
              </w:rPr>
              <w:t>、劳动定员及工作制度</w:t>
            </w:r>
          </w:p>
          <w:p>
            <w:pPr>
              <w:adjustRightInd w:val="0"/>
              <w:snapToGrid w:val="0"/>
              <w:spacing w:line="520" w:lineRule="exact"/>
              <w:ind w:left="420"/>
              <w:rPr>
                <w:color w:val="auto"/>
                <w:sz w:val="24"/>
              </w:rPr>
            </w:pPr>
            <w:r>
              <w:rPr>
                <w:color w:val="auto"/>
                <w:sz w:val="24"/>
              </w:rPr>
              <w:t>本项目建成后，</w:t>
            </w:r>
            <w:r>
              <w:rPr>
                <w:rFonts w:hint="eastAsia"/>
                <w:color w:val="auto"/>
                <w:sz w:val="24"/>
              </w:rPr>
              <w:t>不</w:t>
            </w:r>
            <w:r>
              <w:rPr>
                <w:color w:val="auto"/>
                <w:sz w:val="24"/>
              </w:rPr>
              <w:t>新增员工</w:t>
            </w:r>
            <w:r>
              <w:rPr>
                <w:rFonts w:hint="eastAsia"/>
                <w:color w:val="auto"/>
                <w:sz w:val="24"/>
              </w:rPr>
              <w:t xml:space="preserve">，由现有员工中调配。项目年运行365天，每天24小时运行。 </w:t>
            </w:r>
          </w:p>
          <w:p>
            <w:pPr>
              <w:adjustRightInd w:val="0"/>
              <w:snapToGrid w:val="0"/>
              <w:spacing w:line="520" w:lineRule="exact"/>
              <w:ind w:left="420"/>
              <w:rPr>
                <w:b/>
                <w:bCs/>
                <w:color w:val="auto"/>
                <w:sz w:val="24"/>
              </w:rPr>
            </w:pPr>
            <w:r>
              <w:rPr>
                <w:rFonts w:hint="eastAsia"/>
                <w:b/>
                <w:bCs/>
                <w:color w:val="auto"/>
                <w:sz w:val="24"/>
              </w:rPr>
              <w:t xml:space="preserve">9、总平面布置 </w:t>
            </w:r>
          </w:p>
          <w:p>
            <w:pPr>
              <w:adjustRightInd w:val="0"/>
              <w:snapToGrid w:val="0"/>
              <w:spacing w:line="520" w:lineRule="exact"/>
              <w:ind w:firstLine="480" w:firstLineChars="200"/>
              <w:rPr>
                <w:bCs/>
                <w:color w:val="auto"/>
                <w:sz w:val="24"/>
              </w:rPr>
            </w:pPr>
            <w:r>
              <w:rPr>
                <w:rFonts w:hint="eastAsia"/>
                <w:color w:val="auto"/>
                <w:sz w:val="24"/>
              </w:rPr>
              <w:t>本项目建设的危废暂存间为集装箱式，占地面积15m</w:t>
            </w:r>
            <w:r>
              <w:rPr>
                <w:rFonts w:hint="eastAsia"/>
                <w:color w:val="auto"/>
                <w:sz w:val="24"/>
                <w:vertAlign w:val="superscript"/>
              </w:rPr>
              <w:t>2</w:t>
            </w:r>
            <w:r>
              <w:rPr>
                <w:rFonts w:hint="eastAsia"/>
                <w:color w:val="auto"/>
                <w:sz w:val="24"/>
              </w:rPr>
              <w:t>，彩钢结构，分为单独的3</w:t>
            </w:r>
            <w:r>
              <w:rPr>
                <w:rFonts w:hint="eastAsia"/>
                <w:color w:val="auto"/>
                <w:sz w:val="24"/>
                <w:lang w:eastAsia="zh-CN"/>
              </w:rPr>
              <w:t>个</w:t>
            </w:r>
            <w:r>
              <w:rPr>
                <w:rFonts w:hint="eastAsia"/>
                <w:color w:val="auto"/>
                <w:sz w:val="24"/>
              </w:rPr>
              <w:t>区，每个区都有独立的房门，每个区占地面积约5m</w:t>
            </w:r>
            <w:r>
              <w:rPr>
                <w:rFonts w:hint="eastAsia"/>
                <w:color w:val="auto"/>
                <w:sz w:val="24"/>
                <w:vertAlign w:val="superscript"/>
              </w:rPr>
              <w:t>2</w:t>
            </w:r>
            <w:r>
              <w:rPr>
                <w:rFonts w:hint="eastAsia"/>
                <w:color w:val="auto"/>
                <w:sz w:val="24"/>
              </w:rPr>
              <w:t>，</w:t>
            </w:r>
            <w:r>
              <w:rPr>
                <w:rFonts w:hint="eastAsia" w:ascii="Times New Roman" w:hAnsi="Times New Roman"/>
                <w:color w:val="auto"/>
                <w:sz w:val="24"/>
                <w:szCs w:val="24"/>
              </w:rPr>
              <w:t>分别贮存废机油</w:t>
            </w:r>
            <w:r>
              <w:rPr>
                <w:rFonts w:hint="eastAsia" w:eastAsia="宋体"/>
                <w:color w:val="auto"/>
                <w:sz w:val="24"/>
              </w:rPr>
              <w:t>、废滤芯和废蓄电池</w:t>
            </w:r>
            <w:r>
              <w:rPr>
                <w:rFonts w:hint="eastAsia" w:eastAsia="宋体"/>
                <w:color w:val="auto"/>
                <w:sz w:val="24"/>
                <w:lang w:eastAsia="zh-CN"/>
              </w:rPr>
              <w:t>，</w:t>
            </w:r>
            <w:r>
              <w:rPr>
                <w:rFonts w:hint="eastAsia" w:eastAsia="宋体"/>
                <w:color w:val="auto"/>
                <w:sz w:val="24"/>
              </w:rPr>
              <w:t>避免不相容的危险废物接触、混合</w:t>
            </w:r>
            <w:r>
              <w:rPr>
                <w:rFonts w:hint="eastAsia" w:eastAsia="宋体"/>
                <w:color w:val="auto"/>
                <w:sz w:val="24"/>
                <w:lang w:eastAsia="zh-CN"/>
              </w:rPr>
              <w:t>，</w:t>
            </w:r>
            <w:r>
              <w:rPr>
                <w:color w:val="auto"/>
                <w:kern w:val="0"/>
                <w:sz w:val="24"/>
                <w:lang w:bidi="ar"/>
              </w:rPr>
              <w:t>符合《危险废物贮存污染控制标准》（GB18597-20</w:t>
            </w:r>
            <w:r>
              <w:rPr>
                <w:rFonts w:hint="eastAsia"/>
                <w:color w:val="auto"/>
                <w:kern w:val="0"/>
                <w:sz w:val="24"/>
                <w:lang w:bidi="ar"/>
              </w:rPr>
              <w:t>23</w:t>
            </w:r>
            <w:r>
              <w:rPr>
                <w:color w:val="auto"/>
                <w:kern w:val="0"/>
                <w:sz w:val="24"/>
                <w:lang w:bidi="ar"/>
              </w:rPr>
              <w:t>）要求</w:t>
            </w:r>
            <w:r>
              <w:rPr>
                <w:rFonts w:hint="eastAsia"/>
                <w:color w:val="auto"/>
                <w:kern w:val="0"/>
                <w:sz w:val="24"/>
                <w:lang w:eastAsia="zh-CN" w:bidi="ar"/>
              </w:rPr>
              <w:t>。</w:t>
            </w:r>
            <w:r>
              <w:rPr>
                <w:rFonts w:hint="eastAsia" w:eastAsia="宋体"/>
                <w:color w:val="auto"/>
                <w:sz w:val="24"/>
                <w:lang w:val="en-US" w:eastAsia="zh-CN"/>
              </w:rPr>
              <w:t>危废暂存间</w:t>
            </w:r>
            <w:r>
              <w:rPr>
                <w:rFonts w:hint="eastAsia" w:eastAsia="宋体"/>
                <w:color w:val="auto"/>
                <w:sz w:val="24"/>
              </w:rPr>
              <w:t>底板采用100mm钢板并用</w:t>
            </w:r>
            <w:r>
              <w:rPr>
                <w:rFonts w:hint="eastAsia" w:eastAsia="宋体"/>
                <w:color w:val="auto"/>
                <w:sz w:val="24"/>
                <w:lang w:eastAsia="zh-CN"/>
              </w:rPr>
              <w:t>环氧树脂</w:t>
            </w:r>
            <w:r>
              <w:rPr>
                <w:rFonts w:hint="eastAsia" w:eastAsia="宋体"/>
                <w:color w:val="auto"/>
                <w:sz w:val="24"/>
              </w:rPr>
              <w:t>胶泥灌封，集装箱由固定滑轮支撑，箱体处于悬空状态，集装箱下设C30混凝土硬化地面，渗透系数≤10</w:t>
            </w:r>
            <w:r>
              <w:rPr>
                <w:rFonts w:hint="eastAsia" w:eastAsia="宋体"/>
                <w:color w:val="auto"/>
                <w:sz w:val="24"/>
                <w:vertAlign w:val="superscript"/>
              </w:rPr>
              <w:t>-10</w:t>
            </w:r>
            <w:r>
              <w:rPr>
                <w:rFonts w:hint="eastAsia" w:eastAsia="宋体"/>
                <w:color w:val="auto"/>
                <w:sz w:val="24"/>
              </w:rPr>
              <w:t>cm/s。</w:t>
            </w:r>
            <w:r>
              <w:rPr>
                <w:rFonts w:hint="eastAsia" w:eastAsia="宋体"/>
                <w:color w:val="auto"/>
                <w:kern w:val="0"/>
                <w:sz w:val="24"/>
                <w:lang w:bidi="ar"/>
              </w:rPr>
              <w:t>废电池存储区及废机油存储区设置0</w:t>
            </w:r>
            <w:r>
              <w:rPr>
                <w:rFonts w:eastAsia="宋体"/>
                <w:color w:val="auto"/>
                <w:kern w:val="0"/>
                <w:sz w:val="24"/>
                <w:lang w:bidi="ar"/>
              </w:rPr>
              <w:t>.1</w:t>
            </w:r>
            <w:r>
              <w:rPr>
                <w:rFonts w:hint="eastAsia" w:eastAsia="宋体"/>
                <w:color w:val="auto"/>
                <w:kern w:val="0"/>
                <w:sz w:val="24"/>
                <w:lang w:bidi="ar"/>
              </w:rPr>
              <w:t>m高围堰，用于收集渗滤液和泄漏机油，废机油收集桶底部配置托盘</w:t>
            </w:r>
            <w:r>
              <w:rPr>
                <w:rFonts w:hint="eastAsia" w:eastAsia="宋体"/>
                <w:color w:val="auto"/>
                <w:sz w:val="24"/>
              </w:rPr>
              <w:t>，完整废电池均整齐有序的放在地面上，并做好标识，破损废电池在独立加盖耐酸的容器内单独存放</w:t>
            </w:r>
            <w:r>
              <w:rPr>
                <w:rFonts w:hint="eastAsia" w:eastAsia="宋体"/>
                <w:color w:val="auto"/>
                <w:sz w:val="24"/>
                <w:lang w:eastAsia="zh-CN"/>
              </w:rPr>
              <w:t>。</w:t>
            </w:r>
            <w:r>
              <w:rPr>
                <w:rFonts w:hint="eastAsia" w:eastAsia="宋体"/>
                <w:color w:val="auto"/>
                <w:sz w:val="24"/>
                <w:lang w:val="en-US" w:eastAsia="zh-CN"/>
              </w:rPr>
              <w:t>本评价认为项目平面布置合理。</w:t>
            </w:r>
            <w:r>
              <w:rPr>
                <w:rFonts w:hint="eastAsia"/>
                <w:color w:val="auto"/>
                <w:sz w:val="24"/>
              </w:rPr>
              <w:t>详见附图3。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90" w:hRule="atLeast"/>
          <w:jc w:val="center"/>
        </w:trPr>
        <w:tc>
          <w:tcPr>
            <w:tcW w:w="823" w:type="dxa"/>
            <w:vAlign w:val="center"/>
          </w:tcPr>
          <w:p>
            <w:pPr>
              <w:pStyle w:val="27"/>
              <w:adjustRightInd w:val="0"/>
              <w:snapToGrid w:val="0"/>
              <w:spacing w:before="0" w:beforeAutospacing="0" w:after="0" w:afterAutospacing="0"/>
              <w:jc w:val="center"/>
              <w:rPr>
                <w:rFonts w:ascii="Times New Roman" w:hAnsi="Times New Roman"/>
                <w:color w:val="auto"/>
                <w:szCs w:val="24"/>
              </w:rPr>
            </w:pPr>
          </w:p>
          <w:p>
            <w:pPr>
              <w:pStyle w:val="27"/>
              <w:adjustRightInd w:val="0"/>
              <w:snapToGrid w:val="0"/>
              <w:spacing w:before="0" w:beforeAutospacing="0" w:after="0" w:afterAutospacing="0"/>
              <w:jc w:val="center"/>
              <w:rPr>
                <w:rFonts w:ascii="Times New Roman" w:hAnsi="Times New Roman"/>
                <w:color w:val="auto"/>
                <w:szCs w:val="24"/>
              </w:rPr>
            </w:pPr>
          </w:p>
          <w:p>
            <w:pPr>
              <w:pStyle w:val="27"/>
              <w:adjustRightInd w:val="0"/>
              <w:snapToGrid w:val="0"/>
              <w:spacing w:before="0" w:beforeAutospacing="0" w:after="0" w:afterAutospacing="0"/>
              <w:jc w:val="center"/>
              <w:rPr>
                <w:rFonts w:ascii="Times New Roman" w:hAnsi="Times New Roman"/>
                <w:color w:val="auto"/>
                <w:szCs w:val="24"/>
              </w:rPr>
            </w:pPr>
          </w:p>
          <w:p>
            <w:pPr>
              <w:pStyle w:val="27"/>
              <w:adjustRightInd w:val="0"/>
              <w:snapToGrid w:val="0"/>
              <w:spacing w:before="0" w:beforeAutospacing="0" w:after="0" w:afterAutospacing="0"/>
              <w:jc w:val="center"/>
              <w:rPr>
                <w:rFonts w:ascii="Times New Roman" w:hAnsi="Times New Roman"/>
                <w:color w:val="auto"/>
                <w:szCs w:val="24"/>
              </w:rPr>
            </w:pPr>
          </w:p>
          <w:p>
            <w:pPr>
              <w:pStyle w:val="27"/>
              <w:adjustRightInd w:val="0"/>
              <w:snapToGrid w:val="0"/>
              <w:spacing w:before="0" w:beforeAutospacing="0" w:after="0" w:afterAutospacing="0"/>
              <w:jc w:val="center"/>
              <w:rPr>
                <w:rFonts w:ascii="Times New Roman" w:hAnsi="Times New Roman"/>
                <w:color w:val="auto"/>
                <w:szCs w:val="24"/>
              </w:rPr>
            </w:pPr>
          </w:p>
          <w:p>
            <w:pPr>
              <w:pStyle w:val="27"/>
              <w:adjustRightInd w:val="0"/>
              <w:snapToGrid w:val="0"/>
              <w:spacing w:before="0" w:beforeAutospacing="0" w:after="0" w:afterAutospacing="0"/>
              <w:jc w:val="center"/>
              <w:rPr>
                <w:rFonts w:ascii="Times New Roman" w:hAnsi="Times New Roman"/>
                <w:color w:val="auto"/>
                <w:szCs w:val="24"/>
              </w:rPr>
            </w:pPr>
          </w:p>
          <w:p>
            <w:pPr>
              <w:pStyle w:val="27"/>
              <w:adjustRightInd w:val="0"/>
              <w:snapToGrid w:val="0"/>
              <w:spacing w:before="0" w:beforeAutospacing="0" w:after="0" w:afterAutospacing="0"/>
              <w:jc w:val="center"/>
              <w:rPr>
                <w:rFonts w:ascii="Times New Roman" w:hAnsi="Times New Roman"/>
                <w:color w:val="auto"/>
                <w:szCs w:val="24"/>
              </w:rPr>
            </w:pPr>
          </w:p>
          <w:p>
            <w:pPr>
              <w:pStyle w:val="27"/>
              <w:adjustRightInd w:val="0"/>
              <w:snapToGrid w:val="0"/>
              <w:spacing w:before="0" w:beforeAutospacing="0" w:after="0" w:afterAutospacing="0"/>
              <w:jc w:val="center"/>
              <w:rPr>
                <w:rFonts w:ascii="Times New Roman" w:hAnsi="Times New Roman"/>
                <w:color w:val="auto"/>
                <w:szCs w:val="24"/>
              </w:rPr>
            </w:pPr>
          </w:p>
          <w:p>
            <w:pPr>
              <w:pStyle w:val="27"/>
              <w:adjustRightInd w:val="0"/>
              <w:snapToGrid w:val="0"/>
              <w:spacing w:before="0" w:beforeAutospacing="0" w:after="0" w:afterAutospacing="0"/>
              <w:jc w:val="center"/>
              <w:rPr>
                <w:rFonts w:ascii="Times New Roman" w:hAnsi="Times New Roman"/>
                <w:color w:val="auto"/>
                <w:szCs w:val="24"/>
              </w:rPr>
            </w:pPr>
          </w:p>
          <w:p>
            <w:pPr>
              <w:pStyle w:val="27"/>
              <w:adjustRightInd w:val="0"/>
              <w:snapToGrid w:val="0"/>
              <w:spacing w:before="0" w:beforeAutospacing="0" w:after="0" w:afterAutospacing="0"/>
              <w:jc w:val="center"/>
              <w:rPr>
                <w:rFonts w:ascii="Times New Roman" w:hAnsi="Times New Roman"/>
                <w:color w:val="auto"/>
                <w:szCs w:val="24"/>
              </w:rPr>
            </w:pPr>
          </w:p>
          <w:p>
            <w:pPr>
              <w:pStyle w:val="27"/>
              <w:adjustRightInd w:val="0"/>
              <w:snapToGrid w:val="0"/>
              <w:spacing w:before="0" w:beforeAutospacing="0" w:after="0" w:afterAutospacing="0"/>
              <w:jc w:val="center"/>
              <w:rPr>
                <w:rFonts w:ascii="Times New Roman" w:hAnsi="Times New Roman"/>
                <w:color w:val="auto"/>
                <w:szCs w:val="24"/>
              </w:rPr>
            </w:pPr>
          </w:p>
          <w:p>
            <w:pPr>
              <w:pStyle w:val="27"/>
              <w:adjustRightInd w:val="0"/>
              <w:snapToGrid w:val="0"/>
              <w:spacing w:before="0" w:beforeAutospacing="0" w:after="0" w:afterAutospacing="0"/>
              <w:jc w:val="center"/>
              <w:rPr>
                <w:rFonts w:ascii="Times New Roman" w:hAnsi="Times New Roman"/>
                <w:color w:val="auto"/>
                <w:szCs w:val="24"/>
              </w:rPr>
            </w:pPr>
          </w:p>
          <w:p>
            <w:pPr>
              <w:pStyle w:val="27"/>
              <w:adjustRightInd w:val="0"/>
              <w:snapToGrid w:val="0"/>
              <w:spacing w:before="0" w:beforeAutospacing="0" w:after="0" w:afterAutospacing="0"/>
              <w:jc w:val="center"/>
              <w:rPr>
                <w:rFonts w:ascii="Times New Roman" w:hAnsi="Times New Roman"/>
                <w:color w:val="auto"/>
                <w:szCs w:val="24"/>
              </w:rPr>
            </w:pPr>
          </w:p>
          <w:p>
            <w:pPr>
              <w:pStyle w:val="27"/>
              <w:adjustRightInd w:val="0"/>
              <w:snapToGrid w:val="0"/>
              <w:spacing w:before="0" w:beforeAutospacing="0" w:after="0" w:afterAutospacing="0"/>
              <w:jc w:val="center"/>
              <w:rPr>
                <w:rFonts w:ascii="Times New Roman" w:hAnsi="Times New Roman"/>
                <w:color w:val="auto"/>
                <w:szCs w:val="24"/>
              </w:rPr>
            </w:pPr>
            <w:r>
              <w:rPr>
                <w:rFonts w:ascii="Times New Roman" w:hAnsi="Times New Roman"/>
                <w:color w:val="auto"/>
                <w:szCs w:val="24"/>
              </w:rPr>
              <w:t>工艺流程和产排污环节</w:t>
            </w:r>
          </w:p>
        </w:tc>
        <w:tc>
          <w:tcPr>
            <w:tcW w:w="8161" w:type="dxa"/>
          </w:tcPr>
          <w:p>
            <w:pPr>
              <w:adjustRightInd w:val="0"/>
              <w:snapToGrid w:val="0"/>
              <w:spacing w:line="520" w:lineRule="exact"/>
              <w:ind w:firstLine="482" w:firstLineChars="200"/>
              <w:rPr>
                <w:b/>
                <w:bCs/>
                <w:color w:val="auto"/>
                <w:sz w:val="24"/>
              </w:rPr>
            </w:pPr>
            <w:r>
              <w:rPr>
                <w:b/>
                <w:bCs/>
                <w:color w:val="auto"/>
                <w:sz w:val="24"/>
              </w:rPr>
              <w:t>1、施工期</w:t>
            </w:r>
          </w:p>
          <w:p>
            <w:pPr>
              <w:adjustRightInd w:val="0"/>
              <w:snapToGrid w:val="0"/>
              <w:spacing w:line="520" w:lineRule="exact"/>
              <w:ind w:firstLine="480" w:firstLineChars="200"/>
              <w:rPr>
                <w:rFonts w:hint="default" w:eastAsia="宋体"/>
                <w:color w:val="auto"/>
                <w:sz w:val="24"/>
                <w:lang w:val="en-US" w:eastAsia="zh-CN"/>
              </w:rPr>
            </w:pPr>
            <w:r>
              <w:rPr>
                <w:rFonts w:hint="eastAsia"/>
                <w:color w:val="auto"/>
                <w:sz w:val="24"/>
              </w:rPr>
              <w:t>本项目</w:t>
            </w:r>
            <w:r>
              <w:rPr>
                <w:rFonts w:hint="eastAsia"/>
                <w:color w:val="auto"/>
                <w:sz w:val="24"/>
                <w:lang w:val="en-US" w:eastAsia="zh-CN"/>
              </w:rPr>
              <w:t>施工期主要是将购置的危废暂存集装箱拉运至项目区</w:t>
            </w:r>
            <w:r>
              <w:rPr>
                <w:color w:val="auto"/>
                <w:sz w:val="24"/>
              </w:rPr>
              <w:t>，</w:t>
            </w:r>
            <w:r>
              <w:rPr>
                <w:rFonts w:hint="eastAsia"/>
                <w:color w:val="auto"/>
                <w:sz w:val="24"/>
                <w:lang w:val="en-US" w:eastAsia="zh-CN"/>
              </w:rPr>
              <w:t>集装箱内防渗等工艺已完善，拉运至厂区过程中</w:t>
            </w:r>
            <w:r>
              <w:rPr>
                <w:color w:val="auto"/>
                <w:sz w:val="24"/>
              </w:rPr>
              <w:t>不可避免的对项目区所在地周围环境产生一定的影响。施工期主要是产生噪声、</w:t>
            </w:r>
            <w:r>
              <w:rPr>
                <w:rFonts w:hint="eastAsia"/>
                <w:color w:val="auto"/>
                <w:sz w:val="24"/>
                <w:lang w:val="en-US" w:eastAsia="zh-CN"/>
              </w:rPr>
              <w:t>汽车尾气</w:t>
            </w:r>
            <w:r>
              <w:rPr>
                <w:color w:val="auto"/>
                <w:sz w:val="24"/>
              </w:rPr>
              <w:t>等。</w:t>
            </w:r>
            <w:r>
              <w:rPr>
                <w:rFonts w:hint="eastAsia"/>
                <w:color w:val="auto"/>
                <w:sz w:val="24"/>
                <w:lang w:val="en-US" w:eastAsia="zh-CN"/>
              </w:rPr>
              <w:t>目前危废暂存间已拉运至厂区，尚未投入使用。</w:t>
            </w:r>
          </w:p>
          <w:p>
            <w:pPr>
              <w:adjustRightInd w:val="0"/>
              <w:snapToGrid w:val="0"/>
              <w:spacing w:line="520" w:lineRule="exact"/>
              <w:ind w:firstLine="482" w:firstLineChars="200"/>
              <w:rPr>
                <w:b/>
                <w:bCs/>
                <w:color w:val="auto"/>
                <w:sz w:val="24"/>
              </w:rPr>
            </w:pPr>
            <w:r>
              <w:rPr>
                <w:b/>
                <w:bCs/>
                <w:color w:val="auto"/>
                <w:sz w:val="24"/>
              </w:rPr>
              <w:t>2、运营期</w:t>
            </w:r>
          </w:p>
          <w:p>
            <w:pPr>
              <w:adjustRightInd w:val="0"/>
              <w:snapToGrid w:val="0"/>
              <w:spacing w:line="520" w:lineRule="exact"/>
              <w:ind w:firstLine="480" w:firstLineChars="200"/>
              <w:rPr>
                <w:color w:val="auto"/>
                <w:sz w:val="24"/>
              </w:rPr>
            </w:pPr>
            <w:r>
              <w:rPr>
                <w:color w:val="auto"/>
                <w:sz w:val="24"/>
              </w:rPr>
              <w:t>2.1生产工艺流程</w:t>
            </w:r>
          </w:p>
          <w:p>
            <w:pPr>
              <w:pStyle w:val="12"/>
              <w:spacing w:before="0" w:after="0" w:line="240" w:lineRule="auto"/>
              <w:ind w:right="0"/>
              <w:jc w:val="center"/>
              <w:rPr>
                <w:bCs/>
                <w:color w:val="auto"/>
                <w:sz w:val="24"/>
                <w:szCs w:val="24"/>
              </w:rPr>
            </w:pPr>
            <w:r>
              <w:rPr>
                <w:rFonts w:hint="eastAsia"/>
                <w:bCs/>
                <w:color w:val="auto"/>
                <w:sz w:val="24"/>
                <w:szCs w:val="24"/>
              </w:rPr>
              <w:object>
                <v:shape id="_x0000_i1025" o:spt="75" type="#_x0000_t75" style="height:300.75pt;width:240pt;" o:ole="t" filled="f" o:preferrelative="t" stroked="f" coordsize="21600,21600">
                  <v:path/>
                  <v:fill on="f" focussize="0,0"/>
                  <v:stroke on="f" joinstyle="miter"/>
                  <v:imagedata r:id="rId16" o:title=""/>
                  <o:lock v:ext="edit" aspectratio="f"/>
                  <w10:wrap type="none"/>
                  <w10:anchorlock/>
                </v:shape>
                <o:OLEObject Type="Embed" ProgID="Visio.Drawing.11" ShapeID="_x0000_i1025" DrawAspect="Content" ObjectID="_1468075725" r:id="rId15">
                  <o:LockedField>false</o:LockedField>
                </o:OLEObject>
              </w:object>
            </w:r>
          </w:p>
          <w:p>
            <w:pPr>
              <w:adjustRightInd w:val="0"/>
              <w:snapToGrid w:val="0"/>
              <w:spacing w:line="480" w:lineRule="exact"/>
              <w:ind w:firstLine="480" w:firstLineChars="200"/>
              <w:jc w:val="center"/>
              <w:rPr>
                <w:color w:val="auto"/>
                <w:sz w:val="24"/>
              </w:rPr>
            </w:pPr>
            <w:r>
              <w:rPr>
                <w:rFonts w:hint="eastAsia" w:eastAsia="黑体"/>
                <w:color w:val="auto"/>
                <w:sz w:val="24"/>
              </w:rPr>
              <w:t>图2-2    运营期工艺流程及产污环节分析</w:t>
            </w:r>
          </w:p>
          <w:p>
            <w:pPr>
              <w:adjustRightInd w:val="0"/>
              <w:snapToGrid w:val="0"/>
              <w:spacing w:line="520" w:lineRule="exact"/>
              <w:ind w:firstLine="480" w:firstLineChars="200"/>
              <w:rPr>
                <w:color w:val="auto"/>
                <w:sz w:val="24"/>
              </w:rPr>
            </w:pPr>
            <w:r>
              <w:rPr>
                <w:color w:val="auto"/>
                <w:sz w:val="24"/>
              </w:rPr>
              <w:t>2.2工艺流程简述</w:t>
            </w:r>
          </w:p>
          <w:p>
            <w:pPr>
              <w:adjustRightInd w:val="0"/>
              <w:snapToGrid w:val="0"/>
              <w:spacing w:line="520" w:lineRule="exact"/>
              <w:ind w:firstLine="480" w:firstLineChars="200"/>
              <w:rPr>
                <w:color w:val="auto"/>
                <w:sz w:val="24"/>
              </w:rPr>
            </w:pPr>
            <w:r>
              <w:rPr>
                <w:rFonts w:hint="eastAsia"/>
                <w:color w:val="auto"/>
                <w:sz w:val="24"/>
              </w:rPr>
              <w:t>生产基地运输车辆维护、维修产生废机油、废滤芯、废蓄电池，收集后存入危废暂存间，然后进行危险废物登记，并记录入库时间、存放位置，完成《危险废物贮存环节记录表》。检查登记后，在危废暂存场卸车区域进行危险废物的交接，随后转移至集装箱指定区域暂存。</w:t>
            </w:r>
          </w:p>
          <w:p>
            <w:pPr>
              <w:adjustRightInd w:val="0"/>
              <w:snapToGrid w:val="0"/>
              <w:spacing w:line="520" w:lineRule="exact"/>
              <w:ind w:firstLine="480" w:firstLineChars="200"/>
              <w:rPr>
                <w:color w:val="auto"/>
                <w:sz w:val="24"/>
              </w:rPr>
            </w:pPr>
            <w:r>
              <w:rPr>
                <w:rFonts w:hint="eastAsia"/>
                <w:color w:val="auto"/>
                <w:sz w:val="24"/>
              </w:rPr>
              <w:t>根据收集的危险废物种类、形态，将危险废物分类暂存于项目对应的危险废物暂存区，不同类危险废物容器之间留有间隔和搬运通道，配备消防设备和报警装置。按照《危险废物贮存污染控制标准》(GB18597-20</w:t>
            </w:r>
            <w:r>
              <w:rPr>
                <w:rFonts w:hint="eastAsia"/>
                <w:color w:val="auto"/>
                <w:sz w:val="24"/>
                <w:lang w:val="en-US" w:eastAsia="zh-CN"/>
              </w:rPr>
              <w:t>23</w:t>
            </w:r>
            <w:r>
              <w:rPr>
                <w:rFonts w:hint="eastAsia"/>
                <w:color w:val="auto"/>
                <w:sz w:val="24"/>
              </w:rPr>
              <w:t>）</w:t>
            </w:r>
            <w:r>
              <w:rPr>
                <w:rFonts w:hint="eastAsia"/>
                <w:color w:val="auto"/>
                <w:sz w:val="24"/>
                <w:lang w:eastAsia="zh-CN"/>
              </w:rPr>
              <w:t>、</w:t>
            </w:r>
            <w:r>
              <w:rPr>
                <w:rFonts w:hint="eastAsia"/>
                <w:color w:val="auto"/>
                <w:sz w:val="24"/>
              </w:rPr>
              <w:t>《危险废物转移管理办法》以及《危险废物收集、贮存、运输技术规范》（HJ2025-2012）中的有关规定妥善储存。各危险废物暂存区地面与裙脚采取防渗、防腐措施。</w:t>
            </w:r>
          </w:p>
          <w:p>
            <w:pPr>
              <w:adjustRightInd w:val="0"/>
              <w:snapToGrid w:val="0"/>
              <w:spacing w:line="520" w:lineRule="exact"/>
              <w:ind w:firstLine="480" w:firstLineChars="200"/>
              <w:rPr>
                <w:color w:val="auto"/>
                <w:sz w:val="24"/>
              </w:rPr>
            </w:pPr>
            <w:r>
              <w:rPr>
                <w:rFonts w:hint="eastAsia"/>
                <w:color w:val="auto"/>
                <w:sz w:val="24"/>
              </w:rPr>
              <w:t>危废暂存场管理人员定期对集装箱内的危险废物进行检查，如果发现容器破损，应及时更换，并对泄漏点进行擦拭，擦拭使用的含油抹布同沾油废物一同处置。</w:t>
            </w:r>
          </w:p>
          <w:p>
            <w:pPr>
              <w:adjustRightInd w:val="0"/>
              <w:snapToGrid w:val="0"/>
              <w:spacing w:line="520" w:lineRule="exact"/>
              <w:ind w:firstLine="480" w:firstLineChars="200"/>
              <w:rPr>
                <w:color w:val="auto"/>
                <w:sz w:val="24"/>
              </w:rPr>
            </w:pPr>
            <w:r>
              <w:rPr>
                <w:rFonts w:hint="eastAsia"/>
                <w:color w:val="auto"/>
                <w:sz w:val="24"/>
              </w:rPr>
              <w:t>本工程危险废物储存达到一定量后，委托</w:t>
            </w:r>
            <w:r>
              <w:rPr>
                <w:rFonts w:hint="eastAsia"/>
                <w:color w:val="auto"/>
                <w:sz w:val="24"/>
                <w:lang w:val="en-US" w:eastAsia="zh-CN"/>
              </w:rPr>
              <w:t>有资质单位</w:t>
            </w:r>
            <w:r>
              <w:rPr>
                <w:rFonts w:hint="eastAsia"/>
                <w:color w:val="auto"/>
                <w:sz w:val="24"/>
              </w:rPr>
              <w:t>定期拉运处置。危废出库前，按照《中华人民共和国固体废物污染环境防治法》、《关于推进危险废物环境管理信息化有关工作的通知》（环办固体函</w:t>
            </w:r>
            <w:r>
              <w:rPr>
                <w:rFonts w:hint="eastAsia"/>
                <w:color w:val="auto"/>
                <w:sz w:val="24"/>
                <w:lang w:eastAsia="zh-CN"/>
              </w:rPr>
              <w:t>〔</w:t>
            </w:r>
            <w:r>
              <w:rPr>
                <w:rFonts w:hint="eastAsia"/>
                <w:color w:val="auto"/>
                <w:sz w:val="24"/>
              </w:rPr>
              <w:t>2020</w:t>
            </w:r>
            <w:r>
              <w:rPr>
                <w:rFonts w:hint="eastAsia"/>
                <w:color w:val="auto"/>
                <w:sz w:val="24"/>
                <w:lang w:eastAsia="zh-CN"/>
              </w:rPr>
              <w:t>〕</w:t>
            </w:r>
            <w:r>
              <w:rPr>
                <w:rFonts w:hint="eastAsia"/>
                <w:color w:val="auto"/>
                <w:sz w:val="24"/>
              </w:rPr>
              <w:t>733号）和《关于进一步推进危险废物环境管理信息化有关工作的通知》（环办固体函</w:t>
            </w:r>
            <w:r>
              <w:rPr>
                <w:rFonts w:hint="eastAsia"/>
                <w:color w:val="auto"/>
                <w:sz w:val="24"/>
                <w:lang w:eastAsia="zh-CN"/>
              </w:rPr>
              <w:t>〔</w:t>
            </w:r>
            <w:r>
              <w:rPr>
                <w:rFonts w:hint="eastAsia"/>
                <w:color w:val="auto"/>
                <w:sz w:val="24"/>
              </w:rPr>
              <w:t>2022</w:t>
            </w:r>
            <w:r>
              <w:rPr>
                <w:rFonts w:hint="eastAsia"/>
                <w:color w:val="auto"/>
                <w:sz w:val="24"/>
                <w:lang w:eastAsia="zh-CN"/>
              </w:rPr>
              <w:t>〕</w:t>
            </w:r>
            <w:r>
              <w:rPr>
                <w:rFonts w:hint="eastAsia"/>
                <w:color w:val="auto"/>
                <w:sz w:val="24"/>
              </w:rPr>
              <w:t>230号）等有关规定通过生态环境部建设运行的全国固体废物管理信息系统定期申报危险废物的种类、产生量、流向、贮存、处置等有关资料。使用国家固废信息系统建立危险废物电子管理台账的单位，对自动生成的申报报告确认并在线提交后，完成申报。转移危险废物的单位，应当通过国家固废信息系统填写、运行危险废物电子转移联单。危险废物转移联单由生态环境部通过国家固废信息系统统一编号，联单中危险废物相关信息与在国家固废信息系统中备案的危险废物管理计划关联。危险废物转移轨迹应通过国家固废信息系统记录，并与危险废物电子转移联单关联。危废外运后对场内地面进行清理，待后续产生危废堆存。</w:t>
            </w:r>
          </w:p>
          <w:p>
            <w:pPr>
              <w:adjustRightInd w:val="0"/>
              <w:snapToGrid w:val="0"/>
              <w:spacing w:line="520" w:lineRule="exact"/>
              <w:ind w:firstLine="480" w:firstLineChars="200"/>
              <w:rPr>
                <w:color w:val="auto"/>
                <w:sz w:val="24"/>
              </w:rPr>
            </w:pPr>
            <w:r>
              <w:rPr>
                <w:rFonts w:hint="eastAsia"/>
                <w:color w:val="auto"/>
                <w:sz w:val="24"/>
              </w:rPr>
              <w:t>本项目只负责废机油、机柴滤及废电瓶的收集及</w:t>
            </w:r>
            <w:r>
              <w:rPr>
                <w:rFonts w:hint="eastAsia"/>
                <w:color w:val="auto"/>
                <w:sz w:val="24"/>
                <w:lang w:val="en-US" w:eastAsia="zh-CN"/>
              </w:rPr>
              <w:t>临时</w:t>
            </w:r>
            <w:r>
              <w:rPr>
                <w:rFonts w:hint="eastAsia"/>
                <w:color w:val="auto"/>
                <w:sz w:val="24"/>
              </w:rPr>
              <w:t>暂存，不做其它深度处理。</w:t>
            </w:r>
          </w:p>
          <w:p>
            <w:pPr>
              <w:adjustRightInd w:val="0"/>
              <w:snapToGrid w:val="0"/>
              <w:spacing w:line="520" w:lineRule="exact"/>
              <w:ind w:firstLine="480" w:firstLineChars="200"/>
              <w:rPr>
                <w:color w:val="auto"/>
                <w:sz w:val="24"/>
              </w:rPr>
            </w:pPr>
            <w:r>
              <w:rPr>
                <w:color w:val="auto"/>
                <w:sz w:val="24"/>
              </w:rPr>
              <w:t>2.3产污环节</w:t>
            </w:r>
          </w:p>
          <w:p>
            <w:pPr>
              <w:adjustRightInd w:val="0"/>
              <w:snapToGrid w:val="0"/>
              <w:spacing w:line="520" w:lineRule="exact"/>
              <w:ind w:firstLine="480" w:firstLineChars="200"/>
              <w:rPr>
                <w:color w:val="auto"/>
                <w:sz w:val="24"/>
              </w:rPr>
            </w:pPr>
            <w:r>
              <w:rPr>
                <w:rFonts w:hint="eastAsia"/>
                <w:color w:val="auto"/>
                <w:sz w:val="24"/>
              </w:rPr>
              <w:t>①非甲烷总烃</w:t>
            </w:r>
          </w:p>
          <w:p>
            <w:pPr>
              <w:adjustRightInd w:val="0"/>
              <w:snapToGrid w:val="0"/>
              <w:spacing w:line="520" w:lineRule="exact"/>
              <w:ind w:firstLine="480" w:firstLineChars="200"/>
              <w:rPr>
                <w:color w:val="auto"/>
                <w:sz w:val="24"/>
              </w:rPr>
            </w:pPr>
            <w:r>
              <w:rPr>
                <w:rFonts w:hint="eastAsia"/>
                <w:color w:val="auto"/>
                <w:sz w:val="24"/>
              </w:rPr>
              <w:t>废机油在危废暂存间暂存过程中会挥发有机气体，由于废机油暂存于密封的铁桶中，且定期清运，挥发性有机物产生量较少，对周围环境影响不大。</w:t>
            </w:r>
          </w:p>
          <w:p>
            <w:pPr>
              <w:adjustRightInd w:val="0"/>
              <w:snapToGrid w:val="0"/>
              <w:spacing w:line="520" w:lineRule="exact"/>
              <w:ind w:firstLine="480" w:firstLineChars="200"/>
              <w:rPr>
                <w:color w:val="auto"/>
                <w:sz w:val="24"/>
              </w:rPr>
            </w:pPr>
            <w:r>
              <w:rPr>
                <w:rFonts w:hint="eastAsia"/>
                <w:color w:val="auto"/>
                <w:sz w:val="24"/>
              </w:rPr>
              <w:t>②硫酸雾</w:t>
            </w:r>
          </w:p>
          <w:p>
            <w:pPr>
              <w:adjustRightInd w:val="0"/>
              <w:snapToGrid w:val="0"/>
              <w:spacing w:line="520" w:lineRule="exact"/>
              <w:ind w:firstLine="480" w:firstLineChars="200"/>
              <w:rPr>
                <w:color w:val="auto"/>
                <w:sz w:val="24"/>
              </w:rPr>
            </w:pPr>
            <w:r>
              <w:rPr>
                <w:rFonts w:hint="eastAsia"/>
                <w:color w:val="auto"/>
                <w:sz w:val="24"/>
              </w:rPr>
              <w:t>本工程只进行废旧铅蓄电池仓储暂存，不进行废旧铅蓄电池的拆解、处置等加工环节。本工程收集的车辆更换下来的完整废铅蓄电池，贮存于完整电池贮存区，在运输、装卸过程一般不会对电池造成创伤，不会产生硫酸雾。但本工程收集的废铅蓄电池中，有少量存在破损的情况，这类破损电池在贮存过程中可能会产生电解液渗漏，主要表现在：上盖与底槽之间密封欠好或因磕碰，封口胶开裂构成电解液渗漏；帽阀松动，产生渗漏；接线端处渗漏液；其他部位破损开裂导致电解液渗漏。</w:t>
            </w:r>
          </w:p>
          <w:p>
            <w:pPr>
              <w:adjustRightInd w:val="0"/>
              <w:snapToGrid w:val="0"/>
              <w:spacing w:line="520" w:lineRule="exact"/>
              <w:ind w:firstLine="480" w:firstLineChars="200"/>
              <w:rPr>
                <w:color w:val="auto"/>
                <w:sz w:val="24"/>
              </w:rPr>
            </w:pPr>
            <w:r>
              <w:rPr>
                <w:rFonts w:hint="eastAsia"/>
                <w:color w:val="auto"/>
                <w:sz w:val="24"/>
              </w:rPr>
              <w:t>③ 铅尘</w:t>
            </w:r>
          </w:p>
          <w:p>
            <w:pPr>
              <w:adjustRightInd w:val="0"/>
              <w:snapToGrid w:val="0"/>
              <w:spacing w:line="520" w:lineRule="exact"/>
              <w:ind w:firstLine="480" w:firstLineChars="200"/>
              <w:rPr>
                <w:color w:val="auto"/>
                <w:sz w:val="24"/>
              </w:rPr>
            </w:pPr>
            <w:r>
              <w:rPr>
                <w:color w:val="auto"/>
                <w:sz w:val="24"/>
              </w:rPr>
              <w:t>铅蓄电池中的铅是以铅或氧化铅制成的阳极或阴极栅板的形式与电解液封闭在电池槽内，非粉状铅或铅氧化物。铅在加热到400~500℃时会有铅蒸汽逸出形成铅尘，铅酸电池充、放电温度在50℃以下，铅蓄电池充、放过程不会产生铅蒸汽逸出形成铅尘，因此在正常使用过程中不会产生铅尘的排放。</w:t>
            </w:r>
          </w:p>
          <w:p>
            <w:pPr>
              <w:adjustRightInd w:val="0"/>
              <w:snapToGrid w:val="0"/>
              <w:spacing w:line="520" w:lineRule="exact"/>
              <w:ind w:firstLine="480" w:firstLineChars="200"/>
              <w:rPr>
                <w:color w:val="auto"/>
                <w:sz w:val="24"/>
              </w:rPr>
            </w:pPr>
            <w:r>
              <w:rPr>
                <w:rFonts w:hint="eastAsia"/>
                <w:color w:val="auto"/>
                <w:sz w:val="24"/>
              </w:rPr>
              <w:t>（2）废水</w:t>
            </w:r>
          </w:p>
          <w:p>
            <w:pPr>
              <w:adjustRightInd w:val="0"/>
              <w:snapToGrid w:val="0"/>
              <w:spacing w:line="520" w:lineRule="exact"/>
              <w:ind w:firstLine="480" w:firstLineChars="200"/>
              <w:rPr>
                <w:color w:val="auto"/>
                <w:sz w:val="24"/>
              </w:rPr>
            </w:pPr>
            <w:r>
              <w:rPr>
                <w:rFonts w:hint="eastAsia"/>
                <w:color w:val="auto"/>
                <w:sz w:val="24"/>
              </w:rPr>
              <w:t>本项目所暂存危废基本为固态，运营期正常工况过程无废水产生，非正常工况下有废机油及含有废物容器破裂造成内部残留物形成渗滤液，以及废铅蓄电池的泄漏液形成渗滤液。渗滤液集中收集后委托有相应危废处置资质的单位拉运处置。</w:t>
            </w:r>
          </w:p>
          <w:p>
            <w:pPr>
              <w:adjustRightInd w:val="0"/>
              <w:snapToGrid w:val="0"/>
              <w:spacing w:line="520" w:lineRule="exact"/>
              <w:ind w:firstLine="480" w:firstLineChars="200"/>
              <w:rPr>
                <w:color w:val="auto"/>
                <w:sz w:val="24"/>
              </w:rPr>
            </w:pPr>
            <w:r>
              <w:rPr>
                <w:rFonts w:hint="eastAsia"/>
                <w:color w:val="auto"/>
                <w:sz w:val="24"/>
              </w:rPr>
              <w:t>（3）噪声</w:t>
            </w:r>
          </w:p>
          <w:p>
            <w:pPr>
              <w:adjustRightInd w:val="0"/>
              <w:snapToGrid w:val="0"/>
              <w:spacing w:line="520" w:lineRule="exact"/>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该项目只为危险废物的暂存，营运过程噪声仅危废搬运及转运车辆进出厂区少量噪声。</w:t>
            </w:r>
          </w:p>
          <w:p>
            <w:pPr>
              <w:adjustRightInd w:val="0"/>
              <w:snapToGrid w:val="0"/>
              <w:spacing w:line="520" w:lineRule="exact"/>
              <w:ind w:firstLine="480" w:firstLineChars="200"/>
              <w:rPr>
                <w:color w:val="auto"/>
                <w:sz w:val="24"/>
              </w:rPr>
            </w:pPr>
            <w:r>
              <w:rPr>
                <w:rFonts w:hint="eastAsia"/>
                <w:color w:val="auto"/>
                <w:sz w:val="24"/>
              </w:rPr>
              <w:t>（4）固体废物</w:t>
            </w:r>
          </w:p>
          <w:p>
            <w:pPr>
              <w:adjustRightInd w:val="0"/>
              <w:snapToGrid w:val="0"/>
              <w:spacing w:line="520" w:lineRule="exact"/>
              <w:ind w:firstLine="480" w:firstLineChars="200"/>
              <w:rPr>
                <w:bCs/>
                <w:color w:val="auto"/>
                <w:sz w:val="24"/>
              </w:rPr>
            </w:pPr>
            <w:r>
              <w:rPr>
                <w:rFonts w:hint="eastAsia"/>
                <w:color w:val="auto"/>
                <w:sz w:val="24"/>
              </w:rPr>
              <w:t>该项目不新增劳动定员，不新增生活垃圾。废机油为桶装，无废包装物产生。产生的固废主要是装卸时和危废暂存库内检查时，发现泄漏点有少量废油、废液进行擦拭产生的含油（液）抹布。</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3" w:type="dxa"/>
            <w:vAlign w:val="center"/>
          </w:tcPr>
          <w:p>
            <w:pPr>
              <w:pStyle w:val="27"/>
              <w:adjustRightInd w:val="0"/>
              <w:snapToGrid w:val="0"/>
              <w:spacing w:before="0" w:beforeAutospacing="0" w:after="0" w:afterAutospacing="0"/>
              <w:jc w:val="center"/>
              <w:rPr>
                <w:rFonts w:ascii="Times New Roman" w:hAnsi="Times New Roman"/>
                <w:bCs/>
                <w:color w:val="auto"/>
                <w:kern w:val="2"/>
                <w:szCs w:val="24"/>
              </w:rPr>
            </w:pPr>
          </w:p>
          <w:p>
            <w:pPr>
              <w:pStyle w:val="27"/>
              <w:adjustRightInd w:val="0"/>
              <w:snapToGrid w:val="0"/>
              <w:spacing w:before="0" w:beforeAutospacing="0" w:after="0" w:afterAutospacing="0"/>
              <w:jc w:val="center"/>
              <w:rPr>
                <w:rFonts w:ascii="Times New Roman" w:hAnsi="Times New Roman"/>
                <w:bCs/>
                <w:color w:val="auto"/>
                <w:kern w:val="2"/>
                <w:szCs w:val="24"/>
              </w:rPr>
            </w:pPr>
          </w:p>
          <w:p>
            <w:pPr>
              <w:pStyle w:val="27"/>
              <w:adjustRightInd w:val="0"/>
              <w:snapToGrid w:val="0"/>
              <w:spacing w:before="0" w:beforeAutospacing="0" w:after="0" w:afterAutospacing="0"/>
              <w:jc w:val="center"/>
              <w:rPr>
                <w:rFonts w:ascii="Times New Roman" w:hAnsi="Times New Roman"/>
                <w:bCs/>
                <w:color w:val="auto"/>
                <w:kern w:val="2"/>
                <w:szCs w:val="24"/>
              </w:rPr>
            </w:pPr>
          </w:p>
          <w:p>
            <w:pPr>
              <w:pStyle w:val="27"/>
              <w:adjustRightInd w:val="0"/>
              <w:snapToGrid w:val="0"/>
              <w:spacing w:before="0" w:beforeAutospacing="0" w:after="0" w:afterAutospacing="0"/>
              <w:jc w:val="center"/>
              <w:rPr>
                <w:rFonts w:ascii="Times New Roman" w:hAnsi="Times New Roman"/>
                <w:bCs/>
                <w:color w:val="auto"/>
                <w:kern w:val="2"/>
                <w:szCs w:val="24"/>
              </w:rPr>
            </w:pPr>
          </w:p>
          <w:p>
            <w:pPr>
              <w:pStyle w:val="27"/>
              <w:adjustRightInd w:val="0"/>
              <w:snapToGrid w:val="0"/>
              <w:spacing w:before="0" w:beforeAutospacing="0" w:after="0" w:afterAutospacing="0"/>
              <w:jc w:val="center"/>
              <w:rPr>
                <w:rFonts w:ascii="Times New Roman" w:hAnsi="Times New Roman"/>
                <w:bCs/>
                <w:color w:val="auto"/>
                <w:kern w:val="2"/>
                <w:szCs w:val="24"/>
              </w:rPr>
            </w:pPr>
          </w:p>
          <w:p>
            <w:pPr>
              <w:pStyle w:val="27"/>
              <w:adjustRightInd w:val="0"/>
              <w:snapToGrid w:val="0"/>
              <w:spacing w:before="0" w:beforeAutospacing="0" w:after="0" w:afterAutospacing="0"/>
              <w:jc w:val="center"/>
              <w:rPr>
                <w:rFonts w:ascii="Times New Roman" w:hAnsi="Times New Roman"/>
                <w:bCs/>
                <w:color w:val="auto"/>
                <w:kern w:val="2"/>
                <w:szCs w:val="24"/>
              </w:rPr>
            </w:pPr>
            <w:r>
              <w:rPr>
                <w:rFonts w:ascii="Times New Roman" w:hAnsi="Times New Roman"/>
                <w:bCs/>
                <w:color w:val="auto"/>
                <w:kern w:val="2"/>
                <w:szCs w:val="24"/>
              </w:rPr>
              <w:t>与项目有关的原有环境污染问题</w:t>
            </w:r>
          </w:p>
          <w:p>
            <w:pPr>
              <w:pStyle w:val="27"/>
              <w:adjustRightInd w:val="0"/>
              <w:snapToGrid w:val="0"/>
              <w:spacing w:before="0" w:beforeAutospacing="0" w:after="0" w:afterAutospacing="0"/>
              <w:jc w:val="center"/>
              <w:rPr>
                <w:rFonts w:ascii="Times New Roman" w:hAnsi="Times New Roman"/>
                <w:bCs/>
                <w:color w:val="auto"/>
                <w:kern w:val="2"/>
                <w:szCs w:val="24"/>
              </w:rPr>
            </w:pPr>
          </w:p>
          <w:p>
            <w:pPr>
              <w:pStyle w:val="27"/>
              <w:adjustRightInd w:val="0"/>
              <w:snapToGrid w:val="0"/>
              <w:spacing w:before="0" w:beforeAutospacing="0" w:after="0" w:afterAutospacing="0"/>
              <w:jc w:val="center"/>
              <w:rPr>
                <w:rFonts w:ascii="Times New Roman" w:hAnsi="Times New Roman"/>
                <w:bCs/>
                <w:color w:val="auto"/>
                <w:kern w:val="2"/>
                <w:szCs w:val="24"/>
              </w:rPr>
            </w:pPr>
          </w:p>
          <w:p>
            <w:pPr>
              <w:pStyle w:val="27"/>
              <w:adjustRightInd w:val="0"/>
              <w:snapToGrid w:val="0"/>
              <w:spacing w:before="0" w:beforeAutospacing="0" w:after="0" w:afterAutospacing="0"/>
              <w:jc w:val="center"/>
              <w:rPr>
                <w:rFonts w:ascii="Times New Roman" w:hAnsi="Times New Roman"/>
                <w:bCs/>
                <w:color w:val="auto"/>
                <w:kern w:val="2"/>
                <w:szCs w:val="24"/>
              </w:rPr>
            </w:pPr>
          </w:p>
          <w:p>
            <w:pPr>
              <w:pStyle w:val="27"/>
              <w:adjustRightInd w:val="0"/>
              <w:snapToGrid w:val="0"/>
              <w:spacing w:before="0" w:beforeAutospacing="0" w:after="0" w:afterAutospacing="0"/>
              <w:jc w:val="center"/>
              <w:rPr>
                <w:rFonts w:ascii="Times New Roman" w:hAnsi="Times New Roman"/>
                <w:bCs/>
                <w:color w:val="auto"/>
                <w:kern w:val="2"/>
                <w:szCs w:val="24"/>
              </w:rPr>
            </w:pPr>
          </w:p>
          <w:p>
            <w:pPr>
              <w:pStyle w:val="27"/>
              <w:adjustRightInd w:val="0"/>
              <w:snapToGrid w:val="0"/>
              <w:spacing w:before="0" w:beforeAutospacing="0" w:after="0" w:afterAutospacing="0"/>
              <w:jc w:val="center"/>
              <w:rPr>
                <w:rFonts w:ascii="Times New Roman" w:hAnsi="Times New Roman"/>
                <w:bCs/>
                <w:color w:val="auto"/>
                <w:kern w:val="2"/>
                <w:szCs w:val="24"/>
              </w:rPr>
            </w:pPr>
          </w:p>
          <w:p>
            <w:pPr>
              <w:pStyle w:val="27"/>
              <w:adjustRightInd w:val="0"/>
              <w:snapToGrid w:val="0"/>
              <w:spacing w:before="0" w:beforeAutospacing="0" w:after="0" w:afterAutospacing="0"/>
              <w:jc w:val="center"/>
              <w:rPr>
                <w:rFonts w:ascii="Times New Roman" w:hAnsi="Times New Roman"/>
                <w:bCs/>
                <w:color w:val="auto"/>
                <w:kern w:val="2"/>
                <w:szCs w:val="24"/>
              </w:rPr>
            </w:pPr>
          </w:p>
          <w:p>
            <w:pPr>
              <w:pStyle w:val="27"/>
              <w:adjustRightInd w:val="0"/>
              <w:snapToGrid w:val="0"/>
              <w:spacing w:before="0" w:beforeAutospacing="0" w:after="0" w:afterAutospacing="0"/>
              <w:jc w:val="center"/>
              <w:rPr>
                <w:rFonts w:ascii="Times New Roman" w:hAnsi="Times New Roman"/>
                <w:bCs/>
                <w:color w:val="auto"/>
                <w:kern w:val="2"/>
                <w:szCs w:val="24"/>
              </w:rPr>
            </w:pPr>
          </w:p>
          <w:p>
            <w:pPr>
              <w:pStyle w:val="27"/>
              <w:adjustRightInd w:val="0"/>
              <w:snapToGrid w:val="0"/>
              <w:spacing w:before="0" w:beforeAutospacing="0" w:after="0" w:afterAutospacing="0"/>
              <w:jc w:val="center"/>
              <w:rPr>
                <w:rFonts w:ascii="Times New Roman" w:hAnsi="Times New Roman"/>
                <w:bCs/>
                <w:color w:val="auto"/>
                <w:kern w:val="2"/>
                <w:szCs w:val="24"/>
              </w:rPr>
            </w:pPr>
          </w:p>
          <w:p>
            <w:pPr>
              <w:pStyle w:val="27"/>
              <w:adjustRightInd w:val="0"/>
              <w:snapToGrid w:val="0"/>
              <w:spacing w:before="0" w:beforeAutospacing="0" w:after="0" w:afterAutospacing="0"/>
              <w:jc w:val="center"/>
              <w:rPr>
                <w:rFonts w:ascii="Times New Roman" w:hAnsi="Times New Roman"/>
                <w:bCs/>
                <w:color w:val="auto"/>
                <w:kern w:val="2"/>
                <w:szCs w:val="24"/>
              </w:rPr>
            </w:pPr>
          </w:p>
          <w:p>
            <w:pPr>
              <w:pStyle w:val="27"/>
              <w:adjustRightInd w:val="0"/>
              <w:snapToGrid w:val="0"/>
              <w:spacing w:before="0" w:beforeAutospacing="0" w:after="0" w:afterAutospacing="0"/>
              <w:jc w:val="center"/>
              <w:rPr>
                <w:rFonts w:ascii="Times New Roman" w:hAnsi="Times New Roman"/>
                <w:bCs/>
                <w:color w:val="auto"/>
                <w:kern w:val="2"/>
                <w:szCs w:val="24"/>
              </w:rPr>
            </w:pPr>
          </w:p>
          <w:p>
            <w:pPr>
              <w:pStyle w:val="27"/>
              <w:adjustRightInd w:val="0"/>
              <w:snapToGrid w:val="0"/>
              <w:spacing w:before="0" w:beforeAutospacing="0" w:after="0" w:afterAutospacing="0"/>
              <w:jc w:val="center"/>
              <w:rPr>
                <w:rFonts w:ascii="Times New Roman" w:hAnsi="Times New Roman"/>
                <w:bCs/>
                <w:color w:val="auto"/>
                <w:kern w:val="2"/>
                <w:szCs w:val="24"/>
              </w:rPr>
            </w:pPr>
          </w:p>
          <w:p>
            <w:pPr>
              <w:pStyle w:val="27"/>
              <w:adjustRightInd w:val="0"/>
              <w:snapToGrid w:val="0"/>
              <w:spacing w:before="0" w:beforeAutospacing="0" w:after="0" w:afterAutospacing="0"/>
              <w:jc w:val="center"/>
              <w:rPr>
                <w:rFonts w:ascii="Times New Roman" w:hAnsi="Times New Roman"/>
                <w:bCs/>
                <w:color w:val="auto"/>
                <w:kern w:val="2"/>
                <w:szCs w:val="24"/>
              </w:rPr>
            </w:pPr>
          </w:p>
          <w:p>
            <w:pPr>
              <w:pStyle w:val="27"/>
              <w:adjustRightInd w:val="0"/>
              <w:snapToGrid w:val="0"/>
              <w:spacing w:before="0" w:beforeAutospacing="0" w:after="0" w:afterAutospacing="0"/>
              <w:jc w:val="center"/>
              <w:rPr>
                <w:rFonts w:ascii="Times New Roman" w:hAnsi="Times New Roman"/>
                <w:bCs/>
                <w:color w:val="auto"/>
                <w:kern w:val="2"/>
                <w:szCs w:val="24"/>
              </w:rPr>
            </w:pPr>
          </w:p>
          <w:p>
            <w:pPr>
              <w:pStyle w:val="27"/>
              <w:adjustRightInd w:val="0"/>
              <w:snapToGrid w:val="0"/>
              <w:spacing w:before="0" w:beforeAutospacing="0" w:after="0" w:afterAutospacing="0"/>
              <w:jc w:val="center"/>
              <w:rPr>
                <w:rFonts w:ascii="Times New Roman" w:hAnsi="Times New Roman"/>
                <w:bCs/>
                <w:color w:val="auto"/>
                <w:kern w:val="2"/>
                <w:szCs w:val="24"/>
              </w:rPr>
            </w:pPr>
          </w:p>
          <w:p>
            <w:pPr>
              <w:pStyle w:val="27"/>
              <w:adjustRightInd w:val="0"/>
              <w:snapToGrid w:val="0"/>
              <w:spacing w:before="0" w:beforeAutospacing="0" w:after="0" w:afterAutospacing="0"/>
              <w:jc w:val="center"/>
              <w:rPr>
                <w:rFonts w:ascii="Times New Roman" w:hAnsi="Times New Roman"/>
                <w:bCs/>
                <w:color w:val="auto"/>
                <w:kern w:val="2"/>
                <w:szCs w:val="24"/>
              </w:rPr>
            </w:pPr>
          </w:p>
          <w:p>
            <w:pPr>
              <w:pStyle w:val="27"/>
              <w:adjustRightInd w:val="0"/>
              <w:snapToGrid w:val="0"/>
              <w:spacing w:before="0" w:beforeAutospacing="0" w:after="0" w:afterAutospacing="0"/>
              <w:jc w:val="center"/>
              <w:rPr>
                <w:rFonts w:ascii="Times New Roman" w:hAnsi="Times New Roman"/>
                <w:bCs/>
                <w:color w:val="auto"/>
                <w:kern w:val="2"/>
                <w:szCs w:val="24"/>
              </w:rPr>
            </w:pPr>
          </w:p>
          <w:p>
            <w:pPr>
              <w:pStyle w:val="27"/>
              <w:adjustRightInd w:val="0"/>
              <w:snapToGrid w:val="0"/>
              <w:spacing w:before="0" w:beforeAutospacing="0" w:after="0" w:afterAutospacing="0"/>
              <w:jc w:val="center"/>
              <w:rPr>
                <w:rFonts w:ascii="Times New Roman" w:hAnsi="Times New Roman"/>
                <w:bCs/>
                <w:color w:val="auto"/>
                <w:kern w:val="2"/>
                <w:szCs w:val="24"/>
              </w:rPr>
            </w:pPr>
          </w:p>
          <w:p>
            <w:pPr>
              <w:pStyle w:val="27"/>
              <w:adjustRightInd w:val="0"/>
              <w:snapToGrid w:val="0"/>
              <w:spacing w:before="0" w:beforeAutospacing="0" w:after="0" w:afterAutospacing="0"/>
              <w:jc w:val="both"/>
              <w:rPr>
                <w:rFonts w:ascii="Times New Roman" w:hAnsi="Times New Roman"/>
                <w:bCs/>
                <w:color w:val="auto"/>
                <w:kern w:val="2"/>
                <w:szCs w:val="24"/>
              </w:rPr>
            </w:pPr>
          </w:p>
        </w:tc>
        <w:tc>
          <w:tcPr>
            <w:tcW w:w="8161" w:type="dxa"/>
          </w:tcPr>
          <w:p>
            <w:pPr>
              <w:pStyle w:val="5"/>
              <w:numPr>
                <w:ilvl w:val="3"/>
                <w:numId w:val="0"/>
              </w:numPr>
              <w:spacing w:line="520" w:lineRule="exact"/>
              <w:ind w:firstLine="480" w:firstLineChars="200"/>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现有工程为中国石油天然气运输有限公司准东运输大队，根据《建设项目环境影响评价分类管理名录（2021年版）》对建设项目环境影响评价分类管理名录的相关修订文件，原有项目均不属于名录中规定的建设项目，不纳入建设项目环境影响评价管理，故原有项目无需办理环评及竣工环保验收等手续。</w:t>
            </w:r>
          </w:p>
          <w:p>
            <w:pPr>
              <w:pStyle w:val="5"/>
              <w:numPr>
                <w:ilvl w:val="3"/>
                <w:numId w:val="0"/>
              </w:numPr>
              <w:spacing w:line="520" w:lineRule="exact"/>
              <w:ind w:firstLine="480" w:firstLineChars="200"/>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目前准东运输大队冬季冬暖采用电采暖，生活污水采用管网输送至沙南作业区已建污水处理厂进行处理。生活垃圾集中收集后运至当地生活垃圾填埋场进行填埋处置。</w:t>
            </w:r>
          </w:p>
          <w:p>
            <w:pPr>
              <w:pStyle w:val="5"/>
              <w:numPr>
                <w:ilvl w:val="3"/>
                <w:numId w:val="0"/>
              </w:numPr>
              <w:spacing w:line="520" w:lineRule="exact"/>
              <w:ind w:firstLine="480" w:firstLineChars="200"/>
              <w:rPr>
                <w:rFonts w:hint="default"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不存在其他环境问题</w:t>
            </w:r>
          </w:p>
          <w:p>
            <w:pPr>
              <w:pStyle w:val="39"/>
              <w:rPr>
                <w:color w:val="auto"/>
              </w:rPr>
            </w:pPr>
          </w:p>
          <w:p>
            <w:pPr>
              <w:pStyle w:val="24"/>
              <w:ind w:left="420" w:hanging="420"/>
              <w:rPr>
                <w:color w:val="auto"/>
              </w:rPr>
            </w:pPr>
          </w:p>
          <w:p>
            <w:pPr>
              <w:rPr>
                <w:color w:val="auto"/>
              </w:rPr>
            </w:pPr>
          </w:p>
          <w:p>
            <w:pPr>
              <w:pStyle w:val="39"/>
              <w:rPr>
                <w:color w:val="auto"/>
              </w:rPr>
            </w:pPr>
          </w:p>
          <w:p>
            <w:pPr>
              <w:pStyle w:val="24"/>
              <w:ind w:left="420" w:hanging="420"/>
              <w:rPr>
                <w:color w:val="auto"/>
              </w:rPr>
            </w:pPr>
          </w:p>
          <w:p>
            <w:pPr>
              <w:rPr>
                <w:color w:val="auto"/>
              </w:rPr>
            </w:pPr>
          </w:p>
          <w:p>
            <w:pPr>
              <w:pStyle w:val="39"/>
              <w:rPr>
                <w:color w:val="auto"/>
              </w:rPr>
            </w:pPr>
          </w:p>
          <w:p>
            <w:pPr>
              <w:pStyle w:val="24"/>
              <w:ind w:left="420" w:hanging="420"/>
              <w:rPr>
                <w:color w:val="auto"/>
              </w:rPr>
            </w:pPr>
          </w:p>
          <w:p>
            <w:pPr>
              <w:rPr>
                <w:color w:val="auto"/>
              </w:rPr>
            </w:pPr>
          </w:p>
          <w:p>
            <w:pPr>
              <w:pStyle w:val="39"/>
              <w:rPr>
                <w:color w:val="auto"/>
              </w:rPr>
            </w:pPr>
          </w:p>
          <w:p>
            <w:pPr>
              <w:pStyle w:val="24"/>
              <w:ind w:left="420" w:hanging="420"/>
              <w:rPr>
                <w:color w:val="auto"/>
              </w:rPr>
            </w:pPr>
          </w:p>
          <w:p>
            <w:pPr>
              <w:rPr>
                <w:color w:val="auto"/>
              </w:rPr>
            </w:pPr>
          </w:p>
          <w:p>
            <w:pPr>
              <w:pStyle w:val="39"/>
              <w:rPr>
                <w:color w:val="auto"/>
              </w:rPr>
            </w:pPr>
          </w:p>
          <w:p>
            <w:pPr>
              <w:pStyle w:val="24"/>
              <w:ind w:left="420" w:hanging="420"/>
              <w:rPr>
                <w:color w:val="auto"/>
              </w:rPr>
            </w:pPr>
          </w:p>
          <w:p>
            <w:pPr>
              <w:rPr>
                <w:color w:val="auto"/>
              </w:rPr>
            </w:pPr>
          </w:p>
          <w:p>
            <w:pPr>
              <w:rPr>
                <w:color w:val="auto"/>
              </w:rPr>
            </w:pPr>
          </w:p>
          <w:p>
            <w:pPr>
              <w:pStyle w:val="39"/>
              <w:rPr>
                <w:color w:val="auto"/>
              </w:rPr>
            </w:pPr>
          </w:p>
          <w:p>
            <w:pPr>
              <w:pStyle w:val="24"/>
              <w:rPr>
                <w:color w:val="auto"/>
              </w:rPr>
            </w:pPr>
          </w:p>
          <w:p>
            <w:pPr>
              <w:rPr>
                <w:color w:val="auto"/>
              </w:rPr>
            </w:pPr>
          </w:p>
          <w:p>
            <w:pPr>
              <w:pStyle w:val="12"/>
              <w:rPr>
                <w:color w:val="auto"/>
              </w:rPr>
            </w:pPr>
          </w:p>
          <w:p>
            <w:pPr>
              <w:pStyle w:val="13"/>
              <w:rPr>
                <w:color w:val="auto"/>
              </w:rPr>
            </w:pPr>
          </w:p>
          <w:p>
            <w:pPr>
              <w:rPr>
                <w:color w:val="auto"/>
              </w:rPr>
            </w:pPr>
          </w:p>
          <w:p>
            <w:pPr>
              <w:pStyle w:val="12"/>
              <w:rPr>
                <w:color w:val="auto"/>
              </w:rPr>
            </w:pPr>
          </w:p>
          <w:p>
            <w:pPr>
              <w:pStyle w:val="13"/>
              <w:rPr>
                <w:color w:val="auto"/>
              </w:rPr>
            </w:pPr>
          </w:p>
          <w:p>
            <w:pPr>
              <w:rPr>
                <w:color w:val="auto"/>
              </w:rPr>
            </w:pPr>
          </w:p>
          <w:p>
            <w:pPr>
              <w:pStyle w:val="12"/>
              <w:rPr>
                <w:color w:val="auto"/>
              </w:rPr>
            </w:pPr>
          </w:p>
          <w:p>
            <w:pPr>
              <w:pStyle w:val="13"/>
              <w:rPr>
                <w:color w:val="auto"/>
              </w:rPr>
            </w:pPr>
          </w:p>
          <w:p>
            <w:pPr>
              <w:rPr>
                <w:color w:val="auto"/>
              </w:rPr>
            </w:pPr>
          </w:p>
          <w:p>
            <w:pPr>
              <w:pStyle w:val="12"/>
              <w:rPr>
                <w:color w:val="auto"/>
              </w:rPr>
            </w:pPr>
          </w:p>
          <w:p>
            <w:pPr>
              <w:pStyle w:val="13"/>
              <w:rPr>
                <w:color w:val="auto"/>
              </w:rPr>
            </w:pPr>
          </w:p>
          <w:p>
            <w:pPr>
              <w:rPr>
                <w:color w:val="auto"/>
              </w:rPr>
            </w:pPr>
          </w:p>
          <w:p>
            <w:pPr>
              <w:pStyle w:val="12"/>
              <w:rPr>
                <w:color w:val="auto"/>
              </w:rPr>
            </w:pPr>
          </w:p>
          <w:p>
            <w:pPr>
              <w:pStyle w:val="13"/>
              <w:rPr>
                <w:color w:val="auto"/>
              </w:rPr>
            </w:pPr>
          </w:p>
          <w:p>
            <w:pPr>
              <w:pStyle w:val="24"/>
              <w:rPr>
                <w:color w:val="auto"/>
              </w:rPr>
            </w:pPr>
          </w:p>
          <w:p>
            <w:pPr>
              <w:rPr>
                <w:color w:val="auto"/>
              </w:rPr>
            </w:pPr>
          </w:p>
        </w:tc>
      </w:tr>
    </w:tbl>
    <w:p>
      <w:pPr>
        <w:pStyle w:val="27"/>
        <w:jc w:val="center"/>
        <w:rPr>
          <w:rFonts w:ascii="黑体" w:hAnsi="黑体" w:eastAsia="黑体"/>
          <w:snapToGrid w:val="0"/>
          <w:sz w:val="36"/>
          <w:szCs w:val="36"/>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pPr>
        <w:pStyle w:val="27"/>
        <w:adjustRightInd w:val="0"/>
        <w:snapToGrid w:val="0"/>
        <w:spacing w:before="0" w:beforeAutospacing="0" w:after="0" w:afterAutospacing="0" w:line="14" w:lineRule="auto"/>
        <w:jc w:val="center"/>
        <w:outlineLvl w:val="0"/>
        <w:rPr>
          <w:rFonts w:ascii="黑体" w:hAnsi="黑体" w:eastAsia="黑体"/>
          <w:snapToGrid w:val="0"/>
          <w:sz w:val="30"/>
          <w:szCs w:val="30"/>
        </w:rPr>
      </w:pPr>
    </w:p>
    <w:p>
      <w:pPr>
        <w:pStyle w:val="27"/>
        <w:jc w:val="center"/>
        <w:outlineLvl w:val="0"/>
        <w:rPr>
          <w:rFonts w:ascii="黑体" w:hAnsi="黑体" w:eastAsia="黑体"/>
          <w:snapToGrid w:val="0"/>
          <w:sz w:val="30"/>
          <w:szCs w:val="30"/>
        </w:rPr>
      </w:pPr>
      <w:r>
        <w:rPr>
          <w:rFonts w:hint="eastAsia" w:ascii="黑体" w:hAnsi="黑体" w:eastAsia="黑体"/>
          <w:snapToGrid w:val="0"/>
          <w:sz w:val="30"/>
          <w:szCs w:val="30"/>
        </w:rPr>
        <w:t>三、区域环境质量现状、环境保护目标及评价标准</w:t>
      </w:r>
    </w:p>
    <w:tbl>
      <w:tblPr>
        <w:tblStyle w:val="31"/>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00"/>
        <w:gridCol w:w="819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60" w:hRule="atLeast"/>
          <w:jc w:val="center"/>
        </w:trPr>
        <w:tc>
          <w:tcPr>
            <w:tcW w:w="800" w:type="dxa"/>
            <w:vAlign w:val="center"/>
          </w:tcPr>
          <w:p>
            <w:pPr>
              <w:adjustRightInd w:val="0"/>
              <w:snapToGrid w:val="0"/>
              <w:jc w:val="center"/>
              <w:rPr>
                <w:rFonts w:ascii="宋体" w:hAnsi="宋体" w:cs="宋体"/>
                <w:color w:val="auto"/>
                <w:kern w:val="0"/>
                <w:sz w:val="24"/>
              </w:rPr>
            </w:pPr>
            <w:r>
              <w:rPr>
                <w:rFonts w:hint="eastAsia" w:ascii="宋体" w:hAnsi="宋体" w:cs="宋体"/>
                <w:color w:val="auto"/>
                <w:kern w:val="0"/>
                <w:sz w:val="24"/>
              </w:rPr>
              <w:t>区域</w:t>
            </w:r>
          </w:p>
          <w:p>
            <w:pPr>
              <w:adjustRightInd w:val="0"/>
              <w:snapToGrid w:val="0"/>
              <w:jc w:val="center"/>
              <w:rPr>
                <w:rFonts w:ascii="宋体" w:hAnsi="宋体" w:cs="宋体"/>
                <w:color w:val="auto"/>
                <w:kern w:val="0"/>
                <w:sz w:val="24"/>
              </w:rPr>
            </w:pPr>
            <w:r>
              <w:rPr>
                <w:rFonts w:hint="eastAsia" w:ascii="宋体" w:hAnsi="宋体" w:cs="宋体"/>
                <w:color w:val="auto"/>
                <w:kern w:val="0"/>
                <w:sz w:val="24"/>
              </w:rPr>
              <w:t>环境</w:t>
            </w:r>
          </w:p>
          <w:p>
            <w:pPr>
              <w:adjustRightInd w:val="0"/>
              <w:snapToGrid w:val="0"/>
              <w:jc w:val="center"/>
              <w:rPr>
                <w:rFonts w:ascii="宋体" w:hAnsi="宋体" w:cs="宋体"/>
                <w:color w:val="auto"/>
                <w:kern w:val="0"/>
                <w:sz w:val="24"/>
              </w:rPr>
            </w:pPr>
            <w:r>
              <w:rPr>
                <w:rFonts w:hint="eastAsia" w:ascii="宋体" w:hAnsi="宋体" w:cs="宋体"/>
                <w:color w:val="auto"/>
                <w:kern w:val="0"/>
                <w:sz w:val="24"/>
              </w:rPr>
              <w:t>质量</w:t>
            </w:r>
          </w:p>
          <w:p>
            <w:pPr>
              <w:adjustRightInd w:val="0"/>
              <w:snapToGrid w:val="0"/>
              <w:jc w:val="center"/>
              <w:rPr>
                <w:rFonts w:ascii="宋体" w:hAnsi="宋体" w:cs="宋体"/>
                <w:color w:val="auto"/>
                <w:kern w:val="0"/>
                <w:sz w:val="24"/>
              </w:rPr>
            </w:pPr>
            <w:r>
              <w:rPr>
                <w:rFonts w:hint="eastAsia" w:ascii="宋体" w:hAnsi="宋体" w:cs="宋体"/>
                <w:color w:val="auto"/>
                <w:kern w:val="0"/>
                <w:sz w:val="24"/>
              </w:rPr>
              <w:t>现状</w:t>
            </w:r>
          </w:p>
        </w:tc>
        <w:tc>
          <w:tcPr>
            <w:tcW w:w="8190" w:type="dxa"/>
            <w:vAlign w:val="center"/>
          </w:tcPr>
          <w:p>
            <w:pPr>
              <w:numPr>
                <w:ilvl w:val="0"/>
                <w:numId w:val="8"/>
              </w:numPr>
              <w:autoSpaceDE w:val="0"/>
              <w:autoSpaceDN w:val="0"/>
              <w:adjustRightInd w:val="0"/>
              <w:spacing w:line="520" w:lineRule="exact"/>
              <w:ind w:firstLine="482"/>
              <w:rPr>
                <w:b/>
                <w:bCs/>
                <w:color w:val="auto"/>
                <w:sz w:val="24"/>
              </w:rPr>
            </w:pPr>
            <w:r>
              <w:rPr>
                <w:b/>
                <w:bCs/>
                <w:color w:val="auto"/>
                <w:sz w:val="24"/>
              </w:rPr>
              <w:t>大气环境</w:t>
            </w:r>
          </w:p>
          <w:p>
            <w:pPr>
              <w:pStyle w:val="39"/>
              <w:spacing w:line="520" w:lineRule="exact"/>
              <w:ind w:firstLine="480" w:firstLineChars="200"/>
              <w:rPr>
                <w:color w:val="auto"/>
              </w:rPr>
            </w:pPr>
            <w:r>
              <w:rPr>
                <w:rFonts w:hint="eastAsia"/>
                <w:color w:val="auto"/>
              </w:rPr>
              <w:t>（</w:t>
            </w:r>
            <w:r>
              <w:rPr>
                <w:rFonts w:hint="eastAsia" w:ascii="Times New Roman"/>
                <w:bCs/>
                <w:color w:val="auto"/>
                <w:szCs w:val="32"/>
              </w:rPr>
              <w:t>1）达标区判定</w:t>
            </w:r>
          </w:p>
          <w:p>
            <w:pPr>
              <w:spacing w:line="520" w:lineRule="exact"/>
              <w:ind w:firstLine="480" w:firstLineChars="200"/>
              <w:rPr>
                <w:color w:val="auto"/>
                <w:sz w:val="24"/>
              </w:rPr>
            </w:pPr>
            <w:r>
              <w:rPr>
                <w:rFonts w:hint="eastAsia"/>
                <w:bCs/>
                <w:color w:val="auto"/>
                <w:sz w:val="24"/>
                <w:szCs w:val="32"/>
              </w:rPr>
              <w:t>本项目位于昌吉州阜康市境内，</w:t>
            </w:r>
            <w:r>
              <w:rPr>
                <w:bCs/>
                <w:color w:val="auto"/>
                <w:sz w:val="24"/>
                <w:szCs w:val="32"/>
              </w:rPr>
              <w:t>根据《建设项目环境影响报告表编制技术指南（污染影响类）（试行）》常规污染物引用与建设项目距离近的有效数据，包括近3年的规划环境影响评价的监测数据，国家、地方环境空气质量监测网数据或生态环境主管部门公开发布的质量数据等本次选择国家环境保护环境影响评价数值模拟重点实验室的环境空气质量模型技术支持服务系统（http://data.lem.org.cn/eamds/apply/tostepone.html）中</w:t>
            </w:r>
            <w:r>
              <w:rPr>
                <w:rFonts w:hint="eastAsia"/>
                <w:bCs/>
                <w:color w:val="auto"/>
                <w:sz w:val="24"/>
                <w:szCs w:val="32"/>
              </w:rPr>
              <w:t>阜康市</w:t>
            </w:r>
            <w:r>
              <w:rPr>
                <w:bCs/>
                <w:color w:val="auto"/>
                <w:sz w:val="24"/>
                <w:szCs w:val="32"/>
              </w:rPr>
              <w:t>环境空气自动监测站（位于</w:t>
            </w:r>
            <w:r>
              <w:rPr>
                <w:color w:val="auto"/>
                <w:sz w:val="24"/>
              </w:rPr>
              <w:t>昌吉州生态环境局阜康市分局</w:t>
            </w:r>
            <w:r>
              <w:rPr>
                <w:rStyle w:val="37"/>
                <w:color w:val="auto"/>
                <w:kern w:val="0"/>
                <w:sz w:val="24"/>
                <w:szCs w:val="22"/>
              </w:rPr>
              <w:t>，距离本项目约</w:t>
            </w:r>
            <w:r>
              <w:rPr>
                <w:rStyle w:val="37"/>
                <w:rFonts w:hint="eastAsia"/>
                <w:color w:val="auto"/>
                <w:kern w:val="0"/>
                <w:sz w:val="24"/>
                <w:szCs w:val="22"/>
              </w:rPr>
              <w:t>62</w:t>
            </w:r>
            <w:r>
              <w:rPr>
                <w:rStyle w:val="37"/>
                <w:color w:val="auto"/>
                <w:kern w:val="0"/>
                <w:sz w:val="24"/>
                <w:szCs w:val="22"/>
              </w:rPr>
              <w:t>km</w:t>
            </w:r>
            <w:r>
              <w:rPr>
                <w:bCs/>
                <w:color w:val="auto"/>
                <w:sz w:val="24"/>
                <w:szCs w:val="32"/>
              </w:rPr>
              <w:t>）202</w:t>
            </w:r>
            <w:r>
              <w:rPr>
                <w:rFonts w:hint="eastAsia"/>
                <w:bCs/>
                <w:color w:val="auto"/>
                <w:sz w:val="24"/>
                <w:szCs w:val="32"/>
              </w:rPr>
              <w:t>1</w:t>
            </w:r>
            <w:r>
              <w:rPr>
                <w:bCs/>
                <w:color w:val="auto"/>
                <w:sz w:val="24"/>
                <w:szCs w:val="32"/>
              </w:rPr>
              <w:t>年的监测数据，作为本项目环境空气现状评价基本污染物SO</w:t>
            </w:r>
            <w:r>
              <w:rPr>
                <w:bCs/>
                <w:color w:val="auto"/>
                <w:sz w:val="24"/>
                <w:szCs w:val="32"/>
                <w:vertAlign w:val="subscript"/>
              </w:rPr>
              <w:t>2</w:t>
            </w:r>
            <w:r>
              <w:rPr>
                <w:bCs/>
                <w:color w:val="auto"/>
                <w:sz w:val="24"/>
                <w:szCs w:val="32"/>
              </w:rPr>
              <w:t>、NO</w:t>
            </w:r>
            <w:r>
              <w:rPr>
                <w:bCs/>
                <w:color w:val="auto"/>
                <w:sz w:val="24"/>
                <w:szCs w:val="32"/>
                <w:vertAlign w:val="subscript"/>
              </w:rPr>
              <w:t>2</w:t>
            </w:r>
            <w:r>
              <w:rPr>
                <w:bCs/>
                <w:color w:val="auto"/>
                <w:sz w:val="24"/>
                <w:szCs w:val="32"/>
              </w:rPr>
              <w:t>、PM</w:t>
            </w:r>
            <w:r>
              <w:rPr>
                <w:bCs/>
                <w:color w:val="auto"/>
                <w:sz w:val="24"/>
                <w:szCs w:val="32"/>
                <w:vertAlign w:val="subscript"/>
              </w:rPr>
              <w:t>10</w:t>
            </w:r>
            <w:r>
              <w:rPr>
                <w:bCs/>
                <w:color w:val="auto"/>
                <w:sz w:val="24"/>
                <w:szCs w:val="32"/>
              </w:rPr>
              <w:t>、PM</w:t>
            </w:r>
            <w:r>
              <w:rPr>
                <w:bCs/>
                <w:color w:val="auto"/>
                <w:sz w:val="24"/>
                <w:szCs w:val="32"/>
                <w:vertAlign w:val="subscript"/>
              </w:rPr>
              <w:t>2.5</w:t>
            </w:r>
            <w:r>
              <w:rPr>
                <w:bCs/>
                <w:color w:val="auto"/>
                <w:sz w:val="24"/>
                <w:szCs w:val="32"/>
              </w:rPr>
              <w:t>、CO和O</w:t>
            </w:r>
            <w:r>
              <w:rPr>
                <w:bCs/>
                <w:color w:val="auto"/>
                <w:sz w:val="24"/>
                <w:szCs w:val="32"/>
                <w:vertAlign w:val="subscript"/>
              </w:rPr>
              <w:t>3</w:t>
            </w:r>
            <w:r>
              <w:rPr>
                <w:bCs/>
                <w:color w:val="auto"/>
                <w:sz w:val="24"/>
                <w:szCs w:val="32"/>
              </w:rPr>
              <w:t>的数据来源。</w:t>
            </w:r>
            <w:r>
              <w:rPr>
                <w:color w:val="auto"/>
                <w:sz w:val="24"/>
              </w:rPr>
              <w:t>本项目所在区域空气质量现状评价结果详见下表：</w:t>
            </w:r>
          </w:p>
          <w:p>
            <w:pPr>
              <w:pStyle w:val="65"/>
              <w:spacing w:before="0" w:beforeLines="0"/>
              <w:rPr>
                <w:color w:val="auto"/>
                <w:sz w:val="24"/>
              </w:rPr>
            </w:pPr>
            <w:r>
              <w:rPr>
                <w:color w:val="auto"/>
                <w:sz w:val="24"/>
              </w:rPr>
              <w:t>表</w:t>
            </w:r>
            <w:r>
              <w:rPr>
                <w:rFonts w:hint="eastAsia"/>
                <w:color w:val="auto"/>
                <w:sz w:val="24"/>
              </w:rPr>
              <w:t>3-1</w:t>
            </w:r>
            <w:r>
              <w:rPr>
                <w:color w:val="auto"/>
                <w:sz w:val="24"/>
              </w:rPr>
              <w:t xml:space="preserve">    区域空气质量现状评价结果一览表</w:t>
            </w:r>
          </w:p>
          <w:tbl>
            <w:tblPr>
              <w:tblStyle w:val="31"/>
              <w:tblW w:w="4993"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012"/>
              <w:gridCol w:w="1915"/>
              <w:gridCol w:w="1311"/>
              <w:gridCol w:w="1779"/>
              <w:gridCol w:w="984"/>
              <w:gridCol w:w="96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cantSplit/>
                <w:trHeight w:val="340" w:hRule="atLeast"/>
                <w:tblHeader/>
                <w:jc w:val="center"/>
              </w:trPr>
              <w:tc>
                <w:tcPr>
                  <w:tcW w:w="635" w:type="pct"/>
                  <w:tcMar>
                    <w:top w:w="0" w:type="dxa"/>
                    <w:left w:w="57" w:type="dxa"/>
                    <w:bottom w:w="0" w:type="dxa"/>
                    <w:right w:w="57" w:type="dxa"/>
                  </w:tcMar>
                  <w:vAlign w:val="center"/>
                </w:tcPr>
                <w:p>
                  <w:pPr>
                    <w:pStyle w:val="62"/>
                    <w:rPr>
                      <w:color w:val="auto"/>
                    </w:rPr>
                  </w:pPr>
                  <w:r>
                    <w:rPr>
                      <w:color w:val="auto"/>
                    </w:rPr>
                    <w:t>污染因子</w:t>
                  </w:r>
                </w:p>
              </w:tc>
              <w:tc>
                <w:tcPr>
                  <w:tcW w:w="1201" w:type="pct"/>
                  <w:tcMar>
                    <w:top w:w="0" w:type="dxa"/>
                    <w:left w:w="57" w:type="dxa"/>
                    <w:bottom w:w="0" w:type="dxa"/>
                    <w:right w:w="57" w:type="dxa"/>
                  </w:tcMar>
                  <w:vAlign w:val="center"/>
                </w:tcPr>
                <w:p>
                  <w:pPr>
                    <w:pStyle w:val="62"/>
                    <w:rPr>
                      <w:color w:val="auto"/>
                    </w:rPr>
                  </w:pPr>
                  <w:r>
                    <w:rPr>
                      <w:color w:val="auto"/>
                    </w:rPr>
                    <w:t>年评价指标</w:t>
                  </w:r>
                </w:p>
              </w:tc>
              <w:tc>
                <w:tcPr>
                  <w:tcW w:w="823" w:type="pct"/>
                  <w:tcMar>
                    <w:top w:w="0" w:type="dxa"/>
                    <w:left w:w="57" w:type="dxa"/>
                    <w:bottom w:w="0" w:type="dxa"/>
                    <w:right w:w="57" w:type="dxa"/>
                  </w:tcMar>
                  <w:vAlign w:val="center"/>
                </w:tcPr>
                <w:p>
                  <w:pPr>
                    <w:pStyle w:val="62"/>
                    <w:rPr>
                      <w:color w:val="auto"/>
                    </w:rPr>
                  </w:pPr>
                  <w:r>
                    <w:rPr>
                      <w:color w:val="auto"/>
                    </w:rPr>
                    <w:t>浓度/</w:t>
                  </w:r>
                  <w:r>
                    <w:rPr>
                      <w:rFonts w:hint="eastAsia"/>
                      <w:color w:val="auto"/>
                    </w:rPr>
                    <w:t>（</w:t>
                  </w:r>
                  <w:r>
                    <w:rPr>
                      <w:color w:val="auto"/>
                    </w:rPr>
                    <w:t>μg/m</w:t>
                  </w:r>
                  <w:r>
                    <w:rPr>
                      <w:color w:val="auto"/>
                      <w:vertAlign w:val="superscript"/>
                    </w:rPr>
                    <w:t>3</w:t>
                  </w:r>
                  <w:r>
                    <w:rPr>
                      <w:rFonts w:hint="eastAsia"/>
                      <w:color w:val="auto"/>
                    </w:rPr>
                    <w:t>）</w:t>
                  </w:r>
                </w:p>
              </w:tc>
              <w:tc>
                <w:tcPr>
                  <w:tcW w:w="1116" w:type="pct"/>
                  <w:tcMar>
                    <w:top w:w="0" w:type="dxa"/>
                    <w:left w:w="57" w:type="dxa"/>
                    <w:bottom w:w="0" w:type="dxa"/>
                    <w:right w:w="57" w:type="dxa"/>
                  </w:tcMar>
                  <w:vAlign w:val="center"/>
                </w:tcPr>
                <w:p>
                  <w:pPr>
                    <w:pStyle w:val="62"/>
                    <w:jc w:val="both"/>
                    <w:rPr>
                      <w:color w:val="auto"/>
                    </w:rPr>
                  </w:pPr>
                  <w:r>
                    <w:rPr>
                      <w:color w:val="auto"/>
                    </w:rPr>
                    <w:t>评价标准/</w:t>
                  </w:r>
                  <w:r>
                    <w:rPr>
                      <w:rFonts w:hint="eastAsia"/>
                      <w:color w:val="auto"/>
                    </w:rPr>
                    <w:t>（</w:t>
                  </w:r>
                  <w:r>
                    <w:rPr>
                      <w:color w:val="auto"/>
                    </w:rPr>
                    <w:t>μg/m</w:t>
                  </w:r>
                  <w:r>
                    <w:rPr>
                      <w:color w:val="auto"/>
                      <w:vertAlign w:val="superscript"/>
                    </w:rPr>
                    <w:t>3</w:t>
                  </w:r>
                  <w:r>
                    <w:rPr>
                      <w:rFonts w:hint="eastAsia"/>
                      <w:color w:val="auto"/>
                    </w:rPr>
                    <w:t>）</w:t>
                  </w:r>
                </w:p>
              </w:tc>
              <w:tc>
                <w:tcPr>
                  <w:tcW w:w="618" w:type="pct"/>
                  <w:tcMar>
                    <w:top w:w="0" w:type="dxa"/>
                    <w:left w:w="57" w:type="dxa"/>
                    <w:bottom w:w="0" w:type="dxa"/>
                    <w:right w:w="57" w:type="dxa"/>
                  </w:tcMar>
                  <w:vAlign w:val="center"/>
                </w:tcPr>
                <w:p>
                  <w:pPr>
                    <w:pStyle w:val="62"/>
                    <w:rPr>
                      <w:color w:val="auto"/>
                    </w:rPr>
                  </w:pPr>
                  <w:r>
                    <w:rPr>
                      <w:color w:val="auto"/>
                    </w:rPr>
                    <w:t>占标率/%</w:t>
                  </w:r>
                </w:p>
              </w:tc>
              <w:tc>
                <w:tcPr>
                  <w:tcW w:w="604" w:type="pct"/>
                  <w:tcMar>
                    <w:top w:w="0" w:type="dxa"/>
                    <w:left w:w="57" w:type="dxa"/>
                    <w:bottom w:w="0" w:type="dxa"/>
                    <w:right w:w="57" w:type="dxa"/>
                  </w:tcMar>
                  <w:vAlign w:val="center"/>
                </w:tcPr>
                <w:p>
                  <w:pPr>
                    <w:pStyle w:val="62"/>
                    <w:rPr>
                      <w:color w:val="auto"/>
                    </w:rPr>
                  </w:pPr>
                  <w:r>
                    <w:rPr>
                      <w:color w:val="auto"/>
                    </w:rPr>
                    <w:t>达标情况</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198" w:hRule="atLeast"/>
                <w:tblHeader/>
                <w:jc w:val="center"/>
              </w:trPr>
              <w:tc>
                <w:tcPr>
                  <w:tcW w:w="635" w:type="pct"/>
                  <w:tcMar>
                    <w:top w:w="0" w:type="dxa"/>
                    <w:left w:w="57" w:type="dxa"/>
                    <w:bottom w:w="0" w:type="dxa"/>
                    <w:right w:w="57" w:type="dxa"/>
                  </w:tcMar>
                  <w:vAlign w:val="center"/>
                </w:tcPr>
                <w:p>
                  <w:pPr>
                    <w:pStyle w:val="62"/>
                    <w:rPr>
                      <w:color w:val="auto"/>
                    </w:rPr>
                  </w:pPr>
                  <w:r>
                    <w:rPr>
                      <w:color w:val="auto"/>
                    </w:rPr>
                    <w:t>SO</w:t>
                  </w:r>
                  <w:r>
                    <w:rPr>
                      <w:color w:val="auto"/>
                      <w:vertAlign w:val="subscript"/>
                    </w:rPr>
                    <w:t>2</w:t>
                  </w:r>
                </w:p>
              </w:tc>
              <w:tc>
                <w:tcPr>
                  <w:tcW w:w="1201" w:type="pct"/>
                  <w:tcMar>
                    <w:top w:w="0" w:type="dxa"/>
                    <w:left w:w="57" w:type="dxa"/>
                    <w:bottom w:w="0" w:type="dxa"/>
                    <w:right w:w="57" w:type="dxa"/>
                  </w:tcMar>
                  <w:vAlign w:val="center"/>
                </w:tcPr>
                <w:p>
                  <w:pPr>
                    <w:widowControl/>
                    <w:jc w:val="center"/>
                    <w:rPr>
                      <w:color w:val="auto"/>
                      <w:kern w:val="0"/>
                      <w:szCs w:val="21"/>
                      <w:lang w:bidi="ar"/>
                    </w:rPr>
                  </w:pPr>
                  <w:r>
                    <w:rPr>
                      <w:color w:val="auto"/>
                      <w:kern w:val="0"/>
                      <w:szCs w:val="21"/>
                      <w:lang w:bidi="ar"/>
                    </w:rPr>
                    <w:t>年平均</w:t>
                  </w:r>
                </w:p>
              </w:tc>
              <w:tc>
                <w:tcPr>
                  <w:tcW w:w="823" w:type="pct"/>
                  <w:tcMar>
                    <w:top w:w="0" w:type="dxa"/>
                    <w:left w:w="57" w:type="dxa"/>
                    <w:bottom w:w="0" w:type="dxa"/>
                    <w:right w:w="57" w:type="dxa"/>
                  </w:tcMar>
                  <w:vAlign w:val="center"/>
                </w:tcPr>
                <w:p>
                  <w:pPr>
                    <w:pStyle w:val="62"/>
                    <w:rPr>
                      <w:color w:val="auto"/>
                    </w:rPr>
                  </w:pPr>
                  <w:r>
                    <w:rPr>
                      <w:rFonts w:hint="eastAsia"/>
                      <w:color w:val="auto"/>
                    </w:rPr>
                    <w:t>11</w:t>
                  </w:r>
                </w:p>
              </w:tc>
              <w:tc>
                <w:tcPr>
                  <w:tcW w:w="1116" w:type="pct"/>
                  <w:tcMar>
                    <w:top w:w="0" w:type="dxa"/>
                    <w:left w:w="57" w:type="dxa"/>
                    <w:bottom w:w="0" w:type="dxa"/>
                    <w:right w:w="57" w:type="dxa"/>
                  </w:tcMar>
                  <w:vAlign w:val="center"/>
                </w:tcPr>
                <w:p>
                  <w:pPr>
                    <w:pStyle w:val="62"/>
                    <w:rPr>
                      <w:color w:val="auto"/>
                    </w:rPr>
                  </w:pPr>
                  <w:r>
                    <w:rPr>
                      <w:rFonts w:hint="eastAsia"/>
                      <w:color w:val="auto"/>
                    </w:rPr>
                    <w:t>60</w:t>
                  </w:r>
                </w:p>
              </w:tc>
              <w:tc>
                <w:tcPr>
                  <w:tcW w:w="618" w:type="pct"/>
                  <w:tcMar>
                    <w:top w:w="0" w:type="dxa"/>
                    <w:left w:w="57" w:type="dxa"/>
                    <w:bottom w:w="0" w:type="dxa"/>
                    <w:right w:w="57" w:type="dxa"/>
                  </w:tcMar>
                  <w:vAlign w:val="center"/>
                </w:tcPr>
                <w:p>
                  <w:pPr>
                    <w:pStyle w:val="62"/>
                    <w:rPr>
                      <w:color w:val="auto"/>
                    </w:rPr>
                  </w:pPr>
                  <w:r>
                    <w:rPr>
                      <w:rFonts w:hint="eastAsia"/>
                      <w:color w:val="auto"/>
                    </w:rPr>
                    <w:t>18.3</w:t>
                  </w:r>
                </w:p>
              </w:tc>
              <w:tc>
                <w:tcPr>
                  <w:tcW w:w="604" w:type="pct"/>
                  <w:tcMar>
                    <w:top w:w="0" w:type="dxa"/>
                    <w:left w:w="57" w:type="dxa"/>
                    <w:bottom w:w="0" w:type="dxa"/>
                    <w:right w:w="57" w:type="dxa"/>
                  </w:tcMar>
                  <w:vAlign w:val="center"/>
                </w:tcPr>
                <w:p>
                  <w:pPr>
                    <w:pStyle w:val="62"/>
                    <w:rPr>
                      <w:color w:val="auto"/>
                    </w:rPr>
                  </w:pPr>
                  <w:r>
                    <w:rPr>
                      <w:color w:val="auto"/>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cantSplit/>
                <w:trHeight w:val="221" w:hRule="atLeast"/>
                <w:tblHeader/>
                <w:jc w:val="center"/>
              </w:trPr>
              <w:tc>
                <w:tcPr>
                  <w:tcW w:w="635" w:type="pct"/>
                  <w:tcMar>
                    <w:top w:w="0" w:type="dxa"/>
                    <w:left w:w="57" w:type="dxa"/>
                    <w:bottom w:w="0" w:type="dxa"/>
                    <w:right w:w="57" w:type="dxa"/>
                  </w:tcMar>
                  <w:vAlign w:val="center"/>
                </w:tcPr>
                <w:p>
                  <w:pPr>
                    <w:pStyle w:val="62"/>
                    <w:rPr>
                      <w:color w:val="auto"/>
                    </w:rPr>
                  </w:pPr>
                  <w:r>
                    <w:rPr>
                      <w:color w:val="auto"/>
                    </w:rPr>
                    <w:t>NO</w:t>
                  </w:r>
                  <w:r>
                    <w:rPr>
                      <w:color w:val="auto"/>
                      <w:vertAlign w:val="subscript"/>
                    </w:rPr>
                    <w:t>2</w:t>
                  </w:r>
                </w:p>
              </w:tc>
              <w:tc>
                <w:tcPr>
                  <w:tcW w:w="1201" w:type="pct"/>
                  <w:tcMar>
                    <w:top w:w="0" w:type="dxa"/>
                    <w:left w:w="57" w:type="dxa"/>
                    <w:bottom w:w="0" w:type="dxa"/>
                    <w:right w:w="57" w:type="dxa"/>
                  </w:tcMar>
                  <w:vAlign w:val="center"/>
                </w:tcPr>
                <w:p>
                  <w:pPr>
                    <w:widowControl/>
                    <w:jc w:val="center"/>
                    <w:rPr>
                      <w:color w:val="auto"/>
                      <w:kern w:val="0"/>
                      <w:szCs w:val="21"/>
                      <w:lang w:bidi="ar"/>
                    </w:rPr>
                  </w:pPr>
                  <w:r>
                    <w:rPr>
                      <w:color w:val="auto"/>
                      <w:kern w:val="0"/>
                      <w:szCs w:val="21"/>
                      <w:lang w:bidi="ar"/>
                    </w:rPr>
                    <w:t>年平均</w:t>
                  </w:r>
                </w:p>
              </w:tc>
              <w:tc>
                <w:tcPr>
                  <w:tcW w:w="823" w:type="pct"/>
                  <w:tcMar>
                    <w:top w:w="0" w:type="dxa"/>
                    <w:left w:w="57" w:type="dxa"/>
                    <w:bottom w:w="0" w:type="dxa"/>
                    <w:right w:w="57" w:type="dxa"/>
                  </w:tcMar>
                  <w:vAlign w:val="center"/>
                </w:tcPr>
                <w:p>
                  <w:pPr>
                    <w:pStyle w:val="62"/>
                    <w:rPr>
                      <w:color w:val="auto"/>
                    </w:rPr>
                  </w:pPr>
                  <w:r>
                    <w:rPr>
                      <w:rFonts w:hint="eastAsia"/>
                      <w:color w:val="auto"/>
                    </w:rPr>
                    <w:t>35</w:t>
                  </w:r>
                </w:p>
              </w:tc>
              <w:tc>
                <w:tcPr>
                  <w:tcW w:w="1116" w:type="pct"/>
                  <w:tcMar>
                    <w:top w:w="0" w:type="dxa"/>
                    <w:left w:w="57" w:type="dxa"/>
                    <w:bottom w:w="0" w:type="dxa"/>
                    <w:right w:w="57" w:type="dxa"/>
                  </w:tcMar>
                  <w:vAlign w:val="center"/>
                </w:tcPr>
                <w:p>
                  <w:pPr>
                    <w:pStyle w:val="62"/>
                    <w:rPr>
                      <w:color w:val="auto"/>
                    </w:rPr>
                  </w:pPr>
                  <w:r>
                    <w:rPr>
                      <w:rFonts w:hint="eastAsia"/>
                      <w:color w:val="auto"/>
                    </w:rPr>
                    <w:t>40</w:t>
                  </w:r>
                </w:p>
              </w:tc>
              <w:tc>
                <w:tcPr>
                  <w:tcW w:w="618" w:type="pct"/>
                  <w:tcMar>
                    <w:top w:w="0" w:type="dxa"/>
                    <w:left w:w="57" w:type="dxa"/>
                    <w:bottom w:w="0" w:type="dxa"/>
                    <w:right w:w="57" w:type="dxa"/>
                  </w:tcMar>
                  <w:vAlign w:val="center"/>
                </w:tcPr>
                <w:p>
                  <w:pPr>
                    <w:pStyle w:val="62"/>
                    <w:rPr>
                      <w:color w:val="auto"/>
                    </w:rPr>
                  </w:pPr>
                  <w:r>
                    <w:rPr>
                      <w:rFonts w:hint="eastAsia"/>
                      <w:color w:val="auto"/>
                    </w:rPr>
                    <w:t>87.5</w:t>
                  </w:r>
                </w:p>
              </w:tc>
              <w:tc>
                <w:tcPr>
                  <w:tcW w:w="604" w:type="pct"/>
                  <w:tcMar>
                    <w:top w:w="0" w:type="dxa"/>
                    <w:left w:w="57" w:type="dxa"/>
                    <w:bottom w:w="0" w:type="dxa"/>
                    <w:right w:w="57" w:type="dxa"/>
                  </w:tcMar>
                  <w:vAlign w:val="center"/>
                </w:tcPr>
                <w:p>
                  <w:pPr>
                    <w:pStyle w:val="62"/>
                    <w:rPr>
                      <w:color w:val="auto"/>
                    </w:rPr>
                  </w:pPr>
                  <w:r>
                    <w:rPr>
                      <w:color w:val="auto"/>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cantSplit/>
                <w:trHeight w:val="209" w:hRule="atLeast"/>
                <w:tblHeader/>
                <w:jc w:val="center"/>
              </w:trPr>
              <w:tc>
                <w:tcPr>
                  <w:tcW w:w="635" w:type="pct"/>
                  <w:tcMar>
                    <w:top w:w="0" w:type="dxa"/>
                    <w:left w:w="57" w:type="dxa"/>
                    <w:bottom w:w="0" w:type="dxa"/>
                    <w:right w:w="57" w:type="dxa"/>
                  </w:tcMar>
                  <w:vAlign w:val="center"/>
                </w:tcPr>
                <w:p>
                  <w:pPr>
                    <w:pStyle w:val="62"/>
                    <w:rPr>
                      <w:color w:val="auto"/>
                    </w:rPr>
                  </w:pPr>
                  <w:r>
                    <w:rPr>
                      <w:color w:val="auto"/>
                    </w:rPr>
                    <w:t>PM</w:t>
                  </w:r>
                  <w:r>
                    <w:rPr>
                      <w:color w:val="auto"/>
                      <w:vertAlign w:val="subscript"/>
                    </w:rPr>
                    <w:t>10</w:t>
                  </w:r>
                </w:p>
              </w:tc>
              <w:tc>
                <w:tcPr>
                  <w:tcW w:w="1201" w:type="pct"/>
                  <w:tcMar>
                    <w:top w:w="0" w:type="dxa"/>
                    <w:left w:w="57" w:type="dxa"/>
                    <w:bottom w:w="0" w:type="dxa"/>
                    <w:right w:w="57" w:type="dxa"/>
                  </w:tcMar>
                  <w:vAlign w:val="center"/>
                </w:tcPr>
                <w:p>
                  <w:pPr>
                    <w:widowControl/>
                    <w:jc w:val="center"/>
                    <w:rPr>
                      <w:color w:val="auto"/>
                      <w:kern w:val="0"/>
                      <w:szCs w:val="21"/>
                      <w:lang w:bidi="ar"/>
                    </w:rPr>
                  </w:pPr>
                  <w:r>
                    <w:rPr>
                      <w:color w:val="auto"/>
                      <w:kern w:val="0"/>
                      <w:szCs w:val="21"/>
                      <w:lang w:bidi="ar"/>
                    </w:rPr>
                    <w:t>年平均</w:t>
                  </w:r>
                </w:p>
              </w:tc>
              <w:tc>
                <w:tcPr>
                  <w:tcW w:w="823" w:type="pct"/>
                  <w:tcMar>
                    <w:top w:w="0" w:type="dxa"/>
                    <w:left w:w="57" w:type="dxa"/>
                    <w:bottom w:w="0" w:type="dxa"/>
                    <w:right w:w="57" w:type="dxa"/>
                  </w:tcMar>
                  <w:vAlign w:val="center"/>
                </w:tcPr>
                <w:p>
                  <w:pPr>
                    <w:pStyle w:val="62"/>
                    <w:rPr>
                      <w:color w:val="auto"/>
                    </w:rPr>
                  </w:pPr>
                  <w:r>
                    <w:rPr>
                      <w:rFonts w:hint="eastAsia"/>
                      <w:color w:val="auto"/>
                    </w:rPr>
                    <w:t>84</w:t>
                  </w:r>
                </w:p>
              </w:tc>
              <w:tc>
                <w:tcPr>
                  <w:tcW w:w="1116" w:type="pct"/>
                  <w:tcMar>
                    <w:top w:w="0" w:type="dxa"/>
                    <w:left w:w="57" w:type="dxa"/>
                    <w:bottom w:w="0" w:type="dxa"/>
                    <w:right w:w="57" w:type="dxa"/>
                  </w:tcMar>
                  <w:vAlign w:val="center"/>
                </w:tcPr>
                <w:p>
                  <w:pPr>
                    <w:pStyle w:val="62"/>
                    <w:rPr>
                      <w:color w:val="auto"/>
                    </w:rPr>
                  </w:pPr>
                  <w:r>
                    <w:rPr>
                      <w:rFonts w:hint="eastAsia"/>
                      <w:color w:val="auto"/>
                    </w:rPr>
                    <w:t>70</w:t>
                  </w:r>
                </w:p>
              </w:tc>
              <w:tc>
                <w:tcPr>
                  <w:tcW w:w="618" w:type="pct"/>
                  <w:tcMar>
                    <w:top w:w="0" w:type="dxa"/>
                    <w:left w:w="57" w:type="dxa"/>
                    <w:bottom w:w="0" w:type="dxa"/>
                    <w:right w:w="57" w:type="dxa"/>
                  </w:tcMar>
                  <w:vAlign w:val="center"/>
                </w:tcPr>
                <w:p>
                  <w:pPr>
                    <w:pStyle w:val="62"/>
                    <w:rPr>
                      <w:color w:val="auto"/>
                    </w:rPr>
                  </w:pPr>
                  <w:r>
                    <w:rPr>
                      <w:rFonts w:hint="eastAsia"/>
                      <w:color w:val="auto"/>
                    </w:rPr>
                    <w:t>120.0</w:t>
                  </w:r>
                </w:p>
              </w:tc>
              <w:tc>
                <w:tcPr>
                  <w:tcW w:w="604" w:type="pct"/>
                  <w:tcMar>
                    <w:top w:w="0" w:type="dxa"/>
                    <w:left w:w="57" w:type="dxa"/>
                    <w:bottom w:w="0" w:type="dxa"/>
                    <w:right w:w="57" w:type="dxa"/>
                  </w:tcMar>
                  <w:vAlign w:val="center"/>
                </w:tcPr>
                <w:p>
                  <w:pPr>
                    <w:pStyle w:val="62"/>
                    <w:rPr>
                      <w:color w:val="auto"/>
                    </w:rPr>
                  </w:pPr>
                  <w:r>
                    <w:rPr>
                      <w:rFonts w:hint="eastAsia"/>
                      <w:color w:val="auto"/>
                    </w:rPr>
                    <w:t>超标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56" w:hRule="atLeast"/>
                <w:tblHeader/>
                <w:jc w:val="center"/>
              </w:trPr>
              <w:tc>
                <w:tcPr>
                  <w:tcW w:w="635" w:type="pct"/>
                  <w:tcMar>
                    <w:top w:w="0" w:type="dxa"/>
                    <w:left w:w="57" w:type="dxa"/>
                    <w:bottom w:w="0" w:type="dxa"/>
                    <w:right w:w="57" w:type="dxa"/>
                  </w:tcMar>
                  <w:vAlign w:val="center"/>
                </w:tcPr>
                <w:p>
                  <w:pPr>
                    <w:pStyle w:val="62"/>
                    <w:rPr>
                      <w:color w:val="auto"/>
                    </w:rPr>
                  </w:pPr>
                  <w:r>
                    <w:rPr>
                      <w:color w:val="auto"/>
                    </w:rPr>
                    <w:t>PM</w:t>
                  </w:r>
                  <w:r>
                    <w:rPr>
                      <w:color w:val="auto"/>
                      <w:vertAlign w:val="subscript"/>
                    </w:rPr>
                    <w:t>2.5</w:t>
                  </w:r>
                </w:p>
              </w:tc>
              <w:tc>
                <w:tcPr>
                  <w:tcW w:w="1201" w:type="pct"/>
                  <w:tcMar>
                    <w:top w:w="0" w:type="dxa"/>
                    <w:left w:w="57" w:type="dxa"/>
                    <w:bottom w:w="0" w:type="dxa"/>
                    <w:right w:w="57" w:type="dxa"/>
                  </w:tcMar>
                  <w:vAlign w:val="center"/>
                </w:tcPr>
                <w:p>
                  <w:pPr>
                    <w:widowControl/>
                    <w:jc w:val="center"/>
                    <w:rPr>
                      <w:color w:val="auto"/>
                      <w:kern w:val="0"/>
                      <w:szCs w:val="21"/>
                      <w:lang w:bidi="ar"/>
                    </w:rPr>
                  </w:pPr>
                  <w:r>
                    <w:rPr>
                      <w:color w:val="auto"/>
                      <w:kern w:val="0"/>
                      <w:szCs w:val="21"/>
                      <w:lang w:bidi="ar"/>
                    </w:rPr>
                    <w:t>年平均</w:t>
                  </w:r>
                </w:p>
              </w:tc>
              <w:tc>
                <w:tcPr>
                  <w:tcW w:w="823" w:type="pct"/>
                  <w:tcMar>
                    <w:top w:w="0" w:type="dxa"/>
                    <w:left w:w="57" w:type="dxa"/>
                    <w:bottom w:w="0" w:type="dxa"/>
                    <w:right w:w="57" w:type="dxa"/>
                  </w:tcMar>
                  <w:vAlign w:val="center"/>
                </w:tcPr>
                <w:p>
                  <w:pPr>
                    <w:pStyle w:val="62"/>
                    <w:rPr>
                      <w:color w:val="auto"/>
                    </w:rPr>
                  </w:pPr>
                  <w:r>
                    <w:rPr>
                      <w:rFonts w:hint="eastAsia"/>
                      <w:color w:val="auto"/>
                    </w:rPr>
                    <w:t>51</w:t>
                  </w:r>
                </w:p>
              </w:tc>
              <w:tc>
                <w:tcPr>
                  <w:tcW w:w="1116" w:type="pct"/>
                  <w:tcMar>
                    <w:top w:w="0" w:type="dxa"/>
                    <w:left w:w="57" w:type="dxa"/>
                    <w:bottom w:w="0" w:type="dxa"/>
                    <w:right w:w="57" w:type="dxa"/>
                  </w:tcMar>
                  <w:vAlign w:val="center"/>
                </w:tcPr>
                <w:p>
                  <w:pPr>
                    <w:pStyle w:val="62"/>
                    <w:rPr>
                      <w:color w:val="auto"/>
                    </w:rPr>
                  </w:pPr>
                  <w:r>
                    <w:rPr>
                      <w:rFonts w:hint="eastAsia"/>
                      <w:color w:val="auto"/>
                    </w:rPr>
                    <w:t>35</w:t>
                  </w:r>
                </w:p>
              </w:tc>
              <w:tc>
                <w:tcPr>
                  <w:tcW w:w="618" w:type="pct"/>
                  <w:tcMar>
                    <w:top w:w="0" w:type="dxa"/>
                    <w:left w:w="57" w:type="dxa"/>
                    <w:bottom w:w="0" w:type="dxa"/>
                    <w:right w:w="57" w:type="dxa"/>
                  </w:tcMar>
                  <w:vAlign w:val="center"/>
                </w:tcPr>
                <w:p>
                  <w:pPr>
                    <w:pStyle w:val="62"/>
                    <w:rPr>
                      <w:color w:val="auto"/>
                    </w:rPr>
                  </w:pPr>
                  <w:r>
                    <w:rPr>
                      <w:rFonts w:hint="eastAsia"/>
                      <w:color w:val="auto"/>
                    </w:rPr>
                    <w:t>145.7</w:t>
                  </w:r>
                </w:p>
              </w:tc>
              <w:tc>
                <w:tcPr>
                  <w:tcW w:w="604" w:type="pct"/>
                  <w:tcMar>
                    <w:top w:w="0" w:type="dxa"/>
                    <w:left w:w="57" w:type="dxa"/>
                    <w:bottom w:w="0" w:type="dxa"/>
                    <w:right w:w="57" w:type="dxa"/>
                  </w:tcMar>
                  <w:vAlign w:val="center"/>
                </w:tcPr>
                <w:p>
                  <w:pPr>
                    <w:pStyle w:val="62"/>
                    <w:rPr>
                      <w:color w:val="auto"/>
                    </w:rPr>
                  </w:pPr>
                  <w:r>
                    <w:rPr>
                      <w:color w:val="auto"/>
                    </w:rPr>
                    <w:t>超标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186" w:hRule="atLeast"/>
                <w:tblHeader/>
                <w:jc w:val="center"/>
              </w:trPr>
              <w:tc>
                <w:tcPr>
                  <w:tcW w:w="635" w:type="pct"/>
                  <w:tcMar>
                    <w:top w:w="0" w:type="dxa"/>
                    <w:left w:w="57" w:type="dxa"/>
                    <w:bottom w:w="0" w:type="dxa"/>
                    <w:right w:w="57" w:type="dxa"/>
                  </w:tcMar>
                  <w:vAlign w:val="center"/>
                </w:tcPr>
                <w:p>
                  <w:pPr>
                    <w:pStyle w:val="62"/>
                    <w:rPr>
                      <w:color w:val="auto"/>
                    </w:rPr>
                  </w:pPr>
                  <w:r>
                    <w:rPr>
                      <w:color w:val="auto"/>
                    </w:rPr>
                    <w:t>CO</w:t>
                  </w:r>
                </w:p>
              </w:tc>
              <w:tc>
                <w:tcPr>
                  <w:tcW w:w="1201" w:type="pct"/>
                  <w:tcMar>
                    <w:top w:w="0" w:type="dxa"/>
                    <w:left w:w="57" w:type="dxa"/>
                    <w:bottom w:w="0" w:type="dxa"/>
                    <w:right w:w="57" w:type="dxa"/>
                  </w:tcMar>
                  <w:vAlign w:val="center"/>
                </w:tcPr>
                <w:p>
                  <w:pPr>
                    <w:widowControl/>
                    <w:jc w:val="center"/>
                    <w:rPr>
                      <w:color w:val="auto"/>
                      <w:kern w:val="0"/>
                      <w:szCs w:val="21"/>
                      <w:lang w:bidi="ar"/>
                    </w:rPr>
                  </w:pPr>
                  <w:r>
                    <w:rPr>
                      <w:rFonts w:hint="eastAsia"/>
                      <w:color w:val="auto"/>
                      <w:kern w:val="0"/>
                      <w:szCs w:val="21"/>
                      <w:lang w:bidi="ar"/>
                    </w:rPr>
                    <w:t>24h</w:t>
                  </w:r>
                  <w:r>
                    <w:rPr>
                      <w:color w:val="auto"/>
                      <w:kern w:val="0"/>
                      <w:szCs w:val="21"/>
                      <w:lang w:bidi="ar"/>
                    </w:rPr>
                    <w:t>第95百分位数</w:t>
                  </w:r>
                </w:p>
              </w:tc>
              <w:tc>
                <w:tcPr>
                  <w:tcW w:w="823" w:type="pct"/>
                  <w:tcMar>
                    <w:top w:w="0" w:type="dxa"/>
                    <w:left w:w="57" w:type="dxa"/>
                    <w:bottom w:w="0" w:type="dxa"/>
                    <w:right w:w="57" w:type="dxa"/>
                  </w:tcMar>
                  <w:vAlign w:val="center"/>
                </w:tcPr>
                <w:p>
                  <w:pPr>
                    <w:pStyle w:val="62"/>
                    <w:rPr>
                      <w:color w:val="auto"/>
                    </w:rPr>
                  </w:pPr>
                  <w:r>
                    <w:rPr>
                      <w:rFonts w:hint="eastAsia"/>
                      <w:color w:val="auto"/>
                    </w:rPr>
                    <w:t>2600</w:t>
                  </w:r>
                </w:p>
              </w:tc>
              <w:tc>
                <w:tcPr>
                  <w:tcW w:w="1116" w:type="pct"/>
                  <w:tcMar>
                    <w:top w:w="0" w:type="dxa"/>
                    <w:left w:w="57" w:type="dxa"/>
                    <w:bottom w:w="0" w:type="dxa"/>
                    <w:right w:w="57" w:type="dxa"/>
                  </w:tcMar>
                  <w:vAlign w:val="center"/>
                </w:tcPr>
                <w:p>
                  <w:pPr>
                    <w:pStyle w:val="62"/>
                    <w:rPr>
                      <w:color w:val="auto"/>
                    </w:rPr>
                  </w:pPr>
                  <w:r>
                    <w:rPr>
                      <w:color w:val="auto"/>
                    </w:rPr>
                    <w:t>4000</w:t>
                  </w:r>
                </w:p>
              </w:tc>
              <w:tc>
                <w:tcPr>
                  <w:tcW w:w="618" w:type="pct"/>
                  <w:tcMar>
                    <w:top w:w="0" w:type="dxa"/>
                    <w:left w:w="57" w:type="dxa"/>
                    <w:bottom w:w="0" w:type="dxa"/>
                    <w:right w:w="57" w:type="dxa"/>
                  </w:tcMar>
                  <w:vAlign w:val="center"/>
                </w:tcPr>
                <w:p>
                  <w:pPr>
                    <w:pStyle w:val="62"/>
                    <w:rPr>
                      <w:color w:val="auto"/>
                    </w:rPr>
                  </w:pPr>
                  <w:r>
                    <w:rPr>
                      <w:rFonts w:hint="eastAsia"/>
                      <w:color w:val="auto"/>
                    </w:rPr>
                    <w:t>65.0</w:t>
                  </w:r>
                </w:p>
              </w:tc>
              <w:tc>
                <w:tcPr>
                  <w:tcW w:w="604" w:type="pct"/>
                  <w:tcMar>
                    <w:top w:w="0" w:type="dxa"/>
                    <w:left w:w="57" w:type="dxa"/>
                    <w:bottom w:w="0" w:type="dxa"/>
                    <w:right w:w="57" w:type="dxa"/>
                  </w:tcMar>
                  <w:vAlign w:val="center"/>
                </w:tcPr>
                <w:p>
                  <w:pPr>
                    <w:pStyle w:val="62"/>
                    <w:rPr>
                      <w:color w:val="auto"/>
                    </w:rPr>
                  </w:pPr>
                  <w:r>
                    <w:rPr>
                      <w:color w:val="auto"/>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cantSplit/>
                <w:trHeight w:val="382" w:hRule="atLeast"/>
                <w:tblHeader/>
                <w:jc w:val="center"/>
              </w:trPr>
              <w:tc>
                <w:tcPr>
                  <w:tcW w:w="635" w:type="pct"/>
                  <w:tcMar>
                    <w:top w:w="0" w:type="dxa"/>
                    <w:left w:w="57" w:type="dxa"/>
                    <w:bottom w:w="0" w:type="dxa"/>
                    <w:right w:w="57" w:type="dxa"/>
                  </w:tcMar>
                  <w:vAlign w:val="center"/>
                </w:tcPr>
                <w:p>
                  <w:pPr>
                    <w:pStyle w:val="62"/>
                    <w:rPr>
                      <w:color w:val="auto"/>
                    </w:rPr>
                  </w:pPr>
                  <w:r>
                    <w:rPr>
                      <w:color w:val="auto"/>
                    </w:rPr>
                    <w:t>O</w:t>
                  </w:r>
                  <w:r>
                    <w:rPr>
                      <w:color w:val="auto"/>
                      <w:vertAlign w:val="subscript"/>
                    </w:rPr>
                    <w:t>3</w:t>
                  </w:r>
                </w:p>
              </w:tc>
              <w:tc>
                <w:tcPr>
                  <w:tcW w:w="1201" w:type="pct"/>
                  <w:tcMar>
                    <w:top w:w="0" w:type="dxa"/>
                    <w:left w:w="57" w:type="dxa"/>
                    <w:bottom w:w="0" w:type="dxa"/>
                    <w:right w:w="57" w:type="dxa"/>
                  </w:tcMar>
                  <w:vAlign w:val="center"/>
                </w:tcPr>
                <w:p>
                  <w:pPr>
                    <w:widowControl/>
                    <w:jc w:val="center"/>
                    <w:rPr>
                      <w:color w:val="auto"/>
                      <w:kern w:val="0"/>
                      <w:szCs w:val="21"/>
                      <w:lang w:bidi="ar"/>
                    </w:rPr>
                  </w:pPr>
                  <w:r>
                    <w:rPr>
                      <w:rFonts w:hint="eastAsia"/>
                      <w:color w:val="auto"/>
                      <w:kern w:val="0"/>
                      <w:szCs w:val="21"/>
                      <w:lang w:bidi="ar"/>
                    </w:rPr>
                    <w:t>日最大8h平均</w:t>
                  </w:r>
                  <w:r>
                    <w:rPr>
                      <w:color w:val="auto"/>
                      <w:kern w:val="0"/>
                      <w:szCs w:val="21"/>
                      <w:lang w:bidi="ar"/>
                    </w:rPr>
                    <w:t>第90</w:t>
                  </w:r>
                </w:p>
                <w:p>
                  <w:pPr>
                    <w:widowControl/>
                    <w:jc w:val="center"/>
                    <w:rPr>
                      <w:color w:val="auto"/>
                      <w:kern w:val="0"/>
                      <w:szCs w:val="21"/>
                      <w:lang w:bidi="ar"/>
                    </w:rPr>
                  </w:pPr>
                  <w:r>
                    <w:rPr>
                      <w:color w:val="auto"/>
                      <w:kern w:val="0"/>
                      <w:szCs w:val="21"/>
                      <w:lang w:bidi="ar"/>
                    </w:rPr>
                    <w:t>百分位数</w:t>
                  </w:r>
                </w:p>
              </w:tc>
              <w:tc>
                <w:tcPr>
                  <w:tcW w:w="823" w:type="pct"/>
                  <w:tcMar>
                    <w:top w:w="0" w:type="dxa"/>
                    <w:left w:w="57" w:type="dxa"/>
                    <w:bottom w:w="0" w:type="dxa"/>
                    <w:right w:w="57" w:type="dxa"/>
                  </w:tcMar>
                  <w:vAlign w:val="center"/>
                </w:tcPr>
                <w:p>
                  <w:pPr>
                    <w:pStyle w:val="62"/>
                    <w:rPr>
                      <w:color w:val="auto"/>
                    </w:rPr>
                  </w:pPr>
                  <w:r>
                    <w:rPr>
                      <w:rFonts w:hint="eastAsia"/>
                      <w:color w:val="auto"/>
                    </w:rPr>
                    <w:t>138</w:t>
                  </w:r>
                </w:p>
              </w:tc>
              <w:tc>
                <w:tcPr>
                  <w:tcW w:w="1116" w:type="pct"/>
                  <w:tcMar>
                    <w:top w:w="0" w:type="dxa"/>
                    <w:left w:w="57" w:type="dxa"/>
                    <w:bottom w:w="0" w:type="dxa"/>
                    <w:right w:w="57" w:type="dxa"/>
                  </w:tcMar>
                  <w:vAlign w:val="center"/>
                </w:tcPr>
                <w:p>
                  <w:pPr>
                    <w:pStyle w:val="62"/>
                    <w:rPr>
                      <w:color w:val="auto"/>
                    </w:rPr>
                  </w:pPr>
                  <w:r>
                    <w:rPr>
                      <w:rFonts w:hint="eastAsia"/>
                      <w:color w:val="auto"/>
                    </w:rPr>
                    <w:t>160</w:t>
                  </w:r>
                </w:p>
              </w:tc>
              <w:tc>
                <w:tcPr>
                  <w:tcW w:w="618" w:type="pct"/>
                  <w:tcMar>
                    <w:top w:w="0" w:type="dxa"/>
                    <w:left w:w="57" w:type="dxa"/>
                    <w:bottom w:w="0" w:type="dxa"/>
                    <w:right w:w="57" w:type="dxa"/>
                  </w:tcMar>
                  <w:vAlign w:val="center"/>
                </w:tcPr>
                <w:p>
                  <w:pPr>
                    <w:pStyle w:val="62"/>
                    <w:rPr>
                      <w:color w:val="auto"/>
                    </w:rPr>
                  </w:pPr>
                  <w:r>
                    <w:rPr>
                      <w:rFonts w:hint="eastAsia"/>
                      <w:color w:val="auto"/>
                    </w:rPr>
                    <w:t>86.3</w:t>
                  </w:r>
                </w:p>
              </w:tc>
              <w:tc>
                <w:tcPr>
                  <w:tcW w:w="604" w:type="pct"/>
                  <w:tcMar>
                    <w:top w:w="0" w:type="dxa"/>
                    <w:left w:w="57" w:type="dxa"/>
                    <w:bottom w:w="0" w:type="dxa"/>
                    <w:right w:w="57" w:type="dxa"/>
                  </w:tcMar>
                  <w:vAlign w:val="center"/>
                </w:tcPr>
                <w:p>
                  <w:pPr>
                    <w:pStyle w:val="62"/>
                    <w:rPr>
                      <w:color w:val="auto"/>
                    </w:rPr>
                  </w:pPr>
                  <w:r>
                    <w:rPr>
                      <w:color w:val="auto"/>
                    </w:rPr>
                    <w:t>达标</w:t>
                  </w:r>
                </w:p>
              </w:tc>
            </w:tr>
          </w:tbl>
          <w:p>
            <w:pPr>
              <w:autoSpaceDE w:val="0"/>
              <w:autoSpaceDN w:val="0"/>
              <w:adjustRightInd w:val="0"/>
              <w:spacing w:line="520" w:lineRule="exact"/>
              <w:ind w:firstLine="480" w:firstLineChars="200"/>
              <w:rPr>
                <w:color w:val="auto"/>
                <w:sz w:val="24"/>
              </w:rPr>
            </w:pPr>
            <w:r>
              <w:rPr>
                <w:color w:val="auto"/>
                <w:sz w:val="24"/>
              </w:rPr>
              <w:t>由上表可知，</w:t>
            </w:r>
            <w:r>
              <w:rPr>
                <w:rFonts w:hint="eastAsia"/>
                <w:color w:val="auto"/>
                <w:sz w:val="24"/>
              </w:rPr>
              <w:t>2021年阜康市基本污染物</w:t>
            </w:r>
            <w:r>
              <w:rPr>
                <w:color w:val="auto"/>
                <w:sz w:val="24"/>
              </w:rPr>
              <w:t>项目SO</w:t>
            </w:r>
            <w:r>
              <w:rPr>
                <w:color w:val="auto"/>
                <w:sz w:val="24"/>
                <w:vertAlign w:val="subscript"/>
              </w:rPr>
              <w:t>2</w:t>
            </w:r>
            <w:r>
              <w:rPr>
                <w:color w:val="auto"/>
                <w:sz w:val="24"/>
              </w:rPr>
              <w:t>、NO</w:t>
            </w:r>
            <w:r>
              <w:rPr>
                <w:color w:val="auto"/>
                <w:sz w:val="24"/>
                <w:vertAlign w:val="subscript"/>
              </w:rPr>
              <w:t>2</w:t>
            </w:r>
            <w:r>
              <w:rPr>
                <w:color w:val="auto"/>
                <w:sz w:val="24"/>
              </w:rPr>
              <w:t>、O</w:t>
            </w:r>
            <w:r>
              <w:rPr>
                <w:color w:val="auto"/>
                <w:sz w:val="24"/>
                <w:vertAlign w:val="subscript"/>
              </w:rPr>
              <w:t>3</w:t>
            </w:r>
            <w:r>
              <w:rPr>
                <w:color w:val="auto"/>
                <w:sz w:val="24"/>
              </w:rPr>
              <w:t>、CO</w:t>
            </w:r>
            <w:r>
              <w:rPr>
                <w:rFonts w:hint="eastAsia"/>
                <w:color w:val="auto"/>
                <w:sz w:val="24"/>
              </w:rPr>
              <w:t>监测值符合</w:t>
            </w:r>
            <w:r>
              <w:rPr>
                <w:color w:val="auto"/>
                <w:sz w:val="24"/>
              </w:rPr>
              <w:t>《环境空气质量标准》（GB3095-2012）的二级标准要求</w:t>
            </w:r>
            <w:r>
              <w:rPr>
                <w:rFonts w:hint="eastAsia"/>
                <w:color w:val="auto"/>
                <w:sz w:val="24"/>
              </w:rPr>
              <w:t>，</w:t>
            </w:r>
            <w:r>
              <w:rPr>
                <w:color w:val="auto"/>
                <w:sz w:val="24"/>
              </w:rPr>
              <w:t>PM</w:t>
            </w:r>
            <w:r>
              <w:rPr>
                <w:color w:val="auto"/>
                <w:sz w:val="24"/>
                <w:vertAlign w:val="subscript"/>
              </w:rPr>
              <w:t>10</w:t>
            </w:r>
            <w:r>
              <w:rPr>
                <w:rFonts w:hint="eastAsia"/>
                <w:color w:val="auto"/>
                <w:sz w:val="24"/>
              </w:rPr>
              <w:t>、</w:t>
            </w:r>
            <w:r>
              <w:rPr>
                <w:color w:val="auto"/>
                <w:sz w:val="24"/>
              </w:rPr>
              <w:t>PM</w:t>
            </w:r>
            <w:r>
              <w:rPr>
                <w:color w:val="auto"/>
                <w:sz w:val="24"/>
                <w:vertAlign w:val="subscript"/>
              </w:rPr>
              <w:t>2.5</w:t>
            </w:r>
            <w:r>
              <w:rPr>
                <w:color w:val="auto"/>
                <w:sz w:val="24"/>
              </w:rPr>
              <w:t>超过《环境空气质量标准》（GB3095-2012）的二级标准要求，</w:t>
            </w:r>
            <w:r>
              <w:rPr>
                <w:rFonts w:hint="eastAsia"/>
                <w:color w:val="auto"/>
                <w:sz w:val="24"/>
              </w:rPr>
              <w:t>主要与风沙季节有一定关系，因此，</w:t>
            </w:r>
            <w:r>
              <w:rPr>
                <w:color w:val="auto"/>
                <w:sz w:val="24"/>
              </w:rPr>
              <w:t>本项目所在区域为</w:t>
            </w:r>
            <w:r>
              <w:rPr>
                <w:rFonts w:hint="eastAsia"/>
                <w:color w:val="auto"/>
                <w:sz w:val="24"/>
              </w:rPr>
              <w:t>空气质量不</w:t>
            </w:r>
            <w:r>
              <w:rPr>
                <w:color w:val="auto"/>
                <w:sz w:val="24"/>
              </w:rPr>
              <w:t>达标区。</w:t>
            </w:r>
          </w:p>
          <w:p>
            <w:pPr>
              <w:autoSpaceDE w:val="0"/>
              <w:autoSpaceDN w:val="0"/>
              <w:adjustRightInd w:val="0"/>
              <w:spacing w:line="520" w:lineRule="exact"/>
              <w:ind w:firstLine="480" w:firstLineChars="200"/>
              <w:rPr>
                <w:color w:val="auto"/>
                <w:sz w:val="24"/>
              </w:rPr>
            </w:pPr>
            <w:r>
              <w:rPr>
                <w:rFonts w:hint="eastAsia"/>
                <w:color w:val="auto"/>
                <w:sz w:val="24"/>
              </w:rPr>
              <w:t>（2）补充监测</w:t>
            </w:r>
          </w:p>
          <w:p>
            <w:pPr>
              <w:autoSpaceDE w:val="0"/>
              <w:autoSpaceDN w:val="0"/>
              <w:adjustRightInd w:val="0"/>
              <w:spacing w:line="520" w:lineRule="exact"/>
              <w:ind w:firstLine="480" w:firstLineChars="200"/>
              <w:rPr>
                <w:color w:val="auto"/>
                <w:sz w:val="24"/>
              </w:rPr>
            </w:pPr>
            <w:r>
              <w:rPr>
                <w:rFonts w:hint="eastAsia"/>
                <w:color w:val="auto"/>
                <w:sz w:val="24"/>
              </w:rPr>
              <w:t>本项目涉及的其他大气污染物为非甲烷总烃。</w:t>
            </w:r>
          </w:p>
          <w:p>
            <w:pPr>
              <w:autoSpaceDE w:val="0"/>
              <w:autoSpaceDN w:val="0"/>
              <w:adjustRightInd w:val="0"/>
              <w:spacing w:line="520" w:lineRule="exact"/>
              <w:ind w:firstLine="480" w:firstLineChars="200"/>
              <w:rPr>
                <w:color w:val="auto"/>
                <w:sz w:val="24"/>
              </w:rPr>
            </w:pPr>
            <w:r>
              <w:rPr>
                <w:rFonts w:hint="eastAsia"/>
                <w:color w:val="auto"/>
                <w:sz w:val="24"/>
              </w:rPr>
              <w:t>本次非甲烷总烃</w:t>
            </w:r>
            <w:r>
              <w:rPr>
                <w:color w:val="auto"/>
                <w:sz w:val="24"/>
              </w:rPr>
              <w:t>委托</w:t>
            </w:r>
            <w:r>
              <w:rPr>
                <w:rFonts w:hint="eastAsia"/>
                <w:color w:val="auto"/>
                <w:sz w:val="24"/>
              </w:rPr>
              <w:t>新疆环疆绿源环保科技有限公司</w:t>
            </w:r>
            <w:r>
              <w:rPr>
                <w:color w:val="auto"/>
                <w:sz w:val="24"/>
              </w:rPr>
              <w:t>进行现场监测。</w:t>
            </w:r>
          </w:p>
          <w:p>
            <w:pPr>
              <w:autoSpaceDE w:val="0"/>
              <w:autoSpaceDN w:val="0"/>
              <w:adjustRightInd w:val="0"/>
              <w:spacing w:line="520" w:lineRule="exact"/>
              <w:ind w:firstLine="480" w:firstLineChars="200"/>
              <w:rPr>
                <w:color w:val="auto"/>
                <w:sz w:val="24"/>
              </w:rPr>
            </w:pPr>
            <w:r>
              <w:rPr>
                <w:rFonts w:hint="eastAsia"/>
                <w:color w:val="auto"/>
                <w:sz w:val="24"/>
              </w:rPr>
              <w:t>（1）监测时间、频次及分析方法</w:t>
            </w:r>
          </w:p>
          <w:p>
            <w:pPr>
              <w:autoSpaceDE w:val="0"/>
              <w:autoSpaceDN w:val="0"/>
              <w:adjustRightInd w:val="0"/>
              <w:spacing w:line="520" w:lineRule="exact"/>
              <w:ind w:firstLine="480" w:firstLineChars="200"/>
              <w:rPr>
                <w:color w:val="auto"/>
                <w:sz w:val="24"/>
              </w:rPr>
            </w:pPr>
            <w:r>
              <w:rPr>
                <w:rFonts w:hint="eastAsia"/>
                <w:color w:val="auto"/>
                <w:sz w:val="24"/>
              </w:rPr>
              <w:t>监测时间为2023年2月7日至2月9日，连续采样3天，每天采样4次，分析方法按照《环境空气质量标准》（GB3095-2012）中的要求进行。</w:t>
            </w:r>
          </w:p>
          <w:p>
            <w:pPr>
              <w:adjustRightInd w:val="0"/>
              <w:snapToGrid w:val="0"/>
              <w:spacing w:line="520" w:lineRule="exact"/>
              <w:ind w:firstLine="480" w:firstLineChars="200"/>
              <w:rPr>
                <w:rFonts w:cs="宋体"/>
                <w:color w:val="auto"/>
                <w:kern w:val="0"/>
                <w:sz w:val="24"/>
              </w:rPr>
            </w:pPr>
            <w:r>
              <w:rPr>
                <w:rFonts w:hint="eastAsia" w:cs="宋体"/>
                <w:color w:val="auto"/>
                <w:kern w:val="0"/>
                <w:sz w:val="24"/>
              </w:rPr>
              <w:t>（2）监测点位</w:t>
            </w:r>
          </w:p>
          <w:p>
            <w:pPr>
              <w:adjustRightInd w:val="0"/>
              <w:snapToGrid w:val="0"/>
              <w:spacing w:line="520" w:lineRule="exact"/>
              <w:ind w:firstLine="480" w:firstLineChars="200"/>
              <w:rPr>
                <w:color w:val="auto"/>
                <w:kern w:val="0"/>
                <w:sz w:val="24"/>
              </w:rPr>
            </w:pPr>
            <w:r>
              <w:rPr>
                <w:color w:val="auto"/>
                <w:kern w:val="0"/>
                <w:sz w:val="24"/>
              </w:rPr>
              <w:t>监测点位于项目区</w:t>
            </w:r>
            <w:r>
              <w:rPr>
                <w:rFonts w:hint="eastAsia"/>
                <w:color w:val="auto"/>
                <w:kern w:val="0"/>
                <w:sz w:val="24"/>
              </w:rPr>
              <w:t>下风向</w:t>
            </w:r>
            <w:r>
              <w:rPr>
                <w:color w:val="auto"/>
                <w:kern w:val="0"/>
                <w:sz w:val="24"/>
              </w:rPr>
              <w:t>。</w:t>
            </w:r>
          </w:p>
          <w:p>
            <w:pPr>
              <w:adjustRightInd w:val="0"/>
              <w:snapToGrid w:val="0"/>
              <w:spacing w:line="520" w:lineRule="exact"/>
              <w:ind w:firstLine="480" w:firstLineChars="200"/>
              <w:rPr>
                <w:color w:val="auto"/>
                <w:kern w:val="0"/>
                <w:sz w:val="24"/>
              </w:rPr>
            </w:pPr>
            <w:r>
              <w:rPr>
                <w:color w:val="auto"/>
                <w:kern w:val="0"/>
                <w:sz w:val="24"/>
              </w:rPr>
              <w:t>监测布点图详见图</w:t>
            </w:r>
            <w:r>
              <w:rPr>
                <w:rFonts w:hint="eastAsia"/>
                <w:color w:val="auto"/>
                <w:kern w:val="0"/>
                <w:sz w:val="24"/>
              </w:rPr>
              <w:t>4</w:t>
            </w:r>
            <w:r>
              <w:rPr>
                <w:color w:val="auto"/>
                <w:kern w:val="0"/>
                <w:sz w:val="24"/>
              </w:rPr>
              <w:t>。</w:t>
            </w:r>
          </w:p>
          <w:p>
            <w:pPr>
              <w:adjustRightInd w:val="0"/>
              <w:snapToGrid w:val="0"/>
              <w:spacing w:line="520" w:lineRule="exact"/>
              <w:ind w:firstLine="480" w:firstLineChars="200"/>
              <w:rPr>
                <w:color w:val="auto"/>
                <w:kern w:val="0"/>
                <w:sz w:val="24"/>
              </w:rPr>
            </w:pPr>
            <w:r>
              <w:rPr>
                <w:color w:val="auto"/>
                <w:kern w:val="0"/>
                <w:sz w:val="24"/>
              </w:rPr>
              <w:t>（3）评价标准</w:t>
            </w:r>
          </w:p>
          <w:p>
            <w:pPr>
              <w:adjustRightInd w:val="0"/>
              <w:snapToGrid w:val="0"/>
              <w:spacing w:line="520" w:lineRule="exact"/>
              <w:ind w:firstLine="480" w:firstLineChars="200"/>
              <w:rPr>
                <w:color w:val="auto"/>
                <w:kern w:val="0"/>
                <w:sz w:val="24"/>
              </w:rPr>
            </w:pPr>
            <w:r>
              <w:rPr>
                <w:color w:val="auto"/>
                <w:kern w:val="0"/>
                <w:sz w:val="24"/>
              </w:rPr>
              <w:t>采用《大气污染物综合排放标准详解》中2.0mg/m</w:t>
            </w:r>
            <w:r>
              <w:rPr>
                <w:color w:val="auto"/>
                <w:kern w:val="0"/>
                <w:sz w:val="24"/>
                <w:vertAlign w:val="superscript"/>
              </w:rPr>
              <w:t>3</w:t>
            </w:r>
            <w:r>
              <w:rPr>
                <w:color w:val="auto"/>
                <w:kern w:val="0"/>
                <w:sz w:val="24"/>
              </w:rPr>
              <w:t>小时标准。</w:t>
            </w:r>
          </w:p>
          <w:p>
            <w:pPr>
              <w:adjustRightInd w:val="0"/>
              <w:snapToGrid w:val="0"/>
              <w:spacing w:line="520" w:lineRule="exact"/>
              <w:ind w:firstLine="480" w:firstLineChars="200"/>
              <w:rPr>
                <w:color w:val="auto"/>
                <w:kern w:val="0"/>
                <w:sz w:val="24"/>
              </w:rPr>
            </w:pPr>
            <w:r>
              <w:rPr>
                <w:color w:val="auto"/>
                <w:kern w:val="0"/>
                <w:sz w:val="24"/>
              </w:rPr>
              <w:t>（4）监测结果及评价</w:t>
            </w:r>
          </w:p>
          <w:p>
            <w:pPr>
              <w:adjustRightInd w:val="0"/>
              <w:snapToGrid w:val="0"/>
              <w:spacing w:line="520" w:lineRule="exact"/>
              <w:ind w:firstLine="480" w:firstLineChars="200"/>
              <w:rPr>
                <w:color w:val="auto"/>
                <w:kern w:val="0"/>
                <w:sz w:val="24"/>
              </w:rPr>
            </w:pPr>
            <w:r>
              <w:rPr>
                <w:color w:val="auto"/>
                <w:kern w:val="0"/>
                <w:sz w:val="24"/>
              </w:rPr>
              <w:t>环境空气质量现状监测统计结果见表3-</w:t>
            </w:r>
            <w:r>
              <w:rPr>
                <w:rFonts w:hint="eastAsia"/>
                <w:color w:val="auto"/>
                <w:kern w:val="0"/>
                <w:sz w:val="24"/>
              </w:rPr>
              <w:t>2</w:t>
            </w:r>
            <w:r>
              <w:rPr>
                <w:color w:val="auto"/>
                <w:kern w:val="0"/>
                <w:sz w:val="24"/>
              </w:rPr>
              <w:t>。</w:t>
            </w:r>
          </w:p>
          <w:p>
            <w:pPr>
              <w:adjustRightInd w:val="0"/>
              <w:snapToGrid w:val="0"/>
              <w:spacing w:line="360" w:lineRule="exact"/>
              <w:jc w:val="center"/>
              <w:rPr>
                <w:rFonts w:ascii="Times New Roman" w:hAnsi="Times New Roman" w:eastAsia="黑体" w:cs="Times New Roman"/>
                <w:color w:val="auto"/>
                <w:kern w:val="2"/>
                <w:sz w:val="24"/>
                <w:szCs w:val="24"/>
                <w:lang w:val="en-US" w:eastAsia="zh-CN" w:bidi="ar-SA"/>
              </w:rPr>
            </w:pPr>
            <w:r>
              <w:rPr>
                <w:rFonts w:hint="eastAsia" w:ascii="Times New Roman" w:hAnsi="Times New Roman" w:eastAsia="黑体" w:cs="Times New Roman"/>
                <w:color w:val="auto"/>
                <w:kern w:val="2"/>
                <w:sz w:val="24"/>
                <w:szCs w:val="24"/>
                <w:lang w:val="en-US" w:eastAsia="zh-CN" w:bidi="ar-SA"/>
              </w:rPr>
              <w:t>表</w:t>
            </w:r>
            <w:r>
              <w:rPr>
                <w:rFonts w:ascii="Times New Roman" w:hAnsi="Times New Roman" w:eastAsia="黑体" w:cs="Times New Roman"/>
                <w:color w:val="auto"/>
                <w:kern w:val="2"/>
                <w:sz w:val="24"/>
                <w:szCs w:val="24"/>
                <w:lang w:val="en-US" w:eastAsia="zh-CN" w:bidi="ar-SA"/>
              </w:rPr>
              <w:t>3-2</w:t>
            </w:r>
            <w:r>
              <w:rPr>
                <w:rFonts w:hint="eastAsia" w:ascii="Times New Roman" w:hAnsi="Times New Roman" w:eastAsia="黑体" w:cs="Times New Roman"/>
                <w:color w:val="auto"/>
                <w:kern w:val="2"/>
                <w:sz w:val="24"/>
                <w:szCs w:val="24"/>
                <w:lang w:val="en-US" w:eastAsia="zh-CN" w:bidi="ar-SA"/>
              </w:rPr>
              <w:t xml:space="preserve">    环境空气质量现状监测与评价结果</w:t>
            </w:r>
          </w:p>
          <w:tbl>
            <w:tblPr>
              <w:tblStyle w:val="31"/>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2" w:space="0"/>
              </w:tblBorders>
              <w:tblLayout w:type="fixed"/>
              <w:tblCellMar>
                <w:top w:w="0" w:type="dxa"/>
                <w:left w:w="108" w:type="dxa"/>
                <w:bottom w:w="0" w:type="dxa"/>
                <w:right w:w="108" w:type="dxa"/>
              </w:tblCellMar>
            </w:tblPr>
            <w:tblGrid>
              <w:gridCol w:w="1279"/>
              <w:gridCol w:w="1062"/>
              <w:gridCol w:w="2205"/>
              <w:gridCol w:w="1451"/>
              <w:gridCol w:w="1974"/>
            </w:tblGrid>
            <w:tr>
              <w:tblPrEx>
                <w:tblBorders>
                  <w:top w:val="single" w:color="auto" w:sz="12" w:space="0"/>
                  <w:left w:val="none" w:color="auto" w:sz="0" w:space="0"/>
                  <w:bottom w:val="single" w:color="auto" w:sz="12" w:space="0"/>
                  <w:right w:val="none" w:color="auto" w:sz="0" w:space="0"/>
                  <w:insideH w:val="single" w:color="auto" w:sz="6" w:space="0"/>
                  <w:insideV w:val="single" w:color="auto" w:sz="2" w:space="0"/>
                </w:tblBorders>
              </w:tblPrEx>
              <w:trPr>
                <w:trHeight w:val="340" w:hRule="atLeast"/>
                <w:jc w:val="center"/>
              </w:trPr>
              <w:tc>
                <w:tcPr>
                  <w:tcW w:w="802" w:type="pct"/>
                  <w:tcBorders>
                    <w:tl2br w:val="nil"/>
                    <w:tr2bl w:val="nil"/>
                  </w:tcBorders>
                  <w:vAlign w:val="center"/>
                </w:tcPr>
                <w:p>
                  <w:pPr>
                    <w:pStyle w:val="58"/>
                    <w:spacing w:before="24" w:after="24" w:line="240" w:lineRule="auto"/>
                    <w:rPr>
                      <w:rFonts w:ascii="Times New Roman"/>
                      <w:b/>
                      <w:bCs/>
                      <w:color w:val="auto"/>
                      <w:szCs w:val="21"/>
                    </w:rPr>
                  </w:pPr>
                  <w:r>
                    <w:rPr>
                      <w:rFonts w:ascii="Times New Roman"/>
                      <w:b/>
                      <w:bCs/>
                      <w:color w:val="auto"/>
                      <w:szCs w:val="21"/>
                    </w:rPr>
                    <w:t>监测因子</w:t>
                  </w:r>
                </w:p>
              </w:tc>
              <w:tc>
                <w:tcPr>
                  <w:tcW w:w="666" w:type="pct"/>
                  <w:tcBorders>
                    <w:tl2br w:val="nil"/>
                    <w:tr2bl w:val="nil"/>
                  </w:tcBorders>
                  <w:vAlign w:val="center"/>
                </w:tcPr>
                <w:p>
                  <w:pPr>
                    <w:pStyle w:val="58"/>
                    <w:spacing w:before="24" w:after="24" w:line="240" w:lineRule="auto"/>
                    <w:rPr>
                      <w:rFonts w:ascii="Times New Roman"/>
                      <w:b/>
                      <w:bCs/>
                      <w:color w:val="auto"/>
                      <w:szCs w:val="21"/>
                    </w:rPr>
                  </w:pPr>
                  <w:r>
                    <w:rPr>
                      <w:rFonts w:ascii="Times New Roman"/>
                      <w:b/>
                      <w:bCs/>
                      <w:color w:val="auto"/>
                      <w:szCs w:val="21"/>
                    </w:rPr>
                    <w:t>监测点位</w:t>
                  </w:r>
                </w:p>
              </w:tc>
              <w:tc>
                <w:tcPr>
                  <w:tcW w:w="1382" w:type="pct"/>
                  <w:tcBorders>
                    <w:tl2br w:val="nil"/>
                    <w:tr2bl w:val="nil"/>
                  </w:tcBorders>
                  <w:vAlign w:val="center"/>
                </w:tcPr>
                <w:p>
                  <w:pPr>
                    <w:pStyle w:val="58"/>
                    <w:spacing w:before="24" w:after="24" w:line="240" w:lineRule="auto"/>
                    <w:rPr>
                      <w:rFonts w:ascii="Times New Roman"/>
                      <w:b/>
                      <w:bCs/>
                      <w:color w:val="auto"/>
                      <w:szCs w:val="21"/>
                    </w:rPr>
                  </w:pPr>
                  <w:r>
                    <w:rPr>
                      <w:rFonts w:ascii="Times New Roman"/>
                      <w:b/>
                      <w:bCs/>
                      <w:color w:val="auto"/>
                      <w:szCs w:val="21"/>
                    </w:rPr>
                    <w:t>监测时间</w:t>
                  </w:r>
                </w:p>
              </w:tc>
              <w:tc>
                <w:tcPr>
                  <w:tcW w:w="910" w:type="pct"/>
                  <w:tcBorders>
                    <w:tl2br w:val="nil"/>
                    <w:tr2bl w:val="nil"/>
                  </w:tcBorders>
                  <w:vAlign w:val="center"/>
                </w:tcPr>
                <w:p>
                  <w:pPr>
                    <w:pStyle w:val="58"/>
                    <w:spacing w:before="24" w:after="24" w:line="240" w:lineRule="auto"/>
                    <w:rPr>
                      <w:rFonts w:ascii="Times New Roman"/>
                      <w:b/>
                      <w:bCs/>
                      <w:color w:val="auto"/>
                      <w:szCs w:val="21"/>
                    </w:rPr>
                  </w:pPr>
                  <w:r>
                    <w:rPr>
                      <w:rFonts w:ascii="Times New Roman"/>
                      <w:b/>
                      <w:bCs/>
                      <w:color w:val="auto"/>
                      <w:szCs w:val="21"/>
                    </w:rPr>
                    <w:t>浓度</w:t>
                  </w:r>
                  <w:r>
                    <w:rPr>
                      <w:rFonts w:ascii="Times New Roman"/>
                      <w:color w:val="auto"/>
                      <w:szCs w:val="21"/>
                    </w:rPr>
                    <w:t>（mg/m</w:t>
                  </w:r>
                  <w:r>
                    <w:rPr>
                      <w:rFonts w:ascii="Times New Roman"/>
                      <w:color w:val="auto"/>
                      <w:szCs w:val="21"/>
                      <w:vertAlign w:val="superscript"/>
                    </w:rPr>
                    <w:t>3</w:t>
                  </w:r>
                  <w:r>
                    <w:rPr>
                      <w:rFonts w:ascii="Times New Roman"/>
                      <w:color w:val="auto"/>
                      <w:szCs w:val="21"/>
                    </w:rPr>
                    <w:t>）</w:t>
                  </w:r>
                </w:p>
              </w:tc>
              <w:tc>
                <w:tcPr>
                  <w:tcW w:w="1238" w:type="pct"/>
                  <w:tcBorders>
                    <w:tl2br w:val="nil"/>
                    <w:tr2bl w:val="nil"/>
                  </w:tcBorders>
                  <w:vAlign w:val="center"/>
                </w:tcPr>
                <w:p>
                  <w:pPr>
                    <w:pStyle w:val="58"/>
                    <w:spacing w:before="24" w:after="24" w:line="240" w:lineRule="auto"/>
                    <w:rPr>
                      <w:rFonts w:ascii="Times New Roman"/>
                      <w:b/>
                      <w:bCs/>
                      <w:color w:val="auto"/>
                      <w:szCs w:val="21"/>
                    </w:rPr>
                  </w:pPr>
                  <w:r>
                    <w:rPr>
                      <w:rFonts w:ascii="Times New Roman"/>
                      <w:b/>
                      <w:bCs/>
                      <w:color w:val="auto"/>
                      <w:szCs w:val="21"/>
                    </w:rPr>
                    <w:t>最大占标率</w:t>
                  </w:r>
                  <w:r>
                    <w:rPr>
                      <w:b/>
                      <w:bCs/>
                      <w:color w:val="auto"/>
                      <w:szCs w:val="21"/>
                    </w:rPr>
                    <w:t>Pi（％）</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2" w:space="0"/>
                </w:tblBorders>
                <w:tblCellMar>
                  <w:top w:w="0" w:type="dxa"/>
                  <w:left w:w="108" w:type="dxa"/>
                  <w:bottom w:w="0" w:type="dxa"/>
                  <w:right w:w="108" w:type="dxa"/>
                </w:tblCellMar>
              </w:tblPrEx>
              <w:trPr>
                <w:trHeight w:val="340" w:hRule="atLeast"/>
                <w:jc w:val="center"/>
              </w:trPr>
              <w:tc>
                <w:tcPr>
                  <w:tcW w:w="802" w:type="pct"/>
                  <w:vMerge w:val="restart"/>
                  <w:tcBorders>
                    <w:tl2br w:val="nil"/>
                    <w:tr2bl w:val="nil"/>
                  </w:tcBorders>
                  <w:vAlign w:val="center"/>
                </w:tcPr>
                <w:p>
                  <w:pPr>
                    <w:pStyle w:val="58"/>
                    <w:spacing w:before="24" w:after="24" w:line="240" w:lineRule="auto"/>
                    <w:rPr>
                      <w:rFonts w:ascii="Times New Roman"/>
                      <w:color w:val="auto"/>
                      <w:szCs w:val="21"/>
                    </w:rPr>
                  </w:pPr>
                  <w:r>
                    <w:rPr>
                      <w:rFonts w:ascii="Times New Roman"/>
                      <w:color w:val="auto"/>
                      <w:szCs w:val="21"/>
                    </w:rPr>
                    <w:t>非甲烷</w:t>
                  </w:r>
                </w:p>
                <w:p>
                  <w:pPr>
                    <w:pStyle w:val="58"/>
                    <w:spacing w:before="24" w:after="24" w:line="240" w:lineRule="auto"/>
                    <w:rPr>
                      <w:rFonts w:ascii="Times New Roman"/>
                      <w:color w:val="auto"/>
                      <w:szCs w:val="21"/>
                    </w:rPr>
                  </w:pPr>
                  <w:r>
                    <w:rPr>
                      <w:rFonts w:ascii="Times New Roman"/>
                      <w:color w:val="auto"/>
                      <w:szCs w:val="21"/>
                    </w:rPr>
                    <w:t>总烃</w:t>
                  </w:r>
                </w:p>
              </w:tc>
              <w:tc>
                <w:tcPr>
                  <w:tcW w:w="666" w:type="pct"/>
                  <w:vMerge w:val="restart"/>
                  <w:tcBorders>
                    <w:tl2br w:val="nil"/>
                    <w:tr2bl w:val="nil"/>
                  </w:tcBorders>
                  <w:vAlign w:val="center"/>
                </w:tcPr>
                <w:p>
                  <w:pPr>
                    <w:pStyle w:val="58"/>
                    <w:spacing w:before="24" w:after="24" w:line="240" w:lineRule="auto"/>
                    <w:rPr>
                      <w:rFonts w:hint="eastAsia" w:ascii="Times New Roman" w:eastAsia="宋体"/>
                      <w:color w:val="auto"/>
                      <w:szCs w:val="21"/>
                      <w:lang w:val="en-US" w:eastAsia="zh-CN"/>
                    </w:rPr>
                  </w:pPr>
                  <w:r>
                    <w:rPr>
                      <w:rFonts w:ascii="Times New Roman"/>
                      <w:color w:val="auto"/>
                      <w:szCs w:val="21"/>
                    </w:rPr>
                    <w:t>项目区</w:t>
                  </w:r>
                  <w:r>
                    <w:rPr>
                      <w:rFonts w:hint="eastAsia" w:ascii="Times New Roman"/>
                      <w:color w:val="auto"/>
                      <w:szCs w:val="21"/>
                      <w:lang w:val="en-US" w:eastAsia="zh-CN"/>
                    </w:rPr>
                    <w:t>下风向</w:t>
                  </w:r>
                </w:p>
              </w:tc>
              <w:tc>
                <w:tcPr>
                  <w:tcW w:w="1382" w:type="pct"/>
                  <w:vMerge w:val="restart"/>
                  <w:tcBorders>
                    <w:tl2br w:val="nil"/>
                    <w:tr2bl w:val="nil"/>
                  </w:tcBorders>
                  <w:vAlign w:val="center"/>
                </w:tcPr>
                <w:p>
                  <w:pPr>
                    <w:pStyle w:val="58"/>
                    <w:spacing w:before="24" w:after="24" w:line="240" w:lineRule="auto"/>
                    <w:rPr>
                      <w:rFonts w:ascii="Times New Roman"/>
                      <w:b/>
                      <w:bCs/>
                      <w:color w:val="auto"/>
                      <w:szCs w:val="21"/>
                    </w:rPr>
                  </w:pPr>
                  <w:r>
                    <w:rPr>
                      <w:rFonts w:ascii="Times New Roman"/>
                      <w:color w:val="auto"/>
                      <w:szCs w:val="21"/>
                    </w:rPr>
                    <w:t>2022年12月3日</w:t>
                  </w:r>
                </w:p>
              </w:tc>
              <w:tc>
                <w:tcPr>
                  <w:tcW w:w="910" w:type="pct"/>
                  <w:tcBorders>
                    <w:tl2br w:val="nil"/>
                    <w:tr2bl w:val="nil"/>
                  </w:tcBorders>
                  <w:vAlign w:val="center"/>
                </w:tcPr>
                <w:p>
                  <w:pPr>
                    <w:pStyle w:val="58"/>
                    <w:spacing w:before="24" w:after="24" w:line="240" w:lineRule="auto"/>
                    <w:rPr>
                      <w:rFonts w:hint="default" w:ascii="Times New Roman" w:eastAsia="宋体"/>
                      <w:color w:val="auto"/>
                      <w:szCs w:val="21"/>
                      <w:lang w:val="en-US" w:eastAsia="zh-CN"/>
                    </w:rPr>
                  </w:pPr>
                  <w:r>
                    <w:rPr>
                      <w:rFonts w:hint="eastAsia" w:ascii="Times New Roman"/>
                      <w:color w:val="auto"/>
                      <w:szCs w:val="21"/>
                      <w:lang w:val="en-US" w:eastAsia="zh-CN"/>
                    </w:rPr>
                    <w:t>0.41</w:t>
                  </w:r>
                </w:p>
              </w:tc>
              <w:tc>
                <w:tcPr>
                  <w:tcW w:w="1238" w:type="pct"/>
                  <w:tcBorders>
                    <w:tl2br w:val="nil"/>
                    <w:tr2bl w:val="nil"/>
                  </w:tcBorders>
                  <w:vAlign w:val="center"/>
                </w:tcPr>
                <w:p>
                  <w:pPr>
                    <w:pStyle w:val="58"/>
                    <w:spacing w:before="24" w:after="24" w:line="240" w:lineRule="auto"/>
                    <w:rPr>
                      <w:rFonts w:hint="default" w:ascii="Times New Roman" w:eastAsia="宋体"/>
                      <w:color w:val="auto"/>
                      <w:szCs w:val="21"/>
                      <w:lang w:val="en-US" w:eastAsia="zh-CN"/>
                    </w:rPr>
                  </w:pPr>
                  <w:r>
                    <w:rPr>
                      <w:rFonts w:hint="eastAsia" w:ascii="Times New Roman"/>
                      <w:color w:val="auto"/>
                      <w:szCs w:val="21"/>
                      <w:lang w:val="en-US" w:eastAsia="zh-CN"/>
                    </w:rPr>
                    <w:t>20.5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2" w:space="0"/>
                </w:tblBorders>
                <w:tblCellMar>
                  <w:top w:w="0" w:type="dxa"/>
                  <w:left w:w="108" w:type="dxa"/>
                  <w:bottom w:w="0" w:type="dxa"/>
                  <w:right w:w="108" w:type="dxa"/>
                </w:tblCellMar>
              </w:tblPrEx>
              <w:trPr>
                <w:trHeight w:val="340" w:hRule="atLeast"/>
                <w:jc w:val="center"/>
              </w:trPr>
              <w:tc>
                <w:tcPr>
                  <w:tcW w:w="802" w:type="pct"/>
                  <w:vMerge w:val="continue"/>
                  <w:tcBorders>
                    <w:tl2br w:val="nil"/>
                    <w:tr2bl w:val="nil"/>
                  </w:tcBorders>
                  <w:vAlign w:val="center"/>
                </w:tcPr>
                <w:p>
                  <w:pPr>
                    <w:pStyle w:val="58"/>
                    <w:spacing w:before="24" w:after="24" w:line="240" w:lineRule="auto"/>
                    <w:rPr>
                      <w:rFonts w:ascii="Times New Roman"/>
                      <w:b/>
                      <w:bCs/>
                      <w:color w:val="auto"/>
                      <w:szCs w:val="21"/>
                    </w:rPr>
                  </w:pPr>
                </w:p>
              </w:tc>
              <w:tc>
                <w:tcPr>
                  <w:tcW w:w="666" w:type="pct"/>
                  <w:vMerge w:val="continue"/>
                  <w:tcBorders>
                    <w:tl2br w:val="nil"/>
                    <w:tr2bl w:val="nil"/>
                  </w:tcBorders>
                  <w:vAlign w:val="center"/>
                </w:tcPr>
                <w:p>
                  <w:pPr>
                    <w:pStyle w:val="58"/>
                    <w:spacing w:before="24" w:after="24" w:line="240" w:lineRule="auto"/>
                    <w:rPr>
                      <w:rFonts w:ascii="Times New Roman"/>
                      <w:b/>
                      <w:bCs/>
                      <w:color w:val="auto"/>
                      <w:szCs w:val="21"/>
                    </w:rPr>
                  </w:pPr>
                </w:p>
              </w:tc>
              <w:tc>
                <w:tcPr>
                  <w:tcW w:w="1382" w:type="pct"/>
                  <w:vMerge w:val="continue"/>
                  <w:tcBorders>
                    <w:tl2br w:val="nil"/>
                    <w:tr2bl w:val="nil"/>
                  </w:tcBorders>
                  <w:vAlign w:val="center"/>
                </w:tcPr>
                <w:p>
                  <w:pPr>
                    <w:pStyle w:val="58"/>
                    <w:spacing w:before="24" w:after="24" w:line="240" w:lineRule="auto"/>
                    <w:rPr>
                      <w:rFonts w:ascii="Times New Roman"/>
                      <w:b/>
                      <w:bCs/>
                      <w:color w:val="auto"/>
                      <w:szCs w:val="21"/>
                    </w:rPr>
                  </w:pPr>
                </w:p>
              </w:tc>
              <w:tc>
                <w:tcPr>
                  <w:tcW w:w="910" w:type="pct"/>
                  <w:tcBorders>
                    <w:tl2br w:val="nil"/>
                    <w:tr2bl w:val="nil"/>
                  </w:tcBorders>
                  <w:vAlign w:val="center"/>
                </w:tcPr>
                <w:p>
                  <w:pPr>
                    <w:pStyle w:val="58"/>
                    <w:spacing w:before="24" w:after="24" w:line="240" w:lineRule="auto"/>
                    <w:rPr>
                      <w:rFonts w:hint="default" w:ascii="Times New Roman" w:eastAsia="宋体"/>
                      <w:color w:val="auto"/>
                      <w:szCs w:val="21"/>
                      <w:lang w:val="en-US" w:eastAsia="zh-CN"/>
                    </w:rPr>
                  </w:pPr>
                  <w:r>
                    <w:rPr>
                      <w:rFonts w:hint="eastAsia" w:ascii="Times New Roman"/>
                      <w:color w:val="auto"/>
                      <w:szCs w:val="21"/>
                      <w:lang w:val="en-US" w:eastAsia="zh-CN"/>
                    </w:rPr>
                    <w:t>0.38</w:t>
                  </w:r>
                </w:p>
              </w:tc>
              <w:tc>
                <w:tcPr>
                  <w:tcW w:w="1238" w:type="pct"/>
                  <w:tcBorders>
                    <w:tl2br w:val="nil"/>
                    <w:tr2bl w:val="nil"/>
                  </w:tcBorders>
                  <w:vAlign w:val="center"/>
                </w:tcPr>
                <w:p>
                  <w:pPr>
                    <w:pStyle w:val="58"/>
                    <w:spacing w:before="24" w:after="24" w:line="240" w:lineRule="auto"/>
                    <w:rPr>
                      <w:rFonts w:ascii="Times New Roman"/>
                      <w:color w:val="auto"/>
                      <w:szCs w:val="21"/>
                    </w:rPr>
                  </w:pPr>
                  <w:r>
                    <w:rPr>
                      <w:rFonts w:hint="eastAsia" w:ascii="Times New Roman"/>
                      <w:color w:val="auto"/>
                      <w:szCs w:val="21"/>
                    </w:rPr>
                    <w:t>19.0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2" w:space="0"/>
                </w:tblBorders>
              </w:tblPrEx>
              <w:trPr>
                <w:trHeight w:val="340" w:hRule="atLeast"/>
                <w:jc w:val="center"/>
              </w:trPr>
              <w:tc>
                <w:tcPr>
                  <w:tcW w:w="802" w:type="pct"/>
                  <w:vMerge w:val="continue"/>
                  <w:tcBorders>
                    <w:tl2br w:val="nil"/>
                    <w:tr2bl w:val="nil"/>
                  </w:tcBorders>
                  <w:vAlign w:val="center"/>
                </w:tcPr>
                <w:p>
                  <w:pPr>
                    <w:pStyle w:val="58"/>
                    <w:spacing w:before="24" w:after="24" w:line="240" w:lineRule="auto"/>
                    <w:rPr>
                      <w:rFonts w:ascii="Times New Roman"/>
                      <w:b/>
                      <w:bCs/>
                      <w:color w:val="auto"/>
                      <w:szCs w:val="21"/>
                    </w:rPr>
                  </w:pPr>
                </w:p>
              </w:tc>
              <w:tc>
                <w:tcPr>
                  <w:tcW w:w="666" w:type="pct"/>
                  <w:vMerge w:val="continue"/>
                  <w:tcBorders>
                    <w:tl2br w:val="nil"/>
                    <w:tr2bl w:val="nil"/>
                  </w:tcBorders>
                  <w:vAlign w:val="center"/>
                </w:tcPr>
                <w:p>
                  <w:pPr>
                    <w:pStyle w:val="58"/>
                    <w:spacing w:before="24" w:after="24" w:line="240" w:lineRule="auto"/>
                    <w:rPr>
                      <w:rFonts w:ascii="Times New Roman"/>
                      <w:b/>
                      <w:bCs/>
                      <w:color w:val="auto"/>
                      <w:szCs w:val="21"/>
                    </w:rPr>
                  </w:pPr>
                </w:p>
              </w:tc>
              <w:tc>
                <w:tcPr>
                  <w:tcW w:w="1382" w:type="pct"/>
                  <w:vMerge w:val="continue"/>
                  <w:tcBorders>
                    <w:tl2br w:val="nil"/>
                    <w:tr2bl w:val="nil"/>
                  </w:tcBorders>
                  <w:vAlign w:val="center"/>
                </w:tcPr>
                <w:p>
                  <w:pPr>
                    <w:pStyle w:val="58"/>
                    <w:spacing w:before="24" w:after="24" w:line="240" w:lineRule="auto"/>
                    <w:rPr>
                      <w:rFonts w:ascii="Times New Roman"/>
                      <w:b/>
                      <w:bCs/>
                      <w:color w:val="auto"/>
                      <w:szCs w:val="21"/>
                    </w:rPr>
                  </w:pPr>
                </w:p>
              </w:tc>
              <w:tc>
                <w:tcPr>
                  <w:tcW w:w="910" w:type="pct"/>
                  <w:tcBorders>
                    <w:tl2br w:val="nil"/>
                    <w:tr2bl w:val="nil"/>
                  </w:tcBorders>
                  <w:vAlign w:val="center"/>
                </w:tcPr>
                <w:p>
                  <w:pPr>
                    <w:pStyle w:val="58"/>
                    <w:spacing w:before="24" w:after="24" w:line="240" w:lineRule="auto"/>
                    <w:rPr>
                      <w:rFonts w:hint="default" w:ascii="Times New Roman" w:eastAsia="宋体"/>
                      <w:color w:val="auto"/>
                      <w:szCs w:val="21"/>
                      <w:lang w:val="en-US" w:eastAsia="zh-CN"/>
                    </w:rPr>
                  </w:pPr>
                  <w:r>
                    <w:rPr>
                      <w:rFonts w:hint="eastAsia" w:ascii="Times New Roman"/>
                      <w:color w:val="auto"/>
                      <w:szCs w:val="21"/>
                      <w:lang w:val="en-US" w:eastAsia="zh-CN"/>
                    </w:rPr>
                    <w:t>0.44</w:t>
                  </w:r>
                </w:p>
              </w:tc>
              <w:tc>
                <w:tcPr>
                  <w:tcW w:w="1238" w:type="pct"/>
                  <w:tcBorders>
                    <w:tl2br w:val="nil"/>
                    <w:tr2bl w:val="nil"/>
                  </w:tcBorders>
                  <w:vAlign w:val="center"/>
                </w:tcPr>
                <w:p>
                  <w:pPr>
                    <w:pStyle w:val="58"/>
                    <w:spacing w:before="24" w:after="24" w:line="240" w:lineRule="auto"/>
                    <w:rPr>
                      <w:rFonts w:ascii="Times New Roman"/>
                      <w:color w:val="auto"/>
                      <w:szCs w:val="21"/>
                    </w:rPr>
                  </w:pPr>
                  <w:r>
                    <w:rPr>
                      <w:rFonts w:hint="eastAsia" w:ascii="Times New Roman"/>
                      <w:color w:val="auto"/>
                      <w:szCs w:val="21"/>
                      <w:lang w:val="en-US" w:eastAsia="zh-CN"/>
                    </w:rPr>
                    <w:t>22</w:t>
                  </w:r>
                  <w:r>
                    <w:rPr>
                      <w:rFonts w:hint="eastAsia" w:ascii="Times New Roman"/>
                      <w:color w:val="auto"/>
                      <w:szCs w:val="21"/>
                    </w:rPr>
                    <w:t>.0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2" w:space="0"/>
                </w:tblBorders>
              </w:tblPrEx>
              <w:trPr>
                <w:trHeight w:val="340" w:hRule="atLeast"/>
                <w:jc w:val="center"/>
              </w:trPr>
              <w:tc>
                <w:tcPr>
                  <w:tcW w:w="802" w:type="pct"/>
                  <w:vMerge w:val="continue"/>
                  <w:tcBorders>
                    <w:tl2br w:val="nil"/>
                    <w:tr2bl w:val="nil"/>
                  </w:tcBorders>
                  <w:vAlign w:val="center"/>
                </w:tcPr>
                <w:p>
                  <w:pPr>
                    <w:pStyle w:val="58"/>
                    <w:spacing w:before="24" w:after="24" w:line="240" w:lineRule="auto"/>
                    <w:rPr>
                      <w:rFonts w:ascii="Times New Roman"/>
                      <w:b/>
                      <w:bCs/>
                      <w:color w:val="auto"/>
                      <w:szCs w:val="21"/>
                    </w:rPr>
                  </w:pPr>
                </w:p>
              </w:tc>
              <w:tc>
                <w:tcPr>
                  <w:tcW w:w="666" w:type="pct"/>
                  <w:vMerge w:val="continue"/>
                  <w:tcBorders>
                    <w:tl2br w:val="nil"/>
                    <w:tr2bl w:val="nil"/>
                  </w:tcBorders>
                  <w:vAlign w:val="center"/>
                </w:tcPr>
                <w:p>
                  <w:pPr>
                    <w:pStyle w:val="58"/>
                    <w:spacing w:before="24" w:after="24" w:line="240" w:lineRule="auto"/>
                    <w:rPr>
                      <w:rFonts w:ascii="Times New Roman"/>
                      <w:b/>
                      <w:bCs/>
                      <w:color w:val="auto"/>
                      <w:szCs w:val="21"/>
                    </w:rPr>
                  </w:pPr>
                </w:p>
              </w:tc>
              <w:tc>
                <w:tcPr>
                  <w:tcW w:w="1382" w:type="pct"/>
                  <w:vMerge w:val="continue"/>
                  <w:tcBorders>
                    <w:tl2br w:val="nil"/>
                    <w:tr2bl w:val="nil"/>
                  </w:tcBorders>
                  <w:vAlign w:val="center"/>
                </w:tcPr>
                <w:p>
                  <w:pPr>
                    <w:pStyle w:val="58"/>
                    <w:spacing w:before="24" w:after="24" w:line="240" w:lineRule="auto"/>
                    <w:rPr>
                      <w:rFonts w:ascii="Times New Roman"/>
                      <w:b/>
                      <w:bCs/>
                      <w:color w:val="auto"/>
                      <w:szCs w:val="21"/>
                    </w:rPr>
                  </w:pPr>
                </w:p>
              </w:tc>
              <w:tc>
                <w:tcPr>
                  <w:tcW w:w="910" w:type="pct"/>
                  <w:tcBorders>
                    <w:tl2br w:val="nil"/>
                    <w:tr2bl w:val="nil"/>
                  </w:tcBorders>
                  <w:vAlign w:val="center"/>
                </w:tcPr>
                <w:p>
                  <w:pPr>
                    <w:pStyle w:val="58"/>
                    <w:spacing w:before="24" w:after="24" w:line="240" w:lineRule="auto"/>
                    <w:rPr>
                      <w:rFonts w:hint="default" w:ascii="Times New Roman" w:eastAsia="宋体"/>
                      <w:color w:val="auto"/>
                      <w:szCs w:val="21"/>
                      <w:lang w:val="en-US" w:eastAsia="zh-CN"/>
                    </w:rPr>
                  </w:pPr>
                  <w:r>
                    <w:rPr>
                      <w:rFonts w:hint="eastAsia" w:ascii="Times New Roman"/>
                      <w:color w:val="auto"/>
                      <w:szCs w:val="21"/>
                      <w:lang w:val="en-US" w:eastAsia="zh-CN"/>
                    </w:rPr>
                    <w:t>0.37</w:t>
                  </w:r>
                </w:p>
              </w:tc>
              <w:tc>
                <w:tcPr>
                  <w:tcW w:w="1238" w:type="pct"/>
                  <w:tcBorders>
                    <w:tl2br w:val="nil"/>
                    <w:tr2bl w:val="nil"/>
                  </w:tcBorders>
                  <w:vAlign w:val="center"/>
                </w:tcPr>
                <w:p>
                  <w:pPr>
                    <w:pStyle w:val="58"/>
                    <w:spacing w:before="24" w:after="24" w:line="240" w:lineRule="auto"/>
                    <w:rPr>
                      <w:rFonts w:hint="eastAsia" w:ascii="Times New Roman" w:eastAsia="宋体"/>
                      <w:color w:val="auto"/>
                      <w:szCs w:val="21"/>
                      <w:lang w:eastAsia="zh-CN"/>
                    </w:rPr>
                  </w:pPr>
                  <w:r>
                    <w:rPr>
                      <w:rFonts w:hint="eastAsia" w:ascii="Times New Roman"/>
                      <w:color w:val="auto"/>
                      <w:szCs w:val="21"/>
                    </w:rPr>
                    <w:t>18.</w:t>
                  </w:r>
                  <w:r>
                    <w:rPr>
                      <w:rFonts w:hint="eastAsia" w:ascii="Times New Roman"/>
                      <w:color w:val="auto"/>
                      <w:szCs w:val="21"/>
                      <w:lang w:val="en-US" w:eastAsia="zh-CN"/>
                    </w:rPr>
                    <w:t>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2" w:space="0"/>
                </w:tblBorders>
              </w:tblPrEx>
              <w:trPr>
                <w:trHeight w:val="347" w:hRule="atLeast"/>
                <w:jc w:val="center"/>
              </w:trPr>
              <w:tc>
                <w:tcPr>
                  <w:tcW w:w="802" w:type="pct"/>
                  <w:vMerge w:val="continue"/>
                  <w:tcBorders>
                    <w:tl2br w:val="nil"/>
                    <w:tr2bl w:val="nil"/>
                  </w:tcBorders>
                  <w:vAlign w:val="center"/>
                </w:tcPr>
                <w:p>
                  <w:pPr>
                    <w:pStyle w:val="58"/>
                    <w:spacing w:before="24" w:after="24" w:line="240" w:lineRule="auto"/>
                    <w:rPr>
                      <w:rFonts w:ascii="Times New Roman"/>
                      <w:b/>
                      <w:bCs/>
                      <w:color w:val="auto"/>
                      <w:szCs w:val="21"/>
                    </w:rPr>
                  </w:pPr>
                </w:p>
              </w:tc>
              <w:tc>
                <w:tcPr>
                  <w:tcW w:w="666" w:type="pct"/>
                  <w:vMerge w:val="continue"/>
                  <w:tcBorders>
                    <w:tl2br w:val="nil"/>
                    <w:tr2bl w:val="nil"/>
                  </w:tcBorders>
                  <w:vAlign w:val="center"/>
                </w:tcPr>
                <w:p>
                  <w:pPr>
                    <w:pStyle w:val="58"/>
                    <w:spacing w:before="24" w:after="24" w:line="240" w:lineRule="auto"/>
                    <w:rPr>
                      <w:rFonts w:ascii="Times New Roman"/>
                      <w:b/>
                      <w:bCs/>
                      <w:color w:val="auto"/>
                      <w:szCs w:val="21"/>
                    </w:rPr>
                  </w:pPr>
                </w:p>
              </w:tc>
              <w:tc>
                <w:tcPr>
                  <w:tcW w:w="1382" w:type="pct"/>
                  <w:vMerge w:val="restart"/>
                  <w:tcBorders>
                    <w:tl2br w:val="nil"/>
                    <w:tr2bl w:val="nil"/>
                  </w:tcBorders>
                  <w:vAlign w:val="center"/>
                </w:tcPr>
                <w:p>
                  <w:pPr>
                    <w:pStyle w:val="58"/>
                    <w:spacing w:before="24" w:after="24" w:line="240" w:lineRule="auto"/>
                    <w:rPr>
                      <w:rFonts w:ascii="Times New Roman"/>
                      <w:b/>
                      <w:bCs/>
                      <w:color w:val="auto"/>
                      <w:szCs w:val="21"/>
                    </w:rPr>
                  </w:pPr>
                  <w:r>
                    <w:rPr>
                      <w:rFonts w:ascii="Times New Roman"/>
                      <w:color w:val="auto"/>
                      <w:szCs w:val="21"/>
                    </w:rPr>
                    <w:t>2022年12月4日</w:t>
                  </w:r>
                </w:p>
              </w:tc>
              <w:tc>
                <w:tcPr>
                  <w:tcW w:w="910" w:type="pct"/>
                  <w:tcBorders>
                    <w:tl2br w:val="nil"/>
                    <w:tr2bl w:val="nil"/>
                  </w:tcBorders>
                  <w:vAlign w:val="center"/>
                </w:tcPr>
                <w:p>
                  <w:pPr>
                    <w:pStyle w:val="58"/>
                    <w:spacing w:before="24" w:after="24" w:line="240" w:lineRule="auto"/>
                    <w:rPr>
                      <w:rFonts w:hint="default" w:ascii="Times New Roman" w:eastAsia="宋体"/>
                      <w:color w:val="auto"/>
                      <w:szCs w:val="21"/>
                      <w:lang w:val="en-US" w:eastAsia="zh-CN"/>
                    </w:rPr>
                  </w:pPr>
                  <w:r>
                    <w:rPr>
                      <w:rFonts w:hint="eastAsia" w:ascii="Times New Roman"/>
                      <w:color w:val="auto"/>
                      <w:szCs w:val="21"/>
                      <w:lang w:val="en-US" w:eastAsia="zh-CN"/>
                    </w:rPr>
                    <w:t>0.49</w:t>
                  </w:r>
                </w:p>
              </w:tc>
              <w:tc>
                <w:tcPr>
                  <w:tcW w:w="1238" w:type="pct"/>
                  <w:tcBorders>
                    <w:tl2br w:val="nil"/>
                    <w:tr2bl w:val="nil"/>
                  </w:tcBorders>
                  <w:vAlign w:val="center"/>
                </w:tcPr>
                <w:p>
                  <w:pPr>
                    <w:pStyle w:val="58"/>
                    <w:spacing w:before="24" w:after="24" w:line="240" w:lineRule="auto"/>
                    <w:rPr>
                      <w:rFonts w:hint="default" w:ascii="Times New Roman" w:eastAsia="宋体"/>
                      <w:color w:val="auto"/>
                      <w:szCs w:val="21"/>
                      <w:lang w:val="en-US" w:eastAsia="zh-CN"/>
                    </w:rPr>
                  </w:pPr>
                  <w:r>
                    <w:rPr>
                      <w:rFonts w:hint="eastAsia" w:ascii="Times New Roman"/>
                      <w:color w:val="auto"/>
                      <w:szCs w:val="21"/>
                      <w:lang w:val="en-US" w:eastAsia="zh-CN"/>
                    </w:rPr>
                    <w:t>24.5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2" w:space="0"/>
                </w:tblBorders>
              </w:tblPrEx>
              <w:trPr>
                <w:trHeight w:val="381" w:hRule="atLeast"/>
                <w:jc w:val="center"/>
              </w:trPr>
              <w:tc>
                <w:tcPr>
                  <w:tcW w:w="802" w:type="pct"/>
                  <w:vMerge w:val="continue"/>
                  <w:tcBorders>
                    <w:tl2br w:val="nil"/>
                    <w:tr2bl w:val="nil"/>
                  </w:tcBorders>
                  <w:vAlign w:val="center"/>
                </w:tcPr>
                <w:p>
                  <w:pPr>
                    <w:pStyle w:val="58"/>
                    <w:spacing w:before="24" w:after="24" w:line="240" w:lineRule="auto"/>
                    <w:rPr>
                      <w:rFonts w:ascii="Times New Roman"/>
                      <w:b/>
                      <w:bCs/>
                      <w:color w:val="auto"/>
                      <w:szCs w:val="21"/>
                    </w:rPr>
                  </w:pPr>
                </w:p>
              </w:tc>
              <w:tc>
                <w:tcPr>
                  <w:tcW w:w="666" w:type="pct"/>
                  <w:vMerge w:val="continue"/>
                  <w:tcBorders>
                    <w:tl2br w:val="nil"/>
                    <w:tr2bl w:val="nil"/>
                  </w:tcBorders>
                  <w:vAlign w:val="center"/>
                </w:tcPr>
                <w:p>
                  <w:pPr>
                    <w:pStyle w:val="58"/>
                    <w:spacing w:before="24" w:after="24" w:line="240" w:lineRule="auto"/>
                    <w:rPr>
                      <w:rFonts w:ascii="Times New Roman"/>
                      <w:b/>
                      <w:bCs/>
                      <w:color w:val="auto"/>
                      <w:szCs w:val="21"/>
                    </w:rPr>
                  </w:pPr>
                </w:p>
              </w:tc>
              <w:tc>
                <w:tcPr>
                  <w:tcW w:w="1382" w:type="pct"/>
                  <w:vMerge w:val="continue"/>
                  <w:tcBorders>
                    <w:tl2br w:val="nil"/>
                    <w:tr2bl w:val="nil"/>
                  </w:tcBorders>
                  <w:vAlign w:val="center"/>
                </w:tcPr>
                <w:p>
                  <w:pPr>
                    <w:pStyle w:val="58"/>
                    <w:spacing w:before="24" w:after="24" w:line="240" w:lineRule="auto"/>
                    <w:rPr>
                      <w:rFonts w:ascii="Times New Roman"/>
                      <w:b/>
                      <w:bCs/>
                      <w:color w:val="auto"/>
                      <w:szCs w:val="21"/>
                    </w:rPr>
                  </w:pPr>
                </w:p>
              </w:tc>
              <w:tc>
                <w:tcPr>
                  <w:tcW w:w="910" w:type="pct"/>
                  <w:tcBorders>
                    <w:tl2br w:val="nil"/>
                    <w:tr2bl w:val="nil"/>
                  </w:tcBorders>
                  <w:vAlign w:val="center"/>
                </w:tcPr>
                <w:p>
                  <w:pPr>
                    <w:pStyle w:val="58"/>
                    <w:spacing w:before="24" w:after="24" w:line="240" w:lineRule="auto"/>
                    <w:rPr>
                      <w:rFonts w:hint="default" w:ascii="Times New Roman" w:eastAsia="宋体"/>
                      <w:color w:val="auto"/>
                      <w:szCs w:val="21"/>
                      <w:lang w:val="en-US" w:eastAsia="zh-CN"/>
                    </w:rPr>
                  </w:pPr>
                  <w:r>
                    <w:rPr>
                      <w:rFonts w:hint="eastAsia" w:ascii="Times New Roman"/>
                      <w:color w:val="auto"/>
                      <w:szCs w:val="21"/>
                      <w:lang w:val="en-US" w:eastAsia="zh-CN"/>
                    </w:rPr>
                    <w:t>0.44</w:t>
                  </w:r>
                </w:p>
              </w:tc>
              <w:tc>
                <w:tcPr>
                  <w:tcW w:w="1238" w:type="pct"/>
                  <w:tcBorders>
                    <w:tl2br w:val="nil"/>
                    <w:tr2bl w:val="nil"/>
                  </w:tcBorders>
                  <w:vAlign w:val="center"/>
                </w:tcPr>
                <w:p>
                  <w:pPr>
                    <w:pStyle w:val="58"/>
                    <w:spacing w:before="24" w:after="24" w:line="240" w:lineRule="auto"/>
                    <w:rPr>
                      <w:rFonts w:hint="default" w:ascii="Times New Roman" w:eastAsia="宋体"/>
                      <w:color w:val="auto"/>
                      <w:szCs w:val="21"/>
                      <w:lang w:val="en-US" w:eastAsia="zh-CN"/>
                    </w:rPr>
                  </w:pPr>
                  <w:r>
                    <w:rPr>
                      <w:rFonts w:hint="eastAsia" w:ascii="Times New Roman"/>
                      <w:color w:val="auto"/>
                      <w:szCs w:val="21"/>
                      <w:lang w:val="en-US" w:eastAsia="zh-CN"/>
                    </w:rPr>
                    <w:t>22.0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2" w:space="0"/>
                </w:tblBorders>
              </w:tblPrEx>
              <w:trPr>
                <w:trHeight w:val="340" w:hRule="atLeast"/>
                <w:jc w:val="center"/>
              </w:trPr>
              <w:tc>
                <w:tcPr>
                  <w:tcW w:w="802" w:type="pct"/>
                  <w:vMerge w:val="continue"/>
                  <w:tcBorders>
                    <w:tl2br w:val="nil"/>
                    <w:tr2bl w:val="nil"/>
                  </w:tcBorders>
                  <w:vAlign w:val="center"/>
                </w:tcPr>
                <w:p>
                  <w:pPr>
                    <w:pStyle w:val="58"/>
                    <w:spacing w:before="24" w:after="24" w:line="240" w:lineRule="auto"/>
                    <w:rPr>
                      <w:rFonts w:ascii="Times New Roman"/>
                      <w:b/>
                      <w:bCs/>
                      <w:color w:val="auto"/>
                      <w:szCs w:val="21"/>
                    </w:rPr>
                  </w:pPr>
                </w:p>
              </w:tc>
              <w:tc>
                <w:tcPr>
                  <w:tcW w:w="666" w:type="pct"/>
                  <w:vMerge w:val="continue"/>
                  <w:tcBorders>
                    <w:tl2br w:val="nil"/>
                    <w:tr2bl w:val="nil"/>
                  </w:tcBorders>
                  <w:vAlign w:val="center"/>
                </w:tcPr>
                <w:p>
                  <w:pPr>
                    <w:pStyle w:val="58"/>
                    <w:spacing w:before="24" w:after="24" w:line="240" w:lineRule="auto"/>
                    <w:rPr>
                      <w:rFonts w:ascii="Times New Roman"/>
                      <w:b/>
                      <w:bCs/>
                      <w:color w:val="auto"/>
                      <w:szCs w:val="21"/>
                    </w:rPr>
                  </w:pPr>
                </w:p>
              </w:tc>
              <w:tc>
                <w:tcPr>
                  <w:tcW w:w="1382" w:type="pct"/>
                  <w:vMerge w:val="continue"/>
                  <w:tcBorders>
                    <w:tl2br w:val="nil"/>
                    <w:tr2bl w:val="nil"/>
                  </w:tcBorders>
                  <w:vAlign w:val="center"/>
                </w:tcPr>
                <w:p>
                  <w:pPr>
                    <w:pStyle w:val="58"/>
                    <w:spacing w:before="24" w:after="24" w:line="240" w:lineRule="auto"/>
                    <w:rPr>
                      <w:rFonts w:ascii="Times New Roman"/>
                      <w:b/>
                      <w:bCs/>
                      <w:color w:val="auto"/>
                      <w:szCs w:val="21"/>
                    </w:rPr>
                  </w:pPr>
                </w:p>
              </w:tc>
              <w:tc>
                <w:tcPr>
                  <w:tcW w:w="910" w:type="pct"/>
                  <w:tcBorders>
                    <w:tl2br w:val="nil"/>
                    <w:tr2bl w:val="nil"/>
                  </w:tcBorders>
                  <w:vAlign w:val="center"/>
                </w:tcPr>
                <w:p>
                  <w:pPr>
                    <w:pStyle w:val="58"/>
                    <w:spacing w:before="24" w:after="24" w:line="240" w:lineRule="auto"/>
                    <w:rPr>
                      <w:rFonts w:hint="default" w:ascii="Times New Roman" w:eastAsia="宋体"/>
                      <w:color w:val="auto"/>
                      <w:szCs w:val="21"/>
                      <w:lang w:val="en-US" w:eastAsia="zh-CN"/>
                    </w:rPr>
                  </w:pPr>
                  <w:r>
                    <w:rPr>
                      <w:rFonts w:hint="eastAsia" w:ascii="Times New Roman"/>
                      <w:color w:val="auto"/>
                      <w:szCs w:val="21"/>
                      <w:lang w:val="en-US" w:eastAsia="zh-CN"/>
                    </w:rPr>
                    <w:t>0.44</w:t>
                  </w:r>
                </w:p>
              </w:tc>
              <w:tc>
                <w:tcPr>
                  <w:tcW w:w="1238" w:type="pct"/>
                  <w:tcBorders>
                    <w:tl2br w:val="nil"/>
                    <w:tr2bl w:val="nil"/>
                  </w:tcBorders>
                  <w:vAlign w:val="center"/>
                </w:tcPr>
                <w:p>
                  <w:pPr>
                    <w:pStyle w:val="58"/>
                    <w:spacing w:before="24" w:after="24" w:line="240" w:lineRule="auto"/>
                    <w:rPr>
                      <w:rFonts w:hint="default" w:ascii="Times New Roman" w:eastAsia="宋体"/>
                      <w:color w:val="auto"/>
                      <w:szCs w:val="21"/>
                      <w:lang w:val="en-US" w:eastAsia="zh-CN"/>
                    </w:rPr>
                  </w:pPr>
                  <w:r>
                    <w:rPr>
                      <w:rFonts w:hint="eastAsia" w:ascii="Times New Roman"/>
                      <w:color w:val="auto"/>
                      <w:szCs w:val="21"/>
                      <w:lang w:val="en-US" w:eastAsia="zh-CN"/>
                    </w:rPr>
                    <w:t>22.0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2" w:space="0"/>
                </w:tblBorders>
              </w:tblPrEx>
              <w:trPr>
                <w:trHeight w:val="340" w:hRule="atLeast"/>
                <w:jc w:val="center"/>
              </w:trPr>
              <w:tc>
                <w:tcPr>
                  <w:tcW w:w="802" w:type="pct"/>
                  <w:vMerge w:val="continue"/>
                  <w:tcBorders>
                    <w:tl2br w:val="nil"/>
                    <w:tr2bl w:val="nil"/>
                  </w:tcBorders>
                  <w:vAlign w:val="center"/>
                </w:tcPr>
                <w:p>
                  <w:pPr>
                    <w:pStyle w:val="58"/>
                    <w:spacing w:before="24" w:after="24" w:line="240" w:lineRule="auto"/>
                    <w:rPr>
                      <w:rFonts w:ascii="Times New Roman"/>
                      <w:b/>
                      <w:bCs/>
                      <w:color w:val="auto"/>
                      <w:szCs w:val="21"/>
                    </w:rPr>
                  </w:pPr>
                </w:p>
              </w:tc>
              <w:tc>
                <w:tcPr>
                  <w:tcW w:w="666" w:type="pct"/>
                  <w:vMerge w:val="continue"/>
                  <w:tcBorders>
                    <w:tl2br w:val="nil"/>
                    <w:tr2bl w:val="nil"/>
                  </w:tcBorders>
                  <w:vAlign w:val="center"/>
                </w:tcPr>
                <w:p>
                  <w:pPr>
                    <w:pStyle w:val="58"/>
                    <w:spacing w:before="24" w:after="24" w:line="240" w:lineRule="auto"/>
                    <w:rPr>
                      <w:rFonts w:ascii="Times New Roman"/>
                      <w:b/>
                      <w:bCs/>
                      <w:color w:val="auto"/>
                      <w:szCs w:val="21"/>
                    </w:rPr>
                  </w:pPr>
                </w:p>
              </w:tc>
              <w:tc>
                <w:tcPr>
                  <w:tcW w:w="1382" w:type="pct"/>
                  <w:vMerge w:val="continue"/>
                  <w:tcBorders>
                    <w:tl2br w:val="nil"/>
                    <w:tr2bl w:val="nil"/>
                  </w:tcBorders>
                  <w:vAlign w:val="center"/>
                </w:tcPr>
                <w:p>
                  <w:pPr>
                    <w:pStyle w:val="58"/>
                    <w:spacing w:before="24" w:after="24" w:line="240" w:lineRule="auto"/>
                    <w:rPr>
                      <w:rFonts w:ascii="Times New Roman"/>
                      <w:b/>
                      <w:bCs/>
                      <w:color w:val="auto"/>
                      <w:szCs w:val="21"/>
                    </w:rPr>
                  </w:pPr>
                </w:p>
              </w:tc>
              <w:tc>
                <w:tcPr>
                  <w:tcW w:w="910" w:type="pct"/>
                  <w:tcBorders>
                    <w:tl2br w:val="nil"/>
                    <w:tr2bl w:val="nil"/>
                  </w:tcBorders>
                  <w:vAlign w:val="center"/>
                </w:tcPr>
                <w:p>
                  <w:pPr>
                    <w:pStyle w:val="58"/>
                    <w:spacing w:before="24" w:after="24" w:line="240" w:lineRule="auto"/>
                    <w:rPr>
                      <w:rFonts w:hint="default" w:ascii="Times New Roman" w:eastAsia="宋体"/>
                      <w:color w:val="auto"/>
                      <w:szCs w:val="21"/>
                      <w:lang w:val="en-US" w:eastAsia="zh-CN"/>
                    </w:rPr>
                  </w:pPr>
                  <w:r>
                    <w:rPr>
                      <w:rFonts w:hint="eastAsia" w:ascii="Times New Roman"/>
                      <w:color w:val="auto"/>
                      <w:szCs w:val="21"/>
                      <w:lang w:val="en-US" w:eastAsia="zh-CN"/>
                    </w:rPr>
                    <w:t>0.42</w:t>
                  </w:r>
                </w:p>
              </w:tc>
              <w:tc>
                <w:tcPr>
                  <w:tcW w:w="1238" w:type="pct"/>
                  <w:tcBorders>
                    <w:tl2br w:val="nil"/>
                    <w:tr2bl w:val="nil"/>
                  </w:tcBorders>
                  <w:vAlign w:val="center"/>
                </w:tcPr>
                <w:p>
                  <w:pPr>
                    <w:pStyle w:val="58"/>
                    <w:spacing w:before="24" w:after="24" w:line="240" w:lineRule="auto"/>
                    <w:rPr>
                      <w:rFonts w:hint="default" w:ascii="Times New Roman" w:eastAsia="宋体"/>
                      <w:color w:val="auto"/>
                      <w:szCs w:val="21"/>
                      <w:lang w:val="en-US" w:eastAsia="zh-CN"/>
                    </w:rPr>
                  </w:pPr>
                  <w:r>
                    <w:rPr>
                      <w:rFonts w:hint="eastAsia" w:ascii="Times New Roman"/>
                      <w:color w:val="auto"/>
                      <w:szCs w:val="21"/>
                      <w:lang w:val="en-US" w:eastAsia="zh-CN"/>
                    </w:rPr>
                    <w:t>21.0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2" w:space="0"/>
                </w:tblBorders>
              </w:tblPrEx>
              <w:trPr>
                <w:trHeight w:val="340" w:hRule="atLeast"/>
                <w:jc w:val="center"/>
              </w:trPr>
              <w:tc>
                <w:tcPr>
                  <w:tcW w:w="802" w:type="pct"/>
                  <w:vMerge w:val="continue"/>
                  <w:tcBorders>
                    <w:tl2br w:val="nil"/>
                    <w:tr2bl w:val="nil"/>
                  </w:tcBorders>
                  <w:vAlign w:val="center"/>
                </w:tcPr>
                <w:p>
                  <w:pPr>
                    <w:pStyle w:val="58"/>
                    <w:spacing w:before="24" w:after="24" w:line="240" w:lineRule="auto"/>
                    <w:rPr>
                      <w:rFonts w:ascii="Times New Roman"/>
                      <w:b/>
                      <w:bCs/>
                      <w:color w:val="auto"/>
                      <w:szCs w:val="21"/>
                    </w:rPr>
                  </w:pPr>
                </w:p>
              </w:tc>
              <w:tc>
                <w:tcPr>
                  <w:tcW w:w="666" w:type="pct"/>
                  <w:vMerge w:val="continue"/>
                  <w:tcBorders>
                    <w:tl2br w:val="nil"/>
                    <w:tr2bl w:val="nil"/>
                  </w:tcBorders>
                  <w:vAlign w:val="center"/>
                </w:tcPr>
                <w:p>
                  <w:pPr>
                    <w:pStyle w:val="58"/>
                    <w:spacing w:before="24" w:after="24" w:line="240" w:lineRule="auto"/>
                    <w:rPr>
                      <w:rFonts w:ascii="Times New Roman"/>
                      <w:b/>
                      <w:bCs/>
                      <w:color w:val="auto"/>
                      <w:szCs w:val="21"/>
                    </w:rPr>
                  </w:pPr>
                </w:p>
              </w:tc>
              <w:tc>
                <w:tcPr>
                  <w:tcW w:w="1382" w:type="pct"/>
                  <w:vMerge w:val="restart"/>
                  <w:tcBorders>
                    <w:tl2br w:val="nil"/>
                    <w:tr2bl w:val="nil"/>
                  </w:tcBorders>
                  <w:vAlign w:val="center"/>
                </w:tcPr>
                <w:p>
                  <w:pPr>
                    <w:pStyle w:val="58"/>
                    <w:spacing w:before="24" w:after="24" w:line="240" w:lineRule="auto"/>
                    <w:rPr>
                      <w:rFonts w:ascii="Times New Roman"/>
                      <w:b/>
                      <w:bCs/>
                      <w:color w:val="auto"/>
                      <w:szCs w:val="21"/>
                    </w:rPr>
                  </w:pPr>
                  <w:r>
                    <w:rPr>
                      <w:rFonts w:ascii="Times New Roman"/>
                      <w:color w:val="auto"/>
                      <w:szCs w:val="21"/>
                    </w:rPr>
                    <w:t>2022年12月5日</w:t>
                  </w:r>
                </w:p>
              </w:tc>
              <w:tc>
                <w:tcPr>
                  <w:tcW w:w="910" w:type="pct"/>
                  <w:tcBorders>
                    <w:tl2br w:val="nil"/>
                    <w:tr2bl w:val="nil"/>
                  </w:tcBorders>
                  <w:vAlign w:val="center"/>
                </w:tcPr>
                <w:p>
                  <w:pPr>
                    <w:pStyle w:val="58"/>
                    <w:spacing w:before="24" w:after="24" w:line="240" w:lineRule="auto"/>
                    <w:rPr>
                      <w:rFonts w:hint="default" w:ascii="Times New Roman" w:eastAsia="宋体"/>
                      <w:color w:val="auto"/>
                      <w:szCs w:val="21"/>
                      <w:lang w:val="en-US" w:eastAsia="zh-CN"/>
                    </w:rPr>
                  </w:pPr>
                  <w:r>
                    <w:rPr>
                      <w:rFonts w:hint="eastAsia" w:ascii="Times New Roman"/>
                      <w:color w:val="auto"/>
                      <w:szCs w:val="21"/>
                      <w:lang w:val="en-US" w:eastAsia="zh-CN"/>
                    </w:rPr>
                    <w:t>0.45</w:t>
                  </w:r>
                </w:p>
              </w:tc>
              <w:tc>
                <w:tcPr>
                  <w:tcW w:w="1238" w:type="pct"/>
                  <w:tcBorders>
                    <w:tl2br w:val="nil"/>
                    <w:tr2bl w:val="nil"/>
                  </w:tcBorders>
                  <w:vAlign w:val="center"/>
                </w:tcPr>
                <w:p>
                  <w:pPr>
                    <w:pStyle w:val="58"/>
                    <w:spacing w:before="24" w:after="24" w:line="240" w:lineRule="auto"/>
                    <w:rPr>
                      <w:rFonts w:hint="default" w:ascii="Times New Roman" w:eastAsia="宋体"/>
                      <w:color w:val="auto"/>
                      <w:szCs w:val="21"/>
                      <w:lang w:val="en-US" w:eastAsia="zh-CN"/>
                    </w:rPr>
                  </w:pPr>
                  <w:r>
                    <w:rPr>
                      <w:rFonts w:hint="eastAsia" w:ascii="Times New Roman"/>
                      <w:color w:val="auto"/>
                      <w:szCs w:val="21"/>
                      <w:lang w:val="en-US" w:eastAsia="zh-CN"/>
                    </w:rPr>
                    <w:t>22.5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2" w:space="0"/>
                </w:tblBorders>
              </w:tblPrEx>
              <w:trPr>
                <w:trHeight w:val="340" w:hRule="atLeast"/>
                <w:jc w:val="center"/>
              </w:trPr>
              <w:tc>
                <w:tcPr>
                  <w:tcW w:w="802" w:type="pct"/>
                  <w:vMerge w:val="continue"/>
                  <w:tcBorders>
                    <w:tl2br w:val="nil"/>
                    <w:tr2bl w:val="nil"/>
                  </w:tcBorders>
                  <w:vAlign w:val="center"/>
                </w:tcPr>
                <w:p>
                  <w:pPr>
                    <w:pStyle w:val="58"/>
                    <w:spacing w:before="24" w:after="24" w:line="240" w:lineRule="auto"/>
                    <w:rPr>
                      <w:rFonts w:ascii="Times New Roman"/>
                      <w:b/>
                      <w:bCs/>
                      <w:color w:val="auto"/>
                      <w:szCs w:val="21"/>
                    </w:rPr>
                  </w:pPr>
                </w:p>
              </w:tc>
              <w:tc>
                <w:tcPr>
                  <w:tcW w:w="666" w:type="pct"/>
                  <w:vMerge w:val="continue"/>
                  <w:tcBorders>
                    <w:tl2br w:val="nil"/>
                    <w:tr2bl w:val="nil"/>
                  </w:tcBorders>
                  <w:vAlign w:val="center"/>
                </w:tcPr>
                <w:p>
                  <w:pPr>
                    <w:pStyle w:val="58"/>
                    <w:spacing w:before="24" w:after="24" w:line="240" w:lineRule="auto"/>
                    <w:rPr>
                      <w:rFonts w:ascii="Times New Roman"/>
                      <w:b/>
                      <w:bCs/>
                      <w:color w:val="auto"/>
                      <w:szCs w:val="21"/>
                    </w:rPr>
                  </w:pPr>
                </w:p>
              </w:tc>
              <w:tc>
                <w:tcPr>
                  <w:tcW w:w="1382" w:type="pct"/>
                  <w:vMerge w:val="continue"/>
                  <w:tcBorders>
                    <w:tl2br w:val="nil"/>
                    <w:tr2bl w:val="nil"/>
                  </w:tcBorders>
                  <w:vAlign w:val="center"/>
                </w:tcPr>
                <w:p>
                  <w:pPr>
                    <w:pStyle w:val="58"/>
                    <w:spacing w:before="24" w:after="24" w:line="240" w:lineRule="auto"/>
                    <w:rPr>
                      <w:rFonts w:ascii="Times New Roman"/>
                      <w:b/>
                      <w:bCs/>
                      <w:color w:val="auto"/>
                      <w:szCs w:val="21"/>
                    </w:rPr>
                  </w:pPr>
                </w:p>
              </w:tc>
              <w:tc>
                <w:tcPr>
                  <w:tcW w:w="910" w:type="pct"/>
                  <w:tcBorders>
                    <w:tl2br w:val="nil"/>
                    <w:tr2bl w:val="nil"/>
                  </w:tcBorders>
                  <w:vAlign w:val="center"/>
                </w:tcPr>
                <w:p>
                  <w:pPr>
                    <w:pStyle w:val="58"/>
                    <w:spacing w:before="24" w:after="24" w:line="240" w:lineRule="auto"/>
                    <w:rPr>
                      <w:rFonts w:hint="default" w:ascii="Times New Roman" w:eastAsia="宋体"/>
                      <w:color w:val="auto"/>
                      <w:szCs w:val="21"/>
                      <w:lang w:val="en-US" w:eastAsia="zh-CN"/>
                    </w:rPr>
                  </w:pPr>
                  <w:r>
                    <w:rPr>
                      <w:rFonts w:hint="eastAsia" w:ascii="Times New Roman"/>
                      <w:color w:val="auto"/>
                      <w:szCs w:val="21"/>
                      <w:lang w:val="en-US" w:eastAsia="zh-CN"/>
                    </w:rPr>
                    <w:t>0.45</w:t>
                  </w:r>
                </w:p>
              </w:tc>
              <w:tc>
                <w:tcPr>
                  <w:tcW w:w="1238" w:type="pct"/>
                  <w:tcBorders>
                    <w:tl2br w:val="nil"/>
                    <w:tr2bl w:val="nil"/>
                  </w:tcBorders>
                  <w:vAlign w:val="center"/>
                </w:tcPr>
                <w:p>
                  <w:pPr>
                    <w:pStyle w:val="58"/>
                    <w:spacing w:before="24" w:after="24" w:line="240" w:lineRule="auto"/>
                    <w:rPr>
                      <w:rFonts w:hint="default" w:ascii="Times New Roman" w:eastAsia="宋体"/>
                      <w:color w:val="auto"/>
                      <w:szCs w:val="21"/>
                      <w:lang w:val="en-US" w:eastAsia="zh-CN"/>
                    </w:rPr>
                  </w:pPr>
                  <w:r>
                    <w:rPr>
                      <w:rFonts w:hint="eastAsia" w:ascii="Times New Roman"/>
                      <w:color w:val="auto"/>
                      <w:szCs w:val="21"/>
                      <w:lang w:val="en-US" w:eastAsia="zh-CN"/>
                    </w:rPr>
                    <w:t>22.5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2" w:space="0"/>
                </w:tblBorders>
              </w:tblPrEx>
              <w:trPr>
                <w:trHeight w:val="340" w:hRule="atLeast"/>
                <w:jc w:val="center"/>
              </w:trPr>
              <w:tc>
                <w:tcPr>
                  <w:tcW w:w="802" w:type="pct"/>
                  <w:vMerge w:val="continue"/>
                  <w:tcBorders>
                    <w:tl2br w:val="nil"/>
                    <w:tr2bl w:val="nil"/>
                  </w:tcBorders>
                  <w:vAlign w:val="center"/>
                </w:tcPr>
                <w:p>
                  <w:pPr>
                    <w:pStyle w:val="58"/>
                    <w:spacing w:before="24" w:after="24" w:line="240" w:lineRule="auto"/>
                    <w:rPr>
                      <w:rFonts w:ascii="Times New Roman"/>
                      <w:b/>
                      <w:bCs/>
                      <w:color w:val="auto"/>
                      <w:szCs w:val="21"/>
                    </w:rPr>
                  </w:pPr>
                </w:p>
              </w:tc>
              <w:tc>
                <w:tcPr>
                  <w:tcW w:w="666" w:type="pct"/>
                  <w:vMerge w:val="continue"/>
                  <w:tcBorders>
                    <w:tl2br w:val="nil"/>
                    <w:tr2bl w:val="nil"/>
                  </w:tcBorders>
                  <w:vAlign w:val="center"/>
                </w:tcPr>
                <w:p>
                  <w:pPr>
                    <w:pStyle w:val="58"/>
                    <w:spacing w:before="24" w:after="24" w:line="240" w:lineRule="auto"/>
                    <w:rPr>
                      <w:rFonts w:ascii="Times New Roman"/>
                      <w:b/>
                      <w:bCs/>
                      <w:color w:val="auto"/>
                      <w:szCs w:val="21"/>
                    </w:rPr>
                  </w:pPr>
                </w:p>
              </w:tc>
              <w:tc>
                <w:tcPr>
                  <w:tcW w:w="1382" w:type="pct"/>
                  <w:vMerge w:val="continue"/>
                  <w:tcBorders>
                    <w:tl2br w:val="nil"/>
                    <w:tr2bl w:val="nil"/>
                  </w:tcBorders>
                  <w:vAlign w:val="center"/>
                </w:tcPr>
                <w:p>
                  <w:pPr>
                    <w:pStyle w:val="58"/>
                    <w:spacing w:before="24" w:after="24" w:line="240" w:lineRule="auto"/>
                    <w:rPr>
                      <w:rFonts w:ascii="Times New Roman"/>
                      <w:b/>
                      <w:bCs/>
                      <w:color w:val="auto"/>
                      <w:szCs w:val="21"/>
                    </w:rPr>
                  </w:pPr>
                </w:p>
              </w:tc>
              <w:tc>
                <w:tcPr>
                  <w:tcW w:w="910" w:type="pct"/>
                  <w:tcBorders>
                    <w:tl2br w:val="nil"/>
                    <w:tr2bl w:val="nil"/>
                  </w:tcBorders>
                  <w:vAlign w:val="center"/>
                </w:tcPr>
                <w:p>
                  <w:pPr>
                    <w:pStyle w:val="58"/>
                    <w:spacing w:before="24" w:after="24" w:line="240" w:lineRule="auto"/>
                    <w:rPr>
                      <w:rFonts w:hint="default" w:ascii="Times New Roman" w:eastAsia="宋体"/>
                      <w:color w:val="auto"/>
                      <w:szCs w:val="21"/>
                      <w:lang w:val="en-US" w:eastAsia="zh-CN"/>
                    </w:rPr>
                  </w:pPr>
                  <w:r>
                    <w:rPr>
                      <w:rFonts w:hint="eastAsia" w:ascii="Times New Roman"/>
                      <w:color w:val="auto"/>
                      <w:szCs w:val="21"/>
                      <w:lang w:val="en-US" w:eastAsia="zh-CN"/>
                    </w:rPr>
                    <w:t>0.40</w:t>
                  </w:r>
                </w:p>
              </w:tc>
              <w:tc>
                <w:tcPr>
                  <w:tcW w:w="1238" w:type="pct"/>
                  <w:tcBorders>
                    <w:tl2br w:val="nil"/>
                    <w:tr2bl w:val="nil"/>
                  </w:tcBorders>
                  <w:vAlign w:val="center"/>
                </w:tcPr>
                <w:p>
                  <w:pPr>
                    <w:pStyle w:val="58"/>
                    <w:spacing w:before="24" w:after="24" w:line="240" w:lineRule="auto"/>
                    <w:rPr>
                      <w:rFonts w:hint="default" w:ascii="Times New Roman" w:eastAsia="宋体"/>
                      <w:color w:val="auto"/>
                      <w:szCs w:val="21"/>
                      <w:lang w:val="en-US" w:eastAsia="zh-CN"/>
                    </w:rPr>
                  </w:pPr>
                  <w:r>
                    <w:rPr>
                      <w:rFonts w:hint="eastAsia" w:ascii="Times New Roman"/>
                      <w:color w:val="auto"/>
                      <w:szCs w:val="21"/>
                      <w:lang w:val="en-US" w:eastAsia="zh-CN"/>
                    </w:rPr>
                    <w:t>20.0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2" w:space="0"/>
                </w:tblBorders>
              </w:tblPrEx>
              <w:trPr>
                <w:trHeight w:val="340" w:hRule="atLeast"/>
                <w:jc w:val="center"/>
              </w:trPr>
              <w:tc>
                <w:tcPr>
                  <w:tcW w:w="802" w:type="pct"/>
                  <w:vMerge w:val="continue"/>
                  <w:tcBorders>
                    <w:tl2br w:val="nil"/>
                    <w:tr2bl w:val="nil"/>
                  </w:tcBorders>
                  <w:vAlign w:val="center"/>
                </w:tcPr>
                <w:p>
                  <w:pPr>
                    <w:pStyle w:val="58"/>
                    <w:spacing w:before="24" w:after="24" w:line="240" w:lineRule="auto"/>
                    <w:rPr>
                      <w:rFonts w:ascii="Times New Roman"/>
                      <w:b/>
                      <w:bCs/>
                      <w:color w:val="auto"/>
                      <w:szCs w:val="21"/>
                    </w:rPr>
                  </w:pPr>
                </w:p>
              </w:tc>
              <w:tc>
                <w:tcPr>
                  <w:tcW w:w="666" w:type="pct"/>
                  <w:vMerge w:val="continue"/>
                  <w:tcBorders>
                    <w:tl2br w:val="nil"/>
                    <w:tr2bl w:val="nil"/>
                  </w:tcBorders>
                  <w:vAlign w:val="center"/>
                </w:tcPr>
                <w:p>
                  <w:pPr>
                    <w:pStyle w:val="58"/>
                    <w:spacing w:before="24" w:after="24" w:line="240" w:lineRule="auto"/>
                    <w:rPr>
                      <w:rFonts w:ascii="Times New Roman"/>
                      <w:b/>
                      <w:bCs/>
                      <w:color w:val="auto"/>
                      <w:szCs w:val="21"/>
                    </w:rPr>
                  </w:pPr>
                </w:p>
              </w:tc>
              <w:tc>
                <w:tcPr>
                  <w:tcW w:w="1382" w:type="pct"/>
                  <w:vMerge w:val="continue"/>
                  <w:tcBorders>
                    <w:tl2br w:val="nil"/>
                    <w:tr2bl w:val="nil"/>
                  </w:tcBorders>
                  <w:vAlign w:val="center"/>
                </w:tcPr>
                <w:p>
                  <w:pPr>
                    <w:pStyle w:val="58"/>
                    <w:spacing w:before="24" w:after="24" w:line="240" w:lineRule="auto"/>
                    <w:rPr>
                      <w:rFonts w:ascii="Times New Roman"/>
                      <w:b/>
                      <w:bCs/>
                      <w:color w:val="auto"/>
                      <w:szCs w:val="21"/>
                    </w:rPr>
                  </w:pPr>
                </w:p>
              </w:tc>
              <w:tc>
                <w:tcPr>
                  <w:tcW w:w="910" w:type="pct"/>
                  <w:tcBorders>
                    <w:tl2br w:val="nil"/>
                    <w:tr2bl w:val="nil"/>
                  </w:tcBorders>
                  <w:vAlign w:val="center"/>
                </w:tcPr>
                <w:p>
                  <w:pPr>
                    <w:pStyle w:val="58"/>
                    <w:spacing w:before="24" w:after="24" w:line="240" w:lineRule="auto"/>
                    <w:rPr>
                      <w:rFonts w:hint="default" w:ascii="Times New Roman" w:eastAsia="宋体"/>
                      <w:color w:val="auto"/>
                      <w:szCs w:val="21"/>
                      <w:lang w:val="en-US" w:eastAsia="zh-CN"/>
                    </w:rPr>
                  </w:pPr>
                  <w:r>
                    <w:rPr>
                      <w:rFonts w:hint="eastAsia" w:ascii="Times New Roman"/>
                      <w:color w:val="auto"/>
                      <w:szCs w:val="21"/>
                      <w:lang w:val="en-US" w:eastAsia="zh-CN"/>
                    </w:rPr>
                    <w:t>0.41</w:t>
                  </w:r>
                </w:p>
              </w:tc>
              <w:tc>
                <w:tcPr>
                  <w:tcW w:w="1238" w:type="pct"/>
                  <w:tcBorders>
                    <w:tl2br w:val="nil"/>
                    <w:tr2bl w:val="nil"/>
                  </w:tcBorders>
                  <w:vAlign w:val="center"/>
                </w:tcPr>
                <w:p>
                  <w:pPr>
                    <w:pStyle w:val="58"/>
                    <w:spacing w:before="24" w:after="24" w:line="240" w:lineRule="auto"/>
                    <w:rPr>
                      <w:rFonts w:hint="default" w:ascii="Times New Roman" w:eastAsia="宋体"/>
                      <w:color w:val="auto"/>
                      <w:szCs w:val="21"/>
                      <w:lang w:val="en-US" w:eastAsia="zh-CN"/>
                    </w:rPr>
                  </w:pPr>
                  <w:r>
                    <w:rPr>
                      <w:rFonts w:hint="eastAsia" w:ascii="Times New Roman"/>
                      <w:color w:val="auto"/>
                      <w:szCs w:val="21"/>
                      <w:lang w:val="en-US" w:eastAsia="zh-CN"/>
                    </w:rPr>
                    <w:t>20.5</w:t>
                  </w:r>
                </w:p>
              </w:tc>
            </w:tr>
          </w:tbl>
          <w:p>
            <w:pPr>
              <w:adjustRightInd w:val="0"/>
              <w:snapToGrid w:val="0"/>
              <w:spacing w:line="520" w:lineRule="exact"/>
              <w:ind w:firstLine="480" w:firstLineChars="200"/>
              <w:rPr>
                <w:rFonts w:cs="宋体"/>
                <w:color w:val="auto"/>
                <w:kern w:val="0"/>
                <w:sz w:val="24"/>
              </w:rPr>
            </w:pPr>
            <w:r>
              <w:rPr>
                <w:rFonts w:hint="eastAsia" w:cs="宋体"/>
                <w:color w:val="auto"/>
                <w:kern w:val="0"/>
                <w:sz w:val="24"/>
              </w:rPr>
              <w:t>从以上监测结果表明，评价区域非甲烷总烃的小时值均能达到《大气污染物综合排放标准》（GB16927-1996）的详解中推荐的2mg/m</w:t>
            </w:r>
            <w:r>
              <w:rPr>
                <w:rFonts w:hint="eastAsia" w:cs="宋体"/>
                <w:color w:val="auto"/>
                <w:kern w:val="0"/>
                <w:sz w:val="24"/>
                <w:vertAlign w:val="superscript"/>
              </w:rPr>
              <w:t>3</w:t>
            </w:r>
            <w:r>
              <w:rPr>
                <w:rFonts w:hint="eastAsia" w:cs="宋体"/>
                <w:color w:val="auto"/>
                <w:kern w:val="0"/>
                <w:sz w:val="24"/>
              </w:rPr>
              <w:t>的要求。</w:t>
            </w:r>
          </w:p>
          <w:p>
            <w:pPr>
              <w:pStyle w:val="6"/>
              <w:spacing w:line="520" w:lineRule="exact"/>
              <w:ind w:firstLine="482"/>
              <w:jc w:val="both"/>
              <w:rPr>
                <w:b/>
                <w:bCs/>
                <w:color w:val="auto"/>
                <w:sz w:val="24"/>
              </w:rPr>
            </w:pPr>
            <w:r>
              <w:rPr>
                <w:rFonts w:hint="eastAsia"/>
                <w:b/>
                <w:bCs/>
                <w:color w:val="auto"/>
                <w:sz w:val="24"/>
              </w:rPr>
              <w:t>2、地表水</w:t>
            </w:r>
          </w:p>
          <w:p>
            <w:pPr>
              <w:pStyle w:val="6"/>
              <w:spacing w:line="520" w:lineRule="exact"/>
              <w:ind w:firstLine="480"/>
              <w:jc w:val="both"/>
              <w:rPr>
                <w:color w:val="auto"/>
                <w:sz w:val="24"/>
              </w:rPr>
            </w:pPr>
            <w:r>
              <w:rPr>
                <w:color w:val="auto"/>
                <w:sz w:val="24"/>
              </w:rPr>
              <w:t>根据《环境影响评价技术导则 地表水环境》（HJ2.3-2018）建设项目地表水环境影响评价等级按照影响类型、排放方式、排放量或影响情况、受纳水体环境质量现状、水环境保护目标等综合确定。本项目</w:t>
            </w:r>
            <w:r>
              <w:rPr>
                <w:rFonts w:hint="eastAsia"/>
                <w:color w:val="auto"/>
                <w:sz w:val="24"/>
              </w:rPr>
              <w:t>无生产废水和生活废水排放</w:t>
            </w:r>
            <w:r>
              <w:rPr>
                <w:color w:val="auto"/>
                <w:sz w:val="24"/>
              </w:rPr>
              <w:t>，判定地表水环境影响评价等级为三级B</w:t>
            </w:r>
            <w:r>
              <w:rPr>
                <w:rFonts w:hint="eastAsia"/>
                <w:color w:val="auto"/>
                <w:sz w:val="24"/>
              </w:rPr>
              <w:t>，</w:t>
            </w:r>
            <w:r>
              <w:rPr>
                <w:color w:val="auto"/>
                <w:sz w:val="24"/>
              </w:rPr>
              <w:t>故不做地表水环境质量现状调查。</w:t>
            </w:r>
          </w:p>
          <w:p>
            <w:pPr>
              <w:pStyle w:val="68"/>
              <w:ind w:firstLine="482"/>
              <w:rPr>
                <w:b/>
                <w:bCs/>
                <w:color w:val="auto"/>
              </w:rPr>
            </w:pPr>
            <w:r>
              <w:rPr>
                <w:rFonts w:hint="eastAsia"/>
                <w:b/>
                <w:bCs/>
                <w:color w:val="auto"/>
              </w:rPr>
              <w:t>3、地下水、土壤环境</w:t>
            </w:r>
          </w:p>
          <w:p>
            <w:pPr>
              <w:autoSpaceDE w:val="0"/>
              <w:autoSpaceDN w:val="0"/>
              <w:adjustRightInd w:val="0"/>
              <w:spacing w:line="520" w:lineRule="exact"/>
              <w:ind w:firstLine="480" w:firstLineChars="200"/>
              <w:rPr>
                <w:color w:val="auto"/>
                <w:sz w:val="24"/>
              </w:rPr>
            </w:pPr>
            <w:r>
              <w:rPr>
                <w:color w:val="auto"/>
                <w:sz w:val="24"/>
              </w:rPr>
              <w:t>按照《关于印发&lt;建设项目环境影响报告表&gt;内容、格式及编制技术指南的通知》（环办环评〔2020〕33号）的要求：“建设项目存在土壤、地下水环境污染途径的，应结合污染源、保护目标分布情况开展现状调查以留作背景值。”本项目为</w:t>
            </w:r>
            <w:r>
              <w:rPr>
                <w:rFonts w:hint="eastAsia"/>
                <w:color w:val="auto"/>
                <w:sz w:val="24"/>
              </w:rPr>
              <w:t>危废暂存间建设</w:t>
            </w:r>
            <w:r>
              <w:rPr>
                <w:color w:val="auto"/>
                <w:sz w:val="24"/>
              </w:rPr>
              <w:t>项目，</w:t>
            </w:r>
            <w:r>
              <w:rPr>
                <w:rFonts w:hint="eastAsia"/>
                <w:color w:val="auto"/>
                <w:sz w:val="24"/>
              </w:rPr>
              <w:t>暂存间地面采用严格的防渗措施</w:t>
            </w:r>
            <w:r>
              <w:rPr>
                <w:color w:val="auto"/>
                <w:sz w:val="24"/>
              </w:rPr>
              <w:t>，不存在土壤、地下水环境污染途径的。无需展开地下水和土壤环境质量现状调查。</w:t>
            </w:r>
          </w:p>
          <w:p>
            <w:pPr>
              <w:autoSpaceDE w:val="0"/>
              <w:autoSpaceDN w:val="0"/>
              <w:adjustRightInd w:val="0"/>
              <w:spacing w:line="520" w:lineRule="exact"/>
              <w:ind w:firstLine="482" w:firstLineChars="200"/>
              <w:rPr>
                <w:b/>
                <w:bCs/>
                <w:color w:val="auto"/>
                <w:sz w:val="24"/>
              </w:rPr>
            </w:pPr>
            <w:r>
              <w:rPr>
                <w:rFonts w:hint="eastAsia"/>
                <w:b/>
                <w:bCs/>
                <w:color w:val="auto"/>
                <w:sz w:val="24"/>
              </w:rPr>
              <w:t>4、</w:t>
            </w:r>
            <w:r>
              <w:rPr>
                <w:b/>
                <w:bCs/>
                <w:color w:val="auto"/>
                <w:sz w:val="24"/>
              </w:rPr>
              <w:t>声环境</w:t>
            </w:r>
          </w:p>
          <w:p>
            <w:pPr>
              <w:autoSpaceDE w:val="0"/>
              <w:autoSpaceDN w:val="0"/>
              <w:adjustRightInd w:val="0"/>
              <w:spacing w:line="520" w:lineRule="exact"/>
              <w:ind w:firstLine="480" w:firstLineChars="200"/>
              <w:rPr>
                <w:color w:val="auto"/>
                <w:sz w:val="24"/>
              </w:rPr>
            </w:pPr>
            <w:r>
              <w:rPr>
                <w:color w:val="auto"/>
                <w:sz w:val="24"/>
              </w:rPr>
              <w:t>本项目选址于</w:t>
            </w:r>
            <w:r>
              <w:rPr>
                <w:rFonts w:hint="eastAsia"/>
                <w:color w:val="auto"/>
                <w:sz w:val="24"/>
              </w:rPr>
              <w:t>阜康市中国石油天然气运输有限公司准东生产基地</w:t>
            </w:r>
            <w:r>
              <w:rPr>
                <w:color w:val="auto"/>
                <w:sz w:val="24"/>
              </w:rPr>
              <w:t xml:space="preserve">，中心地理坐标为：N </w:t>
            </w:r>
            <w:r>
              <w:rPr>
                <w:rFonts w:hint="eastAsia"/>
                <w:color w:val="auto"/>
                <w:sz w:val="24"/>
              </w:rPr>
              <w:t>44</w:t>
            </w:r>
            <w:r>
              <w:rPr>
                <w:color w:val="auto"/>
                <w:sz w:val="24"/>
              </w:rPr>
              <w:t>°</w:t>
            </w:r>
            <w:r>
              <w:rPr>
                <w:rFonts w:hint="eastAsia"/>
                <w:color w:val="auto"/>
                <w:sz w:val="24"/>
              </w:rPr>
              <w:t>21</w:t>
            </w:r>
            <w:r>
              <w:rPr>
                <w:color w:val="auto"/>
                <w:sz w:val="24"/>
              </w:rPr>
              <w:t>′</w:t>
            </w:r>
            <w:r>
              <w:rPr>
                <w:rFonts w:hint="eastAsia"/>
                <w:color w:val="auto"/>
                <w:sz w:val="24"/>
              </w:rPr>
              <w:t>1.951</w:t>
            </w:r>
            <w:r>
              <w:rPr>
                <w:color w:val="auto"/>
                <w:sz w:val="24"/>
              </w:rPr>
              <w:t xml:space="preserve">″；E </w:t>
            </w:r>
            <w:r>
              <w:rPr>
                <w:rFonts w:hint="eastAsia"/>
                <w:color w:val="auto"/>
                <w:sz w:val="24"/>
              </w:rPr>
              <w:t>88</w:t>
            </w:r>
            <w:r>
              <w:rPr>
                <w:color w:val="auto"/>
                <w:sz w:val="24"/>
              </w:rPr>
              <w:t>°</w:t>
            </w:r>
            <w:r>
              <w:rPr>
                <w:rFonts w:hint="eastAsia"/>
                <w:color w:val="auto"/>
                <w:sz w:val="24"/>
              </w:rPr>
              <w:t>42</w:t>
            </w:r>
            <w:r>
              <w:rPr>
                <w:color w:val="auto"/>
                <w:sz w:val="24"/>
              </w:rPr>
              <w:t>′</w:t>
            </w:r>
            <w:r>
              <w:rPr>
                <w:rFonts w:hint="eastAsia"/>
                <w:color w:val="auto"/>
                <w:sz w:val="24"/>
              </w:rPr>
              <w:t>39.642</w:t>
            </w:r>
            <w:r>
              <w:rPr>
                <w:color w:val="auto"/>
                <w:sz w:val="24"/>
              </w:rPr>
              <w:t>″。项目所在区域属于</w:t>
            </w:r>
            <w:r>
              <w:rPr>
                <w:rFonts w:hint="eastAsia"/>
                <w:color w:val="auto"/>
                <w:sz w:val="24"/>
              </w:rPr>
              <w:t>2</w:t>
            </w:r>
            <w:r>
              <w:rPr>
                <w:color w:val="auto"/>
                <w:sz w:val="24"/>
              </w:rPr>
              <w:t>类区域，</w:t>
            </w:r>
            <w:r>
              <w:rPr>
                <w:color w:val="auto"/>
                <w:sz w:val="24"/>
                <w:lang w:val="zh-CN"/>
              </w:rPr>
              <w:t>执行《声环境质量标准》（</w:t>
            </w:r>
            <w:r>
              <w:rPr>
                <w:color w:val="auto"/>
                <w:sz w:val="24"/>
              </w:rPr>
              <w:t>GB3096-2008</w:t>
            </w:r>
            <w:r>
              <w:rPr>
                <w:color w:val="auto"/>
                <w:sz w:val="24"/>
                <w:lang w:val="zh-CN"/>
              </w:rPr>
              <w:t>）</w:t>
            </w:r>
            <w:r>
              <w:rPr>
                <w:rFonts w:hint="eastAsia"/>
                <w:color w:val="auto"/>
                <w:sz w:val="24"/>
              </w:rPr>
              <w:t>2</w:t>
            </w:r>
            <w:r>
              <w:rPr>
                <w:color w:val="auto"/>
                <w:sz w:val="24"/>
              </w:rPr>
              <w:t>类</w:t>
            </w:r>
            <w:r>
              <w:rPr>
                <w:color w:val="auto"/>
                <w:sz w:val="24"/>
                <w:lang w:val="zh-CN"/>
              </w:rPr>
              <w:t>标准，即昼间≤6</w:t>
            </w:r>
            <w:r>
              <w:rPr>
                <w:rFonts w:hint="eastAsia"/>
                <w:color w:val="auto"/>
                <w:sz w:val="24"/>
              </w:rPr>
              <w:t>0</w:t>
            </w:r>
            <w:r>
              <w:rPr>
                <w:color w:val="auto"/>
                <w:sz w:val="24"/>
                <w:lang w:val="zh-CN"/>
              </w:rPr>
              <w:t>dB(A)、夜间≤5</w:t>
            </w:r>
            <w:r>
              <w:rPr>
                <w:rFonts w:hint="eastAsia"/>
                <w:color w:val="auto"/>
                <w:sz w:val="24"/>
              </w:rPr>
              <w:t>0</w:t>
            </w:r>
            <w:r>
              <w:rPr>
                <w:color w:val="auto"/>
                <w:sz w:val="24"/>
                <w:lang w:val="zh-CN"/>
              </w:rPr>
              <w:t>dB(A)</w:t>
            </w:r>
            <w:r>
              <w:rPr>
                <w:color w:val="auto"/>
                <w:sz w:val="24"/>
              </w:rPr>
              <w:t>。</w:t>
            </w:r>
          </w:p>
          <w:p>
            <w:pPr>
              <w:pStyle w:val="39"/>
              <w:spacing w:line="520" w:lineRule="exact"/>
              <w:ind w:firstLine="480" w:firstLineChars="200"/>
              <w:rPr>
                <w:rFonts w:ascii="Times New Roman"/>
                <w:color w:val="auto"/>
                <w:lang w:val="zh-CN"/>
              </w:rPr>
            </w:pPr>
            <w:r>
              <w:rPr>
                <w:rFonts w:ascii="Times New Roman"/>
                <w:color w:val="auto"/>
              </w:rPr>
              <w:t>本项目为</w:t>
            </w:r>
            <w:r>
              <w:rPr>
                <w:rFonts w:hint="eastAsia" w:ascii="Times New Roman"/>
                <w:color w:val="auto"/>
              </w:rPr>
              <w:t>新建项目</w:t>
            </w:r>
            <w:r>
              <w:rPr>
                <w:rFonts w:ascii="Times New Roman"/>
                <w:color w:val="auto"/>
              </w:rPr>
              <w:t>，</w:t>
            </w:r>
            <w:r>
              <w:rPr>
                <w:rFonts w:ascii="Times New Roman"/>
                <w:color w:val="auto"/>
                <w:lang w:val="zh-CN"/>
              </w:rPr>
              <w:t>由于项目厂界外50m范围内不存在声环境保护目标，不进行声环境质量现状监测。</w:t>
            </w:r>
          </w:p>
          <w:p>
            <w:pPr>
              <w:autoSpaceDE w:val="0"/>
              <w:autoSpaceDN w:val="0"/>
              <w:adjustRightInd w:val="0"/>
              <w:spacing w:line="520" w:lineRule="exact"/>
              <w:ind w:firstLine="482" w:firstLineChars="200"/>
              <w:rPr>
                <w:b/>
                <w:bCs/>
                <w:color w:val="auto"/>
                <w:sz w:val="24"/>
              </w:rPr>
            </w:pPr>
            <w:r>
              <w:rPr>
                <w:rFonts w:hint="eastAsia"/>
                <w:b/>
                <w:bCs/>
                <w:color w:val="auto"/>
                <w:sz w:val="24"/>
              </w:rPr>
              <w:t>5、生态环境质量现状监测及评价</w:t>
            </w:r>
          </w:p>
          <w:p>
            <w:pPr>
              <w:adjustRightInd w:val="0"/>
              <w:spacing w:line="520" w:lineRule="exact"/>
              <w:ind w:firstLine="480" w:firstLineChars="200"/>
              <w:textAlignment w:val="baseline"/>
              <w:rPr>
                <w:rFonts w:ascii="宋体" w:hAnsi="宋体" w:cs="宋体"/>
                <w:color w:val="auto"/>
                <w:kern w:val="0"/>
                <w:sz w:val="24"/>
              </w:rPr>
            </w:pPr>
            <w:r>
              <w:rPr>
                <w:color w:val="auto"/>
                <w:kern w:val="0"/>
                <w:sz w:val="24"/>
              </w:rPr>
              <w:t>依据《建设项目环境影响报告表编制技术指南（污染影响类）（试行）》：产业园区外建设项目新增用地且用地范围内含有生态环境保护目标时，应进行生态现状调查。本项目位于</w:t>
            </w:r>
            <w:r>
              <w:rPr>
                <w:rFonts w:hint="eastAsia"/>
                <w:color w:val="auto"/>
                <w:sz w:val="24"/>
              </w:rPr>
              <w:t>阜康市中国石油天然气运输有限公司</w:t>
            </w:r>
            <w:r>
              <w:rPr>
                <w:rFonts w:hint="eastAsia"/>
                <w:color w:val="auto"/>
                <w:sz w:val="24"/>
                <w:lang w:val="en-US" w:eastAsia="zh-CN"/>
              </w:rPr>
              <w:t>一分公司</w:t>
            </w:r>
            <w:r>
              <w:rPr>
                <w:rFonts w:hint="eastAsia"/>
                <w:color w:val="auto"/>
                <w:sz w:val="24"/>
              </w:rPr>
              <w:t>准东生产基地</w:t>
            </w:r>
            <w:r>
              <w:rPr>
                <w:color w:val="auto"/>
                <w:kern w:val="0"/>
                <w:sz w:val="24"/>
              </w:rPr>
              <w:t>，不新增用地，且用地范围内无生态环境保护目标，因此本环评不再开展生态现状调查。</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55" w:hRule="atLeast"/>
          <w:jc w:val="center"/>
        </w:trPr>
        <w:tc>
          <w:tcPr>
            <w:tcW w:w="800" w:type="dxa"/>
            <w:vAlign w:val="center"/>
          </w:tcPr>
          <w:p>
            <w:pPr>
              <w:adjustRightInd w:val="0"/>
              <w:snapToGrid w:val="0"/>
              <w:jc w:val="center"/>
              <w:rPr>
                <w:rFonts w:ascii="宋体" w:hAnsi="宋体" w:cs="宋体"/>
                <w:color w:val="auto"/>
                <w:kern w:val="0"/>
                <w:sz w:val="24"/>
              </w:rPr>
            </w:pPr>
            <w:r>
              <w:rPr>
                <w:rFonts w:hint="eastAsia" w:ascii="宋体" w:hAnsi="宋体" w:cs="宋体"/>
                <w:color w:val="auto"/>
                <w:kern w:val="0"/>
                <w:sz w:val="24"/>
              </w:rPr>
              <w:t>环境</w:t>
            </w:r>
          </w:p>
          <w:p>
            <w:pPr>
              <w:adjustRightInd w:val="0"/>
              <w:snapToGrid w:val="0"/>
              <w:jc w:val="center"/>
              <w:rPr>
                <w:rFonts w:ascii="宋体" w:hAnsi="宋体" w:cs="宋体"/>
                <w:color w:val="auto"/>
                <w:kern w:val="0"/>
                <w:sz w:val="24"/>
              </w:rPr>
            </w:pPr>
            <w:r>
              <w:rPr>
                <w:rFonts w:hint="eastAsia" w:ascii="宋体" w:hAnsi="宋体" w:cs="宋体"/>
                <w:color w:val="auto"/>
                <w:kern w:val="0"/>
                <w:sz w:val="24"/>
              </w:rPr>
              <w:t>保护</w:t>
            </w:r>
          </w:p>
          <w:p>
            <w:pPr>
              <w:adjustRightInd w:val="0"/>
              <w:snapToGrid w:val="0"/>
              <w:jc w:val="center"/>
              <w:rPr>
                <w:rFonts w:ascii="宋体" w:hAnsi="宋体" w:cs="宋体"/>
                <w:color w:val="auto"/>
                <w:kern w:val="0"/>
                <w:sz w:val="24"/>
              </w:rPr>
            </w:pPr>
            <w:r>
              <w:rPr>
                <w:rFonts w:hint="eastAsia" w:ascii="宋体" w:hAnsi="宋体" w:cs="宋体"/>
                <w:color w:val="auto"/>
                <w:kern w:val="0"/>
                <w:sz w:val="24"/>
              </w:rPr>
              <w:t>目标</w:t>
            </w:r>
          </w:p>
        </w:tc>
        <w:tc>
          <w:tcPr>
            <w:tcW w:w="8190" w:type="dxa"/>
            <w:vAlign w:val="center"/>
          </w:tcPr>
          <w:p>
            <w:pPr>
              <w:spacing w:line="480" w:lineRule="exact"/>
              <w:ind w:firstLine="480" w:firstLineChars="200"/>
              <w:rPr>
                <w:color w:val="auto"/>
                <w:sz w:val="24"/>
              </w:rPr>
            </w:pPr>
            <w:r>
              <w:rPr>
                <w:color w:val="auto"/>
                <w:sz w:val="24"/>
              </w:rPr>
              <w:t>本项目建设地点位于</w:t>
            </w:r>
            <w:r>
              <w:rPr>
                <w:rFonts w:hint="eastAsia"/>
                <w:color w:val="auto"/>
                <w:sz w:val="24"/>
              </w:rPr>
              <w:t>阜康市中国石油天然气运输有限公司准东生产基地</w:t>
            </w:r>
            <w:r>
              <w:rPr>
                <w:color w:val="auto"/>
                <w:kern w:val="0"/>
                <w:sz w:val="24"/>
              </w:rPr>
              <w:t>，</w:t>
            </w:r>
            <w:r>
              <w:rPr>
                <w:color w:val="auto"/>
                <w:sz w:val="24"/>
              </w:rPr>
              <w:t xml:space="preserve">中心地理坐标为：N </w:t>
            </w:r>
            <w:r>
              <w:rPr>
                <w:rFonts w:hint="eastAsia"/>
                <w:color w:val="auto"/>
                <w:sz w:val="24"/>
              </w:rPr>
              <w:t>44</w:t>
            </w:r>
            <w:r>
              <w:rPr>
                <w:color w:val="auto"/>
                <w:sz w:val="24"/>
              </w:rPr>
              <w:t>°</w:t>
            </w:r>
            <w:r>
              <w:rPr>
                <w:rFonts w:hint="eastAsia"/>
                <w:color w:val="auto"/>
                <w:sz w:val="24"/>
              </w:rPr>
              <w:t>21</w:t>
            </w:r>
            <w:r>
              <w:rPr>
                <w:color w:val="auto"/>
                <w:sz w:val="24"/>
              </w:rPr>
              <w:t>′</w:t>
            </w:r>
            <w:r>
              <w:rPr>
                <w:rFonts w:hint="eastAsia"/>
                <w:color w:val="auto"/>
                <w:sz w:val="24"/>
              </w:rPr>
              <w:t>1.951</w:t>
            </w:r>
            <w:r>
              <w:rPr>
                <w:color w:val="auto"/>
                <w:sz w:val="24"/>
              </w:rPr>
              <w:t xml:space="preserve">″；E </w:t>
            </w:r>
            <w:r>
              <w:rPr>
                <w:rFonts w:hint="eastAsia"/>
                <w:color w:val="auto"/>
                <w:sz w:val="24"/>
              </w:rPr>
              <w:t>88</w:t>
            </w:r>
            <w:r>
              <w:rPr>
                <w:color w:val="auto"/>
                <w:sz w:val="24"/>
              </w:rPr>
              <w:t>°</w:t>
            </w:r>
            <w:r>
              <w:rPr>
                <w:rFonts w:hint="eastAsia"/>
                <w:color w:val="auto"/>
                <w:sz w:val="24"/>
              </w:rPr>
              <w:t>42</w:t>
            </w:r>
            <w:r>
              <w:rPr>
                <w:color w:val="auto"/>
                <w:sz w:val="24"/>
              </w:rPr>
              <w:t>′</w:t>
            </w:r>
            <w:r>
              <w:rPr>
                <w:rFonts w:hint="eastAsia"/>
                <w:color w:val="auto"/>
                <w:sz w:val="24"/>
              </w:rPr>
              <w:t>39.642</w:t>
            </w:r>
            <w:r>
              <w:rPr>
                <w:color w:val="auto"/>
                <w:sz w:val="24"/>
              </w:rPr>
              <w:t>″。</w:t>
            </w:r>
            <w:r>
              <w:rPr>
                <w:rFonts w:hint="eastAsia"/>
                <w:color w:val="auto"/>
                <w:sz w:val="24"/>
              </w:rPr>
              <w:t>根据现场调查，本项目</w:t>
            </w:r>
            <w:r>
              <w:rPr>
                <w:rFonts w:hint="eastAsia"/>
                <w:color w:val="auto"/>
                <w:sz w:val="24"/>
                <w:lang w:val="en-US" w:eastAsia="zh-CN"/>
              </w:rPr>
              <w:t>周边</w:t>
            </w:r>
            <w:r>
              <w:rPr>
                <w:rFonts w:hint="eastAsia"/>
                <w:color w:val="auto"/>
                <w:sz w:val="24"/>
              </w:rPr>
              <w:t>无环境敏感目标。</w:t>
            </w:r>
          </w:p>
          <w:p>
            <w:pPr>
              <w:spacing w:line="480" w:lineRule="exact"/>
              <w:ind w:firstLine="480" w:firstLineChars="200"/>
              <w:rPr>
                <w:color w:val="auto"/>
                <w:sz w:val="24"/>
              </w:rPr>
            </w:pPr>
            <w:r>
              <w:rPr>
                <w:rFonts w:hint="eastAsia"/>
                <w:color w:val="auto"/>
                <w:sz w:val="24"/>
              </w:rPr>
              <w:t>1、</w:t>
            </w:r>
            <w:r>
              <w:rPr>
                <w:color w:val="auto"/>
                <w:sz w:val="24"/>
              </w:rPr>
              <w:t>大气环境</w:t>
            </w:r>
          </w:p>
          <w:p>
            <w:pPr>
              <w:spacing w:line="480" w:lineRule="exact"/>
              <w:ind w:firstLine="480" w:firstLineChars="200"/>
              <w:rPr>
                <w:color w:val="auto"/>
                <w:sz w:val="24"/>
              </w:rPr>
            </w:pPr>
            <w:r>
              <w:rPr>
                <w:color w:val="auto"/>
                <w:sz w:val="24"/>
              </w:rPr>
              <w:t>本项目厂界外500</w:t>
            </w:r>
            <w:r>
              <w:rPr>
                <w:rFonts w:hint="eastAsia"/>
                <w:color w:val="auto"/>
                <w:sz w:val="24"/>
              </w:rPr>
              <w:t>m</w:t>
            </w:r>
            <w:r>
              <w:rPr>
                <w:color w:val="auto"/>
                <w:sz w:val="24"/>
              </w:rPr>
              <w:t>范围内无自然保护区、风景名胜区、居住区、文化区和农村地区中人群较集中的区域等保护目标。</w:t>
            </w:r>
          </w:p>
          <w:p>
            <w:pPr>
              <w:spacing w:line="480" w:lineRule="exact"/>
              <w:ind w:firstLine="480" w:firstLineChars="200"/>
              <w:rPr>
                <w:color w:val="auto"/>
                <w:sz w:val="24"/>
              </w:rPr>
            </w:pPr>
            <w:r>
              <w:rPr>
                <w:rFonts w:hint="eastAsia"/>
                <w:color w:val="auto"/>
                <w:sz w:val="24"/>
              </w:rPr>
              <w:t>2、</w:t>
            </w:r>
            <w:r>
              <w:rPr>
                <w:color w:val="auto"/>
                <w:sz w:val="24"/>
              </w:rPr>
              <w:t>声环境</w:t>
            </w:r>
          </w:p>
          <w:p>
            <w:pPr>
              <w:spacing w:line="480" w:lineRule="exact"/>
              <w:ind w:firstLine="480" w:firstLineChars="200"/>
              <w:rPr>
                <w:color w:val="auto"/>
                <w:sz w:val="24"/>
              </w:rPr>
            </w:pPr>
            <w:r>
              <w:rPr>
                <w:color w:val="auto"/>
                <w:sz w:val="24"/>
              </w:rPr>
              <w:t>本项目厂界外50</w:t>
            </w:r>
            <w:r>
              <w:rPr>
                <w:rFonts w:hint="eastAsia"/>
                <w:color w:val="auto"/>
                <w:sz w:val="24"/>
              </w:rPr>
              <w:t>m</w:t>
            </w:r>
            <w:r>
              <w:rPr>
                <w:color w:val="auto"/>
                <w:sz w:val="24"/>
              </w:rPr>
              <w:t>范围内无声环境保护目标。</w:t>
            </w:r>
          </w:p>
          <w:p>
            <w:pPr>
              <w:spacing w:line="480" w:lineRule="exact"/>
              <w:ind w:firstLine="480" w:firstLineChars="200"/>
              <w:rPr>
                <w:color w:val="auto"/>
                <w:sz w:val="24"/>
              </w:rPr>
            </w:pPr>
            <w:r>
              <w:rPr>
                <w:rFonts w:hint="eastAsia"/>
                <w:color w:val="auto"/>
                <w:sz w:val="24"/>
              </w:rPr>
              <w:t>3、</w:t>
            </w:r>
            <w:r>
              <w:rPr>
                <w:color w:val="auto"/>
                <w:sz w:val="24"/>
              </w:rPr>
              <w:t>地下水环境</w:t>
            </w:r>
          </w:p>
          <w:p>
            <w:pPr>
              <w:spacing w:line="480" w:lineRule="exact"/>
              <w:ind w:firstLine="480" w:firstLineChars="200"/>
              <w:rPr>
                <w:rFonts w:ascii="宋体" w:hAnsi="宋体" w:cs="宋体"/>
                <w:color w:val="auto"/>
                <w:kern w:val="0"/>
                <w:sz w:val="24"/>
              </w:rPr>
            </w:pPr>
            <w:r>
              <w:rPr>
                <w:color w:val="auto"/>
                <w:sz w:val="24"/>
              </w:rPr>
              <w:t>本项目厂界外500</w:t>
            </w:r>
            <w:r>
              <w:rPr>
                <w:rFonts w:hint="eastAsia"/>
                <w:color w:val="auto"/>
                <w:sz w:val="24"/>
              </w:rPr>
              <w:t>m</w:t>
            </w:r>
            <w:r>
              <w:rPr>
                <w:color w:val="auto"/>
                <w:sz w:val="24"/>
              </w:rPr>
              <w:t>范围内无地下水集中式饮用水水源和热水、矿泉水、温泉等特殊地下水资源</w:t>
            </w:r>
            <w:r>
              <w:rPr>
                <w:rFonts w:hint="eastAsia"/>
                <w:color w:val="auto"/>
                <w:sz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59" w:hRule="atLeast"/>
          <w:jc w:val="center"/>
        </w:trPr>
        <w:tc>
          <w:tcPr>
            <w:tcW w:w="800" w:type="dxa"/>
            <w:tcMar>
              <w:left w:w="28" w:type="dxa"/>
              <w:right w:w="28" w:type="dxa"/>
            </w:tcMar>
            <w:vAlign w:val="center"/>
          </w:tcPr>
          <w:p>
            <w:pPr>
              <w:adjustRightInd w:val="0"/>
              <w:snapToGrid w:val="0"/>
              <w:jc w:val="center"/>
              <w:rPr>
                <w:rFonts w:ascii="宋体" w:hAnsi="宋体" w:cs="宋体"/>
                <w:color w:val="auto"/>
                <w:kern w:val="0"/>
                <w:sz w:val="24"/>
              </w:rPr>
            </w:pPr>
            <w:r>
              <w:rPr>
                <w:rFonts w:hint="eastAsia" w:ascii="宋体" w:hAnsi="宋体" w:cs="宋体"/>
                <w:color w:val="auto"/>
                <w:kern w:val="0"/>
                <w:sz w:val="24"/>
              </w:rPr>
              <w:t>污染</w:t>
            </w:r>
          </w:p>
          <w:p>
            <w:pPr>
              <w:adjustRightInd w:val="0"/>
              <w:snapToGrid w:val="0"/>
              <w:jc w:val="center"/>
              <w:rPr>
                <w:rFonts w:ascii="宋体" w:hAnsi="宋体" w:cs="宋体"/>
                <w:color w:val="auto"/>
                <w:kern w:val="0"/>
                <w:sz w:val="24"/>
              </w:rPr>
            </w:pPr>
            <w:r>
              <w:rPr>
                <w:rFonts w:hint="eastAsia" w:ascii="宋体" w:hAnsi="宋体" w:cs="宋体"/>
                <w:color w:val="auto"/>
                <w:kern w:val="0"/>
                <w:sz w:val="24"/>
              </w:rPr>
              <w:t>物排</w:t>
            </w:r>
          </w:p>
          <w:p>
            <w:pPr>
              <w:adjustRightInd w:val="0"/>
              <w:snapToGrid w:val="0"/>
              <w:jc w:val="center"/>
              <w:rPr>
                <w:rFonts w:ascii="宋体" w:hAnsi="宋体" w:cs="宋体"/>
                <w:color w:val="auto"/>
                <w:kern w:val="0"/>
                <w:sz w:val="24"/>
              </w:rPr>
            </w:pPr>
            <w:r>
              <w:rPr>
                <w:rFonts w:hint="eastAsia" w:ascii="宋体" w:hAnsi="宋体" w:cs="宋体"/>
                <w:color w:val="auto"/>
                <w:kern w:val="0"/>
                <w:sz w:val="24"/>
              </w:rPr>
              <w:t>放控</w:t>
            </w:r>
          </w:p>
          <w:p>
            <w:pPr>
              <w:adjustRightInd w:val="0"/>
              <w:snapToGrid w:val="0"/>
              <w:jc w:val="center"/>
              <w:rPr>
                <w:rFonts w:ascii="宋体" w:hAnsi="宋体" w:cs="宋体"/>
                <w:color w:val="auto"/>
                <w:kern w:val="0"/>
                <w:sz w:val="24"/>
              </w:rPr>
            </w:pPr>
            <w:r>
              <w:rPr>
                <w:rFonts w:hint="eastAsia" w:ascii="宋体" w:hAnsi="宋体" w:cs="宋体"/>
                <w:color w:val="auto"/>
                <w:kern w:val="0"/>
                <w:sz w:val="24"/>
              </w:rPr>
              <w:t>制标</w:t>
            </w:r>
          </w:p>
          <w:p>
            <w:pPr>
              <w:adjustRightInd w:val="0"/>
              <w:snapToGrid w:val="0"/>
              <w:jc w:val="center"/>
              <w:rPr>
                <w:rFonts w:ascii="宋体" w:hAnsi="宋体" w:cs="宋体"/>
                <w:color w:val="auto"/>
                <w:kern w:val="0"/>
                <w:sz w:val="24"/>
              </w:rPr>
            </w:pPr>
            <w:r>
              <w:rPr>
                <w:rFonts w:hint="eastAsia" w:ascii="宋体" w:hAnsi="宋体" w:cs="宋体"/>
                <w:color w:val="auto"/>
                <w:kern w:val="0"/>
                <w:sz w:val="24"/>
              </w:rPr>
              <w:t>准</w:t>
            </w:r>
          </w:p>
        </w:tc>
        <w:tc>
          <w:tcPr>
            <w:tcW w:w="8190" w:type="dxa"/>
            <w:vAlign w:val="center"/>
          </w:tcPr>
          <w:p>
            <w:pPr>
              <w:spacing w:line="520" w:lineRule="exact"/>
              <w:ind w:firstLine="480" w:firstLineChars="200"/>
              <w:rPr>
                <w:color w:val="auto"/>
                <w:sz w:val="24"/>
              </w:rPr>
            </w:pPr>
            <w:r>
              <w:rPr>
                <w:rFonts w:hint="eastAsia"/>
                <w:color w:val="auto"/>
                <w:sz w:val="24"/>
              </w:rPr>
              <w:t>1、无组织排放非甲烷总烃执行《大气污染物综合排放标准》（GB16297-1996）表2限值要求以及《挥发性有机物无组织排放控制标准》（GB37822-2019）中厂房外VOCs无组织特别排放限值监控点处1h平均浓度值6mg/m</w:t>
            </w:r>
            <w:r>
              <w:rPr>
                <w:rFonts w:hint="eastAsia"/>
                <w:color w:val="auto"/>
                <w:sz w:val="24"/>
                <w:vertAlign w:val="superscript"/>
              </w:rPr>
              <w:t>3</w:t>
            </w:r>
            <w:r>
              <w:rPr>
                <w:rFonts w:hint="eastAsia"/>
                <w:color w:val="auto"/>
                <w:sz w:val="24"/>
              </w:rPr>
              <w:t>和监控点处任意一次浓度值20mg/m</w:t>
            </w:r>
            <w:r>
              <w:rPr>
                <w:rFonts w:hint="eastAsia"/>
                <w:color w:val="auto"/>
                <w:sz w:val="24"/>
                <w:vertAlign w:val="superscript"/>
              </w:rPr>
              <w:t>3</w:t>
            </w:r>
            <w:r>
              <w:rPr>
                <w:rFonts w:hint="eastAsia"/>
                <w:color w:val="auto"/>
                <w:sz w:val="24"/>
              </w:rPr>
              <w:t>的要求。硫酸雾执行《大气污染物综合排放标准》（GB16297-1996）表2限值要求。</w:t>
            </w:r>
          </w:p>
          <w:p>
            <w:pPr>
              <w:pStyle w:val="84"/>
              <w:spacing w:line="240" w:lineRule="auto"/>
              <w:rPr>
                <w:color w:val="auto"/>
              </w:rPr>
            </w:pPr>
            <w:r>
              <w:rPr>
                <w:color w:val="auto"/>
              </w:rPr>
              <w:t>表3-</w:t>
            </w:r>
            <w:r>
              <w:rPr>
                <w:rFonts w:hint="eastAsia"/>
                <w:color w:val="auto"/>
                <w:lang w:val="en-US" w:eastAsia="zh-CN"/>
              </w:rPr>
              <w:t>3</w:t>
            </w:r>
            <w:r>
              <w:rPr>
                <w:rFonts w:hint="eastAsia"/>
                <w:color w:val="auto"/>
              </w:rPr>
              <w:t xml:space="preserve">   大气污染物排放标准</w:t>
            </w:r>
          </w:p>
          <w:tbl>
            <w:tblPr>
              <w:tblStyle w:val="31"/>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43"/>
              <w:gridCol w:w="3099"/>
              <w:gridCol w:w="372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716" w:type="pct"/>
                  <w:vAlign w:val="center"/>
                </w:tcPr>
                <w:p>
                  <w:pPr>
                    <w:adjustRightInd w:val="0"/>
                    <w:snapToGrid w:val="0"/>
                    <w:jc w:val="center"/>
                    <w:rPr>
                      <w:bCs/>
                      <w:color w:val="auto"/>
                      <w:szCs w:val="21"/>
                    </w:rPr>
                  </w:pPr>
                  <w:r>
                    <w:rPr>
                      <w:bCs/>
                      <w:color w:val="auto"/>
                      <w:szCs w:val="21"/>
                    </w:rPr>
                    <w:t>污染物</w:t>
                  </w:r>
                </w:p>
              </w:tc>
              <w:tc>
                <w:tcPr>
                  <w:tcW w:w="1943" w:type="pct"/>
                  <w:vAlign w:val="center"/>
                </w:tcPr>
                <w:p>
                  <w:pPr>
                    <w:adjustRightInd w:val="0"/>
                    <w:snapToGrid w:val="0"/>
                    <w:jc w:val="center"/>
                    <w:rPr>
                      <w:bCs/>
                      <w:color w:val="auto"/>
                      <w:szCs w:val="21"/>
                    </w:rPr>
                  </w:pPr>
                  <w:r>
                    <w:rPr>
                      <w:bCs/>
                      <w:color w:val="auto"/>
                      <w:szCs w:val="21"/>
                    </w:rPr>
                    <w:t>限值</w:t>
                  </w:r>
                </w:p>
              </w:tc>
              <w:tc>
                <w:tcPr>
                  <w:tcW w:w="2339" w:type="pct"/>
                  <w:vAlign w:val="center"/>
                </w:tcPr>
                <w:p>
                  <w:pPr>
                    <w:adjustRightInd w:val="0"/>
                    <w:snapToGrid w:val="0"/>
                    <w:jc w:val="center"/>
                    <w:rPr>
                      <w:bCs/>
                      <w:color w:val="auto"/>
                      <w:szCs w:val="21"/>
                    </w:rPr>
                  </w:pPr>
                  <w:r>
                    <w:rPr>
                      <w:bCs/>
                      <w:color w:val="auto"/>
                      <w:szCs w:val="21"/>
                    </w:rPr>
                    <w:t>执行标准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716" w:type="pct"/>
                  <w:vAlign w:val="center"/>
                </w:tcPr>
                <w:p>
                  <w:pPr>
                    <w:adjustRightInd w:val="0"/>
                    <w:snapToGrid w:val="0"/>
                    <w:jc w:val="center"/>
                    <w:rPr>
                      <w:bCs/>
                      <w:color w:val="auto"/>
                      <w:szCs w:val="21"/>
                    </w:rPr>
                  </w:pPr>
                  <w:r>
                    <w:rPr>
                      <w:bCs/>
                      <w:color w:val="auto"/>
                      <w:szCs w:val="21"/>
                    </w:rPr>
                    <w:t>非甲烷总烃</w:t>
                  </w:r>
                </w:p>
              </w:tc>
              <w:tc>
                <w:tcPr>
                  <w:tcW w:w="1943" w:type="pct"/>
                  <w:vAlign w:val="center"/>
                </w:tcPr>
                <w:p>
                  <w:pPr>
                    <w:adjustRightInd w:val="0"/>
                    <w:snapToGrid w:val="0"/>
                    <w:jc w:val="center"/>
                    <w:rPr>
                      <w:bCs/>
                      <w:color w:val="auto"/>
                      <w:szCs w:val="21"/>
                    </w:rPr>
                  </w:pPr>
                  <w:r>
                    <w:rPr>
                      <w:bCs/>
                      <w:color w:val="auto"/>
                      <w:szCs w:val="21"/>
                    </w:rPr>
                    <w:t>4mg/m</w:t>
                  </w:r>
                  <w:r>
                    <w:rPr>
                      <w:bCs/>
                      <w:color w:val="auto"/>
                      <w:szCs w:val="21"/>
                      <w:vertAlign w:val="superscript"/>
                    </w:rPr>
                    <w:t>3</w:t>
                  </w:r>
                </w:p>
              </w:tc>
              <w:tc>
                <w:tcPr>
                  <w:tcW w:w="2339" w:type="pct"/>
                  <w:vMerge w:val="restart"/>
                  <w:vAlign w:val="center"/>
                </w:tcPr>
                <w:p>
                  <w:pPr>
                    <w:adjustRightInd w:val="0"/>
                    <w:snapToGrid w:val="0"/>
                    <w:jc w:val="center"/>
                    <w:rPr>
                      <w:bCs/>
                      <w:color w:val="auto"/>
                      <w:szCs w:val="21"/>
                    </w:rPr>
                  </w:pPr>
                  <w:r>
                    <w:rPr>
                      <w:color w:val="auto"/>
                      <w:szCs w:val="21"/>
                    </w:rPr>
                    <w:t>《大气污染物综合排放标准》（GB16297-1996）表2非甲烷总烃限值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716" w:type="pct"/>
                  <w:vAlign w:val="center"/>
                </w:tcPr>
                <w:p>
                  <w:pPr>
                    <w:adjustRightInd w:val="0"/>
                    <w:snapToGrid w:val="0"/>
                    <w:jc w:val="center"/>
                    <w:rPr>
                      <w:bCs/>
                      <w:color w:val="auto"/>
                      <w:szCs w:val="21"/>
                    </w:rPr>
                  </w:pPr>
                  <w:r>
                    <w:rPr>
                      <w:rFonts w:hint="eastAsia"/>
                      <w:bCs/>
                      <w:color w:val="auto"/>
                      <w:szCs w:val="21"/>
                    </w:rPr>
                    <w:t>硫酸雾</w:t>
                  </w:r>
                </w:p>
              </w:tc>
              <w:tc>
                <w:tcPr>
                  <w:tcW w:w="1943" w:type="pct"/>
                  <w:vAlign w:val="center"/>
                </w:tcPr>
                <w:p>
                  <w:pPr>
                    <w:adjustRightInd w:val="0"/>
                    <w:snapToGrid w:val="0"/>
                    <w:jc w:val="center"/>
                    <w:rPr>
                      <w:bCs/>
                      <w:color w:val="auto"/>
                      <w:szCs w:val="21"/>
                    </w:rPr>
                  </w:pPr>
                  <w:r>
                    <w:rPr>
                      <w:rFonts w:hint="eastAsia"/>
                      <w:bCs/>
                      <w:color w:val="auto"/>
                      <w:szCs w:val="21"/>
                    </w:rPr>
                    <w:t>1</w:t>
                  </w:r>
                  <w:r>
                    <w:rPr>
                      <w:bCs/>
                      <w:color w:val="auto"/>
                      <w:szCs w:val="21"/>
                    </w:rPr>
                    <w:t>.2mg/m</w:t>
                  </w:r>
                  <w:r>
                    <w:rPr>
                      <w:bCs/>
                      <w:color w:val="auto"/>
                      <w:szCs w:val="21"/>
                      <w:vertAlign w:val="superscript"/>
                    </w:rPr>
                    <w:t>3</w:t>
                  </w:r>
                </w:p>
              </w:tc>
              <w:tc>
                <w:tcPr>
                  <w:tcW w:w="2339" w:type="pct"/>
                  <w:vMerge w:val="continue"/>
                  <w:vAlign w:val="center"/>
                </w:tcPr>
                <w:p>
                  <w:pPr>
                    <w:adjustRightInd w:val="0"/>
                    <w:snapToGrid w:val="0"/>
                    <w:jc w:val="center"/>
                    <w:rPr>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0" w:hRule="atLeast"/>
                <w:jc w:val="center"/>
              </w:trPr>
              <w:tc>
                <w:tcPr>
                  <w:tcW w:w="716" w:type="pct"/>
                  <w:vAlign w:val="center"/>
                </w:tcPr>
                <w:p>
                  <w:pPr>
                    <w:adjustRightInd w:val="0"/>
                    <w:snapToGrid w:val="0"/>
                    <w:jc w:val="center"/>
                    <w:rPr>
                      <w:bCs/>
                      <w:color w:val="auto"/>
                      <w:szCs w:val="21"/>
                    </w:rPr>
                  </w:pPr>
                  <w:r>
                    <w:rPr>
                      <w:bCs/>
                      <w:color w:val="auto"/>
                      <w:szCs w:val="21"/>
                    </w:rPr>
                    <w:t>VOCs</w:t>
                  </w:r>
                </w:p>
              </w:tc>
              <w:tc>
                <w:tcPr>
                  <w:tcW w:w="1943" w:type="pct"/>
                  <w:vAlign w:val="center"/>
                </w:tcPr>
                <w:p>
                  <w:pPr>
                    <w:adjustRightInd w:val="0"/>
                    <w:snapToGrid w:val="0"/>
                    <w:jc w:val="center"/>
                    <w:rPr>
                      <w:bCs/>
                      <w:color w:val="auto"/>
                      <w:szCs w:val="21"/>
                    </w:rPr>
                  </w:pPr>
                  <w:r>
                    <w:rPr>
                      <w:color w:val="auto"/>
                      <w:szCs w:val="21"/>
                    </w:rPr>
                    <w:t>1h平均浓度值</w:t>
                  </w:r>
                  <w:r>
                    <w:rPr>
                      <w:rFonts w:hint="eastAsia"/>
                      <w:color w:val="auto"/>
                      <w:szCs w:val="21"/>
                    </w:rPr>
                    <w:t>6</w:t>
                  </w:r>
                  <w:r>
                    <w:rPr>
                      <w:color w:val="auto"/>
                      <w:szCs w:val="21"/>
                    </w:rPr>
                    <w:t>mg/m</w:t>
                  </w:r>
                  <w:r>
                    <w:rPr>
                      <w:color w:val="auto"/>
                      <w:szCs w:val="21"/>
                      <w:vertAlign w:val="superscript"/>
                    </w:rPr>
                    <w:t>3</w:t>
                  </w:r>
                  <w:r>
                    <w:rPr>
                      <w:color w:val="auto"/>
                      <w:szCs w:val="21"/>
                    </w:rPr>
                    <w:t>和监控点处任意一次浓度值</w:t>
                  </w:r>
                  <w:r>
                    <w:rPr>
                      <w:rFonts w:hint="eastAsia"/>
                      <w:color w:val="auto"/>
                      <w:szCs w:val="21"/>
                    </w:rPr>
                    <w:t>20</w:t>
                  </w:r>
                  <w:r>
                    <w:rPr>
                      <w:color w:val="auto"/>
                      <w:szCs w:val="21"/>
                    </w:rPr>
                    <w:t>mg/m</w:t>
                  </w:r>
                  <w:r>
                    <w:rPr>
                      <w:color w:val="auto"/>
                      <w:szCs w:val="21"/>
                      <w:vertAlign w:val="superscript"/>
                    </w:rPr>
                    <w:t>3</w:t>
                  </w:r>
                </w:p>
              </w:tc>
              <w:tc>
                <w:tcPr>
                  <w:tcW w:w="2339" w:type="pct"/>
                  <w:vAlign w:val="center"/>
                </w:tcPr>
                <w:p>
                  <w:pPr>
                    <w:adjustRightInd w:val="0"/>
                    <w:snapToGrid w:val="0"/>
                    <w:jc w:val="center"/>
                    <w:rPr>
                      <w:bCs/>
                      <w:color w:val="auto"/>
                      <w:szCs w:val="21"/>
                    </w:rPr>
                  </w:pPr>
                  <w:r>
                    <w:rPr>
                      <w:color w:val="auto"/>
                      <w:szCs w:val="21"/>
                    </w:rPr>
                    <w:t>《挥发性有机物无组织排放控制标准》（GB37822-2019）</w:t>
                  </w:r>
                </w:p>
              </w:tc>
            </w:tr>
          </w:tbl>
          <w:p>
            <w:pPr>
              <w:spacing w:line="520" w:lineRule="exact"/>
              <w:ind w:firstLine="480" w:firstLineChars="200"/>
              <w:rPr>
                <w:color w:val="auto"/>
                <w:sz w:val="24"/>
              </w:rPr>
            </w:pPr>
            <w:r>
              <w:rPr>
                <w:rFonts w:hint="eastAsia"/>
                <w:color w:val="auto"/>
                <w:sz w:val="24"/>
                <w:lang w:val="en-US" w:eastAsia="zh-CN"/>
              </w:rPr>
              <w:t>2</w:t>
            </w:r>
            <w:r>
              <w:rPr>
                <w:rFonts w:hint="eastAsia"/>
                <w:color w:val="auto"/>
                <w:sz w:val="24"/>
              </w:rPr>
              <w:t>、运营期噪声执行《工业企业厂界环境噪声排放标准》（GB12348-2008）中2类标准，即昼间60dB（A），夜间50dB（A）。</w:t>
            </w:r>
          </w:p>
          <w:p>
            <w:pPr>
              <w:spacing w:line="520" w:lineRule="exact"/>
              <w:ind w:firstLine="480" w:firstLineChars="200"/>
              <w:rPr>
                <w:rFonts w:ascii="宋体" w:hAnsi="宋体" w:cs="宋体"/>
                <w:color w:val="auto"/>
                <w:kern w:val="0"/>
                <w:sz w:val="24"/>
              </w:rPr>
            </w:pPr>
            <w:r>
              <w:rPr>
                <w:rFonts w:hint="eastAsia"/>
                <w:color w:val="auto"/>
                <w:sz w:val="24"/>
                <w:lang w:val="en-US" w:eastAsia="zh-CN"/>
              </w:rPr>
              <w:t>3</w:t>
            </w:r>
            <w:r>
              <w:rPr>
                <w:rFonts w:hint="eastAsia"/>
                <w:color w:val="auto"/>
                <w:sz w:val="24"/>
              </w:rPr>
              <w:t>、</w:t>
            </w:r>
            <w:r>
              <w:rPr>
                <w:color w:val="auto"/>
                <w:sz w:val="24"/>
              </w:rPr>
              <w:t>危险废物执行《危险废物贮存污染控制标准</w:t>
            </w:r>
            <w:r>
              <w:rPr>
                <w:rFonts w:hint="eastAsia"/>
                <w:color w:val="auto"/>
                <w:sz w:val="24"/>
              </w:rPr>
              <w:t>》（GB18597-2023）、《危险废物识别标志设置技术规范》（HJ1276-2022）、《环境保护图形标志 固体废物贮存（处置）场》（GB15562.2</w:t>
            </w:r>
            <w:r>
              <w:rPr>
                <w:color w:val="auto"/>
                <w:sz w:val="24"/>
              </w:rPr>
              <w:t>-1995</w:t>
            </w:r>
            <w:r>
              <w:rPr>
                <w:rFonts w:hint="eastAsia"/>
                <w:color w:val="auto"/>
                <w:sz w:val="24"/>
              </w:rPr>
              <w:t>）及修改单。</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30" w:hRule="atLeast"/>
          <w:jc w:val="center"/>
        </w:trPr>
        <w:tc>
          <w:tcPr>
            <w:tcW w:w="800" w:type="dxa"/>
            <w:vAlign w:val="center"/>
          </w:tcPr>
          <w:p>
            <w:pPr>
              <w:adjustRightInd w:val="0"/>
              <w:snapToGrid w:val="0"/>
              <w:jc w:val="center"/>
              <w:rPr>
                <w:rFonts w:ascii="宋体" w:hAnsi="宋体" w:cs="宋体"/>
                <w:color w:val="auto"/>
                <w:kern w:val="0"/>
                <w:sz w:val="24"/>
              </w:rPr>
            </w:pPr>
            <w:r>
              <w:rPr>
                <w:rFonts w:hint="eastAsia" w:ascii="宋体" w:hAnsi="宋体" w:cs="宋体"/>
                <w:color w:val="auto"/>
                <w:kern w:val="0"/>
                <w:sz w:val="24"/>
              </w:rPr>
              <w:t>总量</w:t>
            </w:r>
          </w:p>
          <w:p>
            <w:pPr>
              <w:adjustRightInd w:val="0"/>
              <w:snapToGrid w:val="0"/>
              <w:jc w:val="center"/>
              <w:rPr>
                <w:rFonts w:ascii="宋体" w:hAnsi="宋体" w:cs="宋体"/>
                <w:color w:val="auto"/>
                <w:kern w:val="0"/>
                <w:sz w:val="24"/>
              </w:rPr>
            </w:pPr>
            <w:r>
              <w:rPr>
                <w:rFonts w:hint="eastAsia" w:ascii="宋体" w:hAnsi="宋体" w:cs="宋体"/>
                <w:color w:val="auto"/>
                <w:kern w:val="0"/>
                <w:sz w:val="24"/>
              </w:rPr>
              <w:t>控制</w:t>
            </w:r>
          </w:p>
          <w:p>
            <w:pPr>
              <w:adjustRightInd w:val="0"/>
              <w:snapToGrid w:val="0"/>
              <w:jc w:val="center"/>
              <w:rPr>
                <w:rFonts w:ascii="宋体" w:hAnsi="宋体" w:cs="宋体"/>
                <w:color w:val="auto"/>
                <w:kern w:val="0"/>
                <w:sz w:val="24"/>
              </w:rPr>
            </w:pPr>
            <w:r>
              <w:rPr>
                <w:rFonts w:hint="eastAsia" w:ascii="宋体" w:hAnsi="宋体" w:cs="宋体"/>
                <w:color w:val="auto"/>
                <w:kern w:val="0"/>
                <w:sz w:val="24"/>
              </w:rPr>
              <w:t>指标</w:t>
            </w:r>
          </w:p>
        </w:tc>
        <w:tc>
          <w:tcPr>
            <w:tcW w:w="8190" w:type="dxa"/>
            <w:vAlign w:val="center"/>
          </w:tcPr>
          <w:p>
            <w:pPr>
              <w:spacing w:line="520" w:lineRule="exact"/>
              <w:ind w:firstLine="420"/>
              <w:jc w:val="left"/>
              <w:rPr>
                <w:rFonts w:hint="eastAsia"/>
                <w:color w:val="auto"/>
                <w:sz w:val="24"/>
                <w:szCs w:val="24"/>
                <w:lang w:val="en-US" w:eastAsia="zh-CN"/>
              </w:rPr>
            </w:pPr>
            <w:r>
              <w:rPr>
                <w:rFonts w:hint="eastAsia"/>
                <w:color w:val="auto"/>
                <w:sz w:val="24"/>
                <w:szCs w:val="24"/>
                <w:lang w:val="en-US" w:eastAsia="zh-CN"/>
              </w:rPr>
              <w:t>国家目前对氮氧化物、VOCs、化学需氧量、氨氮纳入总量控制。本项目废机油储存于密闭的铁桶内，挥发出的非甲烷总烃类物质的挥发量很少，对区域环境影响可忽略不计，本次评价不设置VOCs总量控制指标。</w:t>
            </w:r>
          </w:p>
          <w:p>
            <w:pPr>
              <w:pStyle w:val="42"/>
              <w:ind w:firstLine="420"/>
              <w:rPr>
                <w:rFonts w:hint="default"/>
                <w:color w:val="auto"/>
                <w:lang w:val="en-US" w:eastAsia="zh-CN"/>
              </w:rPr>
            </w:pPr>
          </w:p>
          <w:p>
            <w:pPr>
              <w:pStyle w:val="42"/>
              <w:ind w:firstLine="420"/>
              <w:rPr>
                <w:rFonts w:hint="default"/>
                <w:color w:val="auto"/>
                <w:lang w:val="en-US" w:eastAsia="zh-CN"/>
              </w:rPr>
            </w:pPr>
          </w:p>
          <w:p>
            <w:pPr>
              <w:pStyle w:val="42"/>
              <w:ind w:firstLine="420"/>
              <w:rPr>
                <w:rFonts w:hint="default"/>
                <w:color w:val="auto"/>
                <w:lang w:val="en-US" w:eastAsia="zh-CN"/>
              </w:rPr>
            </w:pPr>
          </w:p>
          <w:p>
            <w:pPr>
              <w:pStyle w:val="42"/>
              <w:ind w:firstLine="420"/>
              <w:rPr>
                <w:rFonts w:hint="default"/>
                <w:color w:val="auto"/>
                <w:lang w:val="en-US" w:eastAsia="zh-CN"/>
              </w:rPr>
            </w:pPr>
          </w:p>
          <w:p>
            <w:pPr>
              <w:pStyle w:val="42"/>
              <w:ind w:firstLine="420"/>
              <w:rPr>
                <w:rFonts w:hint="default"/>
                <w:color w:val="auto"/>
                <w:lang w:val="en-US" w:eastAsia="zh-CN"/>
              </w:rPr>
            </w:pPr>
          </w:p>
          <w:p>
            <w:pPr>
              <w:pStyle w:val="42"/>
              <w:ind w:firstLine="420"/>
              <w:rPr>
                <w:rFonts w:hint="default"/>
                <w:color w:val="auto"/>
                <w:lang w:val="en-US" w:eastAsia="zh-CN"/>
              </w:rPr>
            </w:pPr>
          </w:p>
          <w:p>
            <w:pPr>
              <w:pStyle w:val="42"/>
              <w:ind w:firstLine="420"/>
              <w:rPr>
                <w:rFonts w:hint="default"/>
                <w:color w:val="auto"/>
                <w:lang w:val="en-US" w:eastAsia="zh-CN"/>
              </w:rPr>
            </w:pPr>
          </w:p>
          <w:p>
            <w:pPr>
              <w:pStyle w:val="42"/>
              <w:ind w:firstLine="420"/>
              <w:rPr>
                <w:rFonts w:hint="default"/>
                <w:color w:val="auto"/>
                <w:lang w:val="en-US" w:eastAsia="zh-CN"/>
              </w:rPr>
            </w:pPr>
          </w:p>
          <w:p>
            <w:pPr>
              <w:pStyle w:val="42"/>
              <w:ind w:firstLine="420"/>
              <w:rPr>
                <w:rFonts w:hint="default"/>
                <w:color w:val="auto"/>
                <w:lang w:val="en-US" w:eastAsia="zh-CN"/>
              </w:rPr>
            </w:pPr>
          </w:p>
          <w:p>
            <w:pPr>
              <w:pStyle w:val="42"/>
              <w:ind w:firstLine="420"/>
              <w:rPr>
                <w:rFonts w:hint="default"/>
                <w:color w:val="auto"/>
                <w:lang w:val="en-US" w:eastAsia="zh-CN"/>
              </w:rPr>
            </w:pPr>
          </w:p>
          <w:p>
            <w:pPr>
              <w:pStyle w:val="42"/>
              <w:ind w:firstLine="420"/>
              <w:rPr>
                <w:rFonts w:hint="default"/>
                <w:color w:val="auto"/>
                <w:lang w:val="en-US" w:eastAsia="zh-CN"/>
              </w:rPr>
            </w:pPr>
          </w:p>
          <w:p>
            <w:pPr>
              <w:pStyle w:val="42"/>
              <w:ind w:firstLine="420"/>
              <w:rPr>
                <w:rFonts w:hint="default"/>
                <w:color w:val="auto"/>
                <w:lang w:val="en-US" w:eastAsia="zh-CN"/>
              </w:rPr>
            </w:pPr>
          </w:p>
          <w:p>
            <w:pPr>
              <w:pStyle w:val="42"/>
              <w:ind w:firstLine="420"/>
              <w:rPr>
                <w:rFonts w:hint="default"/>
                <w:color w:val="auto"/>
                <w:lang w:val="en-US" w:eastAsia="zh-CN"/>
              </w:rPr>
            </w:pPr>
          </w:p>
          <w:p>
            <w:pPr>
              <w:pStyle w:val="42"/>
              <w:ind w:firstLine="420"/>
              <w:rPr>
                <w:rFonts w:hint="default"/>
                <w:color w:val="auto"/>
                <w:lang w:val="en-US" w:eastAsia="zh-CN"/>
              </w:rPr>
            </w:pPr>
          </w:p>
          <w:p>
            <w:pPr>
              <w:pStyle w:val="42"/>
              <w:ind w:firstLine="420"/>
              <w:rPr>
                <w:rFonts w:hint="default"/>
                <w:color w:val="auto"/>
                <w:lang w:val="en-US" w:eastAsia="zh-CN"/>
              </w:rPr>
            </w:pPr>
          </w:p>
          <w:p>
            <w:pPr>
              <w:pStyle w:val="42"/>
              <w:ind w:firstLine="420"/>
              <w:rPr>
                <w:rFonts w:hint="default"/>
                <w:color w:val="auto"/>
                <w:lang w:val="en-US" w:eastAsia="zh-CN"/>
              </w:rPr>
            </w:pPr>
          </w:p>
          <w:p>
            <w:pPr>
              <w:pStyle w:val="42"/>
              <w:ind w:firstLine="420"/>
              <w:rPr>
                <w:rFonts w:hint="default"/>
                <w:color w:val="auto"/>
                <w:lang w:val="en-US" w:eastAsia="zh-CN"/>
              </w:rPr>
            </w:pPr>
          </w:p>
          <w:p>
            <w:pPr>
              <w:pStyle w:val="42"/>
              <w:ind w:firstLine="420"/>
              <w:rPr>
                <w:rFonts w:hint="default"/>
                <w:color w:val="auto"/>
                <w:lang w:val="en-US" w:eastAsia="zh-CN"/>
              </w:rPr>
            </w:pPr>
          </w:p>
          <w:p>
            <w:pPr>
              <w:pStyle w:val="42"/>
              <w:ind w:firstLine="420"/>
              <w:rPr>
                <w:rFonts w:hint="default"/>
                <w:color w:val="auto"/>
                <w:lang w:val="en-US" w:eastAsia="zh-CN"/>
              </w:rPr>
            </w:pPr>
          </w:p>
          <w:p>
            <w:pPr>
              <w:pStyle w:val="42"/>
              <w:ind w:firstLine="420"/>
              <w:rPr>
                <w:rFonts w:hint="default"/>
                <w:color w:val="auto"/>
                <w:lang w:val="en-US" w:eastAsia="zh-CN"/>
              </w:rPr>
            </w:pPr>
          </w:p>
          <w:p>
            <w:pPr>
              <w:pStyle w:val="42"/>
              <w:ind w:firstLine="420"/>
              <w:rPr>
                <w:rFonts w:hint="default"/>
                <w:color w:val="auto"/>
                <w:lang w:val="en-US" w:eastAsia="zh-CN"/>
              </w:rPr>
            </w:pPr>
          </w:p>
          <w:p>
            <w:pPr>
              <w:pStyle w:val="42"/>
              <w:ind w:firstLine="420"/>
              <w:rPr>
                <w:rFonts w:hint="default"/>
                <w:color w:val="auto"/>
                <w:lang w:val="en-US" w:eastAsia="zh-CN"/>
              </w:rPr>
            </w:pPr>
          </w:p>
          <w:p>
            <w:pPr>
              <w:pStyle w:val="42"/>
              <w:ind w:firstLine="420"/>
              <w:rPr>
                <w:rFonts w:hint="default"/>
                <w:color w:val="auto"/>
                <w:lang w:val="en-US" w:eastAsia="zh-CN"/>
              </w:rPr>
            </w:pPr>
          </w:p>
        </w:tc>
      </w:tr>
    </w:tbl>
    <w:p>
      <w:pPr>
        <w:pStyle w:val="27"/>
        <w:jc w:val="center"/>
        <w:outlineLvl w:val="0"/>
        <w:rPr>
          <w:rFonts w:ascii="黑体" w:hAnsi="黑体" w:eastAsia="黑体"/>
          <w:snapToGrid w:val="0"/>
          <w:sz w:val="30"/>
          <w:szCs w:val="30"/>
        </w:rPr>
      </w:pPr>
      <w:r>
        <w:rPr>
          <w:rFonts w:ascii="黑体" w:hAnsi="黑体" w:eastAsia="黑体"/>
          <w:snapToGrid w:val="0"/>
          <w:sz w:val="36"/>
          <w:szCs w:val="36"/>
        </w:rPr>
        <w:br w:type="page"/>
      </w:r>
      <w:r>
        <w:rPr>
          <w:rFonts w:hint="eastAsia" w:ascii="黑体" w:hAnsi="黑体" w:eastAsia="黑体"/>
          <w:snapToGrid w:val="0"/>
          <w:sz w:val="30"/>
          <w:szCs w:val="30"/>
        </w:rPr>
        <w:t>四、主要环境影响和保护措施</w:t>
      </w:r>
    </w:p>
    <w:tbl>
      <w:tblPr>
        <w:tblStyle w:val="31"/>
        <w:tblW w:w="9883"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768"/>
        <w:gridCol w:w="911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796" w:hRule="atLeast"/>
          <w:jc w:val="center"/>
        </w:trPr>
        <w:tc>
          <w:tcPr>
            <w:tcW w:w="768" w:type="dxa"/>
            <w:tcMar>
              <w:left w:w="28" w:type="dxa"/>
              <w:right w:w="28" w:type="dxa"/>
            </w:tcMar>
            <w:vAlign w:val="center"/>
          </w:tcPr>
          <w:p>
            <w:pPr>
              <w:widowControl/>
              <w:spacing w:line="520" w:lineRule="exact"/>
              <w:jc w:val="center"/>
              <w:rPr>
                <w:color w:val="auto"/>
                <w:sz w:val="24"/>
              </w:rPr>
            </w:pPr>
            <w:r>
              <w:rPr>
                <w:color w:val="auto"/>
                <w:sz w:val="24"/>
              </w:rPr>
              <w:t>施工</w:t>
            </w:r>
          </w:p>
          <w:p>
            <w:pPr>
              <w:widowControl/>
              <w:spacing w:line="520" w:lineRule="exact"/>
              <w:jc w:val="center"/>
              <w:rPr>
                <w:color w:val="auto"/>
                <w:sz w:val="24"/>
              </w:rPr>
            </w:pPr>
            <w:r>
              <w:rPr>
                <w:color w:val="auto"/>
                <w:sz w:val="24"/>
              </w:rPr>
              <w:t>期环</w:t>
            </w:r>
          </w:p>
          <w:p>
            <w:pPr>
              <w:widowControl/>
              <w:spacing w:line="520" w:lineRule="exact"/>
              <w:jc w:val="center"/>
              <w:rPr>
                <w:color w:val="auto"/>
                <w:sz w:val="24"/>
              </w:rPr>
            </w:pPr>
            <w:r>
              <w:rPr>
                <w:color w:val="auto"/>
                <w:sz w:val="24"/>
              </w:rPr>
              <w:t>境保</w:t>
            </w:r>
          </w:p>
          <w:p>
            <w:pPr>
              <w:widowControl/>
              <w:spacing w:line="520" w:lineRule="exact"/>
              <w:jc w:val="center"/>
              <w:rPr>
                <w:color w:val="auto"/>
                <w:sz w:val="24"/>
              </w:rPr>
            </w:pPr>
            <w:r>
              <w:rPr>
                <w:color w:val="auto"/>
                <w:sz w:val="24"/>
              </w:rPr>
              <w:t>护措</w:t>
            </w:r>
          </w:p>
          <w:p>
            <w:pPr>
              <w:widowControl/>
              <w:spacing w:line="520" w:lineRule="exact"/>
              <w:jc w:val="center"/>
              <w:rPr>
                <w:color w:val="auto"/>
                <w:sz w:val="24"/>
              </w:rPr>
            </w:pPr>
            <w:r>
              <w:rPr>
                <w:color w:val="auto"/>
                <w:sz w:val="24"/>
              </w:rPr>
              <w:t>施</w:t>
            </w:r>
          </w:p>
        </w:tc>
        <w:tc>
          <w:tcPr>
            <w:tcW w:w="9115" w:type="dxa"/>
            <w:vAlign w:val="center"/>
          </w:tcPr>
          <w:p>
            <w:pPr>
              <w:adjustRightInd w:val="0"/>
              <w:snapToGrid w:val="0"/>
              <w:spacing w:line="520" w:lineRule="exact"/>
              <w:ind w:firstLine="480" w:firstLineChars="200"/>
              <w:rPr>
                <w:rFonts w:hint="default" w:eastAsia="宋体"/>
                <w:color w:val="auto"/>
                <w:sz w:val="24"/>
                <w:lang w:val="en-US" w:eastAsia="zh-CN"/>
              </w:rPr>
            </w:pPr>
            <w:r>
              <w:rPr>
                <w:rFonts w:hint="eastAsia"/>
                <w:color w:val="auto"/>
                <w:sz w:val="24"/>
              </w:rPr>
              <w:t>本项目</w:t>
            </w:r>
            <w:r>
              <w:rPr>
                <w:rFonts w:hint="eastAsia"/>
                <w:color w:val="auto"/>
                <w:sz w:val="24"/>
                <w:lang w:val="en-US" w:eastAsia="zh-CN"/>
              </w:rPr>
              <w:t>施工期主要是将购置的危废暂存集装箱拉运至项目区</w:t>
            </w:r>
            <w:r>
              <w:rPr>
                <w:color w:val="auto"/>
                <w:sz w:val="24"/>
              </w:rPr>
              <w:t>，</w:t>
            </w:r>
            <w:r>
              <w:rPr>
                <w:rFonts w:hint="eastAsia"/>
                <w:color w:val="auto"/>
                <w:sz w:val="24"/>
                <w:lang w:val="en-US" w:eastAsia="zh-CN"/>
              </w:rPr>
              <w:t>集装箱内防渗等工艺已完善，拉运至厂区过程中</w:t>
            </w:r>
            <w:r>
              <w:rPr>
                <w:color w:val="auto"/>
                <w:sz w:val="24"/>
              </w:rPr>
              <w:t>不可避免的对项目区所在地周围环境产生一定的影响。施工期主要是产生噪声、</w:t>
            </w:r>
            <w:r>
              <w:rPr>
                <w:rFonts w:hint="eastAsia"/>
                <w:color w:val="auto"/>
                <w:sz w:val="24"/>
                <w:lang w:val="en-US" w:eastAsia="zh-CN"/>
              </w:rPr>
              <w:t>汽车尾气</w:t>
            </w:r>
            <w:r>
              <w:rPr>
                <w:color w:val="auto"/>
                <w:sz w:val="24"/>
              </w:rPr>
              <w:t>等。</w:t>
            </w:r>
            <w:r>
              <w:rPr>
                <w:rFonts w:hint="eastAsia"/>
                <w:color w:val="auto"/>
                <w:sz w:val="24"/>
                <w:lang w:val="en-US" w:eastAsia="zh-CN"/>
              </w:rPr>
              <w:t>目前危废暂存间已拉运至厂区，尚未投入使用。</w:t>
            </w:r>
          </w:p>
          <w:p>
            <w:pPr>
              <w:widowControl/>
              <w:spacing w:line="520" w:lineRule="exact"/>
              <w:ind w:firstLine="480" w:firstLineChars="200"/>
              <w:rPr>
                <w:color w:val="auto"/>
                <w:sz w:val="24"/>
              </w:rPr>
            </w:pPr>
            <w:r>
              <w:rPr>
                <w:rFonts w:hint="eastAsia"/>
                <w:color w:val="auto"/>
                <w:sz w:val="24"/>
              </w:rPr>
              <w:t>本次不再对施工期环境影响进行评价。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30" w:hRule="atLeast"/>
          <w:jc w:val="center"/>
        </w:trPr>
        <w:tc>
          <w:tcPr>
            <w:tcW w:w="768" w:type="dxa"/>
            <w:tcMar>
              <w:left w:w="28" w:type="dxa"/>
              <w:right w:w="28" w:type="dxa"/>
            </w:tcMar>
            <w:vAlign w:val="center"/>
          </w:tcPr>
          <w:p>
            <w:pPr>
              <w:adjustRightInd w:val="0"/>
              <w:snapToGrid w:val="0"/>
              <w:spacing w:line="520" w:lineRule="exact"/>
              <w:jc w:val="center"/>
              <w:rPr>
                <w:bCs/>
                <w:color w:val="auto"/>
                <w:sz w:val="24"/>
              </w:rPr>
            </w:pPr>
            <w:r>
              <w:rPr>
                <w:bCs/>
                <w:color w:val="auto"/>
                <w:sz w:val="24"/>
              </w:rPr>
              <w:t>运营</w:t>
            </w:r>
          </w:p>
          <w:p>
            <w:pPr>
              <w:adjustRightInd w:val="0"/>
              <w:snapToGrid w:val="0"/>
              <w:spacing w:line="520" w:lineRule="exact"/>
              <w:jc w:val="center"/>
              <w:rPr>
                <w:bCs/>
                <w:color w:val="auto"/>
                <w:sz w:val="24"/>
              </w:rPr>
            </w:pPr>
            <w:r>
              <w:rPr>
                <w:bCs/>
                <w:color w:val="auto"/>
                <w:sz w:val="24"/>
              </w:rPr>
              <w:t>期环</w:t>
            </w:r>
          </w:p>
          <w:p>
            <w:pPr>
              <w:adjustRightInd w:val="0"/>
              <w:snapToGrid w:val="0"/>
              <w:spacing w:line="520" w:lineRule="exact"/>
              <w:jc w:val="center"/>
              <w:rPr>
                <w:bCs/>
                <w:color w:val="auto"/>
                <w:sz w:val="24"/>
              </w:rPr>
            </w:pPr>
            <w:r>
              <w:rPr>
                <w:bCs/>
                <w:color w:val="auto"/>
                <w:sz w:val="24"/>
              </w:rPr>
              <w:t>境影</w:t>
            </w:r>
          </w:p>
          <w:p>
            <w:pPr>
              <w:adjustRightInd w:val="0"/>
              <w:snapToGrid w:val="0"/>
              <w:spacing w:line="520" w:lineRule="exact"/>
              <w:jc w:val="center"/>
              <w:rPr>
                <w:bCs/>
                <w:color w:val="auto"/>
                <w:sz w:val="24"/>
              </w:rPr>
            </w:pPr>
            <w:r>
              <w:rPr>
                <w:bCs/>
                <w:color w:val="auto"/>
                <w:sz w:val="24"/>
              </w:rPr>
              <w:t>响和</w:t>
            </w:r>
          </w:p>
          <w:p>
            <w:pPr>
              <w:adjustRightInd w:val="0"/>
              <w:snapToGrid w:val="0"/>
              <w:spacing w:line="520" w:lineRule="exact"/>
              <w:jc w:val="center"/>
              <w:rPr>
                <w:bCs/>
                <w:color w:val="auto"/>
                <w:sz w:val="24"/>
              </w:rPr>
            </w:pPr>
            <w:r>
              <w:rPr>
                <w:bCs/>
                <w:color w:val="auto"/>
                <w:sz w:val="24"/>
              </w:rPr>
              <w:t>保护</w:t>
            </w:r>
          </w:p>
          <w:p>
            <w:pPr>
              <w:adjustRightInd w:val="0"/>
              <w:snapToGrid w:val="0"/>
              <w:spacing w:line="520" w:lineRule="exact"/>
              <w:jc w:val="center"/>
              <w:rPr>
                <w:bCs/>
                <w:color w:val="auto"/>
                <w:sz w:val="24"/>
              </w:rPr>
            </w:pPr>
            <w:r>
              <w:rPr>
                <w:bCs/>
                <w:color w:val="auto"/>
                <w:sz w:val="24"/>
              </w:rPr>
              <w:t>措施</w:t>
            </w:r>
          </w:p>
        </w:tc>
        <w:tc>
          <w:tcPr>
            <w:tcW w:w="9115" w:type="dxa"/>
            <w:vAlign w:val="center"/>
          </w:tcPr>
          <w:p>
            <w:pPr>
              <w:widowControl/>
              <w:numPr>
                <w:ilvl w:val="0"/>
                <w:numId w:val="9"/>
              </w:numPr>
              <w:spacing w:line="520" w:lineRule="exact"/>
              <w:ind w:firstLine="482" w:firstLineChars="200"/>
              <w:rPr>
                <w:b/>
                <w:bCs/>
                <w:color w:val="auto"/>
                <w:sz w:val="24"/>
              </w:rPr>
            </w:pPr>
            <w:r>
              <w:rPr>
                <w:rFonts w:hint="eastAsia"/>
                <w:b/>
                <w:bCs/>
                <w:color w:val="auto"/>
                <w:sz w:val="24"/>
              </w:rPr>
              <w:t>大气环境影响分析</w:t>
            </w:r>
          </w:p>
          <w:p>
            <w:pPr>
              <w:widowControl/>
              <w:spacing w:line="520" w:lineRule="exact"/>
              <w:ind w:firstLine="480" w:firstLineChars="200"/>
              <w:rPr>
                <w:rFonts w:hint="default"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eastAsia="zh-CN"/>
              </w:rPr>
              <w:t>（</w:t>
            </w:r>
            <w:r>
              <w:rPr>
                <w:rFonts w:hint="eastAsia" w:ascii="Times New Roman" w:hAnsi="Times New Roman" w:eastAsia="宋体" w:cs="Times New Roman"/>
                <w:color w:val="auto"/>
                <w:sz w:val="24"/>
                <w:lang w:val="en-US" w:eastAsia="zh-CN"/>
              </w:rPr>
              <w:t>1</w:t>
            </w:r>
            <w:r>
              <w:rPr>
                <w:rFonts w:hint="eastAsia" w:ascii="Times New Roman" w:hAnsi="Times New Roman" w:eastAsia="宋体" w:cs="Times New Roman"/>
                <w:color w:val="auto"/>
                <w:sz w:val="24"/>
                <w:lang w:eastAsia="zh-CN"/>
              </w:rPr>
              <w:t>）</w:t>
            </w:r>
            <w:r>
              <w:rPr>
                <w:rFonts w:hint="eastAsia" w:ascii="Times New Roman" w:hAnsi="Times New Roman" w:eastAsia="宋体" w:cs="Times New Roman"/>
                <w:color w:val="auto"/>
                <w:sz w:val="24"/>
                <w:lang w:val="en-US" w:eastAsia="zh-CN"/>
              </w:rPr>
              <w:t>大气环境影响分析</w:t>
            </w:r>
          </w:p>
          <w:p>
            <w:pPr>
              <w:widowControl/>
              <w:spacing w:line="520" w:lineRule="exact"/>
              <w:ind w:firstLine="480" w:firstLineChars="200"/>
              <w:rPr>
                <w:color w:val="auto"/>
                <w:sz w:val="24"/>
              </w:rPr>
            </w:pPr>
            <w:r>
              <w:rPr>
                <w:rFonts w:hint="eastAsia"/>
                <w:color w:val="auto"/>
                <w:sz w:val="24"/>
              </w:rPr>
              <w:t>本工程运营期废气污染源主要为废机油桶、废药剂桶和油泥等危废暂存期间产生的非甲烷总烃，以及破损废旧铅蓄电池贮存区产生的硫酸雾。</w:t>
            </w:r>
          </w:p>
          <w:p>
            <w:pPr>
              <w:widowControl/>
              <w:spacing w:line="520" w:lineRule="exact"/>
              <w:ind w:firstLine="480" w:firstLineChars="200"/>
              <w:rPr>
                <w:color w:val="auto"/>
                <w:sz w:val="24"/>
              </w:rPr>
            </w:pPr>
            <w:r>
              <w:rPr>
                <w:rFonts w:hint="eastAsia"/>
                <w:color w:val="auto"/>
                <w:sz w:val="24"/>
              </w:rPr>
              <w:t>① 有机废气环境影响及处理措施</w:t>
            </w:r>
          </w:p>
          <w:p>
            <w:pPr>
              <w:widowControl/>
              <w:spacing w:line="520" w:lineRule="exact"/>
              <w:ind w:firstLine="480" w:firstLineChars="200"/>
              <w:rPr>
                <w:rFonts w:hint="eastAsia" w:ascii="Times New Roman" w:hAnsi="Times New Roman" w:eastAsia="宋体" w:cs="Times New Roman"/>
                <w:color w:val="auto"/>
                <w:sz w:val="24"/>
              </w:rPr>
            </w:pPr>
            <w:r>
              <w:rPr>
                <w:rFonts w:hint="eastAsia"/>
                <w:color w:val="auto"/>
                <w:sz w:val="24"/>
              </w:rPr>
              <w:t>本项目废气主要为集装箱内收集储存的废滤芯、废机油装卸至密闭油桶中挥发产生的有机废气</w:t>
            </w:r>
            <w:r>
              <w:rPr>
                <w:rFonts w:hint="eastAsia"/>
                <w:color w:val="auto"/>
                <w:sz w:val="24"/>
                <w:lang w:eastAsia="zh-CN"/>
              </w:rPr>
              <w:t>，</w:t>
            </w:r>
            <w:r>
              <w:rPr>
                <w:rFonts w:hint="eastAsia" w:ascii="Times New Roman" w:hAnsi="Times New Roman" w:eastAsia="宋体" w:cs="Times New Roman"/>
                <w:color w:val="auto"/>
                <w:sz w:val="24"/>
              </w:rPr>
              <w:t>废机油储存于密闭的铁桶内，挥发出的非甲烷总烃类物质的挥发量很少，较难计算。通过加设通风设备（排风扇）并结合自然风，使得废气快速排出存放箱体稀释扩散，同时应加强工程区附近的绿化以缓解有机废气对外围空气的影响。</w:t>
            </w:r>
          </w:p>
          <w:p>
            <w:pPr>
              <w:adjustRightInd w:val="0"/>
              <w:snapToGrid w:val="0"/>
              <w:spacing w:line="520" w:lineRule="exact"/>
              <w:ind w:firstLine="480" w:firstLineChars="200"/>
              <w:rPr>
                <w:color w:val="auto"/>
                <w:sz w:val="24"/>
              </w:rPr>
            </w:pPr>
            <w:r>
              <w:rPr>
                <w:rFonts w:hint="eastAsia"/>
                <w:color w:val="auto"/>
                <w:sz w:val="24"/>
              </w:rPr>
              <w:t>非甲烷总烃排放严格执行《大气污染物综合排放标准》（GB16297-1996）表2非甲烷总烃4mg/m</w:t>
            </w:r>
            <w:r>
              <w:rPr>
                <w:rFonts w:hint="eastAsia"/>
                <w:color w:val="auto"/>
                <w:sz w:val="24"/>
                <w:vertAlign w:val="superscript"/>
              </w:rPr>
              <w:t>3</w:t>
            </w:r>
            <w:r>
              <w:rPr>
                <w:rFonts w:hint="eastAsia"/>
                <w:color w:val="auto"/>
                <w:sz w:val="24"/>
              </w:rPr>
              <w:t>限值要求以及《挥发性有机物无组织排放控制标准》（GB37822-2019）中厂房外VOCs无组织特别排放限值监控点处1h平均浓度值6mg/m</w:t>
            </w:r>
            <w:r>
              <w:rPr>
                <w:rFonts w:hint="eastAsia"/>
                <w:color w:val="auto"/>
                <w:sz w:val="24"/>
                <w:vertAlign w:val="superscript"/>
              </w:rPr>
              <w:t>3</w:t>
            </w:r>
            <w:r>
              <w:rPr>
                <w:rFonts w:hint="eastAsia"/>
                <w:color w:val="auto"/>
                <w:sz w:val="24"/>
              </w:rPr>
              <w:t>和监控点处任意一次浓度值20mg/m</w:t>
            </w:r>
            <w:r>
              <w:rPr>
                <w:rFonts w:hint="eastAsia"/>
                <w:color w:val="auto"/>
                <w:sz w:val="24"/>
                <w:vertAlign w:val="superscript"/>
              </w:rPr>
              <w:t>3</w:t>
            </w:r>
            <w:r>
              <w:rPr>
                <w:rFonts w:hint="eastAsia"/>
                <w:color w:val="auto"/>
                <w:sz w:val="24"/>
              </w:rPr>
              <w:t>的要求。</w:t>
            </w:r>
          </w:p>
          <w:p>
            <w:pPr>
              <w:pStyle w:val="68"/>
              <w:rPr>
                <w:color w:val="auto"/>
              </w:rPr>
            </w:pPr>
            <w:r>
              <w:rPr>
                <w:rFonts w:hint="eastAsia"/>
                <w:color w:val="auto"/>
              </w:rPr>
              <w:t>② 硫酸雾环境影响及处理措施</w:t>
            </w:r>
          </w:p>
          <w:p>
            <w:pPr>
              <w:pStyle w:val="68"/>
              <w:rPr>
                <w:color w:val="auto"/>
              </w:rPr>
            </w:pPr>
            <w:r>
              <w:rPr>
                <w:rFonts w:hint="eastAsia"/>
                <w:color w:val="auto"/>
              </w:rPr>
              <w:t>本工程只进行废旧铅蓄电池仓储暂存，不进行废旧铅蓄电池的拆解、处置等加工环节。本工程收集的车辆更换下来的完整废铅蓄电池，贮存于完整电池贮存区，在运输、装卸过程一般不会对电池造成创伤，不会产生硫酸雾。但本工程收集的废铅蓄电池中，有少量存在破损的情况，这类破损电池在贮存过程中可能会产生电解液渗漏，主要表现在：上盖与底槽之间密封欠好或因磕碰，封口胶开裂构成电解液渗漏；帽阀松动，产生渗漏；接线端处渗漏液；其他部位破损开裂导致电解液渗漏。</w:t>
            </w:r>
          </w:p>
          <w:p>
            <w:pPr>
              <w:pStyle w:val="68"/>
              <w:rPr>
                <w:color w:val="auto"/>
              </w:rPr>
            </w:pPr>
            <w:r>
              <w:rPr>
                <w:rFonts w:hint="eastAsia"/>
                <w:color w:val="auto"/>
              </w:rPr>
              <w:t>根据本工程建设单位提供的数据，可能破损渗漏的废铅蓄电池占收集电池数量的1%，本工程全年总贮存</w:t>
            </w:r>
            <w:r>
              <w:rPr>
                <w:rFonts w:hint="eastAsia"/>
                <w:color w:val="auto"/>
                <w:lang w:val="en-US" w:eastAsia="zh-CN"/>
              </w:rPr>
              <w:t>1</w:t>
            </w:r>
            <w:r>
              <w:rPr>
                <w:rFonts w:hint="eastAsia"/>
                <w:color w:val="auto"/>
              </w:rPr>
              <w:t>t。根据废铅蓄电池破损调查，废铅蓄电池中电解液最大占比约为20%，电解液中硫酸含量37.4%，破损电池放入加盖耐腐蚀的箱子存放，可一定程度减少挥发量，本次环评电解液中硫酸挥发量按最大100%计，则可估算本工程硫酸总挥发量</w:t>
            </w:r>
            <w:r>
              <w:rPr>
                <w:rFonts w:hint="eastAsia"/>
                <w:color w:val="auto"/>
                <w:lang w:val="en-US" w:eastAsia="zh-CN"/>
              </w:rPr>
              <w:t>3.74</w:t>
            </w:r>
            <w:r>
              <w:rPr>
                <w:rFonts w:hint="eastAsia"/>
                <w:color w:val="auto"/>
              </w:rPr>
              <w:t>kg/a。</w:t>
            </w:r>
          </w:p>
          <w:p>
            <w:pPr>
              <w:widowControl/>
              <w:spacing w:line="520" w:lineRule="exact"/>
              <w:ind w:firstLine="480" w:firstLineChars="200"/>
              <w:rPr>
                <w:color w:val="auto"/>
                <w:sz w:val="24"/>
              </w:rPr>
            </w:pPr>
            <w:r>
              <w:rPr>
                <w:rFonts w:hint="eastAsia"/>
                <w:color w:val="auto"/>
                <w:sz w:val="24"/>
                <w:lang w:eastAsia="zh-CN"/>
              </w:rPr>
              <w:t>（</w:t>
            </w:r>
            <w:r>
              <w:rPr>
                <w:rFonts w:hint="eastAsia"/>
                <w:color w:val="auto"/>
                <w:sz w:val="24"/>
                <w:lang w:val="en-US" w:eastAsia="zh-CN"/>
              </w:rPr>
              <w:t>2</w:t>
            </w:r>
            <w:r>
              <w:rPr>
                <w:rFonts w:hint="eastAsia"/>
                <w:color w:val="auto"/>
                <w:sz w:val="24"/>
                <w:lang w:eastAsia="zh-CN"/>
              </w:rPr>
              <w:t>）</w:t>
            </w:r>
            <w:r>
              <w:rPr>
                <w:rFonts w:hint="eastAsia"/>
                <w:color w:val="auto"/>
                <w:sz w:val="24"/>
              </w:rPr>
              <w:t>大气环境影响监测计划</w:t>
            </w:r>
          </w:p>
          <w:p>
            <w:pPr>
              <w:adjustRightInd w:val="0"/>
              <w:snapToGrid w:val="0"/>
              <w:spacing w:line="520" w:lineRule="exact"/>
              <w:ind w:firstLine="480" w:firstLineChars="200"/>
              <w:rPr>
                <w:color w:val="auto"/>
                <w:sz w:val="24"/>
              </w:rPr>
            </w:pPr>
            <w:r>
              <w:rPr>
                <w:rFonts w:hint="eastAsia"/>
                <w:color w:val="auto"/>
                <w:sz w:val="24"/>
              </w:rPr>
              <w:t>根据《排污单位自行监测技术指南总则》（HJ819-2017）及《排污许可证申请与核发技术规范 工业固体废物和危险废物治理》（HJ1033-2019）相关规定，本次评价确定本项目大气环境自行监测方案见表4</w:t>
            </w:r>
            <w:r>
              <w:rPr>
                <w:color w:val="auto"/>
                <w:sz w:val="24"/>
              </w:rPr>
              <w:t>-</w:t>
            </w:r>
            <w:r>
              <w:rPr>
                <w:rFonts w:hint="eastAsia"/>
                <w:color w:val="auto"/>
                <w:sz w:val="24"/>
              </w:rPr>
              <w:t>1。</w:t>
            </w:r>
          </w:p>
          <w:p>
            <w:pPr>
              <w:widowControl/>
              <w:ind w:firstLine="480" w:firstLineChars="200"/>
              <w:jc w:val="center"/>
              <w:rPr>
                <w:rFonts w:eastAsia="黑体"/>
                <w:color w:val="auto"/>
                <w:sz w:val="24"/>
              </w:rPr>
            </w:pPr>
            <w:r>
              <w:rPr>
                <w:rFonts w:hint="eastAsia" w:eastAsia="黑体"/>
                <w:color w:val="auto"/>
                <w:sz w:val="24"/>
              </w:rPr>
              <w:t>表4-1   废气排放监测方案</w:t>
            </w:r>
          </w:p>
          <w:tbl>
            <w:tblPr>
              <w:tblStyle w:val="32"/>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77"/>
              <w:gridCol w:w="1974"/>
              <w:gridCol w:w="993"/>
              <w:gridCol w:w="2225"/>
              <w:gridCol w:w="222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6" w:hRule="atLeast"/>
              </w:trPr>
              <w:tc>
                <w:tcPr>
                  <w:tcW w:w="830" w:type="pct"/>
                  <w:tcBorders>
                    <w:tl2br w:val="nil"/>
                    <w:tr2bl w:val="nil"/>
                  </w:tcBorders>
                  <w:vAlign w:val="center"/>
                </w:tcPr>
                <w:p>
                  <w:pPr>
                    <w:pStyle w:val="79"/>
                    <w:rPr>
                      <w:iCs/>
                      <w:color w:val="auto"/>
                    </w:rPr>
                  </w:pPr>
                  <w:r>
                    <w:rPr>
                      <w:iCs/>
                      <w:color w:val="auto"/>
                    </w:rPr>
                    <w:t>监测位置</w:t>
                  </w:r>
                </w:p>
              </w:tc>
              <w:tc>
                <w:tcPr>
                  <w:tcW w:w="1109" w:type="pct"/>
                  <w:tcBorders>
                    <w:tl2br w:val="nil"/>
                    <w:tr2bl w:val="nil"/>
                  </w:tcBorders>
                  <w:vAlign w:val="center"/>
                </w:tcPr>
                <w:p>
                  <w:pPr>
                    <w:pStyle w:val="79"/>
                    <w:rPr>
                      <w:iCs/>
                      <w:color w:val="auto"/>
                    </w:rPr>
                  </w:pPr>
                  <w:r>
                    <w:rPr>
                      <w:iCs/>
                      <w:color w:val="auto"/>
                    </w:rPr>
                    <w:t>监测项目</w:t>
                  </w:r>
                </w:p>
              </w:tc>
              <w:tc>
                <w:tcPr>
                  <w:tcW w:w="558" w:type="pct"/>
                  <w:tcBorders>
                    <w:tl2br w:val="nil"/>
                    <w:tr2bl w:val="nil"/>
                  </w:tcBorders>
                  <w:vAlign w:val="center"/>
                </w:tcPr>
                <w:p>
                  <w:pPr>
                    <w:pStyle w:val="79"/>
                    <w:rPr>
                      <w:iCs/>
                      <w:color w:val="auto"/>
                    </w:rPr>
                  </w:pPr>
                  <w:r>
                    <w:rPr>
                      <w:iCs/>
                      <w:color w:val="auto"/>
                    </w:rPr>
                    <w:t>监测频率</w:t>
                  </w:r>
                </w:p>
              </w:tc>
              <w:tc>
                <w:tcPr>
                  <w:tcW w:w="1250" w:type="pct"/>
                  <w:tcBorders>
                    <w:tl2br w:val="nil"/>
                    <w:tr2bl w:val="nil"/>
                  </w:tcBorders>
                  <w:vAlign w:val="center"/>
                </w:tcPr>
                <w:p>
                  <w:pPr>
                    <w:pStyle w:val="79"/>
                    <w:rPr>
                      <w:iCs/>
                      <w:color w:val="auto"/>
                    </w:rPr>
                  </w:pPr>
                  <w:r>
                    <w:rPr>
                      <w:iCs/>
                      <w:color w:val="auto"/>
                    </w:rPr>
                    <w:t>监测方式</w:t>
                  </w:r>
                </w:p>
              </w:tc>
              <w:tc>
                <w:tcPr>
                  <w:tcW w:w="1250" w:type="pct"/>
                  <w:tcBorders>
                    <w:tl2br w:val="nil"/>
                    <w:tr2bl w:val="nil"/>
                  </w:tcBorders>
                  <w:vAlign w:val="center"/>
                </w:tcPr>
                <w:p>
                  <w:pPr>
                    <w:pStyle w:val="79"/>
                    <w:rPr>
                      <w:rFonts w:hint="default" w:eastAsia="宋体"/>
                      <w:iCs/>
                      <w:color w:val="auto"/>
                      <w:lang w:val="en-US" w:eastAsia="zh-CN"/>
                    </w:rPr>
                  </w:pPr>
                  <w:r>
                    <w:rPr>
                      <w:rFonts w:hint="eastAsia"/>
                      <w:iCs/>
                      <w:color w:val="auto"/>
                      <w:lang w:val="en-US" w:eastAsia="zh-CN"/>
                    </w:rPr>
                    <w:t>执行标准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2" w:hRule="atLeast"/>
              </w:trPr>
              <w:tc>
                <w:tcPr>
                  <w:tcW w:w="830" w:type="pct"/>
                  <w:tcBorders>
                    <w:tl2br w:val="nil"/>
                    <w:tr2bl w:val="nil"/>
                  </w:tcBorders>
                  <w:vAlign w:val="center"/>
                </w:tcPr>
                <w:p>
                  <w:pPr>
                    <w:pStyle w:val="79"/>
                    <w:rPr>
                      <w:iCs/>
                      <w:color w:val="auto"/>
                    </w:rPr>
                  </w:pPr>
                  <w:r>
                    <w:rPr>
                      <w:iCs/>
                      <w:color w:val="auto"/>
                    </w:rPr>
                    <w:t>厂房门窗或通风口外1m距地面1.5m以上位置</w:t>
                  </w:r>
                </w:p>
              </w:tc>
              <w:tc>
                <w:tcPr>
                  <w:tcW w:w="1109" w:type="pct"/>
                  <w:tcBorders>
                    <w:tl2br w:val="nil"/>
                    <w:tr2bl w:val="nil"/>
                  </w:tcBorders>
                  <w:vAlign w:val="center"/>
                </w:tcPr>
                <w:p>
                  <w:pPr>
                    <w:pStyle w:val="79"/>
                    <w:rPr>
                      <w:iCs/>
                      <w:color w:val="auto"/>
                    </w:rPr>
                  </w:pPr>
                  <w:r>
                    <w:rPr>
                      <w:iCs/>
                      <w:color w:val="auto"/>
                    </w:rPr>
                    <w:t>厂界内VOCs</w:t>
                  </w:r>
                </w:p>
              </w:tc>
              <w:tc>
                <w:tcPr>
                  <w:tcW w:w="558" w:type="pct"/>
                  <w:tcBorders>
                    <w:tl2br w:val="nil"/>
                    <w:tr2bl w:val="nil"/>
                  </w:tcBorders>
                  <w:vAlign w:val="center"/>
                </w:tcPr>
                <w:p>
                  <w:pPr>
                    <w:pStyle w:val="79"/>
                    <w:rPr>
                      <w:iCs/>
                      <w:color w:val="auto"/>
                    </w:rPr>
                  </w:pPr>
                  <w:r>
                    <w:rPr>
                      <w:iCs/>
                      <w:color w:val="auto"/>
                    </w:rPr>
                    <w:t>每年1次</w:t>
                  </w:r>
                </w:p>
              </w:tc>
              <w:tc>
                <w:tcPr>
                  <w:tcW w:w="1250" w:type="pct"/>
                  <w:tcBorders>
                    <w:tl2br w:val="nil"/>
                    <w:tr2bl w:val="nil"/>
                  </w:tcBorders>
                  <w:vAlign w:val="center"/>
                </w:tcPr>
                <w:p>
                  <w:pPr>
                    <w:pStyle w:val="79"/>
                    <w:rPr>
                      <w:iCs/>
                      <w:color w:val="auto"/>
                    </w:rPr>
                  </w:pPr>
                  <w:r>
                    <w:rPr>
                      <w:iCs/>
                      <w:color w:val="auto"/>
                    </w:rPr>
                    <w:t>委托第三方监测单位监测</w:t>
                  </w:r>
                </w:p>
              </w:tc>
              <w:tc>
                <w:tcPr>
                  <w:tcW w:w="1250" w:type="pct"/>
                  <w:tcBorders>
                    <w:tl2br w:val="nil"/>
                    <w:tr2bl w:val="nil"/>
                  </w:tcBorders>
                  <w:vAlign w:val="center"/>
                </w:tcPr>
                <w:p>
                  <w:pPr>
                    <w:pStyle w:val="79"/>
                    <w:rPr>
                      <w:iCs/>
                      <w:color w:val="auto"/>
                    </w:rPr>
                  </w:pPr>
                  <w:r>
                    <w:rPr>
                      <w:color w:val="auto"/>
                      <w:szCs w:val="21"/>
                    </w:rPr>
                    <w:t>《挥发性有机物无组织排放控制标准》（GB37822-2019）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2" w:hRule="atLeast"/>
              </w:trPr>
              <w:tc>
                <w:tcPr>
                  <w:tcW w:w="830" w:type="pct"/>
                  <w:tcBorders>
                    <w:tl2br w:val="nil"/>
                    <w:tr2bl w:val="nil"/>
                  </w:tcBorders>
                  <w:vAlign w:val="center"/>
                </w:tcPr>
                <w:p>
                  <w:pPr>
                    <w:pStyle w:val="79"/>
                    <w:rPr>
                      <w:iCs/>
                      <w:color w:val="auto"/>
                    </w:rPr>
                  </w:pPr>
                  <w:r>
                    <w:rPr>
                      <w:iCs/>
                      <w:color w:val="auto"/>
                    </w:rPr>
                    <w:t>厂界外10m范围内浓度最高点</w:t>
                  </w:r>
                </w:p>
              </w:tc>
              <w:tc>
                <w:tcPr>
                  <w:tcW w:w="1109" w:type="pct"/>
                  <w:tcBorders>
                    <w:tl2br w:val="nil"/>
                    <w:tr2bl w:val="nil"/>
                  </w:tcBorders>
                  <w:vAlign w:val="center"/>
                </w:tcPr>
                <w:p>
                  <w:pPr>
                    <w:pStyle w:val="79"/>
                    <w:rPr>
                      <w:rFonts w:hint="default" w:eastAsia="宋体"/>
                      <w:iCs/>
                      <w:color w:val="auto"/>
                      <w:lang w:val="en-US" w:eastAsia="zh-CN"/>
                    </w:rPr>
                  </w:pPr>
                  <w:r>
                    <w:rPr>
                      <w:iCs/>
                      <w:color w:val="auto"/>
                    </w:rPr>
                    <w:t>无组织VOCs</w:t>
                  </w:r>
                  <w:r>
                    <w:rPr>
                      <w:rFonts w:hint="eastAsia"/>
                      <w:iCs/>
                      <w:color w:val="auto"/>
                      <w:lang w:eastAsia="zh-CN"/>
                    </w:rPr>
                    <w:t>、</w:t>
                  </w:r>
                  <w:r>
                    <w:rPr>
                      <w:rFonts w:hint="eastAsia"/>
                      <w:iCs/>
                      <w:color w:val="auto"/>
                      <w:lang w:val="en-US" w:eastAsia="zh-CN"/>
                    </w:rPr>
                    <w:t>硫酸雾</w:t>
                  </w:r>
                </w:p>
              </w:tc>
              <w:tc>
                <w:tcPr>
                  <w:tcW w:w="558" w:type="pct"/>
                  <w:tcBorders>
                    <w:tl2br w:val="nil"/>
                    <w:tr2bl w:val="nil"/>
                  </w:tcBorders>
                  <w:vAlign w:val="center"/>
                </w:tcPr>
                <w:p>
                  <w:pPr>
                    <w:pStyle w:val="79"/>
                    <w:rPr>
                      <w:iCs/>
                      <w:color w:val="auto"/>
                    </w:rPr>
                  </w:pPr>
                  <w:r>
                    <w:rPr>
                      <w:iCs/>
                      <w:color w:val="auto"/>
                    </w:rPr>
                    <w:t>每年1次</w:t>
                  </w:r>
                </w:p>
              </w:tc>
              <w:tc>
                <w:tcPr>
                  <w:tcW w:w="1250" w:type="pct"/>
                  <w:tcBorders>
                    <w:tl2br w:val="nil"/>
                    <w:tr2bl w:val="nil"/>
                  </w:tcBorders>
                  <w:vAlign w:val="center"/>
                </w:tcPr>
                <w:p>
                  <w:pPr>
                    <w:pStyle w:val="79"/>
                    <w:rPr>
                      <w:iCs/>
                      <w:color w:val="auto"/>
                    </w:rPr>
                  </w:pPr>
                  <w:r>
                    <w:rPr>
                      <w:iCs/>
                      <w:color w:val="auto"/>
                    </w:rPr>
                    <w:t>委托第三方监测单位监测</w:t>
                  </w:r>
                </w:p>
              </w:tc>
              <w:tc>
                <w:tcPr>
                  <w:tcW w:w="1250" w:type="pct"/>
                  <w:tcBorders>
                    <w:tl2br w:val="nil"/>
                    <w:tr2bl w:val="nil"/>
                  </w:tcBorders>
                  <w:vAlign w:val="center"/>
                </w:tcPr>
                <w:p>
                  <w:pPr>
                    <w:pStyle w:val="79"/>
                    <w:rPr>
                      <w:iCs/>
                      <w:color w:val="auto"/>
                    </w:rPr>
                  </w:pPr>
                  <w:r>
                    <w:rPr>
                      <w:color w:val="auto"/>
                      <w:szCs w:val="21"/>
                    </w:rPr>
                    <w:t>《大气污染物综合排放标准》（GB16297-1996）表2非甲烷总烃限值</w:t>
                  </w:r>
                </w:p>
              </w:tc>
            </w:tr>
          </w:tbl>
          <w:p>
            <w:pPr>
              <w:numPr>
                <w:ilvl w:val="0"/>
                <w:numId w:val="9"/>
              </w:numPr>
              <w:adjustRightInd w:val="0"/>
              <w:snapToGrid w:val="0"/>
              <w:spacing w:line="520" w:lineRule="exact"/>
              <w:ind w:firstLine="482" w:firstLineChars="200"/>
              <w:rPr>
                <w:b/>
                <w:bCs/>
                <w:color w:val="auto"/>
                <w:sz w:val="24"/>
              </w:rPr>
            </w:pPr>
            <w:r>
              <w:rPr>
                <w:rFonts w:hint="eastAsia"/>
                <w:b/>
                <w:bCs/>
                <w:color w:val="auto"/>
                <w:sz w:val="24"/>
              </w:rPr>
              <w:t>水环境影响分析</w:t>
            </w:r>
          </w:p>
          <w:p>
            <w:pPr>
              <w:adjustRightInd w:val="0"/>
              <w:snapToGrid w:val="0"/>
              <w:spacing w:line="520" w:lineRule="exact"/>
              <w:ind w:firstLine="480" w:firstLineChars="200"/>
              <w:rPr>
                <w:color w:val="auto"/>
                <w:sz w:val="24"/>
              </w:rPr>
            </w:pPr>
            <w:r>
              <w:rPr>
                <w:rFonts w:hint="eastAsia"/>
                <w:color w:val="auto"/>
                <w:sz w:val="24"/>
              </w:rPr>
              <w:t>该项目不新增劳动定员，故无新增废水产生。项目仅为废机油临时存储，无工艺废水产生。</w:t>
            </w:r>
          </w:p>
          <w:p>
            <w:pPr>
              <w:pStyle w:val="68"/>
              <w:rPr>
                <w:color w:val="auto"/>
              </w:rPr>
            </w:pPr>
            <w:r>
              <w:rPr>
                <w:rFonts w:hint="eastAsia"/>
                <w:color w:val="auto"/>
              </w:rPr>
              <w:t>本工程运营期废水主要来源于非正常工况下有废机油、含油废物的容器破裂造成内部残留物形成渗滤液，以及废铅蓄电池的泄漏液形成渗滤液。渗滤液属于危废，由危废暂存库的围堰进行回收并委托有相应危废处置资质的单位拉运处置，按照在废机油暂存区域设置渗滤液收集池，可能产生的渗滤液量按1%计算，则渗滤液≤</w:t>
            </w:r>
            <w:r>
              <w:rPr>
                <w:color w:val="auto"/>
              </w:rPr>
              <w:t>0.01</w:t>
            </w:r>
            <w:r>
              <w:rPr>
                <w:rFonts w:hint="eastAsia"/>
                <w:color w:val="auto"/>
              </w:rPr>
              <w:t>m</w:t>
            </w:r>
            <w:r>
              <w:rPr>
                <w:rFonts w:hint="eastAsia"/>
                <w:color w:val="auto"/>
                <w:vertAlign w:val="superscript"/>
              </w:rPr>
              <w:t>3</w:t>
            </w:r>
            <w:r>
              <w:rPr>
                <w:rFonts w:hint="eastAsia"/>
                <w:color w:val="auto"/>
              </w:rPr>
              <w:t>，废机油暂存区设置有高度0</w:t>
            </w:r>
            <w:r>
              <w:rPr>
                <w:color w:val="auto"/>
              </w:rPr>
              <w:t>.1</w:t>
            </w:r>
            <w:r>
              <w:rPr>
                <w:rFonts w:hint="eastAsia"/>
                <w:color w:val="auto"/>
              </w:rPr>
              <w:t>m的围堰，围堰内容积约为0</w:t>
            </w:r>
            <w:r>
              <w:rPr>
                <w:color w:val="auto"/>
              </w:rPr>
              <w:t>.2</w:t>
            </w:r>
            <w:r>
              <w:rPr>
                <w:rFonts w:hint="eastAsia"/>
                <w:color w:val="auto"/>
              </w:rPr>
              <w:t>m³，可满足废机油暂存区收集需求。铅蓄电池暂存区域设置有高度0</w:t>
            </w:r>
            <w:r>
              <w:rPr>
                <w:color w:val="auto"/>
              </w:rPr>
              <w:t>.1</w:t>
            </w:r>
            <w:r>
              <w:rPr>
                <w:rFonts w:hint="eastAsia"/>
                <w:color w:val="auto"/>
              </w:rPr>
              <w:t>m的围堰，围堰内容积约为0</w:t>
            </w:r>
            <w:r>
              <w:rPr>
                <w:color w:val="auto"/>
              </w:rPr>
              <w:t>.2</w:t>
            </w:r>
            <w:r>
              <w:rPr>
                <w:rFonts w:hint="eastAsia"/>
                <w:color w:val="auto"/>
              </w:rPr>
              <w:t>m³，</w:t>
            </w:r>
            <w:r>
              <w:rPr>
                <w:rFonts w:hint="eastAsia" w:ascii="Calibri" w:hAnsi="Calibri" w:cs="方正楷体_GBK"/>
                <w:color w:val="auto"/>
                <w:highlight w:val="none"/>
                <w:lang w:val="en-US" w:eastAsia="zh-CN"/>
              </w:rPr>
              <w:t>本环评要求在废铅蓄电池及废机油存储区各放置一个备用铁桶，作为渗滤液的收集装置，发生大量泄露时，将泄漏液体采用油泵入备用铁桶，交由有资质单位进行处理，</w:t>
            </w:r>
            <w:r>
              <w:rPr>
                <w:rFonts w:hint="eastAsia"/>
                <w:color w:val="auto"/>
                <w:szCs w:val="21"/>
              </w:rPr>
              <w:t>完整废电池均整齐有序的放在耐酸地面上，并做好标识，破损废电池在独立加盖耐酸的容器内单独存放，并黏贴危险废物标签。</w:t>
            </w:r>
            <w:r>
              <w:rPr>
                <w:rFonts w:hint="eastAsia"/>
                <w:color w:val="auto"/>
              </w:rPr>
              <w:t>可满足铅蓄电池暂存区电解液收集需求。</w:t>
            </w:r>
          </w:p>
          <w:p>
            <w:pPr>
              <w:pStyle w:val="68"/>
              <w:rPr>
                <w:rFonts w:hint="default" w:eastAsia="宋体"/>
                <w:b/>
                <w:bCs/>
                <w:color w:val="auto"/>
                <w:lang w:val="en-US" w:eastAsia="zh-CN"/>
              </w:rPr>
            </w:pPr>
            <w:r>
              <w:rPr>
                <w:rFonts w:hint="eastAsia"/>
                <w:b/>
                <w:bCs/>
                <w:color w:val="auto"/>
                <w:lang w:val="en-US" w:eastAsia="zh-CN"/>
              </w:rPr>
              <w:t>2.1地下水环境影响分析</w:t>
            </w:r>
          </w:p>
          <w:p>
            <w:pPr>
              <w:pStyle w:val="68"/>
              <w:rPr>
                <w:color w:val="auto"/>
              </w:rPr>
            </w:pPr>
            <w:r>
              <w:rPr>
                <w:rFonts w:hint="eastAsia"/>
                <w:color w:val="auto"/>
              </w:rPr>
              <w:t>正常状态下不会对地下水环境产生影响，事故状态油类泄露后，石油类污染物主要集中在表层，随着时间的推移，包气带土壤对石油类物质的吸附将趋向饱和，吸附能力将逐渐降低。一般来讲，土壤表层0~20cm的滞留石油类物质的含量至少是下层（1m以下）石油类物质含量的35倍，石油类多在地表1m以内积聚。本工程区地下水位埋深</w:t>
            </w:r>
            <w:r>
              <w:rPr>
                <w:rFonts w:hint="eastAsia"/>
                <w:color w:val="auto"/>
                <w:lang w:val="en-US" w:eastAsia="zh-CN"/>
              </w:rPr>
              <w:t>10</w:t>
            </w:r>
            <w:r>
              <w:rPr>
                <w:rFonts w:hint="eastAsia"/>
                <w:color w:val="auto"/>
              </w:rPr>
              <w:t>m</w:t>
            </w:r>
            <w:r>
              <w:rPr>
                <w:rFonts w:hint="eastAsia"/>
                <w:color w:val="auto"/>
                <w:lang w:val="en-US" w:eastAsia="zh-CN"/>
              </w:rPr>
              <w:t>以下</w:t>
            </w:r>
            <w:r>
              <w:rPr>
                <w:rFonts w:hint="eastAsia"/>
                <w:color w:val="auto"/>
              </w:rPr>
              <w:t>，因此泄露的油品基本不会污染到地下水。</w:t>
            </w:r>
          </w:p>
          <w:p>
            <w:pPr>
              <w:pStyle w:val="68"/>
              <w:rPr>
                <w:rFonts w:hint="eastAsia"/>
                <w:b/>
                <w:bCs/>
                <w:color w:val="auto"/>
                <w:lang w:val="en-US" w:eastAsia="zh-CN"/>
              </w:rPr>
            </w:pPr>
            <w:r>
              <w:rPr>
                <w:rFonts w:hint="eastAsia"/>
                <w:b/>
                <w:bCs/>
                <w:color w:val="auto"/>
                <w:lang w:val="en-US" w:eastAsia="zh-CN"/>
              </w:rPr>
              <w:t>2.2地下水污染控制措施</w:t>
            </w:r>
          </w:p>
          <w:p>
            <w:pPr>
              <w:adjustRightInd w:val="0"/>
              <w:snapToGrid w:val="0"/>
              <w:spacing w:line="520" w:lineRule="exact"/>
              <w:ind w:firstLine="480" w:firstLineChars="200"/>
              <w:rPr>
                <w:color w:val="auto"/>
                <w:sz w:val="24"/>
              </w:rPr>
            </w:pPr>
            <w:r>
              <w:rPr>
                <w:rFonts w:hint="eastAsia"/>
                <w:color w:val="auto"/>
                <w:sz w:val="24"/>
              </w:rPr>
              <w:t>为防止废机油对地下水造成污染，本项目要求危废暂存间按照《危险废物贮存污染控制标准》（GB18597-2023）的要求建设。现将本次危废暂存间设计、建设和运行阶段应采取的污染防治措施说明如下：</w:t>
            </w:r>
          </w:p>
          <w:p>
            <w:pPr>
              <w:adjustRightInd w:val="0"/>
              <w:snapToGrid w:val="0"/>
              <w:spacing w:line="520" w:lineRule="exact"/>
              <w:ind w:firstLine="480" w:firstLineChars="200"/>
              <w:rPr>
                <w:color w:val="auto"/>
                <w:sz w:val="24"/>
              </w:rPr>
            </w:pPr>
            <w:r>
              <w:rPr>
                <w:rFonts w:hint="eastAsia"/>
                <w:color w:val="auto"/>
                <w:sz w:val="24"/>
              </w:rPr>
              <w:t>（1）危废暂存间设计原则</w:t>
            </w:r>
          </w:p>
          <w:p>
            <w:pPr>
              <w:adjustRightInd w:val="0"/>
              <w:snapToGrid w:val="0"/>
              <w:spacing w:line="520" w:lineRule="exact"/>
              <w:ind w:firstLine="480" w:firstLineChars="200"/>
              <w:rPr>
                <w:color w:val="auto"/>
                <w:sz w:val="24"/>
              </w:rPr>
            </w:pPr>
            <w:r>
              <w:rPr>
                <w:rFonts w:hint="eastAsia"/>
                <w:color w:val="auto"/>
                <w:sz w:val="24"/>
              </w:rPr>
              <w:t>1）危废暂存间地面与裙脚用坚固、防渗的材料建造，建筑材料必须与危险废物相容。地基承载力特征值fak≥200kPa；墙裙角防渗处理高度同挡土墙高度。</w:t>
            </w:r>
          </w:p>
          <w:p>
            <w:pPr>
              <w:adjustRightInd w:val="0"/>
              <w:snapToGrid w:val="0"/>
              <w:spacing w:line="520" w:lineRule="exact"/>
              <w:ind w:firstLine="480" w:firstLineChars="200"/>
              <w:rPr>
                <w:color w:val="auto"/>
                <w:sz w:val="24"/>
              </w:rPr>
            </w:pPr>
            <w:r>
              <w:rPr>
                <w:rFonts w:hint="eastAsia"/>
                <w:color w:val="auto"/>
                <w:sz w:val="24"/>
              </w:rPr>
              <w:t>2）设施内要有安全照明设施和观察窗口。</w:t>
            </w:r>
          </w:p>
          <w:p>
            <w:pPr>
              <w:adjustRightInd w:val="0"/>
              <w:snapToGrid w:val="0"/>
              <w:spacing w:line="520" w:lineRule="exact"/>
              <w:ind w:firstLine="480" w:firstLineChars="200"/>
              <w:rPr>
                <w:color w:val="auto"/>
              </w:rPr>
            </w:pPr>
            <w:r>
              <w:rPr>
                <w:rFonts w:hint="eastAsia"/>
                <w:color w:val="auto"/>
                <w:sz w:val="24"/>
              </w:rPr>
              <w:t>3）根据建设单位提供资料，本暂存间地面防渗措施为：本项目危废暂存间为集装箱式，底板采用100mm钢板并用环氧树脂胶泥灌封，集装箱由固定滑轮支撑，箱体处于悬空状态，集装箱下设C30混凝土硬化地面，渗透系数≤10</w:t>
            </w:r>
            <w:r>
              <w:rPr>
                <w:rFonts w:hint="eastAsia"/>
                <w:color w:val="auto"/>
                <w:sz w:val="24"/>
                <w:vertAlign w:val="superscript"/>
              </w:rPr>
              <w:t>-10</w:t>
            </w:r>
            <w:r>
              <w:rPr>
                <w:rFonts w:hint="eastAsia"/>
                <w:color w:val="auto"/>
                <w:sz w:val="24"/>
              </w:rPr>
              <w:t>cm/s。</w:t>
            </w:r>
          </w:p>
          <w:p>
            <w:pPr>
              <w:adjustRightInd w:val="0"/>
              <w:snapToGrid w:val="0"/>
              <w:spacing w:line="520" w:lineRule="exact"/>
              <w:ind w:firstLine="480" w:firstLineChars="200"/>
              <w:rPr>
                <w:color w:val="auto"/>
                <w:sz w:val="24"/>
              </w:rPr>
            </w:pPr>
            <w:r>
              <w:rPr>
                <w:rFonts w:hint="eastAsia"/>
                <w:color w:val="auto"/>
                <w:sz w:val="24"/>
              </w:rPr>
              <w:t>4）防渗衬里要能够覆盖危险废物或其溶出物可能涉及到的范围。衬里材料与堆放危险废物相容。</w:t>
            </w:r>
          </w:p>
          <w:p>
            <w:pPr>
              <w:adjustRightInd w:val="0"/>
              <w:snapToGrid w:val="0"/>
              <w:spacing w:line="520" w:lineRule="exact"/>
              <w:ind w:firstLine="480" w:firstLineChars="200"/>
              <w:rPr>
                <w:color w:val="auto"/>
                <w:sz w:val="24"/>
              </w:rPr>
            </w:pPr>
            <w:r>
              <w:rPr>
                <w:rFonts w:hint="eastAsia"/>
                <w:color w:val="auto"/>
                <w:sz w:val="24"/>
              </w:rPr>
              <w:t>5）暂存间内废机油</w:t>
            </w:r>
            <w:r>
              <w:rPr>
                <w:rFonts w:hint="eastAsia" w:ascii="Times New Roman" w:hAnsi="Times New Roman" w:eastAsia="宋体" w:cs="Times New Roman"/>
                <w:color w:val="auto"/>
                <w:sz w:val="24"/>
              </w:rPr>
              <w:t>暂存区及铅蓄电池暂存区域均设置有高度0.1m的围堰。</w:t>
            </w:r>
            <w:r>
              <w:rPr>
                <w:rFonts w:hint="eastAsia" w:ascii="Times New Roman" w:hAnsi="Times New Roman" w:eastAsia="宋体" w:cs="Times New Roman"/>
                <w:color w:val="auto"/>
                <w:sz w:val="24"/>
                <w:lang w:val="en-US" w:eastAsia="zh-CN"/>
              </w:rPr>
              <w:t>本环评要求在废铅蓄电池及废机油存储区各放置一个备用铁桶，作为渗滤液的收集装置，发生大量泄露时，将泄漏液体采用油泵入备用铁桶，交由有资质单位进行处理</w:t>
            </w:r>
            <w:r>
              <w:rPr>
                <w:rFonts w:hint="eastAsia" w:eastAsia="宋体" w:cs="Times New Roman"/>
                <w:color w:val="auto"/>
                <w:sz w:val="24"/>
                <w:lang w:val="en-US" w:eastAsia="zh-CN"/>
              </w:rPr>
              <w:t>。</w:t>
            </w:r>
          </w:p>
          <w:p>
            <w:pPr>
              <w:widowControl/>
              <w:spacing w:line="520" w:lineRule="exact"/>
              <w:ind w:firstLine="480" w:firstLineChars="200"/>
              <w:rPr>
                <w:color w:val="auto"/>
                <w:sz w:val="24"/>
              </w:rPr>
            </w:pPr>
            <w:r>
              <w:rPr>
                <w:rFonts w:hint="eastAsia"/>
                <w:color w:val="auto"/>
                <w:sz w:val="24"/>
              </w:rPr>
              <w:t>（2）危废暂存间运行与管理</w:t>
            </w:r>
          </w:p>
          <w:p>
            <w:pPr>
              <w:adjustRightInd w:val="0"/>
              <w:snapToGrid w:val="0"/>
              <w:spacing w:line="520" w:lineRule="exact"/>
              <w:ind w:firstLine="480" w:firstLineChars="200"/>
              <w:rPr>
                <w:color w:val="auto"/>
                <w:sz w:val="24"/>
              </w:rPr>
            </w:pPr>
            <w:r>
              <w:rPr>
                <w:rFonts w:hint="eastAsia"/>
                <w:color w:val="auto"/>
                <w:sz w:val="24"/>
              </w:rPr>
              <w:t>1）危险废物转移过程应按《危险废物转移管理办法》执行。</w:t>
            </w:r>
          </w:p>
          <w:p>
            <w:pPr>
              <w:adjustRightInd w:val="0"/>
              <w:snapToGrid w:val="0"/>
              <w:spacing w:line="520" w:lineRule="exact"/>
              <w:ind w:firstLine="480" w:firstLineChars="200"/>
              <w:rPr>
                <w:color w:val="auto"/>
                <w:sz w:val="24"/>
              </w:rPr>
            </w:pPr>
            <w:r>
              <w:rPr>
                <w:rFonts w:hint="eastAsia"/>
                <w:color w:val="auto"/>
                <w:sz w:val="24"/>
              </w:rPr>
              <w:t>2）危险废物入暂存间贮存前应进行检验，并登记注册。</w:t>
            </w:r>
            <w:r>
              <w:rPr>
                <w:color w:val="auto"/>
                <w:sz w:val="24"/>
              </w:rPr>
              <w:t>建立档案制度，在</w:t>
            </w:r>
            <w:r>
              <w:rPr>
                <w:rFonts w:hint="eastAsia"/>
                <w:color w:val="auto"/>
                <w:sz w:val="24"/>
              </w:rPr>
              <w:t>废机油</w:t>
            </w:r>
            <w:r>
              <w:rPr>
                <w:color w:val="auto"/>
                <w:sz w:val="24"/>
              </w:rPr>
              <w:t>的收集、贮存、转运及处理过程中，实行</w:t>
            </w:r>
            <w:r>
              <w:rPr>
                <w:rFonts w:hint="eastAsia"/>
                <w:color w:val="auto"/>
                <w:sz w:val="24"/>
              </w:rPr>
              <w:t>“</w:t>
            </w:r>
            <w:r>
              <w:rPr>
                <w:color w:val="auto"/>
                <w:sz w:val="24"/>
              </w:rPr>
              <w:t>转移联单制度</w:t>
            </w:r>
            <w:r>
              <w:rPr>
                <w:rFonts w:hint="eastAsia"/>
                <w:color w:val="auto"/>
                <w:sz w:val="24"/>
              </w:rPr>
              <w:t>”</w:t>
            </w:r>
            <w:r>
              <w:rPr>
                <w:color w:val="auto"/>
                <w:sz w:val="24"/>
              </w:rPr>
              <w:t>，对暂存的</w:t>
            </w:r>
            <w:r>
              <w:rPr>
                <w:rFonts w:hint="eastAsia"/>
                <w:color w:val="auto"/>
                <w:sz w:val="24"/>
              </w:rPr>
              <w:t>危险废物</w:t>
            </w:r>
            <w:r>
              <w:rPr>
                <w:color w:val="auto"/>
                <w:sz w:val="24"/>
              </w:rPr>
              <w:t>数量、存放库位、存入日期、运出日期等详细记录在案并长期保存。建立定期巡查、维护制度；</w:t>
            </w:r>
          </w:p>
          <w:p>
            <w:pPr>
              <w:adjustRightInd w:val="0"/>
              <w:snapToGrid w:val="0"/>
              <w:spacing w:line="520" w:lineRule="exact"/>
              <w:ind w:firstLine="480" w:firstLineChars="200"/>
              <w:rPr>
                <w:color w:val="auto"/>
                <w:sz w:val="24"/>
              </w:rPr>
            </w:pPr>
            <w:r>
              <w:rPr>
                <w:rFonts w:hint="eastAsia"/>
                <w:color w:val="auto"/>
                <w:sz w:val="24"/>
              </w:rPr>
              <w:t>3）必须定期对所贮存的危险废物包装容器及贮存设施进行检查，发现破损，应及时采取措施清理更换。</w:t>
            </w:r>
          </w:p>
          <w:p>
            <w:pPr>
              <w:adjustRightInd w:val="0"/>
              <w:snapToGrid w:val="0"/>
              <w:spacing w:line="520" w:lineRule="exact"/>
              <w:ind w:firstLine="480" w:firstLineChars="200"/>
              <w:rPr>
                <w:color w:val="auto"/>
                <w:sz w:val="24"/>
              </w:rPr>
            </w:pPr>
            <w:r>
              <w:rPr>
                <w:rFonts w:hint="eastAsia"/>
                <w:color w:val="auto"/>
                <w:sz w:val="24"/>
              </w:rPr>
              <w:t>4）危险废物贮存设施必须按《危险废物识别标志设置技术规范》（HJ1276-2022）及《环境保护图形标志 固体废物贮存（处置）场》（GB15562.2）的规定设置警示标志。</w:t>
            </w:r>
          </w:p>
          <w:p>
            <w:pPr>
              <w:adjustRightInd w:val="0"/>
              <w:snapToGrid w:val="0"/>
              <w:spacing w:line="520" w:lineRule="exact"/>
              <w:ind w:firstLine="480" w:firstLineChars="200"/>
              <w:rPr>
                <w:color w:val="auto"/>
                <w:sz w:val="24"/>
              </w:rPr>
            </w:pPr>
            <w:r>
              <w:rPr>
                <w:rFonts w:hint="eastAsia"/>
                <w:color w:val="auto"/>
                <w:sz w:val="24"/>
              </w:rPr>
              <w:t>5）危险废物贮存期限应符合《中华人民共和国固体废物污染环境防治法》的及相关法律法规有关规定，储存周期最长不超过1年（废铅蓄电池不大于90天）。</w:t>
            </w:r>
          </w:p>
          <w:p>
            <w:pPr>
              <w:adjustRightInd w:val="0"/>
              <w:snapToGrid w:val="0"/>
              <w:spacing w:line="520" w:lineRule="exact"/>
              <w:ind w:firstLine="480" w:firstLineChars="200"/>
              <w:rPr>
                <w:color w:val="auto"/>
                <w:sz w:val="24"/>
              </w:rPr>
            </w:pPr>
            <w:r>
              <w:rPr>
                <w:rFonts w:hint="eastAsia"/>
                <w:color w:val="auto"/>
                <w:sz w:val="24"/>
              </w:rPr>
              <w:t>6）应建立规范的管理和技术人员培训制度，定期针对管理和技术人员进行培训。培训内容至少应包括危险废物鉴别要求、危险废物转移联单管理、危险废物包装和标识、危险废物运输要求、危险废物事故应急方法。</w:t>
            </w:r>
          </w:p>
          <w:p>
            <w:pPr>
              <w:adjustRightInd w:val="0"/>
              <w:snapToGrid w:val="0"/>
              <w:spacing w:line="520" w:lineRule="exact"/>
              <w:ind w:firstLine="480" w:firstLineChars="200"/>
              <w:rPr>
                <w:color w:val="auto"/>
                <w:sz w:val="24"/>
              </w:rPr>
            </w:pPr>
            <w:r>
              <w:rPr>
                <w:rFonts w:hint="eastAsia"/>
                <w:color w:val="auto"/>
                <w:sz w:val="24"/>
              </w:rPr>
              <w:t>7）应补充完善应急预案。应急预案编制可参照《危险废物经营单位编制应急预案指南》，涉及运输的相关内容还应符合交通行政主管部门的有关规定。针对危险废物收集、贮存、运输过程中的事故易发环节应定期组织应急演练。</w:t>
            </w:r>
          </w:p>
          <w:p>
            <w:pPr>
              <w:adjustRightInd w:val="0"/>
              <w:snapToGrid w:val="0"/>
              <w:spacing w:line="480" w:lineRule="exact"/>
              <w:ind w:firstLine="480" w:firstLineChars="200"/>
              <w:rPr>
                <w:color w:val="auto"/>
                <w:sz w:val="24"/>
              </w:rPr>
            </w:pPr>
            <w:r>
              <w:rPr>
                <w:rFonts w:hint="eastAsia"/>
                <w:color w:val="auto"/>
                <w:sz w:val="24"/>
              </w:rPr>
              <w:t>8）</w:t>
            </w:r>
            <w:r>
              <w:rPr>
                <w:color w:val="auto"/>
                <w:sz w:val="24"/>
              </w:rPr>
              <w:t>危险废物暂存</w:t>
            </w:r>
            <w:r>
              <w:rPr>
                <w:rFonts w:hint="eastAsia"/>
                <w:color w:val="auto"/>
                <w:sz w:val="24"/>
              </w:rPr>
              <w:t>间</w:t>
            </w:r>
            <w:r>
              <w:rPr>
                <w:color w:val="auto"/>
                <w:sz w:val="24"/>
              </w:rPr>
              <w:t>设置安全照明设施和观察窗口。</w:t>
            </w:r>
          </w:p>
          <w:p>
            <w:pPr>
              <w:adjustRightInd w:val="0"/>
              <w:snapToGrid w:val="0"/>
              <w:spacing w:line="480" w:lineRule="exact"/>
              <w:ind w:firstLine="480" w:firstLineChars="200"/>
              <w:rPr>
                <w:color w:val="auto"/>
                <w:sz w:val="24"/>
              </w:rPr>
            </w:pPr>
            <w:r>
              <w:rPr>
                <w:rFonts w:hint="eastAsia"/>
                <w:color w:val="auto"/>
                <w:sz w:val="24"/>
              </w:rPr>
              <w:t>9）企业应急物资库应配备吸油毡、吸油棉纱、泄漏废机油收集罐以及聚乙烯塑料袋等应急物资，用于处置废机油泄露突发污染事故，对处理废矿物油泄漏事故产生的废吸油毡、吸油棉纱等全部按照危险废物管理，装在封闭的聚乙烯塑料袋内，转移给有危险废物处理资质的单位合法处置，严禁企业自行处理。</w:t>
            </w:r>
          </w:p>
          <w:p>
            <w:pPr>
              <w:adjustRightInd w:val="0"/>
              <w:snapToGrid w:val="0"/>
              <w:spacing w:line="480" w:lineRule="exact"/>
              <w:ind w:firstLine="480" w:firstLineChars="200"/>
              <w:rPr>
                <w:color w:val="auto"/>
                <w:sz w:val="24"/>
              </w:rPr>
            </w:pPr>
            <w:r>
              <w:rPr>
                <w:rFonts w:hint="eastAsia"/>
                <w:color w:val="auto"/>
                <w:sz w:val="24"/>
              </w:rPr>
              <w:t>（3）分区防渗要求</w:t>
            </w:r>
          </w:p>
          <w:p>
            <w:pPr>
              <w:adjustRightInd w:val="0"/>
              <w:snapToGrid w:val="0"/>
              <w:spacing w:line="520" w:lineRule="exact"/>
              <w:ind w:firstLine="480" w:firstLineChars="200"/>
              <w:rPr>
                <w:color w:val="auto"/>
              </w:rPr>
            </w:pPr>
            <w:r>
              <w:rPr>
                <w:rFonts w:hint="eastAsia"/>
                <w:color w:val="auto"/>
                <w:sz w:val="24"/>
              </w:rPr>
              <w:t>根据可能泄漏至地面的污染物的性质和生产单元的构建方式，结合项目总平面布置情况，本项目为危废暂存间建设项目，危废暂存间全为重点防渗区。对厂区可能泄漏污染物的地面进行防渗处理，可有效防治污染物渗入地下，并及时地将泄漏/渗漏的污染物收集并进行集中处理。本工程将危废暂存间划分为重点防渗区。</w:t>
            </w:r>
          </w:p>
          <w:p>
            <w:pPr>
              <w:pStyle w:val="68"/>
              <w:rPr>
                <w:color w:val="auto"/>
              </w:rPr>
            </w:pPr>
            <w:r>
              <w:rPr>
                <w:color w:val="auto"/>
              </w:rPr>
              <w:t>本工程危险废物暂存</w:t>
            </w:r>
            <w:r>
              <w:rPr>
                <w:rFonts w:hint="eastAsia"/>
                <w:color w:val="auto"/>
              </w:rPr>
              <w:t>间</w:t>
            </w:r>
            <w:r>
              <w:rPr>
                <w:color w:val="auto"/>
              </w:rPr>
              <w:t>地面防渗情况详见表4-2。</w:t>
            </w:r>
          </w:p>
          <w:p>
            <w:pPr>
              <w:keepNext/>
              <w:widowControl/>
              <w:ind w:firstLine="480" w:firstLineChars="200"/>
              <w:jc w:val="center"/>
              <w:rPr>
                <w:rFonts w:eastAsia="黑体"/>
                <w:color w:val="auto"/>
                <w:sz w:val="24"/>
              </w:rPr>
            </w:pPr>
            <w:r>
              <w:rPr>
                <w:rFonts w:hint="eastAsia" w:eastAsia="黑体"/>
                <w:color w:val="auto"/>
                <w:sz w:val="24"/>
              </w:rPr>
              <w:t>表</w:t>
            </w:r>
            <w:r>
              <w:rPr>
                <w:rFonts w:eastAsia="黑体"/>
                <w:color w:val="auto"/>
                <w:sz w:val="24"/>
              </w:rPr>
              <w:t>4-2</w:t>
            </w:r>
            <w:r>
              <w:rPr>
                <w:rFonts w:hint="eastAsia" w:eastAsia="黑体"/>
                <w:color w:val="auto"/>
                <w:sz w:val="24"/>
              </w:rPr>
              <w:t xml:space="preserve">    本工程防渗情况一览表</w:t>
            </w:r>
          </w:p>
          <w:tbl>
            <w:tblPr>
              <w:tblStyle w:val="31"/>
              <w:tblW w:w="5000"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2545"/>
              <w:gridCol w:w="1823"/>
              <w:gridCol w:w="4531"/>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1430" w:type="pct"/>
                  <w:vAlign w:val="center"/>
                </w:tcPr>
                <w:p>
                  <w:pPr>
                    <w:jc w:val="center"/>
                    <w:rPr>
                      <w:color w:val="auto"/>
                      <w:szCs w:val="21"/>
                    </w:rPr>
                  </w:pPr>
                  <w:r>
                    <w:rPr>
                      <w:rFonts w:hint="eastAsia"/>
                      <w:color w:val="auto"/>
                      <w:szCs w:val="21"/>
                    </w:rPr>
                    <w:t>场所</w:t>
                  </w:r>
                </w:p>
              </w:tc>
              <w:tc>
                <w:tcPr>
                  <w:tcW w:w="1024" w:type="pct"/>
                  <w:vAlign w:val="center"/>
                </w:tcPr>
                <w:p>
                  <w:pPr>
                    <w:jc w:val="center"/>
                    <w:rPr>
                      <w:color w:val="auto"/>
                      <w:szCs w:val="21"/>
                    </w:rPr>
                  </w:pPr>
                  <w:r>
                    <w:rPr>
                      <w:rFonts w:hint="eastAsia"/>
                      <w:color w:val="auto"/>
                      <w:szCs w:val="21"/>
                    </w:rPr>
                    <w:t>防渗分区</w:t>
                  </w:r>
                </w:p>
              </w:tc>
              <w:tc>
                <w:tcPr>
                  <w:tcW w:w="2546" w:type="pct"/>
                  <w:vAlign w:val="center"/>
                </w:tcPr>
                <w:p>
                  <w:pPr>
                    <w:jc w:val="center"/>
                    <w:rPr>
                      <w:color w:val="auto"/>
                      <w:szCs w:val="21"/>
                    </w:rPr>
                  </w:pPr>
                  <w:r>
                    <w:rPr>
                      <w:rFonts w:hint="eastAsia"/>
                      <w:color w:val="auto"/>
                      <w:szCs w:val="21"/>
                    </w:rPr>
                    <w:t>防渗技术要求</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1430" w:type="pct"/>
                  <w:vAlign w:val="center"/>
                </w:tcPr>
                <w:p>
                  <w:pPr>
                    <w:jc w:val="center"/>
                    <w:rPr>
                      <w:color w:val="auto"/>
                      <w:szCs w:val="21"/>
                    </w:rPr>
                  </w:pPr>
                  <w:r>
                    <w:rPr>
                      <w:rFonts w:hint="eastAsia"/>
                      <w:color w:val="auto"/>
                      <w:szCs w:val="21"/>
                    </w:rPr>
                    <w:t>危废暂存间</w:t>
                  </w:r>
                </w:p>
              </w:tc>
              <w:tc>
                <w:tcPr>
                  <w:tcW w:w="1024" w:type="pct"/>
                  <w:vAlign w:val="center"/>
                </w:tcPr>
                <w:p>
                  <w:pPr>
                    <w:jc w:val="center"/>
                    <w:rPr>
                      <w:color w:val="auto"/>
                      <w:szCs w:val="21"/>
                    </w:rPr>
                  </w:pPr>
                  <w:r>
                    <w:rPr>
                      <w:rFonts w:hint="eastAsia"/>
                      <w:color w:val="auto"/>
                      <w:szCs w:val="21"/>
                    </w:rPr>
                    <w:t>重点防渗区</w:t>
                  </w:r>
                </w:p>
              </w:tc>
              <w:tc>
                <w:tcPr>
                  <w:tcW w:w="2546" w:type="pct"/>
                  <w:vAlign w:val="center"/>
                </w:tcPr>
                <w:p>
                  <w:pPr>
                    <w:jc w:val="center"/>
                    <w:rPr>
                      <w:color w:val="auto"/>
                      <w:szCs w:val="21"/>
                    </w:rPr>
                  </w:pPr>
                  <w:r>
                    <w:rPr>
                      <w:color w:val="auto"/>
                      <w:szCs w:val="21"/>
                    </w:rPr>
                    <w:t>渗透系数小于10</w:t>
                  </w:r>
                  <w:r>
                    <w:rPr>
                      <w:color w:val="auto"/>
                      <w:szCs w:val="21"/>
                      <w:vertAlign w:val="superscript"/>
                    </w:rPr>
                    <w:t>-10</w:t>
                  </w:r>
                  <w:r>
                    <w:rPr>
                      <w:color w:val="auto"/>
                      <w:szCs w:val="21"/>
                    </w:rPr>
                    <w:t>cm/s</w:t>
                  </w:r>
                </w:p>
              </w:tc>
            </w:tr>
          </w:tbl>
          <w:p>
            <w:pPr>
              <w:pStyle w:val="68"/>
              <w:rPr>
                <w:color w:val="auto"/>
              </w:rPr>
            </w:pPr>
            <w:r>
              <w:rPr>
                <w:rFonts w:hint="eastAsia"/>
                <w:color w:val="auto"/>
              </w:rPr>
              <w:t>综上所述，本工程危废暂存间为集装箱式，底板采用100mm钢板并用环氧树脂胶泥灌封，集装箱由固定滑轮支撑，箱体处于悬空状态，集装箱下设C30混凝土硬化地面，渗透系数≤10</w:t>
            </w:r>
            <w:r>
              <w:rPr>
                <w:rFonts w:hint="eastAsia"/>
                <w:color w:val="auto"/>
                <w:vertAlign w:val="superscript"/>
              </w:rPr>
              <w:t>-10</w:t>
            </w:r>
            <w:r>
              <w:rPr>
                <w:rFonts w:hint="eastAsia"/>
                <w:color w:val="auto"/>
              </w:rPr>
              <w:t>cm/s，暂存间内废机油暂存区及铅蓄电池暂存区域均设置有高度0</w:t>
            </w:r>
            <w:r>
              <w:rPr>
                <w:color w:val="auto"/>
              </w:rPr>
              <w:t>.1</w:t>
            </w:r>
            <w:r>
              <w:rPr>
                <w:rFonts w:hint="eastAsia"/>
                <w:color w:val="auto"/>
              </w:rPr>
              <w:t>m的围堰，破损电池放入加盖耐腐蚀的箱子存放。</w:t>
            </w:r>
            <w:r>
              <w:rPr>
                <w:rFonts w:hint="eastAsia" w:ascii="Calibri" w:hAnsi="Calibri" w:cs="方正楷体_GBK"/>
                <w:color w:val="auto"/>
                <w:highlight w:val="none"/>
                <w:lang w:val="en-US" w:eastAsia="zh-CN"/>
              </w:rPr>
              <w:t>本环评要求在非铅蓄电池及废机油存储区各放置一个备用铁桶，作为渗滤液的收集装置，发生大量泄露时，将泄漏液体采用油泵入备用铁桶，交由有资质单位进行处理。</w:t>
            </w:r>
            <w:r>
              <w:rPr>
                <w:rFonts w:hint="eastAsia"/>
                <w:color w:val="auto"/>
              </w:rPr>
              <w:t>悬空集装箱便于外部观察，可及时发现暂存间内防渗层破损导致的外泄情形，同时集装箱底部及周边地面进行了水泥硬化，只要及时处理可阻断</w:t>
            </w:r>
            <w:r>
              <w:rPr>
                <w:color w:val="auto"/>
              </w:rPr>
              <w:t>可能引起地下水污染的途径</w:t>
            </w:r>
            <w:r>
              <w:rPr>
                <w:rFonts w:hint="eastAsia"/>
                <w:color w:val="auto"/>
              </w:rPr>
              <w:t>。</w:t>
            </w:r>
          </w:p>
          <w:p>
            <w:pPr>
              <w:pStyle w:val="68"/>
              <w:rPr>
                <w:color w:val="auto"/>
              </w:rPr>
            </w:pPr>
            <w:r>
              <w:rPr>
                <w:color w:val="auto"/>
              </w:rPr>
              <w:t>（4）地下水污染应急响应措施</w:t>
            </w:r>
          </w:p>
          <w:p>
            <w:pPr>
              <w:pStyle w:val="68"/>
              <w:rPr>
                <w:color w:val="auto"/>
              </w:rPr>
            </w:pPr>
            <w:r>
              <w:rPr>
                <w:rFonts w:hint="eastAsia"/>
                <w:color w:val="auto"/>
              </w:rPr>
              <w:t>在本工程施工和运营期间应制定地下水污染应急预案，</w:t>
            </w:r>
            <w:r>
              <w:rPr>
                <w:color w:val="auto"/>
              </w:rPr>
              <w:t>建立地下水污染监控制度及环境管理体系，并在发现</w:t>
            </w:r>
            <w:r>
              <w:rPr>
                <w:rFonts w:hint="eastAsia"/>
                <w:color w:val="auto"/>
              </w:rPr>
              <w:t>区域</w:t>
            </w:r>
            <w:r>
              <w:rPr>
                <w:color w:val="auto"/>
              </w:rPr>
              <w:t>地下水受到污染时立刻启动应急预案，采取应急措施防止污染扩散，防止</w:t>
            </w:r>
            <w:r>
              <w:rPr>
                <w:rFonts w:hint="eastAsia"/>
                <w:color w:val="auto"/>
              </w:rPr>
              <w:t>对</w:t>
            </w:r>
            <w:r>
              <w:rPr>
                <w:color w:val="auto"/>
              </w:rPr>
              <w:t>周边</w:t>
            </w:r>
            <w:r>
              <w:rPr>
                <w:rFonts w:hint="eastAsia"/>
                <w:color w:val="auto"/>
              </w:rPr>
              <w:t>工作人员</w:t>
            </w:r>
            <w:r>
              <w:rPr>
                <w:color w:val="auto"/>
              </w:rPr>
              <w:t>及生态环境</w:t>
            </w:r>
            <w:r>
              <w:rPr>
                <w:rFonts w:hint="eastAsia"/>
                <w:color w:val="auto"/>
              </w:rPr>
              <w:t>产生不利</w:t>
            </w:r>
            <w:r>
              <w:rPr>
                <w:color w:val="auto"/>
              </w:rPr>
              <w:t>影响。</w:t>
            </w:r>
          </w:p>
          <w:p>
            <w:pPr>
              <w:pStyle w:val="68"/>
              <w:rPr>
                <w:color w:val="auto"/>
              </w:rPr>
            </w:pPr>
            <w:r>
              <w:rPr>
                <w:color w:val="auto"/>
              </w:rPr>
              <w:t>地下水污染应急预案应包括：</w:t>
            </w:r>
          </w:p>
          <w:p>
            <w:pPr>
              <w:pStyle w:val="68"/>
              <w:rPr>
                <w:color w:val="auto"/>
              </w:rPr>
            </w:pPr>
            <w:r>
              <w:rPr>
                <w:rFonts w:hint="eastAsia" w:ascii="宋体" w:hAnsi="宋体"/>
                <w:color w:val="auto"/>
              </w:rPr>
              <w:t>1）</w:t>
            </w:r>
            <w:r>
              <w:rPr>
                <w:color w:val="auto"/>
              </w:rPr>
              <w:t>如发现地下水污染事故，应立即向</w:t>
            </w:r>
            <w:r>
              <w:rPr>
                <w:rFonts w:hint="eastAsia"/>
                <w:color w:val="auto"/>
                <w:lang w:val="en-US" w:eastAsia="zh-CN"/>
              </w:rPr>
              <w:t>当地</w:t>
            </w:r>
            <w:r>
              <w:rPr>
                <w:color w:val="auto"/>
              </w:rPr>
              <w:t>生态环境局及行政管理部门报告，调查并确认污染源位置。</w:t>
            </w:r>
          </w:p>
          <w:p>
            <w:pPr>
              <w:pStyle w:val="68"/>
              <w:rPr>
                <w:color w:val="auto"/>
              </w:rPr>
            </w:pPr>
            <w:r>
              <w:rPr>
                <w:rFonts w:hint="eastAsia" w:ascii="宋体" w:hAnsi="宋体"/>
                <w:color w:val="auto"/>
              </w:rPr>
              <w:t>2）</w:t>
            </w:r>
            <w:r>
              <w:rPr>
                <w:color w:val="auto"/>
              </w:rPr>
              <w:t>若存在污染物泄漏情况，查明泄漏污染源位置后，应首先堵住泄漏源，</w:t>
            </w:r>
            <w:r>
              <w:rPr>
                <w:rFonts w:hint="eastAsia"/>
                <w:color w:val="auto"/>
              </w:rPr>
              <w:t>危废暂存库利用围堰及事故收集井收容</w:t>
            </w:r>
            <w:r>
              <w:rPr>
                <w:color w:val="auto"/>
              </w:rPr>
              <w:t>。如果已经渗入地下水，可采用地下灌注灰浆方式，在受污染水体周围形成一道帷幕，从而将受污染水体圈闭起来或立即向</w:t>
            </w:r>
            <w:r>
              <w:rPr>
                <w:rFonts w:hint="eastAsia"/>
                <w:color w:val="auto"/>
                <w:lang w:val="en-US" w:eastAsia="zh-CN"/>
              </w:rPr>
              <w:t>等地</w:t>
            </w:r>
            <w:r>
              <w:rPr>
                <w:rFonts w:hint="eastAsia"/>
                <w:color w:val="auto"/>
              </w:rPr>
              <w:t>生态环境局</w:t>
            </w:r>
            <w:r>
              <w:rPr>
                <w:color w:val="auto"/>
              </w:rPr>
              <w:t>报告请求指导采用相应方法，防止污染物在地下继续扩散。</w:t>
            </w:r>
          </w:p>
          <w:p>
            <w:pPr>
              <w:pStyle w:val="68"/>
              <w:rPr>
                <w:color w:val="auto"/>
              </w:rPr>
            </w:pPr>
            <w:r>
              <w:rPr>
                <w:rFonts w:hint="eastAsia" w:ascii="宋体" w:hAnsi="宋体"/>
                <w:color w:val="auto"/>
              </w:rPr>
              <w:t>3）</w:t>
            </w:r>
            <w:r>
              <w:rPr>
                <w:color w:val="auto"/>
              </w:rPr>
              <w:t>立即对重污染区采取有效的修复措施，包括开挖并移走重污染土壤做危险废物处置，回填新鲜土壤。</w:t>
            </w:r>
          </w:p>
          <w:p>
            <w:pPr>
              <w:pStyle w:val="68"/>
              <w:rPr>
                <w:color w:val="auto"/>
              </w:rPr>
            </w:pPr>
            <w:r>
              <w:rPr>
                <w:rFonts w:hint="eastAsia" w:ascii="宋体" w:hAnsi="宋体"/>
                <w:color w:val="auto"/>
              </w:rPr>
              <w:t>4）</w:t>
            </w:r>
            <w:r>
              <w:rPr>
                <w:color w:val="auto"/>
              </w:rPr>
              <w:t>对</w:t>
            </w:r>
            <w:r>
              <w:rPr>
                <w:rFonts w:hint="eastAsia"/>
                <w:color w:val="auto"/>
              </w:rPr>
              <w:t>本工程</w:t>
            </w:r>
            <w:r>
              <w:rPr>
                <w:color w:val="auto"/>
              </w:rPr>
              <w:t>区域及周边区域的地下水敏感点进行取样检测，确定水质是否受到影响。如果水质受到影响，应及时通知相关方并立即停用受污染的地下水。</w:t>
            </w:r>
          </w:p>
          <w:p>
            <w:pPr>
              <w:pStyle w:val="68"/>
              <w:rPr>
                <w:color w:val="auto"/>
              </w:rPr>
            </w:pPr>
            <w:r>
              <w:rPr>
                <w:color w:val="auto"/>
              </w:rPr>
              <w:t>综上所述，在运营期间加强管理，严格遵循地下水环境保护措施的前提下，本工程运营期不会对地下水造成直接影响，本工程地下水环境影响可以接受</w:t>
            </w:r>
            <w:r>
              <w:rPr>
                <w:rFonts w:hint="eastAsia"/>
                <w:color w:val="auto"/>
              </w:rPr>
              <w:t>。</w:t>
            </w:r>
          </w:p>
          <w:p>
            <w:pPr>
              <w:adjustRightInd w:val="0"/>
              <w:snapToGrid w:val="0"/>
              <w:spacing w:line="520" w:lineRule="exact"/>
              <w:ind w:firstLine="482" w:firstLineChars="200"/>
              <w:rPr>
                <w:b/>
                <w:bCs/>
                <w:color w:val="auto"/>
                <w:sz w:val="24"/>
              </w:rPr>
            </w:pPr>
            <w:r>
              <w:rPr>
                <w:rFonts w:hint="eastAsia"/>
                <w:b/>
                <w:bCs/>
                <w:color w:val="auto"/>
                <w:sz w:val="24"/>
              </w:rPr>
              <w:t>3、噪声环境影响分析</w:t>
            </w:r>
          </w:p>
          <w:p>
            <w:pPr>
              <w:adjustRightInd w:val="0"/>
              <w:snapToGrid w:val="0"/>
              <w:spacing w:line="520" w:lineRule="exact"/>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该项目只为危险废物的暂存，营运过程噪声仅危废搬运及转运车辆进出厂区少量噪声。</w:t>
            </w:r>
          </w:p>
          <w:p>
            <w:pPr>
              <w:adjustRightInd w:val="0"/>
              <w:snapToGrid w:val="0"/>
              <w:spacing w:line="520" w:lineRule="exact"/>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①合理选取机械、车辆设备类型，加强机械及车辆的维护、保养，减少噪声的产生。</w:t>
            </w:r>
          </w:p>
          <w:p>
            <w:pPr>
              <w:adjustRightInd w:val="0"/>
              <w:snapToGrid w:val="0"/>
              <w:spacing w:line="520" w:lineRule="exact"/>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②合理规划收集车辆运输路线，合理控制车速，禁止随意鸣笛。</w:t>
            </w:r>
          </w:p>
          <w:p>
            <w:pPr>
              <w:adjustRightInd w:val="0"/>
              <w:snapToGrid w:val="0"/>
              <w:spacing w:line="520" w:lineRule="exact"/>
              <w:ind w:firstLine="480" w:firstLineChars="200"/>
              <w:rPr>
                <w:rFonts w:hint="default"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采取上述措施后，项目营运期噪声对环境影响甚微。</w:t>
            </w:r>
          </w:p>
          <w:p>
            <w:pPr>
              <w:adjustRightInd w:val="0"/>
              <w:snapToGrid w:val="0"/>
              <w:spacing w:line="520" w:lineRule="exact"/>
              <w:ind w:firstLine="482" w:firstLineChars="200"/>
              <w:rPr>
                <w:b/>
                <w:bCs/>
                <w:color w:val="auto"/>
                <w:sz w:val="24"/>
              </w:rPr>
            </w:pPr>
            <w:r>
              <w:rPr>
                <w:rFonts w:hint="eastAsia"/>
                <w:b/>
                <w:bCs/>
                <w:color w:val="auto"/>
                <w:sz w:val="24"/>
              </w:rPr>
              <w:t>4、固体废物环境影响分析</w:t>
            </w:r>
          </w:p>
          <w:p>
            <w:pPr>
              <w:pStyle w:val="68"/>
              <w:rPr>
                <w:color w:val="auto"/>
              </w:rPr>
            </w:pPr>
            <w:r>
              <w:rPr>
                <w:rFonts w:hint="eastAsia"/>
                <w:color w:val="auto"/>
                <w:sz w:val="24"/>
              </w:rPr>
              <w:t>该项目不新增劳动定员，无新增生活垃圾产生，项目运营期对周边环境影响较小。</w:t>
            </w:r>
            <w:r>
              <w:rPr>
                <w:rFonts w:hint="eastAsia"/>
                <w:color w:val="auto"/>
              </w:rPr>
              <w:t>本工程需对装卸时和危废暂存间内检查时，发现泄漏点有少量废油、废液进行擦拭产生的含油（液）抹布，废物代码为HW49（900-041-49），产生量约10kg/a。根据《国家危险废物名录（2021年版）》中危险废物豁免管理清单，含油抹布属于豁免，废弃的含油抹布混入生活垃圾，全过程不按危险废物管理，收集后环卫部门统一清运；含液抹布不属于豁免，按照《危险废物贮存污染控制标准》（GB18957-20</w:t>
            </w:r>
            <w:r>
              <w:rPr>
                <w:color w:val="auto"/>
              </w:rPr>
              <w:t>23</w:t>
            </w:r>
            <w:r>
              <w:rPr>
                <w:rFonts w:hint="eastAsia"/>
                <w:color w:val="auto"/>
              </w:rPr>
              <w:t>）中有关规定和《危险废物储存 贮存 运输技术规范》（HJ2025-2012）中相关要求进行收集、贮存，并委托有相应危废处置资质的单位拉运处置。</w:t>
            </w:r>
          </w:p>
          <w:p>
            <w:pPr>
              <w:widowControl/>
              <w:spacing w:line="520" w:lineRule="exact"/>
              <w:ind w:firstLine="480" w:firstLineChars="200"/>
              <w:rPr>
                <w:color w:val="auto"/>
                <w:sz w:val="24"/>
              </w:rPr>
            </w:pPr>
            <w:r>
              <w:rPr>
                <w:rFonts w:hint="eastAsia"/>
                <w:color w:val="auto"/>
                <w:sz w:val="24"/>
              </w:rPr>
              <w:t>项目主要用于危险废物暂存，根据相关法律法规要求，危险废物存贮主要要求管理</w:t>
            </w:r>
            <w:r>
              <w:rPr>
                <w:rFonts w:hint="eastAsia"/>
                <w:color w:val="auto"/>
                <w:sz w:val="24"/>
                <w:lang w:val="en-US" w:eastAsia="zh-CN"/>
              </w:rPr>
              <w:t>要求</w:t>
            </w:r>
            <w:r>
              <w:rPr>
                <w:rFonts w:hint="eastAsia"/>
                <w:color w:val="auto"/>
                <w:sz w:val="24"/>
              </w:rPr>
              <w:t>如下：</w:t>
            </w:r>
          </w:p>
          <w:p>
            <w:pPr>
              <w:widowControl/>
              <w:spacing w:line="520" w:lineRule="exact"/>
              <w:ind w:firstLine="482" w:firstLineChars="200"/>
              <w:rPr>
                <w:b/>
                <w:bCs/>
                <w:color w:val="auto"/>
                <w:sz w:val="24"/>
              </w:rPr>
            </w:pPr>
            <w:r>
              <w:rPr>
                <w:rFonts w:hint="eastAsia"/>
                <w:b/>
                <w:bCs/>
                <w:color w:val="auto"/>
                <w:sz w:val="24"/>
                <w:lang w:val="en-US" w:eastAsia="zh-CN"/>
              </w:rPr>
              <w:t>4.1</w:t>
            </w:r>
            <w:r>
              <w:rPr>
                <w:rFonts w:hint="eastAsia"/>
                <w:b/>
                <w:bCs/>
                <w:color w:val="auto"/>
                <w:sz w:val="24"/>
              </w:rPr>
              <w:t>危废管理要求</w:t>
            </w:r>
          </w:p>
          <w:p>
            <w:pPr>
              <w:widowControl/>
              <w:spacing w:line="520" w:lineRule="exact"/>
              <w:ind w:firstLine="480" w:firstLineChars="200"/>
              <w:rPr>
                <w:color w:val="auto"/>
                <w:sz w:val="24"/>
              </w:rPr>
            </w:pPr>
            <w:r>
              <w:rPr>
                <w:rFonts w:hint="eastAsia"/>
                <w:color w:val="auto"/>
                <w:sz w:val="24"/>
              </w:rPr>
              <w:t>危废暂存场的设置严格按照《危险废物贮存污染控制标准》（GB18</w:t>
            </w:r>
            <w:r>
              <w:rPr>
                <w:rFonts w:hint="eastAsia"/>
                <w:color w:val="auto"/>
                <w:sz w:val="24"/>
                <w:lang w:val="en-US" w:eastAsia="zh-CN"/>
              </w:rPr>
              <w:t>597</w:t>
            </w:r>
            <w:r>
              <w:rPr>
                <w:rFonts w:hint="eastAsia"/>
                <w:color w:val="auto"/>
                <w:sz w:val="24"/>
              </w:rPr>
              <w:t>-20</w:t>
            </w:r>
            <w:r>
              <w:rPr>
                <w:rFonts w:hint="eastAsia"/>
                <w:color w:val="auto"/>
                <w:sz w:val="24"/>
                <w:lang w:val="en-US" w:eastAsia="zh-CN"/>
              </w:rPr>
              <w:t>23</w:t>
            </w:r>
            <w:r>
              <w:rPr>
                <w:rFonts w:hint="eastAsia"/>
                <w:color w:val="auto"/>
                <w:sz w:val="24"/>
              </w:rPr>
              <w:t>）有关规定。集装箱整体材质为钢材，集装箱底部内表面采用“</w:t>
            </w:r>
            <w:r>
              <w:rPr>
                <w:rFonts w:hint="eastAsia"/>
                <w:color w:val="auto"/>
                <w:sz w:val="24"/>
                <w:lang w:eastAsia="zh-CN"/>
              </w:rPr>
              <w:t>环氧树脂</w:t>
            </w:r>
            <w:r>
              <w:rPr>
                <w:rFonts w:hint="eastAsia"/>
                <w:color w:val="auto"/>
                <w:sz w:val="24"/>
              </w:rPr>
              <w:t>富锌底漆+通用耐磨纯</w:t>
            </w:r>
            <w:r>
              <w:rPr>
                <w:rFonts w:hint="eastAsia"/>
                <w:color w:val="auto"/>
                <w:sz w:val="24"/>
                <w:lang w:eastAsia="zh-CN"/>
              </w:rPr>
              <w:t>环氧树脂</w:t>
            </w:r>
            <w:r>
              <w:rPr>
                <w:rFonts w:hint="eastAsia"/>
                <w:color w:val="auto"/>
                <w:sz w:val="24"/>
              </w:rPr>
              <w:t>漆+纯</w:t>
            </w:r>
            <w:r>
              <w:rPr>
                <w:rFonts w:hint="eastAsia"/>
                <w:color w:val="auto"/>
                <w:sz w:val="24"/>
                <w:lang w:eastAsia="zh-CN"/>
              </w:rPr>
              <w:t>环氧树脂</w:t>
            </w:r>
            <w:r>
              <w:rPr>
                <w:rFonts w:hint="eastAsia"/>
                <w:color w:val="auto"/>
                <w:sz w:val="24"/>
              </w:rPr>
              <w:t>面漆”的防腐结构，四侧和顶部内表面采用“</w:t>
            </w:r>
            <w:r>
              <w:rPr>
                <w:rFonts w:hint="eastAsia"/>
                <w:color w:val="auto"/>
                <w:sz w:val="24"/>
                <w:lang w:eastAsia="zh-CN"/>
              </w:rPr>
              <w:t>环氧树脂</w:t>
            </w:r>
            <w:r>
              <w:rPr>
                <w:rFonts w:hint="eastAsia"/>
                <w:color w:val="auto"/>
                <w:sz w:val="24"/>
              </w:rPr>
              <w:t>富锌底漆+</w:t>
            </w:r>
            <w:r>
              <w:rPr>
                <w:rFonts w:hint="eastAsia"/>
                <w:color w:val="auto"/>
                <w:sz w:val="24"/>
                <w:lang w:eastAsia="zh-CN"/>
              </w:rPr>
              <w:t>环氧树脂</w:t>
            </w:r>
            <w:r>
              <w:rPr>
                <w:rFonts w:hint="eastAsia"/>
                <w:color w:val="auto"/>
                <w:sz w:val="24"/>
              </w:rPr>
              <w:t>云铁中间漆”的防腐结构。集装箱门上必须粘贴该标准中规定的危险废物标签；集装箱内材质与危险废物本身相容（不相互反应）；集装箱下采用悬空设计，地面采用C30混凝土硬化地面。</w:t>
            </w:r>
          </w:p>
          <w:p>
            <w:pPr>
              <w:adjustRightInd w:val="0"/>
              <w:snapToGrid w:val="0"/>
              <w:spacing w:line="520" w:lineRule="exact"/>
              <w:ind w:firstLine="482" w:firstLineChars="200"/>
              <w:rPr>
                <w:b/>
                <w:bCs/>
                <w:color w:val="auto"/>
                <w:sz w:val="24"/>
              </w:rPr>
            </w:pPr>
            <w:r>
              <w:rPr>
                <w:rFonts w:hint="eastAsia"/>
                <w:b/>
                <w:bCs/>
                <w:color w:val="auto"/>
                <w:sz w:val="24"/>
              </w:rPr>
              <w:t>4</w:t>
            </w:r>
            <w:r>
              <w:rPr>
                <w:b/>
                <w:bCs/>
                <w:color w:val="auto"/>
                <w:sz w:val="24"/>
              </w:rPr>
              <w:t>.2</w:t>
            </w:r>
            <w:r>
              <w:rPr>
                <w:rFonts w:hint="eastAsia"/>
                <w:b/>
                <w:bCs/>
                <w:color w:val="auto"/>
                <w:sz w:val="24"/>
              </w:rPr>
              <w:t>危险废物贮存容器要求</w:t>
            </w:r>
          </w:p>
          <w:p>
            <w:pPr>
              <w:adjustRightInd w:val="0"/>
              <w:snapToGrid w:val="0"/>
              <w:spacing w:line="520" w:lineRule="exact"/>
              <w:ind w:firstLine="480" w:firstLineChars="200"/>
              <w:rPr>
                <w:color w:val="auto"/>
                <w:sz w:val="24"/>
              </w:rPr>
            </w:pPr>
            <w:r>
              <w:rPr>
                <w:rFonts w:hint="eastAsia"/>
                <w:color w:val="auto"/>
                <w:sz w:val="24"/>
              </w:rPr>
              <w:t>对危险废物贮存容器，应按照《危险废物贮存污染控制标准》（GB18597-2023）中7、容器和包装物污染控制要求采取防治措施，具体措施要求如下:</w:t>
            </w:r>
          </w:p>
          <w:p>
            <w:pPr>
              <w:adjustRightInd w:val="0"/>
              <w:snapToGrid w:val="0"/>
              <w:spacing w:line="520" w:lineRule="exact"/>
              <w:ind w:firstLine="480" w:firstLineChars="200"/>
              <w:rPr>
                <w:color w:val="auto"/>
                <w:sz w:val="24"/>
              </w:rPr>
            </w:pPr>
            <w:r>
              <w:rPr>
                <w:rFonts w:hint="eastAsia"/>
                <w:color w:val="auto"/>
                <w:sz w:val="24"/>
              </w:rPr>
              <w:t>（1）容器和包装物材质、内衬应与盛装的危险废物相容。</w:t>
            </w:r>
          </w:p>
          <w:p>
            <w:pPr>
              <w:adjustRightInd w:val="0"/>
              <w:snapToGrid w:val="0"/>
              <w:spacing w:line="520" w:lineRule="exact"/>
              <w:ind w:firstLine="480" w:firstLineChars="200"/>
              <w:rPr>
                <w:color w:val="auto"/>
                <w:sz w:val="24"/>
              </w:rPr>
            </w:pPr>
            <w:r>
              <w:rPr>
                <w:rFonts w:hint="eastAsia"/>
                <w:color w:val="auto"/>
                <w:sz w:val="24"/>
              </w:rPr>
              <w:t>（2）针对不同类别、形态、物理化学性质的危险废物，其容器和包装物应满足相应的防渗、防漏、防腐和强度等要求。</w:t>
            </w:r>
          </w:p>
          <w:p>
            <w:pPr>
              <w:adjustRightInd w:val="0"/>
              <w:snapToGrid w:val="0"/>
              <w:spacing w:line="520" w:lineRule="exact"/>
              <w:ind w:firstLine="480" w:firstLineChars="200"/>
              <w:rPr>
                <w:color w:val="auto"/>
                <w:sz w:val="24"/>
              </w:rPr>
            </w:pPr>
            <w:r>
              <w:rPr>
                <w:rFonts w:hint="eastAsia"/>
                <w:color w:val="auto"/>
                <w:sz w:val="24"/>
              </w:rPr>
              <w:t>（3）硬质容器和包装物及其支护结构堆叠码放时不应有明显变形，无破损泄漏。</w:t>
            </w:r>
          </w:p>
          <w:p>
            <w:pPr>
              <w:adjustRightInd w:val="0"/>
              <w:snapToGrid w:val="0"/>
              <w:spacing w:line="520" w:lineRule="exact"/>
              <w:ind w:firstLine="480" w:firstLineChars="200"/>
              <w:rPr>
                <w:color w:val="auto"/>
                <w:sz w:val="24"/>
              </w:rPr>
            </w:pPr>
            <w:r>
              <w:rPr>
                <w:rFonts w:hint="eastAsia"/>
                <w:color w:val="auto"/>
                <w:sz w:val="24"/>
              </w:rPr>
              <w:t>（4）柔性容器和包装物堆叠码放时应封口严密，无破损泄漏。</w:t>
            </w:r>
          </w:p>
          <w:p>
            <w:pPr>
              <w:adjustRightInd w:val="0"/>
              <w:snapToGrid w:val="0"/>
              <w:spacing w:line="520" w:lineRule="exact"/>
              <w:ind w:firstLine="480" w:firstLineChars="200"/>
              <w:rPr>
                <w:color w:val="auto"/>
                <w:sz w:val="24"/>
              </w:rPr>
            </w:pPr>
            <w:r>
              <w:rPr>
                <w:rFonts w:hint="eastAsia"/>
                <w:color w:val="auto"/>
                <w:sz w:val="24"/>
              </w:rPr>
              <w:t>（5）使用容器盛装液态、半固态危险废物时，容器内部应留有适当的空间，以适应因温度变化等可能引发的收缩和膨胀，防止其导致容器渗漏或永久变形。</w:t>
            </w:r>
          </w:p>
          <w:p>
            <w:pPr>
              <w:adjustRightInd w:val="0"/>
              <w:snapToGrid w:val="0"/>
              <w:spacing w:line="520" w:lineRule="exact"/>
              <w:ind w:firstLine="480" w:firstLineChars="200"/>
              <w:rPr>
                <w:color w:val="auto"/>
                <w:sz w:val="24"/>
              </w:rPr>
            </w:pPr>
            <w:r>
              <w:rPr>
                <w:rFonts w:hint="eastAsia"/>
                <w:color w:val="auto"/>
                <w:sz w:val="24"/>
              </w:rPr>
              <w:t>（6）容器和包装物外表面应保持清洁。</w:t>
            </w:r>
          </w:p>
          <w:p>
            <w:pPr>
              <w:adjustRightInd w:val="0"/>
              <w:snapToGrid w:val="0"/>
              <w:spacing w:line="520" w:lineRule="exact"/>
              <w:ind w:firstLine="480" w:firstLineChars="200"/>
              <w:rPr>
                <w:color w:val="auto"/>
                <w:sz w:val="24"/>
              </w:rPr>
            </w:pPr>
            <w:r>
              <w:rPr>
                <w:rFonts w:hint="eastAsia"/>
                <w:color w:val="auto"/>
                <w:sz w:val="24"/>
              </w:rPr>
              <w:t>同时，危险废物堆放场所选址、平面布置、设计原则及危险废物的堆放要求等，必须满足《危险废物贮存污染控制标准》（GB18597-2023）。危险废物贮存间必须按《危险废物识别标志设置技术规范》（HJ1276-2022）及《环境保护图形标志 固体废物贮存（处置）场》（GB15562.2）的规定设置警示标志，周围应设置围墙或其它防护栅栏，配备通讯设备、照明设施、安全防护服装及工具，并设有应急防护设施。</w:t>
            </w:r>
          </w:p>
          <w:p>
            <w:pPr>
              <w:adjustRightInd w:val="0"/>
              <w:snapToGrid w:val="0"/>
              <w:spacing w:line="520" w:lineRule="exact"/>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对于危险废物的运输和转移，应根据《危险废物收集、贮存、运输技术规范》</w:t>
            </w:r>
            <w:r>
              <w:rPr>
                <w:rFonts w:hint="eastAsia"/>
                <w:color w:val="auto"/>
                <w:sz w:val="24"/>
              </w:rPr>
              <w:t>（HJ2025-2012）</w:t>
            </w:r>
            <w:r>
              <w:rPr>
                <w:rFonts w:hint="default" w:ascii="Times New Roman" w:hAnsi="Times New Roman" w:cs="Times New Roman"/>
                <w:color w:val="auto"/>
                <w:sz w:val="24"/>
              </w:rPr>
              <w:t>等</w:t>
            </w:r>
            <w:r>
              <w:rPr>
                <w:rFonts w:hint="eastAsia" w:cs="Times New Roman"/>
                <w:color w:val="auto"/>
                <w:sz w:val="24"/>
                <w:lang w:val="en-US" w:eastAsia="zh-CN"/>
              </w:rPr>
              <w:t>中的相关规定进行</w:t>
            </w:r>
            <w:r>
              <w:rPr>
                <w:rFonts w:hint="default" w:ascii="Times New Roman" w:hAnsi="Times New Roman" w:cs="Times New Roman"/>
                <w:color w:val="auto"/>
                <w:sz w:val="24"/>
              </w:rPr>
              <w:t>：</w:t>
            </w:r>
          </w:p>
          <w:p>
            <w:pPr>
              <w:adjustRightInd w:val="0"/>
              <w:snapToGrid w:val="0"/>
              <w:spacing w:line="520" w:lineRule="exact"/>
              <w:ind w:firstLine="480" w:firstLineChars="200"/>
              <w:rPr>
                <w:color w:val="auto"/>
                <w:sz w:val="24"/>
              </w:rPr>
            </w:pPr>
            <w:r>
              <w:rPr>
                <w:rFonts w:hint="eastAsia"/>
                <w:color w:val="auto"/>
                <w:sz w:val="24"/>
              </w:rPr>
              <w:t>（1）危险废物运输和转移前，应当向当地生态环境部门报送危险废物转移计划；经批准并填写危险废物转移联单后方可进行运输和转移；</w:t>
            </w:r>
          </w:p>
          <w:p>
            <w:pPr>
              <w:adjustRightInd w:val="0"/>
              <w:snapToGrid w:val="0"/>
              <w:spacing w:line="520" w:lineRule="exact"/>
              <w:ind w:firstLine="480" w:firstLineChars="200"/>
              <w:rPr>
                <w:color w:val="auto"/>
                <w:sz w:val="24"/>
              </w:rPr>
            </w:pPr>
            <w:r>
              <w:rPr>
                <w:rFonts w:hint="eastAsia"/>
                <w:color w:val="auto"/>
                <w:sz w:val="24"/>
              </w:rPr>
              <w:t>（2）从事收集、利用、处置危险废物经营活动的单位应当具备与其经营活动相应的资格，禁止产废单位将危险废物提供或者委托给无经营许可证的单位；</w:t>
            </w:r>
          </w:p>
          <w:p>
            <w:pPr>
              <w:adjustRightInd w:val="0"/>
              <w:snapToGrid w:val="0"/>
              <w:spacing w:line="520" w:lineRule="exact"/>
              <w:ind w:firstLine="480" w:firstLineChars="200"/>
              <w:rPr>
                <w:color w:val="auto"/>
                <w:sz w:val="24"/>
              </w:rPr>
            </w:pPr>
            <w:r>
              <w:rPr>
                <w:rFonts w:hint="eastAsia"/>
                <w:color w:val="auto"/>
                <w:sz w:val="24"/>
              </w:rPr>
              <w:t>（3）所有危险废物均应按类在专用密闭容器中储存，并按规定贴标签。不得混装，废物收集和封装容器应得到接收单位及当地生态环境部门的认可。收集的危废应详细列出数量和成分，并填写有关材料。</w:t>
            </w:r>
          </w:p>
          <w:p>
            <w:pPr>
              <w:adjustRightInd w:val="0"/>
              <w:snapToGrid w:val="0"/>
              <w:spacing w:line="520" w:lineRule="exact"/>
              <w:ind w:firstLine="480" w:firstLineChars="200"/>
              <w:rPr>
                <w:rFonts w:hint="eastAsia"/>
                <w:color w:val="auto"/>
                <w:sz w:val="24"/>
              </w:rPr>
            </w:pPr>
            <w:r>
              <w:rPr>
                <w:rFonts w:hint="eastAsia"/>
                <w:color w:val="auto"/>
                <w:sz w:val="24"/>
              </w:rPr>
              <w:t>危废暂存间对环境的影响主要表现为污染物下渗对地下水的影响。工程中固体废物贮存场所设计要求符合《危险废物贮存污染控制标准》(GB18597-20</w:t>
            </w:r>
            <w:r>
              <w:rPr>
                <w:rFonts w:hint="eastAsia"/>
                <w:color w:val="auto"/>
                <w:sz w:val="24"/>
                <w:lang w:val="en-US" w:eastAsia="zh-CN"/>
              </w:rPr>
              <w:t>23</w:t>
            </w:r>
            <w:r>
              <w:rPr>
                <w:rFonts w:hint="eastAsia"/>
                <w:color w:val="auto"/>
                <w:sz w:val="24"/>
              </w:rPr>
              <w:t>）设计原则，危险废物的堆放场所设防漏裙脚或储漏盘等，采取以上措施后，不会对周边环境造成明显的影响。</w:t>
            </w:r>
          </w:p>
          <w:p>
            <w:pPr>
              <w:adjustRightInd w:val="0"/>
              <w:snapToGrid w:val="0"/>
              <w:spacing w:line="520" w:lineRule="exact"/>
              <w:ind w:firstLine="482" w:firstLineChars="200"/>
              <w:rPr>
                <w:rFonts w:hint="default" w:eastAsia="宋体"/>
                <w:b/>
                <w:bCs/>
                <w:color w:val="auto"/>
                <w:sz w:val="24"/>
                <w:lang w:val="en-US" w:eastAsia="zh-CN"/>
              </w:rPr>
            </w:pPr>
            <w:r>
              <w:rPr>
                <w:rFonts w:hint="eastAsia"/>
                <w:b/>
                <w:bCs/>
                <w:color w:val="auto"/>
                <w:sz w:val="24"/>
              </w:rPr>
              <w:t>4</w:t>
            </w:r>
            <w:r>
              <w:rPr>
                <w:b/>
                <w:bCs/>
                <w:color w:val="auto"/>
                <w:sz w:val="24"/>
              </w:rPr>
              <w:t>.</w:t>
            </w:r>
            <w:r>
              <w:rPr>
                <w:rFonts w:hint="eastAsia"/>
                <w:b/>
                <w:bCs/>
                <w:color w:val="auto"/>
                <w:sz w:val="24"/>
                <w:lang w:val="en-US" w:eastAsia="zh-CN"/>
              </w:rPr>
              <w:t>3</w:t>
            </w:r>
            <w:r>
              <w:rPr>
                <w:rFonts w:hint="eastAsia"/>
                <w:b/>
                <w:bCs/>
                <w:color w:val="auto"/>
                <w:sz w:val="24"/>
              </w:rPr>
              <w:t>危险废物</w:t>
            </w:r>
            <w:r>
              <w:rPr>
                <w:rFonts w:hint="eastAsia"/>
                <w:b/>
                <w:bCs/>
                <w:color w:val="auto"/>
                <w:sz w:val="24"/>
                <w:lang w:val="en-US" w:eastAsia="zh-CN"/>
              </w:rPr>
              <w:t>台账管理</w:t>
            </w:r>
          </w:p>
          <w:p>
            <w:pPr>
              <w:widowControl/>
              <w:autoSpaceDE w:val="0"/>
              <w:autoSpaceDN w:val="0"/>
              <w:spacing w:line="520" w:lineRule="exact"/>
              <w:ind w:firstLine="480" w:firstLineChars="200"/>
              <w:rPr>
                <w:rFonts w:hint="eastAsia" w:ascii="Times New Roman" w:hAnsi="Times New Roman" w:eastAsia="宋体" w:cs="Times New Roman"/>
                <w:color w:val="auto"/>
                <w:sz w:val="24"/>
              </w:rPr>
            </w:pPr>
            <w:r>
              <w:rPr>
                <w:rFonts w:hint="eastAsia"/>
                <w:color w:val="auto"/>
                <w:sz w:val="24"/>
              </w:rPr>
              <w:t>制定转运及贮存相关制度，每年年初在固废平台进行危险废物管理计划制定及备案，对于危废转运过程中存在的变更，可以做到及时变更并备案；对于危险废物指定有危险废物管理台账，现场库房按照危废管理指定有入库、出库台账；年底在固废平台及</w:t>
            </w:r>
            <w:r>
              <w:rPr>
                <w:rFonts w:hint="eastAsia" w:ascii="Times New Roman" w:hAnsi="Times New Roman" w:eastAsia="宋体" w:cs="Times New Roman"/>
                <w:color w:val="auto"/>
                <w:sz w:val="24"/>
              </w:rPr>
              <w:t>时对为危险废物进行申报。根据《危险废物管理计划和管理台账制定技术导则》（HJ1259—2022），本项目</w:t>
            </w:r>
            <w:r>
              <w:rPr>
                <w:rFonts w:hint="eastAsia" w:ascii="Times New Roman" w:hAnsi="Times New Roman" w:eastAsia="宋体" w:cs="Times New Roman"/>
                <w:color w:val="auto"/>
                <w:sz w:val="24"/>
                <w:lang w:val="en-US" w:eastAsia="zh-CN"/>
              </w:rPr>
              <w:t>危险废物年转运量</w:t>
            </w:r>
            <w:r>
              <w:rPr>
                <w:rFonts w:hint="eastAsia" w:ascii="Times New Roman" w:hAnsi="Times New Roman" w:eastAsia="宋体" w:cs="Times New Roman"/>
                <w:color w:val="auto"/>
                <w:sz w:val="24"/>
              </w:rPr>
              <w:t>＜10t，属于危险废物登记管理单位。</w:t>
            </w:r>
          </w:p>
          <w:p>
            <w:pPr>
              <w:widowControl/>
              <w:autoSpaceDE w:val="0"/>
              <w:autoSpaceDN w:val="0"/>
              <w:spacing w:line="520" w:lineRule="exact"/>
              <w:ind w:firstLine="480" w:firstLineChars="200"/>
              <w:rPr>
                <w:rFonts w:hint="default"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为防止危废暂存间随意移动造成废机油等泄露，本项目危废暂存间禁止随意在厂区内移动。</w:t>
            </w:r>
          </w:p>
          <w:p>
            <w:pPr>
              <w:adjustRightInd w:val="0"/>
              <w:snapToGrid w:val="0"/>
              <w:spacing w:line="480" w:lineRule="exact"/>
              <w:ind w:firstLine="482" w:firstLineChars="200"/>
              <w:rPr>
                <w:b/>
                <w:bCs/>
                <w:color w:val="auto"/>
                <w:sz w:val="24"/>
              </w:rPr>
            </w:pPr>
            <w:r>
              <w:rPr>
                <w:rFonts w:hint="eastAsia"/>
                <w:b/>
                <w:bCs/>
                <w:color w:val="auto"/>
                <w:sz w:val="24"/>
                <w:lang w:val="en-US" w:eastAsia="zh-CN"/>
              </w:rPr>
              <w:t>4.4</w:t>
            </w:r>
            <w:r>
              <w:rPr>
                <w:b/>
                <w:bCs/>
                <w:color w:val="auto"/>
                <w:sz w:val="24"/>
              </w:rPr>
              <w:t>排污口规范化建设要求</w:t>
            </w:r>
          </w:p>
          <w:p>
            <w:pPr>
              <w:pStyle w:val="89"/>
              <w:snapToGrid w:val="0"/>
              <w:ind w:firstLine="480"/>
              <w:rPr>
                <w:rFonts w:hint="default" w:ascii="Times New Roman" w:hAnsi="Times New Roman" w:cs="Times New Roman"/>
                <w:color w:val="auto"/>
                <w:kern w:val="2"/>
              </w:rPr>
            </w:pPr>
            <w:r>
              <w:rPr>
                <w:rFonts w:hint="default" w:ascii="Times New Roman" w:hAnsi="Times New Roman" w:cs="Times New Roman"/>
                <w:color w:val="auto"/>
                <w:kern w:val="2"/>
              </w:rPr>
              <w:t>按照《危险废物贮存污染控制标准》（GB18597-2023）相关规定要求，贮存库及废机油贮存储存容器上需要张贴有毒、易燃危险废物种类标志，标识的设计需符合</w:t>
            </w:r>
            <w:r>
              <w:rPr>
                <w:rFonts w:hint="default" w:ascii="Times New Roman" w:hAnsi="Times New Roman" w:cs="Times New Roman"/>
                <w:color w:val="auto"/>
              </w:rPr>
              <w:t>《危险废物识别标志设置技术规范》（HJ1276-2022）及《环境保护图形标志 固体废物贮存（处置）场》（GB15562.2）</w:t>
            </w:r>
            <w:r>
              <w:rPr>
                <w:rFonts w:hint="default" w:ascii="Times New Roman" w:hAnsi="Times New Roman" w:cs="Times New Roman"/>
                <w:color w:val="auto"/>
                <w:kern w:val="2"/>
              </w:rPr>
              <w:t>的规定，如表4-</w:t>
            </w:r>
            <w:r>
              <w:rPr>
                <w:rFonts w:hint="eastAsia" w:ascii="Times New Roman" w:hAnsi="Times New Roman" w:cs="Times New Roman"/>
                <w:color w:val="auto"/>
                <w:kern w:val="2"/>
                <w:lang w:val="en-US" w:eastAsia="zh-CN"/>
              </w:rPr>
              <w:t>3</w:t>
            </w:r>
            <w:r>
              <w:rPr>
                <w:rFonts w:hint="default" w:ascii="Times New Roman" w:hAnsi="Times New Roman" w:cs="Times New Roman"/>
                <w:color w:val="auto"/>
                <w:kern w:val="2"/>
              </w:rPr>
              <w:t>、表4-</w:t>
            </w:r>
            <w:r>
              <w:rPr>
                <w:rFonts w:hint="eastAsia" w:ascii="Times New Roman" w:hAnsi="Times New Roman" w:cs="Times New Roman"/>
                <w:color w:val="auto"/>
                <w:kern w:val="2"/>
                <w:lang w:val="en-US" w:eastAsia="zh-CN"/>
              </w:rPr>
              <w:t>4</w:t>
            </w:r>
            <w:r>
              <w:rPr>
                <w:rFonts w:hint="default" w:ascii="Times New Roman" w:hAnsi="Times New Roman" w:cs="Times New Roman"/>
                <w:color w:val="auto"/>
                <w:kern w:val="2"/>
              </w:rPr>
              <w:t>所示。</w:t>
            </w:r>
          </w:p>
          <w:p>
            <w:pPr>
              <w:widowControl/>
              <w:jc w:val="center"/>
              <w:rPr>
                <w:rFonts w:eastAsia="黑体"/>
                <w:color w:val="auto"/>
                <w:sz w:val="24"/>
              </w:rPr>
            </w:pPr>
            <w:bookmarkStart w:id="3" w:name="_Ref51676068"/>
            <w:r>
              <w:rPr>
                <w:rFonts w:hint="eastAsia" w:eastAsia="黑体"/>
                <w:color w:val="auto"/>
                <w:sz w:val="24"/>
              </w:rPr>
              <w:t>表</w:t>
            </w:r>
            <w:bookmarkEnd w:id="3"/>
            <w:r>
              <w:rPr>
                <w:rFonts w:hint="eastAsia" w:eastAsia="黑体"/>
                <w:color w:val="auto"/>
                <w:sz w:val="24"/>
              </w:rPr>
              <w:t>4-</w:t>
            </w:r>
            <w:r>
              <w:rPr>
                <w:rFonts w:hint="eastAsia" w:eastAsia="黑体"/>
                <w:color w:val="auto"/>
                <w:sz w:val="24"/>
                <w:lang w:val="en-US" w:eastAsia="zh-CN"/>
              </w:rPr>
              <w:t>3</w:t>
            </w:r>
            <w:r>
              <w:rPr>
                <w:rFonts w:eastAsia="黑体"/>
                <w:color w:val="auto"/>
                <w:sz w:val="24"/>
              </w:rPr>
              <w:t xml:space="preserve"> </w:t>
            </w:r>
            <w:r>
              <w:rPr>
                <w:rFonts w:hint="eastAsia" w:eastAsia="黑体"/>
                <w:color w:val="auto"/>
                <w:sz w:val="24"/>
              </w:rPr>
              <w:t xml:space="preserve">   危废储存容器标签示例</w:t>
            </w:r>
          </w:p>
          <w:tbl>
            <w:tblPr>
              <w:tblStyle w:val="31"/>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13" w:type="dxa"/>
                <w:bottom w:w="0" w:type="dxa"/>
                <w:right w:w="0" w:type="dxa"/>
              </w:tblCellMar>
            </w:tblPr>
            <w:tblGrid>
              <w:gridCol w:w="897"/>
              <w:gridCol w:w="3382"/>
              <w:gridCol w:w="462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13" w:type="dxa"/>
                  <w:bottom w:w="0" w:type="dxa"/>
                  <w:right w:w="0" w:type="dxa"/>
                </w:tblCellMar>
              </w:tblPrEx>
              <w:trPr>
                <w:trHeight w:val="340" w:hRule="atLeast"/>
                <w:jc w:val="center"/>
              </w:trPr>
              <w:tc>
                <w:tcPr>
                  <w:tcW w:w="504" w:type="pct"/>
                  <w:vAlign w:val="center"/>
                </w:tcPr>
                <w:p>
                  <w:pPr>
                    <w:pStyle w:val="90"/>
                    <w:snapToGrid w:val="0"/>
                    <w:rPr>
                      <w:rFonts w:ascii="Times New Roman" w:hAnsi="Times New Roman" w:cs="Times New Roman"/>
                      <w:color w:val="auto"/>
                    </w:rPr>
                  </w:pPr>
                  <w:r>
                    <w:rPr>
                      <w:rFonts w:ascii="Times New Roman" w:hAnsi="Times New Roman" w:cs="Times New Roman"/>
                      <w:color w:val="auto"/>
                    </w:rPr>
                    <w:t>场合</w:t>
                  </w:r>
                </w:p>
              </w:tc>
              <w:tc>
                <w:tcPr>
                  <w:tcW w:w="1900" w:type="pct"/>
                  <w:vAlign w:val="center"/>
                </w:tcPr>
                <w:p>
                  <w:pPr>
                    <w:pStyle w:val="90"/>
                    <w:snapToGrid w:val="0"/>
                    <w:rPr>
                      <w:rFonts w:ascii="Times New Roman" w:hAnsi="Times New Roman" w:cs="Times New Roman"/>
                      <w:color w:val="auto"/>
                    </w:rPr>
                  </w:pPr>
                  <w:r>
                    <w:rPr>
                      <w:rFonts w:ascii="Times New Roman" w:hAnsi="Times New Roman" w:cs="Times New Roman"/>
                      <w:color w:val="auto"/>
                    </w:rPr>
                    <w:t>样式</w:t>
                  </w:r>
                </w:p>
              </w:tc>
              <w:tc>
                <w:tcPr>
                  <w:tcW w:w="2596" w:type="pct"/>
                  <w:vAlign w:val="center"/>
                </w:tcPr>
                <w:p>
                  <w:pPr>
                    <w:pStyle w:val="90"/>
                    <w:snapToGrid w:val="0"/>
                    <w:rPr>
                      <w:rFonts w:ascii="Times New Roman" w:hAnsi="Times New Roman" w:cs="Times New Roman"/>
                      <w:color w:val="auto"/>
                    </w:rPr>
                  </w:pPr>
                  <w:r>
                    <w:rPr>
                      <w:rFonts w:ascii="Times New Roman" w:hAnsi="Times New Roman" w:cs="Times New Roman"/>
                      <w:color w:val="auto"/>
                    </w:rPr>
                    <w:t>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13" w:type="dxa"/>
                  <w:bottom w:w="0" w:type="dxa"/>
                  <w:right w:w="0" w:type="dxa"/>
                </w:tblCellMar>
              </w:tblPrEx>
              <w:trPr>
                <w:trHeight w:val="340" w:hRule="atLeast"/>
                <w:jc w:val="center"/>
              </w:trPr>
              <w:tc>
                <w:tcPr>
                  <w:tcW w:w="504" w:type="pct"/>
                  <w:vAlign w:val="center"/>
                </w:tcPr>
                <w:p>
                  <w:pPr>
                    <w:pStyle w:val="90"/>
                    <w:snapToGrid w:val="0"/>
                    <w:rPr>
                      <w:rFonts w:ascii="Times New Roman" w:hAnsi="Times New Roman" w:cs="Times New Roman"/>
                      <w:color w:val="auto"/>
                    </w:rPr>
                  </w:pPr>
                  <w:r>
                    <w:rPr>
                      <w:rFonts w:hint="eastAsia" w:ascii="Times New Roman" w:hAnsi="Times New Roman" w:cs="Times New Roman"/>
                      <w:color w:val="auto"/>
                    </w:rPr>
                    <w:t>危险废物分区标识</w:t>
                  </w:r>
                </w:p>
              </w:tc>
              <w:tc>
                <w:tcPr>
                  <w:tcW w:w="1900" w:type="pct"/>
                  <w:vAlign w:val="center"/>
                </w:tcPr>
                <w:p>
                  <w:pPr>
                    <w:pStyle w:val="90"/>
                    <w:snapToGrid w:val="0"/>
                    <w:spacing w:line="240" w:lineRule="auto"/>
                    <w:rPr>
                      <w:rFonts w:ascii="Times New Roman" w:hAnsi="Times New Roman" w:cs="Times New Roman"/>
                      <w:color w:val="auto"/>
                    </w:rPr>
                  </w:pPr>
                  <w:r>
                    <w:rPr>
                      <w:color w:val="auto"/>
                    </w:rPr>
                    <w:drawing>
                      <wp:inline distT="0" distB="0" distL="0" distR="0">
                        <wp:extent cx="1887220" cy="1585595"/>
                        <wp:effectExtent l="0" t="0" r="17780" b="14605"/>
                        <wp:docPr id="3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9"/>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1887220" cy="1585595"/>
                                </a:xfrm>
                                <a:prstGeom prst="rect">
                                  <a:avLst/>
                                </a:prstGeom>
                                <a:noFill/>
                                <a:ln>
                                  <a:noFill/>
                                </a:ln>
                              </pic:spPr>
                            </pic:pic>
                          </a:graphicData>
                        </a:graphic>
                      </wp:inline>
                    </w:drawing>
                  </w:r>
                </w:p>
              </w:tc>
              <w:tc>
                <w:tcPr>
                  <w:tcW w:w="2596" w:type="pct"/>
                  <w:vAlign w:val="center"/>
                </w:tcPr>
                <w:p>
                  <w:pPr>
                    <w:pStyle w:val="90"/>
                    <w:snapToGrid w:val="0"/>
                    <w:jc w:val="left"/>
                    <w:rPr>
                      <w:rFonts w:ascii="Times New Roman" w:hAnsi="Times New Roman" w:cs="Times New Roman"/>
                      <w:color w:val="auto"/>
                    </w:rPr>
                  </w:pPr>
                  <w:r>
                    <w:rPr>
                      <w:color w:val="auto"/>
                    </w:rPr>
                    <w:drawing>
                      <wp:anchor distT="0" distB="0" distL="114300" distR="114300" simplePos="0" relativeHeight="251683840" behindDoc="0" locked="0" layoutInCell="1" allowOverlap="1">
                        <wp:simplePos x="0" y="0"/>
                        <wp:positionH relativeFrom="column">
                          <wp:posOffset>-37465</wp:posOffset>
                        </wp:positionH>
                        <wp:positionV relativeFrom="paragraph">
                          <wp:posOffset>217805</wp:posOffset>
                        </wp:positionV>
                        <wp:extent cx="2609850" cy="639445"/>
                        <wp:effectExtent l="0" t="0" r="0" b="8255"/>
                        <wp:wrapNone/>
                        <wp:docPr id="3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0"/>
                                <pic:cNvPicPr>
                                  <a:picLocks noChangeAspect="1"/>
                                </pic:cNvPicPr>
                              </pic:nvPicPr>
                              <pic:blipFill>
                                <a:blip r:embed="rId18"/>
                                <a:stretch>
                                  <a:fillRect/>
                                </a:stretch>
                              </pic:blipFill>
                              <pic:spPr>
                                <a:xfrm>
                                  <a:off x="0" y="0"/>
                                  <a:ext cx="2609850" cy="639445"/>
                                </a:xfrm>
                                <a:prstGeom prst="rect">
                                  <a:avLst/>
                                </a:prstGeom>
                                <a:noFill/>
                                <a:ln>
                                  <a:noFill/>
                                </a:ln>
                              </pic:spPr>
                            </pic:pic>
                          </a:graphicData>
                        </a:graphic>
                      </wp:anchor>
                    </w:drawing>
                  </w:r>
                  <w:r>
                    <w:rPr>
                      <w:rFonts w:hint="eastAsia" w:ascii="Times New Roman" w:hAnsi="Times New Roman" w:cs="Times New Roman"/>
                      <w:color w:val="auto"/>
                    </w:rPr>
                    <w:t>2.</w:t>
                  </w:r>
                  <w:r>
                    <w:rPr>
                      <w:rFonts w:ascii="Times New Roman" w:hAnsi="Times New Roman" w:cs="Times New Roman"/>
                      <w:color w:val="auto"/>
                    </w:rPr>
                    <w:t>危险废物标签尺寸颜色：</w:t>
                  </w:r>
                </w:p>
                <w:p>
                  <w:pPr>
                    <w:pStyle w:val="90"/>
                    <w:snapToGrid w:val="0"/>
                    <w:jc w:val="left"/>
                    <w:rPr>
                      <w:rFonts w:ascii="Times New Roman" w:hAnsi="Times New Roman" w:cs="Times New Roman"/>
                      <w:color w:val="auto"/>
                    </w:rPr>
                  </w:pPr>
                </w:p>
                <w:p>
                  <w:pPr>
                    <w:pStyle w:val="90"/>
                    <w:snapToGrid w:val="0"/>
                    <w:jc w:val="left"/>
                    <w:rPr>
                      <w:rFonts w:ascii="Times New Roman" w:hAnsi="Times New Roman" w:cs="Times New Roman"/>
                      <w:color w:val="auto"/>
                    </w:rPr>
                  </w:pPr>
                </w:p>
                <w:p>
                  <w:pPr>
                    <w:pStyle w:val="90"/>
                    <w:snapToGrid w:val="0"/>
                    <w:jc w:val="left"/>
                    <w:rPr>
                      <w:rFonts w:ascii="Times New Roman" w:hAnsi="Times New Roman" w:cs="Times New Roman"/>
                      <w:color w:val="auto"/>
                    </w:rPr>
                  </w:pPr>
                </w:p>
                <w:p>
                  <w:pPr>
                    <w:pStyle w:val="90"/>
                    <w:snapToGrid w:val="0"/>
                    <w:jc w:val="left"/>
                    <w:rPr>
                      <w:rFonts w:ascii="Times New Roman" w:hAnsi="Times New Roman" w:cs="Times New Roman"/>
                      <w:color w:val="auto"/>
                    </w:rPr>
                  </w:pPr>
                </w:p>
                <w:p>
                  <w:pPr>
                    <w:pStyle w:val="90"/>
                    <w:snapToGrid w:val="0"/>
                    <w:jc w:val="left"/>
                    <w:rPr>
                      <w:rFonts w:ascii="Times New Roman" w:hAnsi="Times New Roman" w:cs="Times New Roman"/>
                      <w:color w:val="auto"/>
                    </w:rPr>
                  </w:pPr>
                  <w:r>
                    <w:rPr>
                      <w:rFonts w:ascii="Times New Roman" w:hAnsi="Times New Roman" w:cs="Times New Roman"/>
                      <w:color w:val="auto"/>
                    </w:rPr>
                    <w:t>底色：醒目的黄色</w:t>
                  </w:r>
                  <w:r>
                    <w:rPr>
                      <w:rFonts w:hint="eastAsia" w:ascii="Times New Roman" w:hAnsi="Times New Roman" w:cs="Times New Roman"/>
                      <w:color w:val="auto"/>
                    </w:rPr>
                    <w:t>，RGB颜色值为（255，255，0）</w:t>
                  </w:r>
                </w:p>
                <w:p>
                  <w:pPr>
                    <w:pStyle w:val="90"/>
                    <w:snapToGrid w:val="0"/>
                    <w:jc w:val="left"/>
                    <w:rPr>
                      <w:rFonts w:ascii="Times New Roman" w:hAnsi="Times New Roman" w:cs="Times New Roman"/>
                      <w:color w:val="auto"/>
                    </w:rPr>
                  </w:pPr>
                  <w:r>
                    <w:rPr>
                      <w:rFonts w:hint="eastAsia" w:ascii="Times New Roman" w:hAnsi="Times New Roman" w:cs="Times New Roman"/>
                      <w:color w:val="auto"/>
                    </w:rPr>
                    <w:t>废物类信息应采用醒目的橘黄色，RGB颜色值为（255，150，0）</w:t>
                  </w:r>
                </w:p>
                <w:p>
                  <w:pPr>
                    <w:pStyle w:val="90"/>
                    <w:snapToGrid w:val="0"/>
                    <w:jc w:val="left"/>
                    <w:rPr>
                      <w:rFonts w:ascii="Times New Roman" w:hAnsi="Times New Roman" w:cs="Times New Roman"/>
                      <w:color w:val="auto"/>
                    </w:rPr>
                  </w:pPr>
                  <w:r>
                    <w:rPr>
                      <w:rFonts w:hint="eastAsia" w:ascii="Times New Roman" w:hAnsi="Times New Roman" w:cs="Times New Roman"/>
                      <w:color w:val="auto"/>
                    </w:rPr>
                    <w:t>字体颜色：</w:t>
                  </w:r>
                  <w:r>
                    <w:rPr>
                      <w:rFonts w:ascii="Times New Roman" w:hAnsi="Times New Roman" w:cs="Times New Roman"/>
                      <w:color w:val="auto"/>
                    </w:rPr>
                    <w:t>黑体</w:t>
                  </w:r>
                  <w:r>
                    <w:rPr>
                      <w:rFonts w:hint="eastAsia" w:ascii="Times New Roman" w:hAnsi="Times New Roman" w:cs="Times New Roman"/>
                      <w:color w:val="auto"/>
                    </w:rPr>
                    <w:t>，RGB颜色值为（0，0，0）。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13" w:type="dxa"/>
                  <w:bottom w:w="0" w:type="dxa"/>
                  <w:right w:w="0" w:type="dxa"/>
                </w:tblCellMar>
              </w:tblPrEx>
              <w:trPr>
                <w:trHeight w:val="340" w:hRule="atLeast"/>
                <w:jc w:val="center"/>
              </w:trPr>
              <w:tc>
                <w:tcPr>
                  <w:tcW w:w="504" w:type="pct"/>
                  <w:vAlign w:val="center"/>
                </w:tcPr>
                <w:p>
                  <w:pPr>
                    <w:pStyle w:val="90"/>
                    <w:snapToGrid w:val="0"/>
                    <w:rPr>
                      <w:rFonts w:ascii="Times New Roman" w:hAnsi="Times New Roman" w:cs="Times New Roman"/>
                      <w:color w:val="auto"/>
                    </w:rPr>
                  </w:pPr>
                  <w:r>
                    <w:rPr>
                      <w:rFonts w:ascii="Times New Roman" w:hAnsi="Times New Roman" w:cs="Times New Roman"/>
                      <w:color w:val="auto"/>
                    </w:rPr>
                    <w:t>粘贴于危险废物储存容器</w:t>
                  </w:r>
                </w:p>
              </w:tc>
              <w:tc>
                <w:tcPr>
                  <w:tcW w:w="1900" w:type="pct"/>
                  <w:vAlign w:val="center"/>
                </w:tcPr>
                <w:p>
                  <w:pPr>
                    <w:pStyle w:val="90"/>
                    <w:snapToGrid w:val="0"/>
                    <w:spacing w:line="240" w:lineRule="auto"/>
                    <w:rPr>
                      <w:rFonts w:ascii="Times New Roman" w:hAnsi="Times New Roman" w:cs="Times New Roman"/>
                      <w:color w:val="auto"/>
                    </w:rPr>
                  </w:pPr>
                  <w:r>
                    <w:rPr>
                      <w:color w:val="auto"/>
                    </w:rPr>
                    <w:drawing>
                      <wp:inline distT="0" distB="0" distL="0" distR="0">
                        <wp:extent cx="1880870" cy="1553210"/>
                        <wp:effectExtent l="0" t="0" r="5080" b="8890"/>
                        <wp:docPr id="3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4"/>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1880870" cy="1553210"/>
                                </a:xfrm>
                                <a:prstGeom prst="rect">
                                  <a:avLst/>
                                </a:prstGeom>
                                <a:noFill/>
                                <a:ln>
                                  <a:noFill/>
                                </a:ln>
                              </pic:spPr>
                            </pic:pic>
                          </a:graphicData>
                        </a:graphic>
                      </wp:inline>
                    </w:drawing>
                  </w:r>
                </w:p>
                <w:p>
                  <w:pPr>
                    <w:pStyle w:val="90"/>
                    <w:snapToGrid w:val="0"/>
                    <w:rPr>
                      <w:rFonts w:ascii="Times New Roman" w:hAnsi="Times New Roman" w:cs="Times New Roman"/>
                      <w:color w:val="auto"/>
                    </w:rPr>
                  </w:pPr>
                </w:p>
                <w:p>
                  <w:pPr>
                    <w:pStyle w:val="90"/>
                    <w:snapToGrid w:val="0"/>
                    <w:rPr>
                      <w:rFonts w:ascii="Times New Roman" w:hAnsi="Times New Roman" w:cs="Times New Roman"/>
                      <w:color w:val="auto"/>
                    </w:rPr>
                  </w:pPr>
                </w:p>
                <w:p>
                  <w:pPr>
                    <w:pStyle w:val="90"/>
                    <w:snapToGrid w:val="0"/>
                    <w:rPr>
                      <w:rFonts w:ascii="Times New Roman" w:hAnsi="Times New Roman" w:cs="Times New Roman"/>
                      <w:color w:val="auto"/>
                    </w:rPr>
                  </w:pPr>
                </w:p>
                <w:p>
                  <w:pPr>
                    <w:pStyle w:val="90"/>
                    <w:snapToGrid w:val="0"/>
                    <w:rPr>
                      <w:rFonts w:ascii="Times New Roman" w:hAnsi="Times New Roman" w:cs="Times New Roman"/>
                      <w:color w:val="auto"/>
                    </w:rPr>
                  </w:pPr>
                </w:p>
              </w:tc>
              <w:tc>
                <w:tcPr>
                  <w:tcW w:w="2596" w:type="pct"/>
                  <w:vAlign w:val="center"/>
                </w:tcPr>
                <w:p>
                  <w:pPr>
                    <w:pStyle w:val="90"/>
                    <w:snapToGrid w:val="0"/>
                    <w:jc w:val="left"/>
                    <w:rPr>
                      <w:rFonts w:ascii="Times New Roman" w:hAnsi="Times New Roman" w:cs="Times New Roman"/>
                      <w:color w:val="auto"/>
                    </w:rPr>
                  </w:pPr>
                  <w:r>
                    <w:rPr>
                      <w:rFonts w:hint="eastAsia" w:ascii="Times New Roman" w:hAnsi="Times New Roman" w:cs="Times New Roman"/>
                      <w:color w:val="auto"/>
                    </w:rPr>
                    <w:t>1.危险废物标签的内容要求：</w:t>
                  </w:r>
                </w:p>
                <w:p>
                  <w:pPr>
                    <w:pStyle w:val="90"/>
                    <w:snapToGrid w:val="0"/>
                    <w:jc w:val="left"/>
                    <w:rPr>
                      <w:rFonts w:ascii="Times New Roman" w:hAnsi="Times New Roman" w:cs="Times New Roman"/>
                      <w:color w:val="auto"/>
                    </w:rPr>
                  </w:pPr>
                  <w:r>
                    <w:rPr>
                      <w:rFonts w:hint="eastAsia" w:ascii="Times New Roman" w:hAnsi="Times New Roman" w:cs="Times New Roman"/>
                      <w:color w:val="auto"/>
                    </w:rPr>
                    <w:t>（1）危险废物标签应以醒目的字样标注“危险废物”</w:t>
                  </w:r>
                </w:p>
                <w:p>
                  <w:pPr>
                    <w:pStyle w:val="90"/>
                    <w:snapToGrid w:val="0"/>
                    <w:jc w:val="left"/>
                    <w:rPr>
                      <w:rFonts w:ascii="Times New Roman" w:hAnsi="Times New Roman" w:cs="Times New Roman"/>
                      <w:color w:val="auto"/>
                    </w:rPr>
                  </w:pPr>
                  <w:r>
                    <w:rPr>
                      <w:rFonts w:hint="eastAsia" w:ascii="Times New Roman" w:hAnsi="Times New Roman" w:cs="Times New Roman"/>
                      <w:color w:val="auto"/>
                    </w:rPr>
                    <w:t>（2）危险废物标签应包含废物名称、废物类别、废物代码、废物形态、危险特性、主要成分、有害成分、注意事项、产生收集单位名称、联系人、联系方式、产生日期、废物重量和备注。</w:t>
                  </w:r>
                </w:p>
                <w:p>
                  <w:pPr>
                    <w:pStyle w:val="90"/>
                    <w:snapToGrid w:val="0"/>
                    <w:jc w:val="left"/>
                    <w:rPr>
                      <w:rFonts w:ascii="Times New Roman" w:hAnsi="Times New Roman" w:cs="Times New Roman"/>
                      <w:color w:val="auto"/>
                    </w:rPr>
                  </w:pPr>
                  <w:r>
                    <w:rPr>
                      <w:rFonts w:hint="eastAsia" w:ascii="Times New Roman" w:hAnsi="Times New Roman" w:cs="Times New Roman"/>
                      <w:color w:val="auto"/>
                    </w:rPr>
                    <w:t>（3）危险废物标签宜设置危险废物数字识别和二维码。</w:t>
                  </w:r>
                </w:p>
                <w:p>
                  <w:pPr>
                    <w:pStyle w:val="90"/>
                    <w:snapToGrid w:val="0"/>
                    <w:jc w:val="left"/>
                    <w:rPr>
                      <w:rFonts w:ascii="Times New Roman" w:hAnsi="Times New Roman" w:cs="Times New Roman"/>
                      <w:color w:val="auto"/>
                    </w:rPr>
                  </w:pPr>
                  <w:r>
                    <w:rPr>
                      <w:rFonts w:hint="eastAsia" w:ascii="Times New Roman" w:hAnsi="Times New Roman" w:cs="Times New Roman"/>
                      <w:color w:val="auto"/>
                    </w:rPr>
                    <w:t>2.</w:t>
                  </w:r>
                  <w:r>
                    <w:rPr>
                      <w:rFonts w:ascii="Times New Roman" w:hAnsi="Times New Roman" w:cs="Times New Roman"/>
                      <w:color w:val="auto"/>
                    </w:rPr>
                    <w:t>危险废物标签尺寸颜色：</w:t>
                  </w:r>
                </w:p>
                <w:p>
                  <w:pPr>
                    <w:pStyle w:val="90"/>
                    <w:snapToGrid w:val="0"/>
                    <w:jc w:val="left"/>
                    <w:rPr>
                      <w:rFonts w:ascii="Times New Roman" w:hAnsi="Times New Roman" w:cs="Times New Roman"/>
                      <w:color w:val="auto"/>
                    </w:rPr>
                  </w:pPr>
                  <w:r>
                    <w:rPr>
                      <w:color w:val="auto"/>
                    </w:rPr>
                    <w:drawing>
                      <wp:anchor distT="0" distB="0" distL="114300" distR="114300" simplePos="0" relativeHeight="251682816" behindDoc="0" locked="0" layoutInCell="1" allowOverlap="1">
                        <wp:simplePos x="0" y="0"/>
                        <wp:positionH relativeFrom="column">
                          <wp:posOffset>10160</wp:posOffset>
                        </wp:positionH>
                        <wp:positionV relativeFrom="paragraph">
                          <wp:posOffset>179705</wp:posOffset>
                        </wp:positionV>
                        <wp:extent cx="2647950" cy="695325"/>
                        <wp:effectExtent l="0" t="0" r="0" b="9525"/>
                        <wp:wrapNone/>
                        <wp:docPr id="3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8"/>
                                <pic:cNvPicPr>
                                  <a:picLocks noChangeAspect="1"/>
                                </pic:cNvPicPr>
                              </pic:nvPicPr>
                              <pic:blipFill>
                                <a:blip r:embed="rId20"/>
                                <a:srcRect t="15259"/>
                                <a:stretch>
                                  <a:fillRect/>
                                </a:stretch>
                              </pic:blipFill>
                              <pic:spPr>
                                <a:xfrm>
                                  <a:off x="0" y="0"/>
                                  <a:ext cx="2647950" cy="695325"/>
                                </a:xfrm>
                                <a:prstGeom prst="rect">
                                  <a:avLst/>
                                </a:prstGeom>
                                <a:noFill/>
                                <a:ln>
                                  <a:noFill/>
                                </a:ln>
                              </pic:spPr>
                            </pic:pic>
                          </a:graphicData>
                        </a:graphic>
                      </wp:anchor>
                    </w:drawing>
                  </w:r>
                  <w:r>
                    <w:rPr>
                      <w:rFonts w:ascii="Times New Roman" w:hAnsi="Times New Roman" w:cs="Times New Roman"/>
                      <w:color w:val="auto"/>
                    </w:rPr>
                    <w:t>尺寸：</w:t>
                  </w:r>
                </w:p>
                <w:p>
                  <w:pPr>
                    <w:pStyle w:val="90"/>
                    <w:snapToGrid w:val="0"/>
                    <w:jc w:val="left"/>
                    <w:rPr>
                      <w:rFonts w:ascii="Times New Roman" w:hAnsi="Times New Roman" w:cs="Times New Roman"/>
                      <w:color w:val="auto"/>
                    </w:rPr>
                  </w:pPr>
                </w:p>
                <w:p>
                  <w:pPr>
                    <w:pStyle w:val="90"/>
                    <w:snapToGrid w:val="0"/>
                    <w:jc w:val="left"/>
                    <w:rPr>
                      <w:rFonts w:ascii="Times New Roman" w:hAnsi="Times New Roman" w:cs="Times New Roman"/>
                      <w:color w:val="auto"/>
                    </w:rPr>
                  </w:pPr>
                </w:p>
                <w:p>
                  <w:pPr>
                    <w:pStyle w:val="90"/>
                    <w:snapToGrid w:val="0"/>
                    <w:jc w:val="left"/>
                    <w:rPr>
                      <w:rFonts w:ascii="Times New Roman" w:hAnsi="Times New Roman" w:cs="Times New Roman"/>
                      <w:color w:val="auto"/>
                    </w:rPr>
                  </w:pPr>
                </w:p>
                <w:p>
                  <w:pPr>
                    <w:pStyle w:val="90"/>
                    <w:snapToGrid w:val="0"/>
                    <w:jc w:val="left"/>
                    <w:rPr>
                      <w:rFonts w:ascii="Times New Roman" w:hAnsi="Times New Roman" w:cs="Times New Roman"/>
                      <w:color w:val="auto"/>
                    </w:rPr>
                  </w:pPr>
                  <w:r>
                    <w:rPr>
                      <w:color w:val="auto"/>
                    </w:rPr>
                    <w:drawing>
                      <wp:anchor distT="0" distB="0" distL="114300" distR="114300" simplePos="0" relativeHeight="251681792" behindDoc="0" locked="0" layoutInCell="1" allowOverlap="1">
                        <wp:simplePos x="0" y="0"/>
                        <wp:positionH relativeFrom="column">
                          <wp:posOffset>-1919605</wp:posOffset>
                        </wp:positionH>
                        <wp:positionV relativeFrom="paragraph">
                          <wp:posOffset>24130</wp:posOffset>
                        </wp:positionV>
                        <wp:extent cx="1594485" cy="1297940"/>
                        <wp:effectExtent l="0" t="0" r="5715" b="16510"/>
                        <wp:wrapNone/>
                        <wp:docPr id="3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6"/>
                                <pic:cNvPicPr>
                                  <a:picLocks noChangeAspect="1"/>
                                </pic:cNvPicPr>
                              </pic:nvPicPr>
                              <pic:blipFill>
                                <a:blip r:embed="rId21"/>
                                <a:stretch>
                                  <a:fillRect/>
                                </a:stretch>
                              </pic:blipFill>
                              <pic:spPr>
                                <a:xfrm>
                                  <a:off x="0" y="0"/>
                                  <a:ext cx="1594485" cy="1297940"/>
                                </a:xfrm>
                                <a:prstGeom prst="rect">
                                  <a:avLst/>
                                </a:prstGeom>
                                <a:noFill/>
                                <a:ln>
                                  <a:noFill/>
                                </a:ln>
                              </pic:spPr>
                            </pic:pic>
                          </a:graphicData>
                        </a:graphic>
                      </wp:anchor>
                    </w:drawing>
                  </w:r>
                </w:p>
                <w:p>
                  <w:pPr>
                    <w:pStyle w:val="90"/>
                    <w:snapToGrid w:val="0"/>
                    <w:jc w:val="left"/>
                    <w:rPr>
                      <w:rFonts w:ascii="Times New Roman" w:hAnsi="Times New Roman" w:cs="Times New Roman"/>
                      <w:color w:val="auto"/>
                    </w:rPr>
                  </w:pPr>
                  <w:r>
                    <w:rPr>
                      <w:rFonts w:ascii="Times New Roman" w:hAnsi="Times New Roman" w:cs="Times New Roman"/>
                      <w:color w:val="auto"/>
                    </w:rPr>
                    <w:t>底色：醒目的橘黄色</w:t>
                  </w:r>
                  <w:r>
                    <w:rPr>
                      <w:rFonts w:hint="eastAsia" w:ascii="Times New Roman" w:hAnsi="Times New Roman" w:cs="Times New Roman"/>
                      <w:color w:val="auto"/>
                    </w:rPr>
                    <w:t>，RGB颜色值为（255，150，0）</w:t>
                  </w:r>
                </w:p>
                <w:p>
                  <w:pPr>
                    <w:pStyle w:val="90"/>
                    <w:snapToGrid w:val="0"/>
                    <w:jc w:val="left"/>
                    <w:rPr>
                      <w:rFonts w:ascii="Times New Roman" w:hAnsi="Times New Roman" w:cs="Times New Roman"/>
                      <w:color w:val="auto"/>
                    </w:rPr>
                  </w:pPr>
                  <w:r>
                    <w:rPr>
                      <w:rFonts w:hint="eastAsia" w:ascii="Times New Roman" w:hAnsi="Times New Roman" w:cs="Times New Roman"/>
                      <w:color w:val="auto"/>
                    </w:rPr>
                    <w:t>边框和</w:t>
                  </w:r>
                  <w:r>
                    <w:rPr>
                      <w:rFonts w:ascii="Times New Roman" w:hAnsi="Times New Roman" w:cs="Times New Roman"/>
                      <w:color w:val="auto"/>
                    </w:rPr>
                    <w:t>字体：黑体字</w:t>
                  </w:r>
                  <w:r>
                    <w:rPr>
                      <w:rFonts w:hint="eastAsia" w:ascii="Times New Roman" w:hAnsi="Times New Roman" w:cs="Times New Roman"/>
                      <w:color w:val="auto"/>
                    </w:rPr>
                    <w:t>，RGB颜色值为（0，0，0）</w:t>
                  </w:r>
                </w:p>
                <w:p>
                  <w:pPr>
                    <w:pStyle w:val="90"/>
                    <w:snapToGrid w:val="0"/>
                    <w:jc w:val="both"/>
                    <w:rPr>
                      <w:rFonts w:ascii="Times New Roman" w:hAnsi="Times New Roman" w:cs="Times New Roman"/>
                      <w:color w:val="auto"/>
                    </w:rPr>
                  </w:pPr>
                  <w:r>
                    <w:rPr>
                      <w:rFonts w:ascii="Times New Roman" w:hAnsi="Times New Roman" w:cs="Times New Roman"/>
                      <w:color w:val="auto"/>
                    </w:rPr>
                    <w:t>2、危险类别：废机油（HW08 900-214-08）、</w:t>
                  </w:r>
                  <w:r>
                    <w:rPr>
                      <w:rFonts w:hint="eastAsia" w:ascii="Times New Roman" w:hAnsi="Times New Roman" w:cs="Times New Roman"/>
                      <w:color w:val="auto"/>
                    </w:rPr>
                    <w:t>废滤芯</w:t>
                  </w:r>
                  <w:r>
                    <w:rPr>
                      <w:rFonts w:ascii="Times New Roman" w:hAnsi="Times New Roman" w:cs="Times New Roman"/>
                      <w:color w:val="auto"/>
                    </w:rPr>
                    <w:t>（HW49 900-041-49）、</w:t>
                  </w:r>
                  <w:r>
                    <w:rPr>
                      <w:rFonts w:hint="eastAsia" w:ascii="Times New Roman" w:hAnsi="Times New Roman" w:cs="Times New Roman"/>
                      <w:color w:val="auto"/>
                    </w:rPr>
                    <w:t>废蓄电池</w:t>
                  </w:r>
                  <w:r>
                    <w:rPr>
                      <w:rFonts w:ascii="Times New Roman" w:hAnsi="Times New Roman" w:cs="Times New Roman"/>
                      <w:color w:val="auto"/>
                    </w:rPr>
                    <w:t>（HW31 900-052-31）。</w:t>
                  </w:r>
                </w:p>
              </w:tc>
            </w:tr>
          </w:tbl>
          <w:p>
            <w:pPr>
              <w:widowControl/>
              <w:jc w:val="center"/>
              <w:rPr>
                <w:rFonts w:eastAsia="黑体"/>
                <w:color w:val="auto"/>
                <w:sz w:val="24"/>
              </w:rPr>
            </w:pPr>
            <w:bookmarkStart w:id="4" w:name="_Ref51676066"/>
            <w:r>
              <w:rPr>
                <w:rFonts w:hint="eastAsia" w:eastAsia="黑体"/>
                <w:color w:val="auto"/>
                <w:sz w:val="24"/>
              </w:rPr>
              <w:t>表</w:t>
            </w:r>
            <w:bookmarkEnd w:id="4"/>
            <w:r>
              <w:rPr>
                <w:rFonts w:hint="eastAsia" w:eastAsia="黑体"/>
                <w:color w:val="auto"/>
                <w:sz w:val="24"/>
              </w:rPr>
              <w:t>4-</w:t>
            </w:r>
            <w:r>
              <w:rPr>
                <w:rFonts w:hint="eastAsia" w:eastAsia="黑体"/>
                <w:color w:val="auto"/>
                <w:sz w:val="24"/>
                <w:lang w:val="en-US" w:eastAsia="zh-CN"/>
              </w:rPr>
              <w:t>4</w:t>
            </w:r>
            <w:r>
              <w:rPr>
                <w:rFonts w:eastAsia="黑体"/>
                <w:color w:val="auto"/>
                <w:sz w:val="24"/>
              </w:rPr>
              <w:t xml:space="preserve">  </w:t>
            </w:r>
            <w:r>
              <w:rPr>
                <w:rFonts w:hint="eastAsia" w:eastAsia="黑体"/>
                <w:color w:val="auto"/>
                <w:sz w:val="24"/>
              </w:rPr>
              <w:t xml:space="preserve">  危废暂存间标签示例</w:t>
            </w:r>
          </w:p>
          <w:tbl>
            <w:tblPr>
              <w:tblStyle w:val="31"/>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13" w:type="dxa"/>
                <w:bottom w:w="0" w:type="dxa"/>
                <w:right w:w="0" w:type="dxa"/>
              </w:tblCellMar>
            </w:tblPr>
            <w:tblGrid>
              <w:gridCol w:w="1229"/>
              <w:gridCol w:w="3748"/>
              <w:gridCol w:w="375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1229" w:type="dxa"/>
                  <w:vAlign w:val="center"/>
                </w:tcPr>
                <w:p>
                  <w:pPr>
                    <w:pStyle w:val="90"/>
                    <w:snapToGrid w:val="0"/>
                    <w:rPr>
                      <w:color w:val="auto"/>
                    </w:rPr>
                  </w:pPr>
                  <w:r>
                    <w:rPr>
                      <w:color w:val="auto"/>
                    </w:rPr>
                    <w:t>场合</w:t>
                  </w:r>
                </w:p>
              </w:tc>
              <w:tc>
                <w:tcPr>
                  <w:tcW w:w="3744" w:type="dxa"/>
                  <w:vAlign w:val="center"/>
                </w:tcPr>
                <w:p>
                  <w:pPr>
                    <w:pStyle w:val="90"/>
                    <w:snapToGrid w:val="0"/>
                    <w:rPr>
                      <w:color w:val="auto"/>
                    </w:rPr>
                  </w:pPr>
                  <w:r>
                    <w:rPr>
                      <w:color w:val="auto"/>
                    </w:rPr>
                    <w:t>样式</w:t>
                  </w:r>
                </w:p>
              </w:tc>
              <w:tc>
                <w:tcPr>
                  <w:tcW w:w="3758" w:type="dxa"/>
                  <w:vAlign w:val="center"/>
                </w:tcPr>
                <w:p>
                  <w:pPr>
                    <w:pStyle w:val="90"/>
                    <w:snapToGrid w:val="0"/>
                    <w:rPr>
                      <w:color w:val="auto"/>
                    </w:rPr>
                  </w:pPr>
                  <w:r>
                    <w:rPr>
                      <w:color w:val="auto"/>
                    </w:rPr>
                    <w:t>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13" w:type="dxa"/>
                  <w:bottom w:w="0" w:type="dxa"/>
                  <w:right w:w="0" w:type="dxa"/>
                </w:tblCellMar>
              </w:tblPrEx>
              <w:trPr>
                <w:trHeight w:val="340" w:hRule="atLeast"/>
                <w:jc w:val="center"/>
              </w:trPr>
              <w:tc>
                <w:tcPr>
                  <w:tcW w:w="1229" w:type="dxa"/>
                  <w:vAlign w:val="center"/>
                </w:tcPr>
                <w:p>
                  <w:pPr>
                    <w:pStyle w:val="90"/>
                    <w:snapToGrid w:val="0"/>
                    <w:rPr>
                      <w:color w:val="auto"/>
                    </w:rPr>
                  </w:pPr>
                  <w:r>
                    <w:rPr>
                      <w:color w:val="auto"/>
                    </w:rPr>
                    <w:t>室外（粘贴于门上或悬挂）</w:t>
                  </w:r>
                </w:p>
              </w:tc>
              <w:tc>
                <w:tcPr>
                  <w:tcW w:w="3744" w:type="dxa"/>
                  <w:vAlign w:val="center"/>
                </w:tcPr>
                <w:p>
                  <w:pPr>
                    <w:pStyle w:val="90"/>
                    <w:snapToGrid w:val="0"/>
                    <w:spacing w:line="240" w:lineRule="auto"/>
                    <w:rPr>
                      <w:color w:val="auto"/>
                    </w:rPr>
                  </w:pPr>
                  <w:r>
                    <w:rPr>
                      <w:rFonts w:hint="eastAsia" w:ascii="Times New Roman" w:hAnsi="Times New Roman" w:cs="Times New Roman"/>
                      <w:color w:val="auto"/>
                    </w:rPr>
                    <w:drawing>
                      <wp:inline distT="0" distB="0" distL="0" distR="0">
                        <wp:extent cx="2301875" cy="1288415"/>
                        <wp:effectExtent l="0" t="0" r="3175" b="6985"/>
                        <wp:docPr id="36" name="图片 36" descr="dd5a2859112a75e8ef204fc0504de4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dd5a2859112a75e8ef204fc0504de4d"/>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2301875" cy="1288415"/>
                                </a:xfrm>
                                <a:prstGeom prst="rect">
                                  <a:avLst/>
                                </a:prstGeom>
                              </pic:spPr>
                            </pic:pic>
                          </a:graphicData>
                        </a:graphic>
                      </wp:inline>
                    </w:drawing>
                  </w:r>
                </w:p>
              </w:tc>
              <w:tc>
                <w:tcPr>
                  <w:tcW w:w="3758" w:type="dxa"/>
                  <w:vAlign w:val="center"/>
                </w:tcPr>
                <w:p>
                  <w:pPr>
                    <w:pStyle w:val="90"/>
                    <w:snapToGrid w:val="0"/>
                    <w:rPr>
                      <w:color w:val="auto"/>
                    </w:rPr>
                  </w:pPr>
                  <w:r>
                    <w:rPr>
                      <w:color w:val="auto"/>
                    </w:rPr>
                    <w:t>1、危险废物警告标志规格颜色：</w:t>
                  </w:r>
                </w:p>
                <w:p>
                  <w:pPr>
                    <w:pStyle w:val="90"/>
                    <w:snapToGrid w:val="0"/>
                    <w:rPr>
                      <w:color w:val="auto"/>
                    </w:rPr>
                  </w:pPr>
                  <w:r>
                    <w:rPr>
                      <w:color w:val="auto"/>
                    </w:rPr>
                    <w:t>形状：等边三角形，边长40cm</w:t>
                  </w:r>
                </w:p>
                <w:p>
                  <w:pPr>
                    <w:pStyle w:val="90"/>
                    <w:snapToGrid w:val="0"/>
                    <w:rPr>
                      <w:color w:val="auto"/>
                    </w:rPr>
                  </w:pPr>
                  <w:r>
                    <w:rPr>
                      <w:color w:val="auto"/>
                    </w:rPr>
                    <w:t>颜色：背景为黄色，图形为黑色</w:t>
                  </w:r>
                </w:p>
                <w:p>
                  <w:pPr>
                    <w:pStyle w:val="90"/>
                    <w:snapToGrid w:val="0"/>
                    <w:rPr>
                      <w:color w:val="auto"/>
                    </w:rPr>
                  </w:pPr>
                  <w:r>
                    <w:rPr>
                      <w:color w:val="auto"/>
                    </w:rPr>
                    <w:t>警告标志外檐2.5cm</w:t>
                  </w:r>
                </w:p>
                <w:p>
                  <w:pPr>
                    <w:pStyle w:val="90"/>
                    <w:snapToGrid w:val="0"/>
                    <w:rPr>
                      <w:color w:val="auto"/>
                    </w:rPr>
                  </w:pPr>
                  <w:r>
                    <w:rPr>
                      <w:color w:val="auto"/>
                    </w:rPr>
                    <w:t>适用于：危险废物贮存设施为房屋的，建有围墙或防护栅栏，且高度高于100cm时；部分危险废物利用、处置场所</w:t>
                  </w:r>
                </w:p>
              </w:tc>
            </w:tr>
          </w:tbl>
          <w:p>
            <w:pPr>
              <w:adjustRightInd w:val="0"/>
              <w:snapToGrid w:val="0"/>
              <w:spacing w:line="520" w:lineRule="exact"/>
              <w:ind w:firstLine="482" w:firstLineChars="200"/>
              <w:rPr>
                <w:b/>
                <w:bCs/>
                <w:color w:val="auto"/>
                <w:sz w:val="24"/>
              </w:rPr>
            </w:pPr>
            <w:r>
              <w:rPr>
                <w:rFonts w:hint="eastAsia"/>
                <w:b/>
                <w:bCs/>
                <w:color w:val="auto"/>
                <w:sz w:val="24"/>
              </w:rPr>
              <w:t>5土壤环境影响分析</w:t>
            </w:r>
          </w:p>
          <w:p>
            <w:pPr>
              <w:widowControl/>
              <w:spacing w:line="520" w:lineRule="exact"/>
              <w:ind w:firstLine="480" w:firstLineChars="200"/>
              <w:rPr>
                <w:color w:val="auto"/>
                <w:sz w:val="24"/>
              </w:rPr>
            </w:pPr>
            <w:r>
              <w:rPr>
                <w:rFonts w:hint="eastAsia"/>
                <w:color w:val="auto"/>
                <w:sz w:val="24"/>
              </w:rPr>
              <w:t>本项目为危废暂存间建设项目，根据《环境影响评价技术导则 土壤环境（试行）》（HJ964-2018）附录A，本项目为“环境和公共设施管理业”中的其他类，属于IV类项目</w:t>
            </w:r>
            <w:r>
              <w:rPr>
                <w:rFonts w:hint="eastAsia"/>
                <w:color w:val="auto"/>
                <w:sz w:val="24"/>
                <w:lang w:eastAsia="zh-CN"/>
              </w:rPr>
              <w:t>，</w:t>
            </w:r>
            <w:r>
              <w:rPr>
                <w:rFonts w:hint="eastAsia"/>
                <w:color w:val="auto"/>
                <w:sz w:val="24"/>
              </w:rPr>
              <w:t>可不开展土壤环境影响评价。环评要求建设单位应严格按照《危险废物贮存污染控制标准》（GB18597-20</w:t>
            </w:r>
            <w:r>
              <w:rPr>
                <w:rFonts w:hint="eastAsia"/>
                <w:color w:val="auto"/>
                <w:sz w:val="24"/>
                <w:lang w:val="en-US" w:eastAsia="zh-CN"/>
              </w:rPr>
              <w:t>23</w:t>
            </w:r>
            <w:r>
              <w:rPr>
                <w:rFonts w:hint="eastAsia"/>
                <w:color w:val="auto"/>
                <w:sz w:val="24"/>
              </w:rPr>
              <w:t>）进行防渗处理，对土壤环境影响较小。本工程运营期产生的危险废物均按照《危险废物贮存污染控制标准》(GB18597-20</w:t>
            </w:r>
            <w:r>
              <w:rPr>
                <w:rFonts w:hint="eastAsia"/>
                <w:color w:val="auto"/>
                <w:sz w:val="24"/>
                <w:lang w:val="en-US" w:eastAsia="zh-CN"/>
              </w:rPr>
              <w:t>23</w:t>
            </w:r>
            <w:r>
              <w:rPr>
                <w:rFonts w:hint="eastAsia"/>
                <w:color w:val="auto"/>
                <w:sz w:val="24"/>
              </w:rPr>
              <w:t>）要求，临时贮存在危废暂存场并委托有危废处置资质的单位处理，暂存场做好防腐防渗措施。危险废物不直接与外环境土壤接触，基本不会对周边区域土壤环境产生污染。</w:t>
            </w:r>
          </w:p>
          <w:p>
            <w:pPr>
              <w:widowControl/>
              <w:spacing w:line="520" w:lineRule="exact"/>
              <w:ind w:firstLine="480" w:firstLineChars="200"/>
              <w:rPr>
                <w:color w:val="auto"/>
                <w:sz w:val="24"/>
              </w:rPr>
            </w:pPr>
            <w:r>
              <w:rPr>
                <w:rFonts w:hint="eastAsia"/>
                <w:color w:val="auto"/>
                <w:sz w:val="24"/>
              </w:rPr>
              <w:t>本工程发生环境风险事故时，泄漏的危险废物在围堰内收集，悬空集装箱便于外部观察，可及时发现暂存间内防渗层破损导致的外泄情形，同时集装箱底部及周边地面进行了水泥硬化，泄漏物不会排入周边土壤中。若发生风险事故后，及时将受污染土壤收集，作为危险废物委托有资质的单位处置，并进行土壤修复，对环境影响不大。</w:t>
            </w:r>
          </w:p>
          <w:p>
            <w:pPr>
              <w:widowControl/>
              <w:spacing w:line="520" w:lineRule="exact"/>
              <w:ind w:firstLine="480" w:firstLineChars="200"/>
              <w:rPr>
                <w:rFonts w:hint="eastAsia"/>
                <w:color w:val="auto"/>
                <w:sz w:val="24"/>
              </w:rPr>
            </w:pPr>
            <w:r>
              <w:rPr>
                <w:rFonts w:hint="eastAsia"/>
                <w:color w:val="auto"/>
                <w:sz w:val="24"/>
              </w:rPr>
              <w:t>综上，本工程运营期对周边土壤环境影响较小。</w:t>
            </w:r>
          </w:p>
          <w:p>
            <w:pPr>
              <w:adjustRightInd w:val="0"/>
              <w:snapToGrid w:val="0"/>
              <w:spacing w:line="480" w:lineRule="exact"/>
              <w:ind w:firstLine="482" w:firstLineChars="200"/>
              <w:rPr>
                <w:b/>
                <w:bCs/>
                <w:color w:val="auto"/>
                <w:sz w:val="24"/>
              </w:rPr>
            </w:pPr>
            <w:r>
              <w:rPr>
                <w:rFonts w:hint="eastAsia"/>
                <w:b/>
                <w:bCs/>
                <w:color w:val="auto"/>
                <w:sz w:val="24"/>
                <w:lang w:val="en-US" w:eastAsia="zh-CN"/>
              </w:rPr>
              <w:t>6</w:t>
            </w:r>
            <w:r>
              <w:rPr>
                <w:rFonts w:hint="eastAsia"/>
                <w:b/>
                <w:bCs/>
                <w:color w:val="auto"/>
                <w:sz w:val="24"/>
              </w:rPr>
              <w:t>、环境风险分析及防治措施分析</w:t>
            </w:r>
          </w:p>
          <w:p>
            <w:pPr>
              <w:pStyle w:val="68"/>
              <w:ind w:firstLine="482"/>
              <w:rPr>
                <w:b/>
                <w:bCs/>
                <w:color w:val="auto"/>
              </w:rPr>
            </w:pPr>
            <w:r>
              <w:rPr>
                <w:rFonts w:hint="eastAsia"/>
                <w:b/>
                <w:bCs/>
                <w:color w:val="auto"/>
                <w:lang w:val="en-US" w:eastAsia="zh-CN"/>
              </w:rPr>
              <w:t>6</w:t>
            </w:r>
            <w:r>
              <w:rPr>
                <w:b/>
                <w:bCs/>
                <w:color w:val="auto"/>
              </w:rPr>
              <w:t>.1</w:t>
            </w:r>
            <w:r>
              <w:rPr>
                <w:rFonts w:hint="eastAsia"/>
                <w:b/>
                <w:bCs/>
                <w:color w:val="auto"/>
              </w:rPr>
              <w:t>评价依据</w:t>
            </w:r>
          </w:p>
          <w:p>
            <w:pPr>
              <w:pStyle w:val="68"/>
              <w:rPr>
                <w:color w:val="auto"/>
                <w:kern w:val="0"/>
              </w:rPr>
            </w:pPr>
            <w:r>
              <w:rPr>
                <w:rFonts w:hint="eastAsia"/>
                <w:color w:val="auto"/>
              </w:rPr>
              <w:t>本</w:t>
            </w:r>
            <w:r>
              <w:rPr>
                <w:color w:val="auto"/>
                <w:kern w:val="0"/>
              </w:rPr>
              <w:t>环境风险评价的目的是分析和预测建设项目存在的潜在危险、有害因素、建设项目建设和生产运行期间可能发生的突发性事件或事故（一般不包括人为破坏及自然灾害）引起易燃易爆等物质燃烧爆炸，所造成的人身安全与环境影响和损害程度，提出合理可行的防范、应急与减缓措施，以使建设项目事故率、损失和环境影响达到可接受水平。</w:t>
            </w:r>
          </w:p>
          <w:p>
            <w:pPr>
              <w:adjustRightInd w:val="0"/>
              <w:snapToGrid w:val="0"/>
              <w:spacing w:line="520" w:lineRule="exact"/>
              <w:ind w:firstLine="480" w:firstLineChars="200"/>
              <w:rPr>
                <w:bCs/>
                <w:color w:val="auto"/>
                <w:sz w:val="24"/>
                <w:szCs w:val="32"/>
              </w:rPr>
            </w:pPr>
            <w:r>
              <w:rPr>
                <w:bCs/>
                <w:color w:val="auto"/>
                <w:sz w:val="24"/>
                <w:szCs w:val="32"/>
              </w:rPr>
              <w:t>（1）风险调查</w:t>
            </w:r>
          </w:p>
          <w:p>
            <w:pPr>
              <w:adjustRightInd w:val="0"/>
              <w:snapToGrid w:val="0"/>
              <w:spacing w:line="520" w:lineRule="exact"/>
              <w:ind w:firstLine="480" w:firstLineChars="200"/>
              <w:rPr>
                <w:bCs/>
                <w:color w:val="auto"/>
                <w:sz w:val="24"/>
                <w:szCs w:val="32"/>
              </w:rPr>
            </w:pPr>
            <w:r>
              <w:rPr>
                <w:rFonts w:ascii="宋体" w:hAnsi="宋体"/>
                <w:color w:val="auto"/>
                <w:sz w:val="24"/>
              </w:rPr>
              <w:t>存在的风险物质为</w:t>
            </w:r>
            <w:r>
              <w:rPr>
                <w:rFonts w:hint="eastAsia" w:ascii="宋体" w:hAnsi="宋体"/>
                <w:color w:val="auto"/>
                <w:sz w:val="24"/>
              </w:rPr>
              <w:t>废机油、废电瓶</w:t>
            </w:r>
            <w:r>
              <w:rPr>
                <w:rFonts w:ascii="宋体" w:hAnsi="宋体"/>
                <w:color w:val="auto"/>
                <w:sz w:val="24"/>
              </w:rPr>
              <w:t>，风险类别为物质泄漏、火灾爆炸等。</w:t>
            </w:r>
          </w:p>
          <w:p>
            <w:pPr>
              <w:pStyle w:val="68"/>
              <w:ind w:firstLine="496"/>
              <w:rPr>
                <w:color w:val="auto"/>
                <w:spacing w:val="4"/>
              </w:rPr>
            </w:pPr>
            <w:r>
              <w:rPr>
                <w:rFonts w:hint="eastAsia"/>
                <w:color w:val="auto"/>
                <w:spacing w:val="4"/>
              </w:rPr>
              <w:t>（2）风险潜势初判</w:t>
            </w:r>
          </w:p>
          <w:p>
            <w:pPr>
              <w:pStyle w:val="68"/>
              <w:ind w:firstLine="496"/>
              <w:rPr>
                <w:snapToGrid/>
                <w:color w:val="auto"/>
                <w:spacing w:val="4"/>
              </w:rPr>
            </w:pPr>
            <w:r>
              <w:rPr>
                <w:color w:val="auto"/>
                <w:spacing w:val="4"/>
              </w:rPr>
              <w:t>根据《建设项目环境风险评价技术导则》（HJ169-2018），项目为轻度危害，环境</w:t>
            </w:r>
            <w:r>
              <w:rPr>
                <w:rFonts w:hint="eastAsia"/>
                <w:color w:val="auto"/>
                <w:spacing w:val="4"/>
              </w:rPr>
              <w:t>低度</w:t>
            </w:r>
            <w:r>
              <w:rPr>
                <w:color w:val="auto"/>
                <w:spacing w:val="4"/>
              </w:rPr>
              <w:t>敏感区，环境风险潜势为</w:t>
            </w:r>
            <w:r>
              <w:rPr>
                <w:color w:val="auto"/>
                <w:spacing w:val="4"/>
                <w:szCs w:val="21"/>
              </w:rPr>
              <w:t>Ⅰ</w:t>
            </w:r>
            <w:r>
              <w:rPr>
                <w:color w:val="auto"/>
                <w:spacing w:val="4"/>
              </w:rPr>
              <w:t>。</w:t>
            </w:r>
          </w:p>
          <w:p>
            <w:pPr>
              <w:widowControl/>
              <w:jc w:val="center"/>
              <w:rPr>
                <w:rFonts w:eastAsia="黑体"/>
                <w:color w:val="auto"/>
                <w:sz w:val="24"/>
              </w:rPr>
            </w:pPr>
            <w:r>
              <w:rPr>
                <w:rFonts w:eastAsia="黑体"/>
                <w:color w:val="auto"/>
                <w:sz w:val="24"/>
              </w:rPr>
              <w:t>表4-</w:t>
            </w:r>
            <w:r>
              <w:rPr>
                <w:rFonts w:hint="eastAsia" w:eastAsia="黑体"/>
                <w:color w:val="auto"/>
                <w:sz w:val="24"/>
                <w:lang w:val="en-US" w:eastAsia="zh-CN"/>
              </w:rPr>
              <w:t>5</w:t>
            </w:r>
            <w:r>
              <w:rPr>
                <w:rFonts w:eastAsia="黑体"/>
                <w:color w:val="auto"/>
                <w:sz w:val="24"/>
              </w:rPr>
              <w:t xml:space="preserve">    评价工作等级划分</w:t>
            </w:r>
          </w:p>
          <w:tbl>
            <w:tblPr>
              <w:tblStyle w:val="31"/>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224"/>
              <w:gridCol w:w="1807"/>
              <w:gridCol w:w="1838"/>
              <w:gridCol w:w="1510"/>
              <w:gridCol w:w="151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62" w:hRule="atLeast"/>
              </w:trPr>
              <w:tc>
                <w:tcPr>
                  <w:tcW w:w="1250" w:type="pct"/>
                  <w:vAlign w:val="center"/>
                </w:tcPr>
                <w:p>
                  <w:pPr>
                    <w:jc w:val="center"/>
                    <w:rPr>
                      <w:color w:val="auto"/>
                      <w:szCs w:val="21"/>
                    </w:rPr>
                  </w:pPr>
                  <w:r>
                    <w:rPr>
                      <w:color w:val="auto"/>
                      <w:szCs w:val="21"/>
                    </w:rPr>
                    <w:t xml:space="preserve">环境风险潜势 </w:t>
                  </w:r>
                </w:p>
              </w:tc>
              <w:tc>
                <w:tcPr>
                  <w:tcW w:w="1016" w:type="pct"/>
                  <w:vAlign w:val="center"/>
                </w:tcPr>
                <w:p>
                  <w:pPr>
                    <w:jc w:val="center"/>
                    <w:rPr>
                      <w:color w:val="auto"/>
                      <w:szCs w:val="21"/>
                    </w:rPr>
                  </w:pPr>
                  <w:r>
                    <w:rPr>
                      <w:color w:val="auto"/>
                      <w:szCs w:val="21"/>
                    </w:rPr>
                    <w:t>Ⅳ、Ⅳ+</w:t>
                  </w:r>
                </w:p>
              </w:tc>
              <w:tc>
                <w:tcPr>
                  <w:tcW w:w="1033" w:type="pct"/>
                  <w:vAlign w:val="center"/>
                </w:tcPr>
                <w:p>
                  <w:pPr>
                    <w:jc w:val="center"/>
                    <w:rPr>
                      <w:color w:val="auto"/>
                      <w:szCs w:val="21"/>
                    </w:rPr>
                  </w:pPr>
                  <w:r>
                    <w:rPr>
                      <w:color w:val="auto"/>
                      <w:szCs w:val="21"/>
                    </w:rPr>
                    <w:t>Ⅲ</w:t>
                  </w:r>
                </w:p>
              </w:tc>
              <w:tc>
                <w:tcPr>
                  <w:tcW w:w="849" w:type="pct"/>
                  <w:vAlign w:val="center"/>
                </w:tcPr>
                <w:p>
                  <w:pPr>
                    <w:jc w:val="center"/>
                    <w:rPr>
                      <w:color w:val="auto"/>
                      <w:szCs w:val="21"/>
                    </w:rPr>
                  </w:pPr>
                  <w:r>
                    <w:rPr>
                      <w:color w:val="auto"/>
                      <w:szCs w:val="21"/>
                    </w:rPr>
                    <w:t>Ⅱ</w:t>
                  </w:r>
                </w:p>
              </w:tc>
              <w:tc>
                <w:tcPr>
                  <w:tcW w:w="849" w:type="pct"/>
                  <w:vAlign w:val="center"/>
                </w:tcPr>
                <w:p>
                  <w:pPr>
                    <w:jc w:val="center"/>
                    <w:rPr>
                      <w:color w:val="auto"/>
                      <w:szCs w:val="21"/>
                    </w:rPr>
                  </w:pPr>
                  <w:r>
                    <w:rPr>
                      <w:color w:val="auto"/>
                      <w:szCs w:val="21"/>
                    </w:rPr>
                    <w:t>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7" w:hRule="atLeast"/>
              </w:trPr>
              <w:tc>
                <w:tcPr>
                  <w:tcW w:w="1250" w:type="pct"/>
                  <w:vAlign w:val="center"/>
                </w:tcPr>
                <w:p>
                  <w:pPr>
                    <w:jc w:val="center"/>
                    <w:rPr>
                      <w:color w:val="auto"/>
                      <w:szCs w:val="21"/>
                    </w:rPr>
                  </w:pPr>
                  <w:r>
                    <w:rPr>
                      <w:color w:val="auto"/>
                      <w:szCs w:val="21"/>
                    </w:rPr>
                    <w:t xml:space="preserve">评价工作等级 </w:t>
                  </w:r>
                </w:p>
              </w:tc>
              <w:tc>
                <w:tcPr>
                  <w:tcW w:w="1016" w:type="pct"/>
                  <w:vAlign w:val="center"/>
                </w:tcPr>
                <w:p>
                  <w:pPr>
                    <w:jc w:val="center"/>
                    <w:rPr>
                      <w:color w:val="auto"/>
                      <w:szCs w:val="21"/>
                    </w:rPr>
                  </w:pPr>
                  <w:r>
                    <w:rPr>
                      <w:color w:val="auto"/>
                      <w:szCs w:val="21"/>
                    </w:rPr>
                    <w:t>一</w:t>
                  </w:r>
                </w:p>
              </w:tc>
              <w:tc>
                <w:tcPr>
                  <w:tcW w:w="1033" w:type="pct"/>
                  <w:vAlign w:val="center"/>
                </w:tcPr>
                <w:p>
                  <w:pPr>
                    <w:jc w:val="center"/>
                    <w:rPr>
                      <w:color w:val="auto"/>
                      <w:szCs w:val="21"/>
                    </w:rPr>
                  </w:pPr>
                  <w:r>
                    <w:rPr>
                      <w:color w:val="auto"/>
                      <w:szCs w:val="21"/>
                    </w:rPr>
                    <w:t>二</w:t>
                  </w:r>
                </w:p>
              </w:tc>
              <w:tc>
                <w:tcPr>
                  <w:tcW w:w="849" w:type="pct"/>
                  <w:vAlign w:val="center"/>
                </w:tcPr>
                <w:p>
                  <w:pPr>
                    <w:jc w:val="center"/>
                    <w:rPr>
                      <w:color w:val="auto"/>
                      <w:szCs w:val="21"/>
                    </w:rPr>
                  </w:pPr>
                  <w:r>
                    <w:rPr>
                      <w:color w:val="auto"/>
                      <w:szCs w:val="21"/>
                    </w:rPr>
                    <w:t>三</w:t>
                  </w:r>
                </w:p>
              </w:tc>
              <w:tc>
                <w:tcPr>
                  <w:tcW w:w="849" w:type="pct"/>
                  <w:vAlign w:val="center"/>
                </w:tcPr>
                <w:p>
                  <w:pPr>
                    <w:jc w:val="center"/>
                    <w:rPr>
                      <w:color w:val="auto"/>
                      <w:szCs w:val="21"/>
                    </w:rPr>
                  </w:pPr>
                  <w:r>
                    <w:rPr>
                      <w:color w:val="auto"/>
                      <w:szCs w:val="21"/>
                    </w:rPr>
                    <w:t>简单分析</w:t>
                  </w:r>
                  <w:r>
                    <w:rPr>
                      <w:color w:val="auto"/>
                      <w:szCs w:val="21"/>
                      <w:vertAlign w:val="superscript"/>
                    </w:rPr>
                    <w: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47" w:hRule="atLeast"/>
              </w:trPr>
              <w:tc>
                <w:tcPr>
                  <w:tcW w:w="5000" w:type="pct"/>
                  <w:gridSpan w:val="5"/>
                  <w:vAlign w:val="center"/>
                </w:tcPr>
                <w:p>
                  <w:pPr>
                    <w:widowControl/>
                    <w:jc w:val="left"/>
                    <w:rPr>
                      <w:color w:val="auto"/>
                      <w:szCs w:val="21"/>
                    </w:rPr>
                  </w:pPr>
                  <w:r>
                    <w:rPr>
                      <w:color w:val="auto"/>
                      <w:szCs w:val="21"/>
                    </w:rPr>
                    <w:t>a 是相对于详细评价工作内容而言，在描述危险物质、环境影响途径、环境危害后果、风险防范措施等方面给出定性的说明。</w:t>
                  </w:r>
                </w:p>
              </w:tc>
            </w:tr>
          </w:tbl>
          <w:p>
            <w:pPr>
              <w:widowControl/>
              <w:jc w:val="center"/>
              <w:rPr>
                <w:rFonts w:eastAsia="黑体"/>
                <w:color w:val="auto"/>
                <w:sz w:val="24"/>
              </w:rPr>
            </w:pPr>
          </w:p>
          <w:p>
            <w:pPr>
              <w:widowControl/>
              <w:jc w:val="center"/>
              <w:rPr>
                <w:rFonts w:eastAsia="黑体"/>
                <w:color w:val="auto"/>
                <w:sz w:val="24"/>
              </w:rPr>
            </w:pPr>
            <w:r>
              <w:rPr>
                <w:rFonts w:eastAsia="黑体"/>
                <w:color w:val="auto"/>
                <w:sz w:val="24"/>
              </w:rPr>
              <w:t>表4-</w:t>
            </w:r>
            <w:r>
              <w:rPr>
                <w:rFonts w:hint="eastAsia" w:eastAsia="黑体"/>
                <w:color w:val="auto"/>
                <w:sz w:val="24"/>
                <w:lang w:val="en-US" w:eastAsia="zh-CN"/>
              </w:rPr>
              <w:t>6</w:t>
            </w:r>
            <w:r>
              <w:rPr>
                <w:rFonts w:eastAsia="黑体"/>
                <w:color w:val="auto"/>
                <w:sz w:val="24"/>
              </w:rPr>
              <w:t xml:space="preserve">    建设项目环境风险潜势划分</w:t>
            </w:r>
          </w:p>
          <w:tbl>
            <w:tblPr>
              <w:tblStyle w:val="31"/>
              <w:tblW w:w="4999" w:type="pct"/>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3098"/>
              <w:gridCol w:w="1588"/>
              <w:gridCol w:w="1428"/>
              <w:gridCol w:w="1428"/>
              <w:gridCol w:w="1270"/>
              <w:gridCol w:w="70"/>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220" w:hRule="atLeast"/>
              </w:trPr>
              <w:tc>
                <w:tcPr>
                  <w:tcW w:w="1744" w:type="pct"/>
                  <w:vMerge w:val="restart"/>
                  <w:tcBorders>
                    <w:top w:val="single" w:color="auto" w:sz="12" w:space="0"/>
                    <w:left w:val="nil"/>
                    <w:right w:val="single" w:color="auto" w:sz="4" w:space="0"/>
                  </w:tcBorders>
                  <w:vAlign w:val="center"/>
                </w:tcPr>
                <w:p>
                  <w:pPr>
                    <w:widowControl/>
                    <w:jc w:val="center"/>
                    <w:rPr>
                      <w:color w:val="auto"/>
                      <w:szCs w:val="21"/>
                    </w:rPr>
                  </w:pPr>
                  <w:r>
                    <w:rPr>
                      <w:color w:val="auto"/>
                      <w:szCs w:val="21"/>
                    </w:rPr>
                    <w:t>环境敏感程度（E）</w:t>
                  </w:r>
                </w:p>
              </w:tc>
              <w:tc>
                <w:tcPr>
                  <w:tcW w:w="3255" w:type="pct"/>
                  <w:gridSpan w:val="5"/>
                  <w:tcBorders>
                    <w:top w:val="single" w:color="auto" w:sz="12" w:space="0"/>
                    <w:left w:val="single" w:color="auto" w:sz="4" w:space="0"/>
                    <w:bottom w:val="single" w:color="auto" w:sz="4" w:space="0"/>
                    <w:right w:val="nil"/>
                  </w:tcBorders>
                  <w:vAlign w:val="center"/>
                </w:tcPr>
                <w:p>
                  <w:pPr>
                    <w:widowControl/>
                    <w:jc w:val="center"/>
                    <w:rPr>
                      <w:color w:val="auto"/>
                      <w:kern w:val="0"/>
                      <w:szCs w:val="21"/>
                    </w:rPr>
                  </w:pPr>
                  <w:r>
                    <w:rPr>
                      <w:color w:val="auto"/>
                      <w:szCs w:val="21"/>
                    </w:rPr>
                    <w:t>危险物质及工艺系统危险性（P）</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gridAfter w:val="1"/>
                <w:wAfter w:w="37" w:type="pct"/>
                <w:trHeight w:val="478" w:hRule="atLeast"/>
              </w:trPr>
              <w:tc>
                <w:tcPr>
                  <w:tcW w:w="1744" w:type="pct"/>
                  <w:vMerge w:val="continue"/>
                  <w:tcBorders>
                    <w:left w:val="nil"/>
                    <w:bottom w:val="single" w:color="auto" w:sz="4" w:space="0"/>
                    <w:right w:val="single" w:color="auto" w:sz="4" w:space="0"/>
                  </w:tcBorders>
                  <w:vAlign w:val="center"/>
                </w:tcPr>
                <w:p>
                  <w:pPr>
                    <w:widowControl/>
                    <w:jc w:val="center"/>
                    <w:rPr>
                      <w:color w:val="auto"/>
                      <w:szCs w:val="21"/>
                    </w:rPr>
                  </w:pPr>
                </w:p>
              </w:tc>
              <w:tc>
                <w:tcPr>
                  <w:tcW w:w="894" w:type="pct"/>
                  <w:tcBorders>
                    <w:top w:val="single" w:color="auto" w:sz="4" w:space="0"/>
                    <w:left w:val="single" w:color="auto" w:sz="4" w:space="0"/>
                    <w:bottom w:val="single" w:color="auto" w:sz="4" w:space="0"/>
                    <w:right w:val="single" w:color="auto" w:sz="4" w:space="0"/>
                  </w:tcBorders>
                  <w:vAlign w:val="center"/>
                </w:tcPr>
                <w:p>
                  <w:pPr>
                    <w:widowControl/>
                    <w:ind w:left="-105" w:leftChars="-50" w:right="-105" w:rightChars="-50"/>
                    <w:jc w:val="center"/>
                    <w:rPr>
                      <w:color w:val="auto"/>
                      <w:szCs w:val="21"/>
                    </w:rPr>
                  </w:pPr>
                  <w:r>
                    <w:rPr>
                      <w:color w:val="auto"/>
                      <w:szCs w:val="21"/>
                    </w:rPr>
                    <w:t>极高危害（P1）</w:t>
                  </w:r>
                </w:p>
              </w:tc>
              <w:tc>
                <w:tcPr>
                  <w:tcW w:w="804" w:type="pct"/>
                  <w:tcBorders>
                    <w:top w:val="single" w:color="auto" w:sz="4" w:space="0"/>
                    <w:left w:val="single" w:color="auto" w:sz="4" w:space="0"/>
                    <w:bottom w:val="single" w:color="auto" w:sz="4" w:space="0"/>
                    <w:right w:val="single" w:color="auto" w:sz="4" w:space="0"/>
                  </w:tcBorders>
                  <w:vAlign w:val="center"/>
                </w:tcPr>
                <w:p>
                  <w:pPr>
                    <w:widowControl/>
                    <w:ind w:left="-105" w:leftChars="-50" w:right="-105" w:rightChars="-50"/>
                    <w:jc w:val="center"/>
                    <w:rPr>
                      <w:color w:val="auto"/>
                      <w:kern w:val="0"/>
                      <w:szCs w:val="21"/>
                    </w:rPr>
                  </w:pPr>
                  <w:r>
                    <w:rPr>
                      <w:color w:val="auto"/>
                      <w:szCs w:val="21"/>
                    </w:rPr>
                    <w:t>高度危害（P2）</w:t>
                  </w:r>
                </w:p>
              </w:tc>
              <w:tc>
                <w:tcPr>
                  <w:tcW w:w="804" w:type="pct"/>
                  <w:tcBorders>
                    <w:top w:val="single" w:color="auto" w:sz="4" w:space="0"/>
                    <w:left w:val="single" w:color="auto" w:sz="4" w:space="0"/>
                    <w:bottom w:val="single" w:color="auto" w:sz="4" w:space="0"/>
                    <w:right w:val="single" w:color="auto" w:sz="4" w:space="0"/>
                  </w:tcBorders>
                  <w:vAlign w:val="center"/>
                </w:tcPr>
                <w:p>
                  <w:pPr>
                    <w:widowControl/>
                    <w:ind w:left="-105" w:leftChars="-50" w:right="-105" w:rightChars="-50"/>
                    <w:jc w:val="center"/>
                    <w:rPr>
                      <w:color w:val="auto"/>
                      <w:kern w:val="0"/>
                      <w:szCs w:val="21"/>
                    </w:rPr>
                  </w:pPr>
                  <w:r>
                    <w:rPr>
                      <w:color w:val="auto"/>
                      <w:kern w:val="0"/>
                      <w:szCs w:val="21"/>
                    </w:rPr>
                    <w:t>中度危害（P3）</w:t>
                  </w:r>
                </w:p>
              </w:tc>
              <w:tc>
                <w:tcPr>
                  <w:tcW w:w="715" w:type="pct"/>
                  <w:tcBorders>
                    <w:top w:val="single" w:color="auto" w:sz="4" w:space="0"/>
                    <w:left w:val="single" w:color="auto" w:sz="4" w:space="0"/>
                    <w:bottom w:val="single" w:color="auto" w:sz="4" w:space="0"/>
                    <w:right w:val="nil"/>
                  </w:tcBorders>
                  <w:vAlign w:val="center"/>
                </w:tcPr>
                <w:p>
                  <w:pPr>
                    <w:widowControl/>
                    <w:ind w:left="-105" w:leftChars="-50" w:right="-105" w:rightChars="-50"/>
                    <w:jc w:val="center"/>
                    <w:rPr>
                      <w:color w:val="auto"/>
                      <w:kern w:val="0"/>
                      <w:szCs w:val="21"/>
                    </w:rPr>
                  </w:pPr>
                  <w:r>
                    <w:rPr>
                      <w:color w:val="auto"/>
                      <w:kern w:val="0"/>
                      <w:szCs w:val="21"/>
                    </w:rPr>
                    <w:t>轻度危害（P4）</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gridAfter w:val="1"/>
                <w:wAfter w:w="37" w:type="pct"/>
                <w:trHeight w:val="232" w:hRule="atLeast"/>
              </w:trPr>
              <w:tc>
                <w:tcPr>
                  <w:tcW w:w="1744" w:type="pct"/>
                  <w:tcBorders>
                    <w:top w:val="single" w:color="auto" w:sz="4" w:space="0"/>
                    <w:left w:val="nil"/>
                    <w:bottom w:val="single" w:color="auto" w:sz="4" w:space="0"/>
                    <w:right w:val="single" w:color="auto" w:sz="4" w:space="0"/>
                  </w:tcBorders>
                  <w:vAlign w:val="center"/>
                </w:tcPr>
                <w:p>
                  <w:pPr>
                    <w:widowControl/>
                    <w:jc w:val="center"/>
                    <w:rPr>
                      <w:color w:val="auto"/>
                      <w:szCs w:val="21"/>
                    </w:rPr>
                  </w:pPr>
                  <w:r>
                    <w:rPr>
                      <w:color w:val="auto"/>
                      <w:szCs w:val="21"/>
                    </w:rPr>
                    <w:t>环境高度敏感区（E1）</w:t>
                  </w:r>
                </w:p>
              </w:tc>
              <w:tc>
                <w:tcPr>
                  <w:tcW w:w="894" w:type="pct"/>
                  <w:tcBorders>
                    <w:top w:val="single" w:color="auto" w:sz="4" w:space="0"/>
                    <w:left w:val="single" w:color="auto" w:sz="4" w:space="0"/>
                    <w:bottom w:val="single" w:color="auto" w:sz="4" w:space="0"/>
                    <w:right w:val="single" w:color="auto" w:sz="4" w:space="0"/>
                  </w:tcBorders>
                  <w:vAlign w:val="center"/>
                </w:tcPr>
                <w:p>
                  <w:pPr>
                    <w:widowControl/>
                    <w:jc w:val="center"/>
                    <w:rPr>
                      <w:color w:val="auto"/>
                      <w:szCs w:val="21"/>
                    </w:rPr>
                  </w:pPr>
                  <w:r>
                    <w:rPr>
                      <w:color w:val="auto"/>
                      <w:szCs w:val="21"/>
                    </w:rPr>
                    <w:t>Ⅳ</w:t>
                  </w:r>
                  <w:r>
                    <w:rPr>
                      <w:color w:val="auto"/>
                      <w:szCs w:val="21"/>
                      <w:vertAlign w:val="superscript"/>
                    </w:rPr>
                    <w:t>+</w:t>
                  </w:r>
                </w:p>
              </w:tc>
              <w:tc>
                <w:tcPr>
                  <w:tcW w:w="804" w:type="pct"/>
                  <w:tcBorders>
                    <w:top w:val="single" w:color="auto" w:sz="4" w:space="0"/>
                    <w:left w:val="single" w:color="auto" w:sz="4" w:space="0"/>
                    <w:bottom w:val="single" w:color="auto" w:sz="4" w:space="0"/>
                    <w:right w:val="single" w:color="auto" w:sz="4" w:space="0"/>
                  </w:tcBorders>
                  <w:vAlign w:val="center"/>
                </w:tcPr>
                <w:p>
                  <w:pPr>
                    <w:widowControl/>
                    <w:jc w:val="center"/>
                    <w:rPr>
                      <w:color w:val="auto"/>
                      <w:kern w:val="0"/>
                      <w:szCs w:val="21"/>
                    </w:rPr>
                  </w:pPr>
                  <w:r>
                    <w:rPr>
                      <w:color w:val="auto"/>
                      <w:kern w:val="0"/>
                      <w:szCs w:val="21"/>
                    </w:rPr>
                    <w:t>Ⅳ</w:t>
                  </w:r>
                </w:p>
              </w:tc>
              <w:tc>
                <w:tcPr>
                  <w:tcW w:w="804" w:type="pct"/>
                  <w:tcBorders>
                    <w:top w:val="single" w:color="auto" w:sz="4" w:space="0"/>
                    <w:left w:val="single" w:color="auto" w:sz="4" w:space="0"/>
                    <w:bottom w:val="single" w:color="auto" w:sz="4" w:space="0"/>
                    <w:right w:val="single" w:color="auto" w:sz="4" w:space="0"/>
                  </w:tcBorders>
                  <w:vAlign w:val="center"/>
                </w:tcPr>
                <w:p>
                  <w:pPr>
                    <w:widowControl/>
                    <w:jc w:val="center"/>
                    <w:rPr>
                      <w:color w:val="auto"/>
                      <w:kern w:val="0"/>
                      <w:szCs w:val="21"/>
                    </w:rPr>
                  </w:pPr>
                  <w:r>
                    <w:rPr>
                      <w:color w:val="auto"/>
                      <w:kern w:val="0"/>
                      <w:szCs w:val="21"/>
                    </w:rPr>
                    <w:t>Ⅲ</w:t>
                  </w:r>
                </w:p>
              </w:tc>
              <w:tc>
                <w:tcPr>
                  <w:tcW w:w="715" w:type="pct"/>
                  <w:tcBorders>
                    <w:top w:val="single" w:color="auto" w:sz="4" w:space="0"/>
                    <w:left w:val="single" w:color="auto" w:sz="4" w:space="0"/>
                    <w:bottom w:val="single" w:color="auto" w:sz="4" w:space="0"/>
                    <w:right w:val="nil"/>
                  </w:tcBorders>
                  <w:vAlign w:val="center"/>
                </w:tcPr>
                <w:p>
                  <w:pPr>
                    <w:widowControl/>
                    <w:jc w:val="center"/>
                    <w:rPr>
                      <w:color w:val="auto"/>
                      <w:kern w:val="0"/>
                      <w:szCs w:val="21"/>
                    </w:rPr>
                  </w:pPr>
                  <w:r>
                    <w:rPr>
                      <w:color w:val="auto"/>
                      <w:kern w:val="0"/>
                      <w:szCs w:val="21"/>
                    </w:rPr>
                    <w:t>Ⅲ</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gridAfter w:val="1"/>
                <w:wAfter w:w="37" w:type="pct"/>
                <w:trHeight w:val="232" w:hRule="atLeast"/>
              </w:trPr>
              <w:tc>
                <w:tcPr>
                  <w:tcW w:w="1744" w:type="pct"/>
                  <w:tcBorders>
                    <w:top w:val="single" w:color="auto" w:sz="4" w:space="0"/>
                    <w:left w:val="nil"/>
                    <w:bottom w:val="single" w:color="auto" w:sz="4" w:space="0"/>
                    <w:right w:val="single" w:color="auto" w:sz="4" w:space="0"/>
                  </w:tcBorders>
                  <w:vAlign w:val="center"/>
                </w:tcPr>
                <w:p>
                  <w:pPr>
                    <w:widowControl/>
                    <w:jc w:val="center"/>
                    <w:rPr>
                      <w:color w:val="auto"/>
                      <w:szCs w:val="21"/>
                    </w:rPr>
                  </w:pPr>
                  <w:r>
                    <w:rPr>
                      <w:color w:val="auto"/>
                      <w:szCs w:val="21"/>
                    </w:rPr>
                    <w:t>环境中度敏感区（E2）</w:t>
                  </w:r>
                </w:p>
              </w:tc>
              <w:tc>
                <w:tcPr>
                  <w:tcW w:w="894" w:type="pct"/>
                  <w:tcBorders>
                    <w:top w:val="single" w:color="auto" w:sz="4" w:space="0"/>
                    <w:left w:val="single" w:color="auto" w:sz="4" w:space="0"/>
                    <w:bottom w:val="single" w:color="auto" w:sz="4" w:space="0"/>
                    <w:right w:val="single" w:color="auto" w:sz="4" w:space="0"/>
                  </w:tcBorders>
                  <w:vAlign w:val="center"/>
                </w:tcPr>
                <w:p>
                  <w:pPr>
                    <w:widowControl/>
                    <w:jc w:val="center"/>
                    <w:rPr>
                      <w:color w:val="auto"/>
                      <w:szCs w:val="21"/>
                    </w:rPr>
                  </w:pPr>
                  <w:r>
                    <w:rPr>
                      <w:color w:val="auto"/>
                      <w:szCs w:val="21"/>
                    </w:rPr>
                    <w:t>Ⅳ</w:t>
                  </w:r>
                </w:p>
              </w:tc>
              <w:tc>
                <w:tcPr>
                  <w:tcW w:w="804" w:type="pct"/>
                  <w:tcBorders>
                    <w:top w:val="single" w:color="auto" w:sz="4" w:space="0"/>
                    <w:left w:val="single" w:color="auto" w:sz="4" w:space="0"/>
                    <w:bottom w:val="single" w:color="auto" w:sz="4" w:space="0"/>
                    <w:right w:val="single" w:color="auto" w:sz="4" w:space="0"/>
                  </w:tcBorders>
                  <w:vAlign w:val="center"/>
                </w:tcPr>
                <w:p>
                  <w:pPr>
                    <w:widowControl/>
                    <w:jc w:val="center"/>
                    <w:rPr>
                      <w:color w:val="auto"/>
                      <w:kern w:val="0"/>
                      <w:szCs w:val="21"/>
                    </w:rPr>
                  </w:pPr>
                  <w:r>
                    <w:rPr>
                      <w:color w:val="auto"/>
                      <w:kern w:val="0"/>
                      <w:szCs w:val="21"/>
                    </w:rPr>
                    <w:t>Ⅲ</w:t>
                  </w:r>
                </w:p>
              </w:tc>
              <w:tc>
                <w:tcPr>
                  <w:tcW w:w="804" w:type="pct"/>
                  <w:tcBorders>
                    <w:top w:val="single" w:color="auto" w:sz="4" w:space="0"/>
                    <w:left w:val="single" w:color="auto" w:sz="4" w:space="0"/>
                    <w:bottom w:val="single" w:color="auto" w:sz="4" w:space="0"/>
                    <w:right w:val="single" w:color="auto" w:sz="4" w:space="0"/>
                  </w:tcBorders>
                  <w:vAlign w:val="center"/>
                </w:tcPr>
                <w:p>
                  <w:pPr>
                    <w:widowControl/>
                    <w:jc w:val="center"/>
                    <w:rPr>
                      <w:color w:val="auto"/>
                      <w:kern w:val="0"/>
                      <w:szCs w:val="21"/>
                    </w:rPr>
                  </w:pPr>
                  <w:r>
                    <w:rPr>
                      <w:color w:val="auto"/>
                      <w:kern w:val="0"/>
                      <w:szCs w:val="21"/>
                    </w:rPr>
                    <w:t>Ⅲ</w:t>
                  </w:r>
                </w:p>
              </w:tc>
              <w:tc>
                <w:tcPr>
                  <w:tcW w:w="715" w:type="pct"/>
                  <w:tcBorders>
                    <w:top w:val="single" w:color="auto" w:sz="4" w:space="0"/>
                    <w:left w:val="single" w:color="auto" w:sz="4" w:space="0"/>
                    <w:bottom w:val="single" w:color="auto" w:sz="4" w:space="0"/>
                    <w:right w:val="nil"/>
                  </w:tcBorders>
                  <w:vAlign w:val="center"/>
                </w:tcPr>
                <w:p>
                  <w:pPr>
                    <w:widowControl/>
                    <w:jc w:val="center"/>
                    <w:rPr>
                      <w:color w:val="auto"/>
                      <w:kern w:val="0"/>
                      <w:szCs w:val="21"/>
                    </w:rPr>
                  </w:pPr>
                  <w:r>
                    <w:rPr>
                      <w:color w:val="auto"/>
                      <w:kern w:val="0"/>
                      <w:szCs w:val="21"/>
                    </w:rPr>
                    <w:t>Ⅱ</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gridAfter w:val="1"/>
                <w:wAfter w:w="37" w:type="pct"/>
                <w:trHeight w:val="220" w:hRule="atLeast"/>
              </w:trPr>
              <w:tc>
                <w:tcPr>
                  <w:tcW w:w="1744" w:type="pct"/>
                  <w:tcBorders>
                    <w:top w:val="single" w:color="auto" w:sz="4" w:space="0"/>
                    <w:left w:val="nil"/>
                    <w:bottom w:val="single" w:color="auto" w:sz="4" w:space="0"/>
                    <w:right w:val="single" w:color="auto" w:sz="4" w:space="0"/>
                  </w:tcBorders>
                  <w:vAlign w:val="center"/>
                </w:tcPr>
                <w:p>
                  <w:pPr>
                    <w:widowControl/>
                    <w:jc w:val="center"/>
                    <w:rPr>
                      <w:color w:val="auto"/>
                      <w:szCs w:val="21"/>
                    </w:rPr>
                  </w:pPr>
                  <w:r>
                    <w:rPr>
                      <w:color w:val="auto"/>
                      <w:szCs w:val="21"/>
                    </w:rPr>
                    <w:t>环境低度敏感区（E3）</w:t>
                  </w:r>
                </w:p>
              </w:tc>
              <w:tc>
                <w:tcPr>
                  <w:tcW w:w="894" w:type="pct"/>
                  <w:tcBorders>
                    <w:top w:val="single" w:color="auto" w:sz="4" w:space="0"/>
                    <w:left w:val="single" w:color="auto" w:sz="4" w:space="0"/>
                    <w:bottom w:val="single" w:color="auto" w:sz="4" w:space="0"/>
                    <w:right w:val="single" w:color="auto" w:sz="4" w:space="0"/>
                  </w:tcBorders>
                  <w:vAlign w:val="center"/>
                </w:tcPr>
                <w:p>
                  <w:pPr>
                    <w:widowControl/>
                    <w:jc w:val="center"/>
                    <w:rPr>
                      <w:color w:val="auto"/>
                      <w:szCs w:val="21"/>
                    </w:rPr>
                  </w:pPr>
                  <w:r>
                    <w:rPr>
                      <w:color w:val="auto"/>
                      <w:szCs w:val="21"/>
                    </w:rPr>
                    <w:t>Ⅲ</w:t>
                  </w:r>
                </w:p>
              </w:tc>
              <w:tc>
                <w:tcPr>
                  <w:tcW w:w="804" w:type="pct"/>
                  <w:tcBorders>
                    <w:top w:val="single" w:color="auto" w:sz="4" w:space="0"/>
                    <w:left w:val="single" w:color="auto" w:sz="4" w:space="0"/>
                    <w:bottom w:val="single" w:color="auto" w:sz="4" w:space="0"/>
                    <w:right w:val="single" w:color="auto" w:sz="4" w:space="0"/>
                  </w:tcBorders>
                  <w:vAlign w:val="center"/>
                </w:tcPr>
                <w:p>
                  <w:pPr>
                    <w:widowControl/>
                    <w:jc w:val="center"/>
                    <w:rPr>
                      <w:color w:val="auto"/>
                      <w:kern w:val="0"/>
                      <w:szCs w:val="21"/>
                    </w:rPr>
                  </w:pPr>
                  <w:r>
                    <w:rPr>
                      <w:color w:val="auto"/>
                      <w:kern w:val="0"/>
                      <w:szCs w:val="21"/>
                    </w:rPr>
                    <w:t>Ⅲ</w:t>
                  </w:r>
                </w:p>
              </w:tc>
              <w:tc>
                <w:tcPr>
                  <w:tcW w:w="804" w:type="pct"/>
                  <w:tcBorders>
                    <w:top w:val="single" w:color="auto" w:sz="4" w:space="0"/>
                    <w:left w:val="single" w:color="auto" w:sz="4" w:space="0"/>
                    <w:bottom w:val="single" w:color="auto" w:sz="4" w:space="0"/>
                    <w:right w:val="single" w:color="auto" w:sz="4" w:space="0"/>
                  </w:tcBorders>
                  <w:vAlign w:val="center"/>
                </w:tcPr>
                <w:p>
                  <w:pPr>
                    <w:widowControl/>
                    <w:jc w:val="center"/>
                    <w:rPr>
                      <w:color w:val="auto"/>
                      <w:kern w:val="0"/>
                      <w:szCs w:val="21"/>
                    </w:rPr>
                  </w:pPr>
                  <w:r>
                    <w:rPr>
                      <w:color w:val="auto"/>
                      <w:kern w:val="0"/>
                      <w:szCs w:val="21"/>
                    </w:rPr>
                    <w:t>Ⅱ</w:t>
                  </w:r>
                </w:p>
              </w:tc>
              <w:tc>
                <w:tcPr>
                  <w:tcW w:w="715" w:type="pct"/>
                  <w:tcBorders>
                    <w:top w:val="single" w:color="auto" w:sz="4" w:space="0"/>
                    <w:left w:val="single" w:color="auto" w:sz="4" w:space="0"/>
                    <w:bottom w:val="single" w:color="auto" w:sz="4" w:space="0"/>
                    <w:right w:val="nil"/>
                  </w:tcBorders>
                  <w:vAlign w:val="center"/>
                </w:tcPr>
                <w:p>
                  <w:pPr>
                    <w:widowControl/>
                    <w:jc w:val="center"/>
                    <w:rPr>
                      <w:color w:val="auto"/>
                      <w:kern w:val="0"/>
                      <w:szCs w:val="21"/>
                    </w:rPr>
                  </w:pPr>
                  <w:r>
                    <w:rPr>
                      <w:color w:val="auto"/>
                      <w:kern w:val="0"/>
                      <w:szCs w:val="21"/>
                    </w:rPr>
                    <w:t>Ⅰ</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232" w:hRule="atLeast"/>
              </w:trPr>
              <w:tc>
                <w:tcPr>
                  <w:tcW w:w="5000" w:type="pct"/>
                  <w:gridSpan w:val="6"/>
                  <w:tcBorders>
                    <w:top w:val="single" w:color="auto" w:sz="4" w:space="0"/>
                    <w:left w:val="nil"/>
                    <w:bottom w:val="single" w:color="auto" w:sz="12" w:space="0"/>
                    <w:right w:val="nil"/>
                  </w:tcBorders>
                  <w:vAlign w:val="center"/>
                </w:tcPr>
                <w:p>
                  <w:pPr>
                    <w:widowControl/>
                    <w:jc w:val="left"/>
                    <w:rPr>
                      <w:color w:val="auto"/>
                      <w:kern w:val="0"/>
                      <w:szCs w:val="21"/>
                    </w:rPr>
                  </w:pPr>
                  <w:r>
                    <w:rPr>
                      <w:color w:val="auto"/>
                      <w:kern w:val="0"/>
                      <w:szCs w:val="21"/>
                    </w:rPr>
                    <w:t>注：Ⅳ+为极高环境风险。</w:t>
                  </w:r>
                </w:p>
              </w:tc>
            </w:tr>
          </w:tbl>
          <w:p>
            <w:pPr>
              <w:pStyle w:val="68"/>
              <w:ind w:firstLine="496"/>
              <w:rPr>
                <w:color w:val="auto"/>
                <w:spacing w:val="4"/>
              </w:rPr>
            </w:pPr>
            <w:r>
              <w:rPr>
                <w:color w:val="auto"/>
                <w:spacing w:val="4"/>
              </w:rPr>
              <w:t>分析建设项目储存过程中涉及的易燃易爆物质，定量分析危险物质数量与临界量的比值（Q）和所属行业及生产工艺特点（M），按《建设项目环境风险评价技术导则》（HJ169-2018）附录C对危险物质及工艺系统危险性（P）等级进行判断。</w:t>
            </w:r>
          </w:p>
          <w:p>
            <w:pPr>
              <w:pStyle w:val="68"/>
              <w:ind w:firstLine="496"/>
              <w:rPr>
                <w:rFonts w:hint="eastAsia"/>
                <w:color w:val="auto"/>
                <w:spacing w:val="4"/>
              </w:rPr>
            </w:pPr>
            <w:r>
              <w:rPr>
                <w:color w:val="auto"/>
                <w:spacing w:val="4"/>
              </w:rPr>
              <w:t>参见《建设项目环境风险评价技术导则》（HJ169-2018）附录B</w:t>
            </w:r>
            <w:r>
              <w:rPr>
                <w:rFonts w:hint="eastAsia"/>
                <w:color w:val="auto"/>
                <w:spacing w:val="4"/>
              </w:rPr>
              <w:t>废机油</w:t>
            </w:r>
            <w:r>
              <w:rPr>
                <w:color w:val="auto"/>
                <w:spacing w:val="4"/>
              </w:rPr>
              <w:t>属于易燃物质，临界量为2500t，</w:t>
            </w:r>
            <w:r>
              <w:rPr>
                <w:rFonts w:hint="eastAsia"/>
                <w:color w:val="auto"/>
                <w:spacing w:val="4"/>
                <w:lang w:val="en-US" w:eastAsia="zh-CN"/>
              </w:rPr>
              <w:t>项目区</w:t>
            </w:r>
            <w:r>
              <w:rPr>
                <w:color w:val="auto"/>
                <w:spacing w:val="4"/>
                <w:szCs w:val="32"/>
              </w:rPr>
              <w:t>最大</w:t>
            </w:r>
            <w:r>
              <w:rPr>
                <w:rFonts w:hint="eastAsia"/>
                <w:color w:val="auto"/>
                <w:spacing w:val="4"/>
                <w:szCs w:val="32"/>
              </w:rPr>
              <w:t>存在总量</w:t>
            </w:r>
            <w:r>
              <w:rPr>
                <w:rFonts w:hint="eastAsia"/>
                <w:color w:val="auto"/>
                <w:spacing w:val="4"/>
              </w:rPr>
              <w:t>为0.</w:t>
            </w:r>
            <w:r>
              <w:rPr>
                <w:rFonts w:hint="eastAsia"/>
                <w:color w:val="auto"/>
                <w:spacing w:val="4"/>
                <w:lang w:val="en-US" w:eastAsia="zh-CN"/>
              </w:rPr>
              <w:t>5</w:t>
            </w:r>
            <w:r>
              <w:rPr>
                <w:rFonts w:hint="eastAsia"/>
                <w:color w:val="auto"/>
                <w:spacing w:val="4"/>
              </w:rPr>
              <w:t>t。</w:t>
            </w:r>
          </w:p>
          <w:p>
            <w:pPr>
              <w:pStyle w:val="68"/>
              <w:ind w:firstLine="496"/>
              <w:rPr>
                <w:rFonts w:hint="default" w:eastAsia="宋体"/>
                <w:color w:val="auto"/>
                <w:spacing w:val="4"/>
                <w:lang w:val="en-US" w:eastAsia="zh-CN"/>
              </w:rPr>
            </w:pPr>
            <w:r>
              <w:rPr>
                <w:rFonts w:hint="eastAsia"/>
                <w:color w:val="auto"/>
                <w:spacing w:val="4"/>
                <w:lang w:val="en-US" w:eastAsia="zh-CN"/>
              </w:rPr>
              <w:t>本项目仅为危险废物的暂存，不涉及废电瓶的运输、拆解及进一步加工，废铅酸电池发生破损的几率很低，铅酸电池的电极主要由铅及其氧化物制成，其电解液是硫酸溶液，因此，本环评仅针对铅酸电池的主要成分铅、硫酸进行危险性识别。</w:t>
            </w:r>
          </w:p>
          <w:p>
            <w:pPr>
              <w:pStyle w:val="68"/>
              <w:ind w:firstLine="496"/>
              <w:rPr>
                <w:color w:val="auto"/>
                <w:spacing w:val="4"/>
              </w:rPr>
            </w:pPr>
            <w:r>
              <w:rPr>
                <w:color w:val="auto"/>
                <w:spacing w:val="4"/>
              </w:rPr>
              <w:t>（3）评价等级</w:t>
            </w:r>
          </w:p>
          <w:p>
            <w:pPr>
              <w:adjustRightInd w:val="0"/>
              <w:snapToGrid w:val="0"/>
              <w:spacing w:line="520" w:lineRule="exact"/>
              <w:ind w:firstLine="496" w:firstLineChars="200"/>
              <w:rPr>
                <w:color w:val="auto"/>
                <w:spacing w:val="4"/>
                <w:sz w:val="24"/>
                <w:szCs w:val="32"/>
              </w:rPr>
            </w:pPr>
            <w:r>
              <w:rPr>
                <w:color w:val="auto"/>
                <w:spacing w:val="4"/>
                <w:sz w:val="24"/>
                <w:szCs w:val="32"/>
              </w:rPr>
              <w:t>根据项目危险物质为</w:t>
            </w:r>
            <w:r>
              <w:rPr>
                <w:rFonts w:hint="eastAsia"/>
                <w:color w:val="auto"/>
                <w:spacing w:val="4"/>
                <w:sz w:val="24"/>
                <w:szCs w:val="32"/>
              </w:rPr>
              <w:t>废机油</w:t>
            </w:r>
            <w:r>
              <w:rPr>
                <w:color w:val="auto"/>
                <w:spacing w:val="4"/>
                <w:sz w:val="24"/>
                <w:szCs w:val="32"/>
              </w:rPr>
              <w:t>，</w:t>
            </w:r>
            <w:r>
              <w:rPr>
                <w:rFonts w:hint="eastAsia"/>
                <w:color w:val="auto"/>
                <w:spacing w:val="4"/>
                <w:sz w:val="24"/>
                <w:szCs w:val="32"/>
              </w:rPr>
              <w:t>站区</w:t>
            </w:r>
            <w:r>
              <w:rPr>
                <w:color w:val="auto"/>
                <w:spacing w:val="4"/>
                <w:sz w:val="24"/>
                <w:szCs w:val="32"/>
              </w:rPr>
              <w:t>最大</w:t>
            </w:r>
            <w:r>
              <w:rPr>
                <w:rFonts w:hint="eastAsia"/>
                <w:color w:val="auto"/>
                <w:spacing w:val="4"/>
                <w:sz w:val="24"/>
                <w:szCs w:val="32"/>
              </w:rPr>
              <w:t>存在总量0.</w:t>
            </w:r>
            <w:r>
              <w:rPr>
                <w:rFonts w:hint="eastAsia"/>
                <w:color w:val="auto"/>
                <w:spacing w:val="4"/>
                <w:sz w:val="24"/>
                <w:szCs w:val="32"/>
                <w:lang w:val="en-US" w:eastAsia="zh-CN"/>
              </w:rPr>
              <w:t>5</w:t>
            </w:r>
            <w:r>
              <w:rPr>
                <w:color w:val="auto"/>
                <w:spacing w:val="4"/>
                <w:sz w:val="24"/>
                <w:szCs w:val="32"/>
              </w:rPr>
              <w:t>t，与临界量（2500t）的比值Q为0.00</w:t>
            </w:r>
            <w:r>
              <w:rPr>
                <w:rFonts w:hint="eastAsia"/>
                <w:color w:val="auto"/>
                <w:spacing w:val="4"/>
                <w:sz w:val="24"/>
                <w:szCs w:val="32"/>
              </w:rPr>
              <w:t>024</w:t>
            </w:r>
            <w:r>
              <w:rPr>
                <w:color w:val="auto"/>
                <w:spacing w:val="4"/>
                <w:sz w:val="24"/>
                <w:szCs w:val="32"/>
              </w:rPr>
              <w:t>小于1，对比《建设项目环境风险评价技术导则》（HJ169-2018）表1，环境风险潜势为</w:t>
            </w:r>
            <w:r>
              <w:rPr>
                <w:color w:val="auto"/>
                <w:spacing w:val="4"/>
                <w:sz w:val="24"/>
              </w:rPr>
              <w:t>Ⅰ</w:t>
            </w:r>
            <w:r>
              <w:rPr>
                <w:color w:val="auto"/>
                <w:spacing w:val="4"/>
                <w:sz w:val="24"/>
                <w:szCs w:val="32"/>
              </w:rPr>
              <w:t>，可知项目环境风险评价工作等级为简单分析。</w:t>
            </w:r>
          </w:p>
          <w:p>
            <w:pPr>
              <w:adjustRightInd w:val="0"/>
              <w:snapToGrid w:val="0"/>
              <w:spacing w:line="520" w:lineRule="exact"/>
              <w:ind w:firstLine="482" w:firstLineChars="200"/>
              <w:rPr>
                <w:b/>
                <w:color w:val="auto"/>
                <w:sz w:val="24"/>
                <w:szCs w:val="32"/>
              </w:rPr>
            </w:pPr>
            <w:r>
              <w:rPr>
                <w:rFonts w:hint="eastAsia"/>
                <w:b/>
                <w:color w:val="auto"/>
                <w:sz w:val="24"/>
                <w:szCs w:val="32"/>
                <w:lang w:val="en-US" w:eastAsia="zh-CN"/>
              </w:rPr>
              <w:t>6</w:t>
            </w:r>
            <w:r>
              <w:rPr>
                <w:rFonts w:hint="eastAsia"/>
                <w:b/>
                <w:color w:val="auto"/>
                <w:sz w:val="24"/>
                <w:szCs w:val="32"/>
              </w:rPr>
              <w:t>.2</w:t>
            </w:r>
            <w:r>
              <w:rPr>
                <w:b/>
                <w:color w:val="auto"/>
                <w:sz w:val="24"/>
                <w:szCs w:val="32"/>
              </w:rPr>
              <w:t>环境敏感目标</w:t>
            </w:r>
            <w:r>
              <w:rPr>
                <w:rFonts w:hint="eastAsia"/>
                <w:b/>
                <w:color w:val="auto"/>
                <w:sz w:val="24"/>
                <w:szCs w:val="32"/>
              </w:rPr>
              <w:t>概况</w:t>
            </w:r>
          </w:p>
          <w:p>
            <w:pPr>
              <w:adjustRightInd w:val="0"/>
              <w:snapToGrid w:val="0"/>
              <w:spacing w:line="520" w:lineRule="exact"/>
              <w:ind w:firstLine="480" w:firstLineChars="200"/>
              <w:rPr>
                <w:bCs/>
                <w:color w:val="auto"/>
                <w:sz w:val="24"/>
                <w:szCs w:val="32"/>
              </w:rPr>
            </w:pPr>
            <w:r>
              <w:rPr>
                <w:bCs/>
                <w:color w:val="auto"/>
                <w:sz w:val="24"/>
                <w:szCs w:val="32"/>
              </w:rPr>
              <w:t>根据危险物质可能的影响途径，确定项目环境敏感目标主要为评价范围内的居住区、医疗卫生、文化教育、科研、行政办公等人口集中区，</w:t>
            </w:r>
            <w:r>
              <w:rPr>
                <w:rFonts w:hint="eastAsia"/>
                <w:bCs/>
                <w:color w:val="auto"/>
                <w:sz w:val="24"/>
                <w:szCs w:val="32"/>
              </w:rPr>
              <w:t>本项目周围没有环境敏感目标。</w:t>
            </w:r>
            <w:r>
              <w:rPr>
                <w:bCs/>
                <w:color w:val="auto"/>
                <w:sz w:val="24"/>
                <w:szCs w:val="32"/>
              </w:rPr>
              <w:t>项目事故情况下可能影响地表水体、地下水及土壤。</w:t>
            </w:r>
          </w:p>
          <w:p>
            <w:pPr>
              <w:adjustRightInd w:val="0"/>
              <w:snapToGrid w:val="0"/>
              <w:spacing w:line="520" w:lineRule="exact"/>
              <w:ind w:firstLine="482" w:firstLineChars="200"/>
              <w:rPr>
                <w:b/>
                <w:color w:val="auto"/>
                <w:sz w:val="24"/>
                <w:szCs w:val="32"/>
              </w:rPr>
            </w:pPr>
            <w:r>
              <w:rPr>
                <w:rFonts w:hint="eastAsia"/>
                <w:b/>
                <w:color w:val="auto"/>
                <w:sz w:val="24"/>
                <w:szCs w:val="32"/>
                <w:lang w:val="en-US" w:eastAsia="zh-CN"/>
              </w:rPr>
              <w:t>6</w:t>
            </w:r>
            <w:r>
              <w:rPr>
                <w:rFonts w:hint="eastAsia"/>
                <w:b/>
                <w:color w:val="auto"/>
                <w:sz w:val="24"/>
                <w:szCs w:val="32"/>
              </w:rPr>
              <w:t>.3环境</w:t>
            </w:r>
            <w:r>
              <w:rPr>
                <w:b/>
                <w:color w:val="auto"/>
                <w:sz w:val="24"/>
                <w:szCs w:val="32"/>
              </w:rPr>
              <w:t>风险识别</w:t>
            </w:r>
          </w:p>
          <w:p>
            <w:pPr>
              <w:adjustRightInd w:val="0"/>
              <w:snapToGrid w:val="0"/>
              <w:spacing w:line="520" w:lineRule="exact"/>
              <w:ind w:firstLine="480" w:firstLineChars="200"/>
              <w:rPr>
                <w:bCs/>
                <w:color w:val="auto"/>
                <w:sz w:val="24"/>
                <w:szCs w:val="32"/>
              </w:rPr>
            </w:pPr>
            <w:r>
              <w:rPr>
                <w:rFonts w:hint="eastAsia"/>
                <w:bCs/>
                <w:color w:val="auto"/>
                <w:sz w:val="24"/>
                <w:szCs w:val="32"/>
              </w:rPr>
              <w:t>（1）</w:t>
            </w:r>
            <w:r>
              <w:rPr>
                <w:bCs/>
                <w:color w:val="auto"/>
                <w:sz w:val="24"/>
                <w:szCs w:val="32"/>
              </w:rPr>
              <w:t>风险物质识别</w:t>
            </w:r>
          </w:p>
          <w:p>
            <w:pPr>
              <w:adjustRightInd w:val="0"/>
              <w:spacing w:line="360" w:lineRule="auto"/>
              <w:ind w:firstLine="480" w:firstLineChars="200"/>
              <w:rPr>
                <w:b/>
                <w:bCs/>
                <w:color w:val="auto"/>
                <w:spacing w:val="6"/>
                <w:sz w:val="24"/>
              </w:rPr>
            </w:pPr>
            <w:r>
              <w:rPr>
                <w:rFonts w:ascii="宋体" w:hAnsi="宋体"/>
                <w:color w:val="auto"/>
                <w:sz w:val="24"/>
              </w:rPr>
              <w:t>本项目所涉及的风险</w:t>
            </w:r>
            <w:r>
              <w:rPr>
                <w:color w:val="auto"/>
                <w:sz w:val="24"/>
              </w:rPr>
              <w:t>物质为</w:t>
            </w:r>
            <w:r>
              <w:rPr>
                <w:rFonts w:hint="eastAsia"/>
                <w:color w:val="auto"/>
                <w:sz w:val="24"/>
              </w:rPr>
              <w:t>废机油，</w:t>
            </w:r>
            <w:r>
              <w:rPr>
                <w:rFonts w:hint="eastAsia"/>
                <w:color w:val="auto"/>
                <w:sz w:val="24"/>
                <w:lang w:val="en-US" w:eastAsia="zh-CN"/>
              </w:rPr>
              <w:t>硫酸、铅等，其</w:t>
            </w:r>
            <w:r>
              <w:rPr>
                <w:color w:val="auto"/>
                <w:sz w:val="24"/>
              </w:rPr>
              <w:t>性质见</w:t>
            </w:r>
            <w:r>
              <w:rPr>
                <w:rFonts w:hint="eastAsia"/>
                <w:color w:val="auto"/>
                <w:sz w:val="24"/>
              </w:rPr>
              <w:t>下表</w:t>
            </w:r>
            <w:r>
              <w:rPr>
                <w:color w:val="auto"/>
                <w:sz w:val="24"/>
              </w:rPr>
              <w:t>。</w:t>
            </w:r>
          </w:p>
          <w:p>
            <w:pPr>
              <w:jc w:val="center"/>
              <w:rPr>
                <w:b/>
                <w:bCs/>
                <w:color w:val="auto"/>
                <w:spacing w:val="6"/>
                <w:szCs w:val="21"/>
              </w:rPr>
            </w:pPr>
            <w:r>
              <w:rPr>
                <w:rFonts w:eastAsia="黑体"/>
                <w:color w:val="auto"/>
                <w:spacing w:val="6"/>
                <w:sz w:val="24"/>
              </w:rPr>
              <w:t>表</w:t>
            </w:r>
            <w:r>
              <w:rPr>
                <w:rFonts w:hint="eastAsia" w:eastAsia="黑体"/>
                <w:color w:val="auto"/>
                <w:spacing w:val="6"/>
                <w:sz w:val="24"/>
              </w:rPr>
              <w:t>4-</w:t>
            </w:r>
            <w:r>
              <w:rPr>
                <w:rFonts w:hint="eastAsia" w:eastAsia="黑体"/>
                <w:color w:val="auto"/>
                <w:spacing w:val="6"/>
                <w:sz w:val="24"/>
                <w:lang w:val="en-US" w:eastAsia="zh-CN"/>
              </w:rPr>
              <w:t>7</w:t>
            </w:r>
            <w:r>
              <w:rPr>
                <w:rFonts w:eastAsia="黑体"/>
                <w:color w:val="auto"/>
                <w:spacing w:val="6"/>
                <w:sz w:val="24"/>
              </w:rPr>
              <w:t xml:space="preserve">  </w:t>
            </w:r>
            <w:r>
              <w:rPr>
                <w:rFonts w:hint="eastAsia" w:eastAsia="黑体"/>
                <w:color w:val="auto"/>
                <w:spacing w:val="6"/>
                <w:sz w:val="24"/>
              </w:rPr>
              <w:t>废机</w:t>
            </w:r>
            <w:r>
              <w:rPr>
                <w:rFonts w:eastAsia="黑体"/>
                <w:color w:val="auto"/>
                <w:spacing w:val="6"/>
                <w:sz w:val="24"/>
              </w:rPr>
              <w:t>油的理化性质和危险特性</w:t>
            </w:r>
          </w:p>
          <w:tbl>
            <w:tblPr>
              <w:tblStyle w:val="31"/>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53"/>
              <w:gridCol w:w="2794"/>
              <w:gridCol w:w="1730"/>
              <w:gridCol w:w="312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10" w:hRule="exact"/>
                <w:jc w:val="center"/>
              </w:trPr>
              <w:tc>
                <w:tcPr>
                  <w:tcW w:w="5000" w:type="pct"/>
                  <w:gridSpan w:val="4"/>
                  <w:tcBorders>
                    <w:bottom w:val="single" w:color="auto" w:sz="12" w:space="0"/>
                  </w:tcBorders>
                  <w:vAlign w:val="center"/>
                </w:tcPr>
                <w:p>
                  <w:pPr>
                    <w:jc w:val="center"/>
                    <w:rPr>
                      <w:bCs/>
                      <w:color w:val="auto"/>
                      <w:szCs w:val="21"/>
                    </w:rPr>
                  </w:pPr>
                  <w:r>
                    <w:rPr>
                      <w:bCs/>
                      <w:color w:val="auto"/>
                      <w:szCs w:val="21"/>
                    </w:rPr>
                    <w:t>危险性概述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19" w:hRule="exact"/>
                <w:jc w:val="center"/>
              </w:trPr>
              <w:tc>
                <w:tcPr>
                  <w:tcW w:w="704" w:type="pct"/>
                  <w:tcBorders>
                    <w:top w:val="single" w:color="auto" w:sz="12" w:space="0"/>
                  </w:tcBorders>
                  <w:vAlign w:val="center"/>
                </w:tcPr>
                <w:p>
                  <w:pPr>
                    <w:jc w:val="center"/>
                    <w:rPr>
                      <w:color w:val="auto"/>
                      <w:szCs w:val="21"/>
                    </w:rPr>
                  </w:pPr>
                  <w:r>
                    <w:rPr>
                      <w:color w:val="auto"/>
                      <w:szCs w:val="21"/>
                    </w:rPr>
                    <w:t>中文名称</w:t>
                  </w:r>
                </w:p>
              </w:tc>
              <w:tc>
                <w:tcPr>
                  <w:tcW w:w="1570" w:type="pct"/>
                  <w:tcBorders>
                    <w:top w:val="single" w:color="auto" w:sz="12" w:space="0"/>
                  </w:tcBorders>
                  <w:vAlign w:val="center"/>
                </w:tcPr>
                <w:p>
                  <w:pPr>
                    <w:jc w:val="center"/>
                    <w:rPr>
                      <w:color w:val="auto"/>
                      <w:szCs w:val="21"/>
                    </w:rPr>
                  </w:pPr>
                  <w:r>
                    <w:rPr>
                      <w:rFonts w:hint="eastAsia"/>
                      <w:color w:val="auto"/>
                      <w:szCs w:val="21"/>
                    </w:rPr>
                    <w:t>废机油</w:t>
                  </w:r>
                </w:p>
              </w:tc>
              <w:tc>
                <w:tcPr>
                  <w:tcW w:w="972" w:type="pct"/>
                  <w:tcBorders>
                    <w:top w:val="single" w:color="auto" w:sz="12" w:space="0"/>
                  </w:tcBorders>
                  <w:vAlign w:val="center"/>
                </w:tcPr>
                <w:p>
                  <w:pPr>
                    <w:jc w:val="center"/>
                    <w:rPr>
                      <w:color w:val="auto"/>
                      <w:szCs w:val="21"/>
                    </w:rPr>
                  </w:pPr>
                  <w:r>
                    <w:rPr>
                      <w:color w:val="auto"/>
                      <w:szCs w:val="21"/>
                    </w:rPr>
                    <w:t>外观与</w:t>
                  </w:r>
                  <w:r>
                    <w:rPr>
                      <w:rFonts w:hint="eastAsia"/>
                      <w:color w:val="auto"/>
                      <w:szCs w:val="21"/>
                    </w:rPr>
                    <w:t>性质</w:t>
                  </w:r>
                </w:p>
              </w:tc>
              <w:tc>
                <w:tcPr>
                  <w:tcW w:w="1753" w:type="pct"/>
                  <w:tcBorders>
                    <w:top w:val="single" w:color="auto" w:sz="12" w:space="0"/>
                  </w:tcBorders>
                  <w:vAlign w:val="center"/>
                </w:tcPr>
                <w:p>
                  <w:pPr>
                    <w:jc w:val="center"/>
                    <w:rPr>
                      <w:color w:val="auto"/>
                      <w:szCs w:val="21"/>
                    </w:rPr>
                  </w:pPr>
                  <w:r>
                    <w:rPr>
                      <w:rFonts w:hint="eastAsia"/>
                      <w:color w:val="auto"/>
                      <w:szCs w:val="21"/>
                    </w:rPr>
                    <w:t>无色液体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35" w:hRule="exact"/>
                <w:jc w:val="center"/>
              </w:trPr>
              <w:tc>
                <w:tcPr>
                  <w:tcW w:w="704" w:type="pct"/>
                  <w:vAlign w:val="center"/>
                </w:tcPr>
                <w:p>
                  <w:pPr>
                    <w:jc w:val="center"/>
                    <w:rPr>
                      <w:color w:val="auto"/>
                      <w:szCs w:val="21"/>
                    </w:rPr>
                  </w:pPr>
                  <w:r>
                    <w:rPr>
                      <w:color w:val="auto"/>
                      <w:szCs w:val="21"/>
                    </w:rPr>
                    <w:t>闪点（℃）</w:t>
                  </w:r>
                </w:p>
              </w:tc>
              <w:tc>
                <w:tcPr>
                  <w:tcW w:w="1570" w:type="pct"/>
                  <w:vAlign w:val="center"/>
                </w:tcPr>
                <w:p>
                  <w:pPr>
                    <w:jc w:val="center"/>
                    <w:rPr>
                      <w:color w:val="auto"/>
                      <w:szCs w:val="21"/>
                    </w:rPr>
                  </w:pPr>
                  <w:r>
                    <w:rPr>
                      <w:rFonts w:hint="eastAsia"/>
                      <w:color w:val="auto"/>
                      <w:szCs w:val="21"/>
                    </w:rPr>
                    <w:t>-22</w:t>
                  </w:r>
                </w:p>
              </w:tc>
              <w:tc>
                <w:tcPr>
                  <w:tcW w:w="972" w:type="pct"/>
                  <w:vAlign w:val="center"/>
                </w:tcPr>
                <w:p>
                  <w:pPr>
                    <w:jc w:val="center"/>
                    <w:rPr>
                      <w:color w:val="auto"/>
                      <w:szCs w:val="21"/>
                    </w:rPr>
                  </w:pPr>
                  <w:r>
                    <w:rPr>
                      <w:color w:val="auto"/>
                      <w:szCs w:val="21"/>
                    </w:rPr>
                    <w:t>沸点（℃）</w:t>
                  </w:r>
                </w:p>
              </w:tc>
              <w:tc>
                <w:tcPr>
                  <w:tcW w:w="1753" w:type="pct"/>
                  <w:vAlign w:val="center"/>
                </w:tcPr>
                <w:p>
                  <w:pPr>
                    <w:jc w:val="center"/>
                    <w:rPr>
                      <w:color w:val="auto"/>
                      <w:szCs w:val="21"/>
                    </w:rPr>
                  </w:pPr>
                  <w:r>
                    <w:rPr>
                      <w:rFonts w:hint="eastAsia"/>
                      <w:color w:val="auto"/>
                      <w:szCs w:val="21"/>
                    </w:rPr>
                    <w:t>69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trHeight w:val="335" w:hRule="exact"/>
                <w:jc w:val="center"/>
              </w:trPr>
              <w:tc>
                <w:tcPr>
                  <w:tcW w:w="704" w:type="pct"/>
                  <w:vAlign w:val="center"/>
                </w:tcPr>
                <w:p>
                  <w:pPr>
                    <w:jc w:val="center"/>
                    <w:rPr>
                      <w:color w:val="auto"/>
                      <w:szCs w:val="21"/>
                    </w:rPr>
                  </w:pPr>
                  <w:r>
                    <w:rPr>
                      <w:color w:val="auto"/>
                      <w:szCs w:val="21"/>
                    </w:rPr>
                    <w:t>密度</w:t>
                  </w:r>
                </w:p>
              </w:tc>
              <w:tc>
                <w:tcPr>
                  <w:tcW w:w="1570" w:type="pct"/>
                  <w:vAlign w:val="center"/>
                </w:tcPr>
                <w:p>
                  <w:pPr>
                    <w:jc w:val="center"/>
                    <w:rPr>
                      <w:color w:val="auto"/>
                      <w:szCs w:val="21"/>
                    </w:rPr>
                  </w:pPr>
                  <w:r>
                    <w:rPr>
                      <w:color w:val="auto"/>
                      <w:szCs w:val="21"/>
                    </w:rPr>
                    <w:t>相对密度（水＝1）</w:t>
                  </w:r>
                  <w:r>
                    <w:rPr>
                      <w:rFonts w:hint="eastAsia"/>
                      <w:color w:val="auto"/>
                      <w:szCs w:val="21"/>
                    </w:rPr>
                    <w:t>0.66</w:t>
                  </w:r>
                </w:p>
              </w:tc>
              <w:tc>
                <w:tcPr>
                  <w:tcW w:w="972" w:type="pct"/>
                  <w:vAlign w:val="center"/>
                </w:tcPr>
                <w:p>
                  <w:pPr>
                    <w:jc w:val="center"/>
                    <w:rPr>
                      <w:color w:val="auto"/>
                      <w:szCs w:val="21"/>
                    </w:rPr>
                  </w:pPr>
                  <w:r>
                    <w:rPr>
                      <w:color w:val="auto"/>
                      <w:szCs w:val="21"/>
                    </w:rPr>
                    <w:t>稳定性</w:t>
                  </w:r>
                </w:p>
              </w:tc>
              <w:tc>
                <w:tcPr>
                  <w:tcW w:w="1753" w:type="pct"/>
                  <w:vAlign w:val="center"/>
                </w:tcPr>
                <w:p>
                  <w:pPr>
                    <w:jc w:val="center"/>
                    <w:rPr>
                      <w:color w:val="auto"/>
                      <w:szCs w:val="21"/>
                    </w:rPr>
                  </w:pPr>
                  <w:r>
                    <w:rPr>
                      <w:color w:val="auto"/>
                      <w:szCs w:val="21"/>
                    </w:rPr>
                    <w:t>稳定</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trHeight w:val="505" w:hRule="atLeast"/>
                <w:jc w:val="center"/>
              </w:trPr>
              <w:tc>
                <w:tcPr>
                  <w:tcW w:w="704" w:type="pct"/>
                  <w:vAlign w:val="center"/>
                </w:tcPr>
                <w:p>
                  <w:pPr>
                    <w:jc w:val="center"/>
                    <w:rPr>
                      <w:color w:val="auto"/>
                      <w:szCs w:val="21"/>
                    </w:rPr>
                  </w:pPr>
                  <w:r>
                    <w:rPr>
                      <w:color w:val="auto"/>
                      <w:szCs w:val="21"/>
                    </w:rPr>
                    <w:t>健康危害</w:t>
                  </w:r>
                </w:p>
              </w:tc>
              <w:tc>
                <w:tcPr>
                  <w:tcW w:w="4295" w:type="pct"/>
                  <w:gridSpan w:val="3"/>
                  <w:vAlign w:val="center"/>
                </w:tcPr>
                <w:p>
                  <w:pPr>
                    <w:pStyle w:val="28"/>
                    <w:tabs>
                      <w:tab w:val="clear" w:pos="5580"/>
                    </w:tabs>
                    <w:spacing w:line="240" w:lineRule="auto"/>
                    <w:jc w:val="center"/>
                    <w:rPr>
                      <w:rFonts w:ascii="Times New Roman" w:hAnsi="Times New Roman"/>
                      <w:color w:val="auto"/>
                      <w:spacing w:val="0"/>
                      <w:szCs w:val="21"/>
                    </w:rPr>
                  </w:pPr>
                  <w:r>
                    <w:rPr>
                      <w:rFonts w:hint="eastAsia" w:ascii="Times New Roman" w:hAnsi="Times New Roman"/>
                      <w:color w:val="auto"/>
                      <w:spacing w:val="0"/>
                      <w:szCs w:val="21"/>
                    </w:rPr>
                    <w:t>本品有麻醉和刺激作用，长期接触可致周围神经炎。吸入高浓度本品出现头痛、头晕、恶心、共济失调等；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trHeight w:val="351" w:hRule="exact"/>
                <w:jc w:val="center"/>
              </w:trPr>
              <w:tc>
                <w:tcPr>
                  <w:tcW w:w="704" w:type="pct"/>
                  <w:vAlign w:val="center"/>
                </w:tcPr>
                <w:p>
                  <w:pPr>
                    <w:jc w:val="center"/>
                    <w:rPr>
                      <w:color w:val="auto"/>
                      <w:szCs w:val="21"/>
                    </w:rPr>
                  </w:pPr>
                  <w:r>
                    <w:rPr>
                      <w:color w:val="auto"/>
                      <w:szCs w:val="21"/>
                    </w:rPr>
                    <w:t>安全危害</w:t>
                  </w:r>
                </w:p>
              </w:tc>
              <w:tc>
                <w:tcPr>
                  <w:tcW w:w="4295" w:type="pct"/>
                  <w:gridSpan w:val="3"/>
                  <w:vAlign w:val="center"/>
                </w:tcPr>
                <w:p>
                  <w:pPr>
                    <w:jc w:val="center"/>
                    <w:rPr>
                      <w:color w:val="auto"/>
                      <w:szCs w:val="21"/>
                    </w:rPr>
                  </w:pPr>
                  <w:r>
                    <w:rPr>
                      <w:rFonts w:hint="eastAsia"/>
                      <w:color w:val="auto"/>
                      <w:szCs w:val="21"/>
                    </w:rPr>
                    <w:t>可燃，并具有腐蚀性，属于危险废物；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trHeight w:val="566" w:hRule="exact"/>
                <w:jc w:val="center"/>
              </w:trPr>
              <w:tc>
                <w:tcPr>
                  <w:tcW w:w="704" w:type="pct"/>
                  <w:vAlign w:val="center"/>
                </w:tcPr>
                <w:p>
                  <w:pPr>
                    <w:jc w:val="center"/>
                    <w:rPr>
                      <w:color w:val="auto"/>
                      <w:szCs w:val="21"/>
                    </w:rPr>
                  </w:pPr>
                  <w:r>
                    <w:rPr>
                      <w:color w:val="auto"/>
                      <w:szCs w:val="21"/>
                    </w:rPr>
                    <w:t>吸入</w:t>
                  </w:r>
                </w:p>
              </w:tc>
              <w:tc>
                <w:tcPr>
                  <w:tcW w:w="4295" w:type="pct"/>
                  <w:gridSpan w:val="3"/>
                  <w:vAlign w:val="center"/>
                </w:tcPr>
                <w:p>
                  <w:pPr>
                    <w:jc w:val="center"/>
                    <w:rPr>
                      <w:color w:val="auto"/>
                      <w:szCs w:val="21"/>
                    </w:rPr>
                  </w:pPr>
                  <w:r>
                    <w:rPr>
                      <w:color w:val="auto"/>
                      <w:szCs w:val="21"/>
                    </w:rPr>
                    <w:t>眩晕或反胃不太可能出现，如果发生，将患者移到有新鲜空气的地方、若症状持续则要求求助医生</w:t>
                  </w:r>
                  <w:r>
                    <w:rPr>
                      <w:rFonts w:hint="eastAsia"/>
                      <w:color w:val="auto"/>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trHeight w:val="549" w:hRule="exact"/>
                <w:jc w:val="center"/>
              </w:trPr>
              <w:tc>
                <w:tcPr>
                  <w:tcW w:w="704" w:type="pct"/>
                  <w:vAlign w:val="center"/>
                </w:tcPr>
                <w:p>
                  <w:pPr>
                    <w:jc w:val="center"/>
                    <w:rPr>
                      <w:color w:val="auto"/>
                      <w:szCs w:val="21"/>
                    </w:rPr>
                  </w:pPr>
                  <w:r>
                    <w:rPr>
                      <w:color w:val="auto"/>
                      <w:szCs w:val="21"/>
                    </w:rPr>
                    <w:t>危险</w:t>
                  </w:r>
                  <w:r>
                    <w:rPr>
                      <w:rFonts w:hint="eastAsia"/>
                      <w:color w:val="auto"/>
                      <w:szCs w:val="21"/>
                    </w:rPr>
                    <w:t>性类别</w:t>
                  </w:r>
                </w:p>
              </w:tc>
              <w:tc>
                <w:tcPr>
                  <w:tcW w:w="4295" w:type="pct"/>
                  <w:gridSpan w:val="3"/>
                  <w:vAlign w:val="center"/>
                </w:tcPr>
                <w:p>
                  <w:pPr>
                    <w:jc w:val="center"/>
                    <w:rPr>
                      <w:color w:val="auto"/>
                      <w:szCs w:val="21"/>
                    </w:rPr>
                  </w:pPr>
                  <w:r>
                    <w:rPr>
                      <w:rFonts w:hint="eastAsia"/>
                      <w:color w:val="auto"/>
                      <w:szCs w:val="21"/>
                    </w:rPr>
                    <w:t>易燃，其蒸气与空气可形成爆炸性混合物，遇明火、高热能引起燃烧爆炸。与氧化剂接触发生化学反应，甚至引起燃烧。</w:t>
                  </w:r>
                </w:p>
              </w:tc>
            </w:tr>
          </w:tbl>
          <w:p>
            <w:pPr>
              <w:ind w:firstLine="482"/>
              <w:jc w:val="center"/>
              <w:rPr>
                <w:b/>
                <w:color w:val="auto"/>
              </w:rPr>
            </w:pPr>
            <w:r>
              <w:rPr>
                <w:rFonts w:hint="eastAsia" w:ascii="Times New Roman" w:hAnsi="Times New Roman" w:eastAsia="黑体" w:cs="Times New Roman"/>
                <w:color w:val="auto"/>
                <w:spacing w:val="6"/>
                <w:sz w:val="24"/>
                <w:lang w:val="en-US" w:eastAsia="zh-CN"/>
              </w:rPr>
              <w:t>4-8</w:t>
            </w:r>
            <w:r>
              <w:rPr>
                <w:rFonts w:hint="eastAsia" w:ascii="Times New Roman" w:hAnsi="Times New Roman" w:eastAsia="黑体" w:cs="Times New Roman"/>
                <w:color w:val="auto"/>
                <w:spacing w:val="6"/>
                <w:sz w:val="24"/>
              </w:rPr>
              <w:t xml:space="preserve">  硫酸理化性质及特性一览表</w:t>
            </w:r>
          </w:p>
          <w:tbl>
            <w:tblPr>
              <w:tblStyle w:val="31"/>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59"/>
              <w:gridCol w:w="55"/>
              <w:gridCol w:w="1491"/>
              <w:gridCol w:w="938"/>
              <w:gridCol w:w="53"/>
              <w:gridCol w:w="418"/>
              <w:gridCol w:w="344"/>
              <w:gridCol w:w="594"/>
              <w:gridCol w:w="521"/>
              <w:gridCol w:w="242"/>
              <w:gridCol w:w="297"/>
              <w:gridCol w:w="1036"/>
              <w:gridCol w:w="705"/>
              <w:gridCol w:w="105"/>
              <w:gridCol w:w="343"/>
              <w:gridCol w:w="129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258" w:type="pct"/>
                  <w:vMerge w:val="restart"/>
                  <w:tcBorders>
                    <w:tl2br w:val="nil"/>
                    <w:tr2bl w:val="nil"/>
                  </w:tcBorders>
                  <w:vAlign w:val="center"/>
                </w:tcPr>
                <w:p>
                  <w:pPr>
                    <w:pStyle w:val="90"/>
                    <w:rPr>
                      <w:rFonts w:hint="default" w:ascii="Times New Roman" w:hAnsi="Times New Roman" w:cs="Times New Roman"/>
                      <w:color w:val="auto"/>
                    </w:rPr>
                  </w:pPr>
                  <w:r>
                    <w:rPr>
                      <w:rFonts w:hint="default" w:ascii="Times New Roman" w:hAnsi="Times New Roman" w:cs="Times New Roman"/>
                      <w:color w:val="auto"/>
                    </w:rPr>
                    <w:t>标</w:t>
                  </w:r>
                </w:p>
                <w:p>
                  <w:pPr>
                    <w:pStyle w:val="90"/>
                    <w:rPr>
                      <w:rFonts w:hint="default" w:ascii="Times New Roman" w:hAnsi="Times New Roman" w:cs="Times New Roman"/>
                      <w:color w:val="auto"/>
                    </w:rPr>
                  </w:pPr>
                </w:p>
                <w:p>
                  <w:pPr>
                    <w:pStyle w:val="90"/>
                    <w:rPr>
                      <w:rFonts w:hint="default" w:ascii="Times New Roman" w:hAnsi="Times New Roman" w:cs="Times New Roman"/>
                      <w:color w:val="auto"/>
                    </w:rPr>
                  </w:pPr>
                  <w:r>
                    <w:rPr>
                      <w:rFonts w:hint="default" w:ascii="Times New Roman" w:hAnsi="Times New Roman" w:cs="Times New Roman"/>
                      <w:color w:val="auto"/>
                    </w:rPr>
                    <w:t>识</w:t>
                  </w:r>
                </w:p>
              </w:tc>
              <w:tc>
                <w:tcPr>
                  <w:tcW w:w="1396" w:type="pct"/>
                  <w:gridSpan w:val="3"/>
                  <w:tcBorders>
                    <w:tl2br w:val="nil"/>
                    <w:tr2bl w:val="nil"/>
                  </w:tcBorders>
                  <w:vAlign w:val="center"/>
                </w:tcPr>
                <w:p>
                  <w:pPr>
                    <w:pStyle w:val="90"/>
                    <w:rPr>
                      <w:rFonts w:hint="default" w:ascii="Times New Roman" w:hAnsi="Times New Roman" w:cs="Times New Roman"/>
                      <w:color w:val="auto"/>
                    </w:rPr>
                  </w:pPr>
                  <w:r>
                    <w:rPr>
                      <w:rFonts w:hint="default" w:ascii="Times New Roman" w:hAnsi="Times New Roman" w:cs="Times New Roman"/>
                      <w:color w:val="auto"/>
                    </w:rPr>
                    <w:t>中文名：硫酸</w:t>
                  </w:r>
                </w:p>
              </w:tc>
              <w:tc>
                <w:tcPr>
                  <w:tcW w:w="1221" w:type="pct"/>
                  <w:gridSpan w:val="6"/>
                  <w:tcBorders>
                    <w:tl2br w:val="nil"/>
                    <w:tr2bl w:val="nil"/>
                  </w:tcBorders>
                  <w:vAlign w:val="center"/>
                </w:tcPr>
                <w:p>
                  <w:pPr>
                    <w:pStyle w:val="90"/>
                    <w:rPr>
                      <w:rFonts w:hint="default" w:ascii="Times New Roman" w:hAnsi="Times New Roman" w:cs="Times New Roman"/>
                      <w:color w:val="auto"/>
                    </w:rPr>
                  </w:pPr>
                  <w:r>
                    <w:rPr>
                      <w:rFonts w:hint="default" w:ascii="Times New Roman" w:hAnsi="Times New Roman" w:cs="Times New Roman"/>
                      <w:color w:val="auto"/>
                    </w:rPr>
                    <w:t>UN编号：1830</w:t>
                  </w:r>
                </w:p>
              </w:tc>
              <w:tc>
                <w:tcPr>
                  <w:tcW w:w="2125" w:type="pct"/>
                  <w:gridSpan w:val="6"/>
                  <w:tcBorders>
                    <w:tl2br w:val="nil"/>
                    <w:tr2bl w:val="nil"/>
                  </w:tcBorders>
                  <w:vAlign w:val="center"/>
                </w:tcPr>
                <w:p>
                  <w:pPr>
                    <w:pStyle w:val="90"/>
                    <w:rPr>
                      <w:rFonts w:hint="default" w:ascii="Times New Roman" w:hAnsi="Times New Roman" w:cs="Times New Roman"/>
                      <w:color w:val="auto"/>
                    </w:rPr>
                  </w:pPr>
                  <w:r>
                    <w:rPr>
                      <w:rFonts w:hint="default" w:ascii="Times New Roman" w:hAnsi="Times New Roman" w:cs="Times New Roman"/>
                      <w:color w:val="auto"/>
                    </w:rPr>
                    <w:t>危险化学品目录序号：1302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8" w:type="pct"/>
                  <w:vMerge w:val="continue"/>
                  <w:tcBorders>
                    <w:tl2br w:val="nil"/>
                    <w:tr2bl w:val="nil"/>
                  </w:tcBorders>
                  <w:vAlign w:val="center"/>
                </w:tcPr>
                <w:p>
                  <w:pPr>
                    <w:pStyle w:val="90"/>
                    <w:rPr>
                      <w:rFonts w:hint="default" w:ascii="Times New Roman" w:hAnsi="Times New Roman" w:cs="Times New Roman"/>
                      <w:color w:val="auto"/>
                    </w:rPr>
                  </w:pPr>
                </w:p>
              </w:tc>
              <w:tc>
                <w:tcPr>
                  <w:tcW w:w="1396" w:type="pct"/>
                  <w:gridSpan w:val="3"/>
                  <w:tcBorders>
                    <w:tl2br w:val="nil"/>
                    <w:tr2bl w:val="nil"/>
                  </w:tcBorders>
                  <w:vAlign w:val="center"/>
                </w:tcPr>
                <w:p>
                  <w:pPr>
                    <w:pStyle w:val="90"/>
                    <w:rPr>
                      <w:rFonts w:hint="default" w:ascii="Times New Roman" w:hAnsi="Times New Roman" w:cs="Times New Roman"/>
                      <w:color w:val="auto"/>
                    </w:rPr>
                  </w:pPr>
                  <w:r>
                    <w:rPr>
                      <w:rFonts w:hint="default" w:ascii="Times New Roman" w:hAnsi="Times New Roman" w:cs="Times New Roman"/>
                      <w:color w:val="auto"/>
                    </w:rPr>
                    <w:t>英文名</w:t>
                  </w:r>
                  <w:r>
                    <w:rPr>
                      <w:rFonts w:hint="default" w:ascii="Times New Roman" w:hAnsi="Times New Roman" w:cs="Times New Roman"/>
                      <w:color w:val="auto"/>
                      <w:lang w:val="en-GB"/>
                    </w:rPr>
                    <w:t>：</w:t>
                  </w:r>
                  <w:r>
                    <w:rPr>
                      <w:rFonts w:hint="default" w:ascii="Times New Roman" w:hAnsi="Times New Roman" w:cs="Times New Roman"/>
                      <w:color w:val="auto"/>
                    </w:rPr>
                    <w:t>sufuric aacid</w:t>
                  </w:r>
                </w:p>
              </w:tc>
              <w:tc>
                <w:tcPr>
                  <w:tcW w:w="1221" w:type="pct"/>
                  <w:gridSpan w:val="6"/>
                  <w:tcBorders>
                    <w:tl2br w:val="nil"/>
                    <w:tr2bl w:val="nil"/>
                  </w:tcBorders>
                  <w:vAlign w:val="center"/>
                </w:tcPr>
                <w:p>
                  <w:pPr>
                    <w:pStyle w:val="90"/>
                    <w:rPr>
                      <w:rFonts w:hint="default" w:ascii="Times New Roman" w:hAnsi="Times New Roman" w:cs="Times New Roman"/>
                      <w:color w:val="auto"/>
                    </w:rPr>
                  </w:pPr>
                  <w:r>
                    <w:rPr>
                      <w:rFonts w:hint="default" w:ascii="Times New Roman" w:hAnsi="Times New Roman" w:cs="Times New Roman"/>
                      <w:color w:val="auto"/>
                    </w:rPr>
                    <w:t>分子式</w:t>
                  </w:r>
                  <w:r>
                    <w:rPr>
                      <w:rFonts w:hint="default" w:ascii="Times New Roman" w:hAnsi="Times New Roman" w:cs="Times New Roman"/>
                      <w:color w:val="auto"/>
                      <w:lang w:val="en-GB"/>
                    </w:rPr>
                    <w:t>：</w:t>
                  </w:r>
                  <w:r>
                    <w:rPr>
                      <w:rFonts w:hint="default" w:ascii="Times New Roman" w:hAnsi="Times New Roman" w:cs="Times New Roman"/>
                      <w:color w:val="auto"/>
                    </w:rPr>
                    <w:t>H2SO4</w:t>
                  </w:r>
                </w:p>
              </w:tc>
              <w:tc>
                <w:tcPr>
                  <w:tcW w:w="2125" w:type="pct"/>
                  <w:gridSpan w:val="6"/>
                  <w:vMerge w:val="restart"/>
                  <w:tcBorders>
                    <w:tl2br w:val="nil"/>
                    <w:tr2bl w:val="nil"/>
                  </w:tcBorders>
                  <w:vAlign w:val="center"/>
                </w:tcPr>
                <w:p>
                  <w:pPr>
                    <w:pStyle w:val="90"/>
                    <w:rPr>
                      <w:rFonts w:hint="default" w:ascii="Times New Roman" w:hAnsi="Times New Roman" w:cs="Times New Roman"/>
                      <w:color w:val="auto"/>
                    </w:rPr>
                  </w:pPr>
                  <w:r>
                    <w:rPr>
                      <w:rFonts w:hint="default" w:ascii="Times New Roman" w:hAnsi="Times New Roman" w:cs="Times New Roman"/>
                      <w:color w:val="auto"/>
                    </w:rPr>
                    <w:t>危险性类别：皮肤腐蚀/刺激，类别1A</w:t>
                  </w:r>
                </w:p>
                <w:p>
                  <w:pPr>
                    <w:pStyle w:val="90"/>
                    <w:rPr>
                      <w:rFonts w:hint="default" w:ascii="Times New Roman" w:hAnsi="Times New Roman" w:cs="Times New Roman"/>
                      <w:color w:val="auto"/>
                    </w:rPr>
                  </w:pPr>
                  <w:r>
                    <w:rPr>
                      <w:rFonts w:hint="default" w:ascii="Times New Roman" w:hAnsi="Times New Roman" w:cs="Times New Roman"/>
                      <w:color w:val="auto"/>
                    </w:rPr>
                    <w:t>严重眼损伤/眼刺激，类别1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258" w:type="pct"/>
                  <w:vMerge w:val="continue"/>
                  <w:tcBorders>
                    <w:tl2br w:val="nil"/>
                    <w:tr2bl w:val="nil"/>
                  </w:tcBorders>
                  <w:vAlign w:val="center"/>
                </w:tcPr>
                <w:p>
                  <w:pPr>
                    <w:pStyle w:val="90"/>
                    <w:rPr>
                      <w:rFonts w:hint="default" w:ascii="Times New Roman" w:hAnsi="Times New Roman" w:cs="Times New Roman"/>
                      <w:color w:val="auto"/>
                    </w:rPr>
                  </w:pPr>
                </w:p>
              </w:tc>
              <w:tc>
                <w:tcPr>
                  <w:tcW w:w="1396" w:type="pct"/>
                  <w:gridSpan w:val="3"/>
                  <w:tcBorders>
                    <w:tl2br w:val="nil"/>
                    <w:tr2bl w:val="nil"/>
                  </w:tcBorders>
                  <w:vAlign w:val="center"/>
                </w:tcPr>
                <w:p>
                  <w:pPr>
                    <w:pStyle w:val="90"/>
                    <w:rPr>
                      <w:rFonts w:hint="default" w:ascii="Times New Roman" w:hAnsi="Times New Roman" w:cs="Times New Roman"/>
                      <w:color w:val="auto"/>
                    </w:rPr>
                  </w:pPr>
                  <w:r>
                    <w:rPr>
                      <w:rFonts w:hint="default" w:ascii="Times New Roman" w:hAnsi="Times New Roman" w:cs="Times New Roman"/>
                      <w:color w:val="auto"/>
                    </w:rPr>
                    <w:t>CAS号：7664-93-9</w:t>
                  </w:r>
                </w:p>
              </w:tc>
              <w:tc>
                <w:tcPr>
                  <w:tcW w:w="1221" w:type="pct"/>
                  <w:gridSpan w:val="6"/>
                  <w:tcBorders>
                    <w:tl2br w:val="nil"/>
                    <w:tr2bl w:val="nil"/>
                  </w:tcBorders>
                  <w:vAlign w:val="center"/>
                </w:tcPr>
                <w:p>
                  <w:pPr>
                    <w:pStyle w:val="90"/>
                    <w:rPr>
                      <w:rFonts w:hint="default" w:ascii="Times New Roman" w:hAnsi="Times New Roman" w:cs="Times New Roman"/>
                      <w:color w:val="auto"/>
                    </w:rPr>
                  </w:pPr>
                  <w:r>
                    <w:rPr>
                      <w:rFonts w:hint="default" w:ascii="Times New Roman" w:hAnsi="Times New Roman" w:cs="Times New Roman"/>
                      <w:color w:val="auto"/>
                    </w:rPr>
                    <w:t>分子量：98.08</w:t>
                  </w:r>
                </w:p>
              </w:tc>
              <w:tc>
                <w:tcPr>
                  <w:tcW w:w="2125" w:type="pct"/>
                  <w:gridSpan w:val="6"/>
                  <w:vMerge w:val="continue"/>
                  <w:tcBorders>
                    <w:tl2br w:val="nil"/>
                    <w:tr2bl w:val="nil"/>
                  </w:tcBorders>
                  <w:vAlign w:val="center"/>
                </w:tcPr>
                <w:p>
                  <w:pPr>
                    <w:pStyle w:val="90"/>
                    <w:rPr>
                      <w:rFonts w:hint="default" w:ascii="Times New Roman" w:hAnsi="Times New Roman" w:cs="Times New Roman"/>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258" w:type="pct"/>
                  <w:vMerge w:val="restart"/>
                  <w:tcBorders>
                    <w:tl2br w:val="nil"/>
                    <w:tr2bl w:val="nil"/>
                  </w:tcBorders>
                  <w:vAlign w:val="center"/>
                </w:tcPr>
                <w:p>
                  <w:pPr>
                    <w:pStyle w:val="90"/>
                    <w:rPr>
                      <w:rFonts w:hint="default" w:ascii="Times New Roman" w:hAnsi="Times New Roman" w:cs="Times New Roman"/>
                      <w:color w:val="auto"/>
                    </w:rPr>
                  </w:pPr>
                  <w:r>
                    <w:rPr>
                      <w:rFonts w:hint="default" w:ascii="Times New Roman" w:hAnsi="Times New Roman" w:cs="Times New Roman"/>
                      <w:color w:val="auto"/>
                    </w:rPr>
                    <w:t>理</w:t>
                  </w:r>
                </w:p>
                <w:p>
                  <w:pPr>
                    <w:pStyle w:val="90"/>
                    <w:rPr>
                      <w:rFonts w:hint="default" w:ascii="Times New Roman" w:hAnsi="Times New Roman" w:cs="Times New Roman"/>
                      <w:color w:val="auto"/>
                    </w:rPr>
                  </w:pPr>
                  <w:r>
                    <w:rPr>
                      <w:rFonts w:hint="default" w:ascii="Times New Roman" w:hAnsi="Times New Roman" w:cs="Times New Roman"/>
                      <w:color w:val="auto"/>
                    </w:rPr>
                    <w:t>化</w:t>
                  </w:r>
                </w:p>
                <w:p>
                  <w:pPr>
                    <w:pStyle w:val="90"/>
                    <w:rPr>
                      <w:rFonts w:hint="default" w:ascii="Times New Roman" w:hAnsi="Times New Roman" w:cs="Times New Roman"/>
                      <w:color w:val="auto"/>
                    </w:rPr>
                  </w:pPr>
                  <w:r>
                    <w:rPr>
                      <w:rFonts w:hint="default" w:ascii="Times New Roman" w:hAnsi="Times New Roman" w:cs="Times New Roman"/>
                      <w:color w:val="auto"/>
                    </w:rPr>
                    <w:t>性</w:t>
                  </w:r>
                </w:p>
                <w:p>
                  <w:pPr>
                    <w:pStyle w:val="90"/>
                    <w:rPr>
                      <w:rFonts w:hint="default" w:ascii="Times New Roman" w:hAnsi="Times New Roman" w:cs="Times New Roman"/>
                      <w:color w:val="auto"/>
                    </w:rPr>
                  </w:pPr>
                  <w:r>
                    <w:rPr>
                      <w:rFonts w:hint="default" w:ascii="Times New Roman" w:hAnsi="Times New Roman" w:cs="Times New Roman"/>
                      <w:color w:val="auto"/>
                    </w:rPr>
                    <w:t>质</w:t>
                  </w:r>
                </w:p>
              </w:tc>
              <w:tc>
                <w:tcPr>
                  <w:tcW w:w="869" w:type="pct"/>
                  <w:gridSpan w:val="2"/>
                  <w:tcBorders>
                    <w:tl2br w:val="nil"/>
                    <w:tr2bl w:val="nil"/>
                  </w:tcBorders>
                  <w:vAlign w:val="center"/>
                </w:tcPr>
                <w:p>
                  <w:pPr>
                    <w:pStyle w:val="90"/>
                    <w:rPr>
                      <w:rFonts w:hint="default" w:ascii="Times New Roman" w:hAnsi="Times New Roman" w:cs="Times New Roman"/>
                      <w:color w:val="auto"/>
                    </w:rPr>
                  </w:pPr>
                  <w:r>
                    <w:rPr>
                      <w:rFonts w:hint="default" w:ascii="Times New Roman" w:hAnsi="Times New Roman" w:cs="Times New Roman"/>
                      <w:color w:val="auto"/>
                    </w:rPr>
                    <w:t>外观与性状</w:t>
                  </w:r>
                </w:p>
              </w:tc>
              <w:tc>
                <w:tcPr>
                  <w:tcW w:w="3873" w:type="pct"/>
                  <w:gridSpan w:val="13"/>
                  <w:tcBorders>
                    <w:tl2br w:val="nil"/>
                    <w:tr2bl w:val="nil"/>
                  </w:tcBorders>
                  <w:vAlign w:val="center"/>
                </w:tcPr>
                <w:p>
                  <w:pPr>
                    <w:pStyle w:val="90"/>
                    <w:rPr>
                      <w:rFonts w:hint="default" w:ascii="Times New Roman" w:hAnsi="Times New Roman" w:cs="Times New Roman"/>
                      <w:color w:val="auto"/>
                    </w:rPr>
                  </w:pPr>
                  <w:r>
                    <w:rPr>
                      <w:rFonts w:hint="default" w:ascii="Times New Roman" w:hAnsi="Times New Roman" w:cs="Times New Roman"/>
                      <w:color w:val="auto"/>
                    </w:rPr>
                    <w:t>纯品为无色透明油状液体，无臭。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258" w:type="pct"/>
                  <w:vMerge w:val="continue"/>
                  <w:tcBorders>
                    <w:tl2br w:val="nil"/>
                    <w:tr2bl w:val="nil"/>
                  </w:tcBorders>
                  <w:vAlign w:val="center"/>
                </w:tcPr>
                <w:p>
                  <w:pPr>
                    <w:pStyle w:val="90"/>
                    <w:rPr>
                      <w:rFonts w:hint="default" w:ascii="Times New Roman" w:hAnsi="Times New Roman" w:cs="Times New Roman"/>
                      <w:color w:val="auto"/>
                    </w:rPr>
                  </w:pPr>
                </w:p>
              </w:tc>
              <w:tc>
                <w:tcPr>
                  <w:tcW w:w="869" w:type="pct"/>
                  <w:gridSpan w:val="2"/>
                  <w:tcBorders>
                    <w:tl2br w:val="nil"/>
                    <w:tr2bl w:val="nil"/>
                  </w:tcBorders>
                  <w:vAlign w:val="center"/>
                </w:tcPr>
                <w:p>
                  <w:pPr>
                    <w:pStyle w:val="90"/>
                    <w:rPr>
                      <w:rFonts w:hint="default" w:ascii="Times New Roman" w:hAnsi="Times New Roman" w:cs="Times New Roman"/>
                      <w:color w:val="auto"/>
                    </w:rPr>
                  </w:pPr>
                  <w:r>
                    <w:rPr>
                      <w:rFonts w:hint="default" w:ascii="Times New Roman" w:hAnsi="Times New Roman" w:cs="Times New Roman"/>
                      <w:color w:val="auto"/>
                    </w:rPr>
                    <w:t>熔点（℃）</w:t>
                  </w:r>
                </w:p>
              </w:tc>
              <w:tc>
                <w:tcPr>
                  <w:tcW w:w="985" w:type="pct"/>
                  <w:gridSpan w:val="4"/>
                  <w:tcBorders>
                    <w:tl2br w:val="nil"/>
                    <w:tr2bl w:val="nil"/>
                  </w:tcBorders>
                  <w:vAlign w:val="center"/>
                </w:tcPr>
                <w:p>
                  <w:pPr>
                    <w:pStyle w:val="90"/>
                    <w:rPr>
                      <w:rFonts w:hint="default" w:ascii="Times New Roman" w:hAnsi="Times New Roman" w:cs="Times New Roman"/>
                      <w:color w:val="auto"/>
                    </w:rPr>
                  </w:pPr>
                  <w:r>
                    <w:rPr>
                      <w:rFonts w:hint="default" w:ascii="Times New Roman" w:hAnsi="Times New Roman" w:cs="Times New Roman"/>
                      <w:color w:val="auto"/>
                    </w:rPr>
                    <w:t>10.5</w:t>
                  </w:r>
                </w:p>
              </w:tc>
              <w:tc>
                <w:tcPr>
                  <w:tcW w:w="627" w:type="pct"/>
                  <w:gridSpan w:val="2"/>
                  <w:tcBorders>
                    <w:tl2br w:val="nil"/>
                    <w:tr2bl w:val="nil"/>
                  </w:tcBorders>
                  <w:vAlign w:val="center"/>
                </w:tcPr>
                <w:p>
                  <w:pPr>
                    <w:pStyle w:val="90"/>
                    <w:rPr>
                      <w:rFonts w:hint="default" w:ascii="Times New Roman" w:hAnsi="Times New Roman" w:cs="Times New Roman"/>
                      <w:color w:val="auto"/>
                    </w:rPr>
                  </w:pPr>
                  <w:r>
                    <w:rPr>
                      <w:rFonts w:hint="default" w:ascii="Times New Roman" w:hAnsi="Times New Roman" w:cs="Times New Roman"/>
                      <w:color w:val="auto"/>
                    </w:rPr>
                    <w:t>相对密度</w:t>
                  </w:r>
                </w:p>
                <w:p>
                  <w:pPr>
                    <w:pStyle w:val="90"/>
                    <w:rPr>
                      <w:rFonts w:hint="default" w:ascii="Times New Roman" w:hAnsi="Times New Roman" w:cs="Times New Roman"/>
                      <w:color w:val="auto"/>
                    </w:rPr>
                  </w:pPr>
                  <w:r>
                    <w:rPr>
                      <w:rFonts w:hint="default" w:ascii="Times New Roman" w:hAnsi="Times New Roman" w:cs="Times New Roman"/>
                      <w:color w:val="auto"/>
                      <w:lang w:eastAsia="zh-CN"/>
                    </w:rPr>
                    <w:t>（</w:t>
                  </w:r>
                  <w:r>
                    <w:rPr>
                      <w:rFonts w:hint="default" w:ascii="Times New Roman" w:hAnsi="Times New Roman" w:cs="Times New Roman"/>
                      <w:color w:val="auto"/>
                    </w:rPr>
                    <w:t>水=1)</w:t>
                  </w:r>
                </w:p>
              </w:tc>
              <w:tc>
                <w:tcPr>
                  <w:tcW w:w="884" w:type="pct"/>
                  <w:gridSpan w:val="3"/>
                  <w:tcBorders>
                    <w:tl2br w:val="nil"/>
                    <w:tr2bl w:val="nil"/>
                  </w:tcBorders>
                  <w:vAlign w:val="center"/>
                </w:tcPr>
                <w:p>
                  <w:pPr>
                    <w:pStyle w:val="90"/>
                    <w:rPr>
                      <w:rFonts w:hint="default" w:ascii="Times New Roman" w:hAnsi="Times New Roman" w:cs="Times New Roman"/>
                      <w:color w:val="auto"/>
                    </w:rPr>
                  </w:pPr>
                  <w:r>
                    <w:rPr>
                      <w:rFonts w:hint="default" w:ascii="Times New Roman" w:hAnsi="Times New Roman" w:cs="Times New Roman"/>
                      <w:color w:val="auto"/>
                    </w:rPr>
                    <w:t>1.83</w:t>
                  </w:r>
                </w:p>
              </w:tc>
              <w:tc>
                <w:tcPr>
                  <w:tcW w:w="647" w:type="pct"/>
                  <w:gridSpan w:val="3"/>
                  <w:tcBorders>
                    <w:tl2br w:val="nil"/>
                    <w:tr2bl w:val="nil"/>
                  </w:tcBorders>
                  <w:vAlign w:val="center"/>
                </w:tcPr>
                <w:p>
                  <w:pPr>
                    <w:pStyle w:val="90"/>
                    <w:rPr>
                      <w:rFonts w:hint="default" w:ascii="Times New Roman" w:hAnsi="Times New Roman" w:cs="Times New Roman"/>
                      <w:color w:val="auto"/>
                    </w:rPr>
                  </w:pPr>
                  <w:r>
                    <w:rPr>
                      <w:rFonts w:hint="default" w:ascii="Times New Roman" w:hAnsi="Times New Roman" w:cs="Times New Roman"/>
                      <w:color w:val="auto"/>
                    </w:rPr>
                    <w:t>相对密度</w:t>
                  </w:r>
                  <w:r>
                    <w:rPr>
                      <w:rFonts w:hint="default" w:ascii="Times New Roman" w:hAnsi="Times New Roman" w:cs="Times New Roman"/>
                      <w:color w:val="auto"/>
                      <w:lang w:eastAsia="zh-CN"/>
                    </w:rPr>
                    <w:t>（</w:t>
                  </w:r>
                  <w:r>
                    <w:rPr>
                      <w:rFonts w:hint="default" w:ascii="Times New Roman" w:hAnsi="Times New Roman" w:cs="Times New Roman"/>
                      <w:color w:val="auto"/>
                    </w:rPr>
                    <w:t>空气=1)</w:t>
                  </w:r>
                </w:p>
              </w:tc>
              <w:tc>
                <w:tcPr>
                  <w:tcW w:w="729" w:type="pct"/>
                  <w:tcBorders>
                    <w:tl2br w:val="nil"/>
                    <w:tr2bl w:val="nil"/>
                  </w:tcBorders>
                  <w:vAlign w:val="center"/>
                </w:tcPr>
                <w:p>
                  <w:pPr>
                    <w:pStyle w:val="90"/>
                    <w:rPr>
                      <w:rFonts w:hint="default" w:ascii="Times New Roman" w:hAnsi="Times New Roman" w:cs="Times New Roman"/>
                      <w:color w:val="auto"/>
                    </w:rPr>
                  </w:pPr>
                  <w:r>
                    <w:rPr>
                      <w:rFonts w:hint="default" w:ascii="Times New Roman" w:hAnsi="Times New Roman" w:cs="Times New Roman"/>
                      <w:color w:val="auto"/>
                    </w:rPr>
                    <w:t>3.4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258" w:type="pct"/>
                  <w:vMerge w:val="continue"/>
                  <w:tcBorders>
                    <w:tl2br w:val="nil"/>
                    <w:tr2bl w:val="nil"/>
                  </w:tcBorders>
                  <w:vAlign w:val="center"/>
                </w:tcPr>
                <w:p>
                  <w:pPr>
                    <w:pStyle w:val="90"/>
                    <w:rPr>
                      <w:rFonts w:hint="default" w:ascii="Times New Roman" w:hAnsi="Times New Roman" w:cs="Times New Roman"/>
                      <w:color w:val="auto"/>
                    </w:rPr>
                  </w:pPr>
                </w:p>
              </w:tc>
              <w:tc>
                <w:tcPr>
                  <w:tcW w:w="869" w:type="pct"/>
                  <w:gridSpan w:val="2"/>
                  <w:tcBorders>
                    <w:tl2br w:val="nil"/>
                    <w:tr2bl w:val="nil"/>
                  </w:tcBorders>
                  <w:vAlign w:val="center"/>
                </w:tcPr>
                <w:p>
                  <w:pPr>
                    <w:pStyle w:val="90"/>
                    <w:rPr>
                      <w:rFonts w:hint="default" w:ascii="Times New Roman" w:hAnsi="Times New Roman" w:cs="Times New Roman"/>
                      <w:color w:val="auto"/>
                    </w:rPr>
                  </w:pPr>
                  <w:r>
                    <w:rPr>
                      <w:rFonts w:hint="default" w:ascii="Times New Roman" w:hAnsi="Times New Roman" w:cs="Times New Roman"/>
                      <w:color w:val="auto"/>
                    </w:rPr>
                    <w:t>沸点（℃）</w:t>
                  </w:r>
                </w:p>
              </w:tc>
              <w:tc>
                <w:tcPr>
                  <w:tcW w:w="985" w:type="pct"/>
                  <w:gridSpan w:val="4"/>
                  <w:tcBorders>
                    <w:tl2br w:val="nil"/>
                    <w:tr2bl w:val="nil"/>
                  </w:tcBorders>
                  <w:vAlign w:val="center"/>
                </w:tcPr>
                <w:p>
                  <w:pPr>
                    <w:pStyle w:val="90"/>
                    <w:rPr>
                      <w:rFonts w:hint="default" w:ascii="Times New Roman" w:hAnsi="Times New Roman" w:cs="Times New Roman"/>
                      <w:color w:val="auto"/>
                    </w:rPr>
                  </w:pPr>
                  <w:r>
                    <w:rPr>
                      <w:rFonts w:hint="default" w:ascii="Times New Roman" w:hAnsi="Times New Roman" w:cs="Times New Roman"/>
                      <w:color w:val="auto"/>
                    </w:rPr>
                    <w:t>125</w:t>
                  </w:r>
                  <w:r>
                    <w:rPr>
                      <w:rFonts w:hint="default" w:ascii="Times New Roman" w:hAnsi="Times New Roman" w:cs="Times New Roman"/>
                      <w:color w:val="auto"/>
                      <w:lang w:val="en-GB"/>
                    </w:rPr>
                    <w:t>（</w:t>
                  </w:r>
                  <w:r>
                    <w:rPr>
                      <w:rFonts w:hint="default" w:ascii="Times New Roman" w:hAnsi="Times New Roman" w:cs="Times New Roman"/>
                      <w:color w:val="auto"/>
                    </w:rPr>
                    <w:t>3.33KPa</w:t>
                  </w:r>
                  <w:r>
                    <w:rPr>
                      <w:rFonts w:hint="default" w:ascii="Times New Roman" w:hAnsi="Times New Roman" w:cs="Times New Roman"/>
                      <w:color w:val="auto"/>
                      <w:lang w:val="en-GB"/>
                    </w:rPr>
                    <w:t>）</w:t>
                  </w:r>
                </w:p>
              </w:tc>
              <w:tc>
                <w:tcPr>
                  <w:tcW w:w="1512" w:type="pct"/>
                  <w:gridSpan w:val="5"/>
                  <w:tcBorders>
                    <w:tl2br w:val="nil"/>
                    <w:tr2bl w:val="nil"/>
                  </w:tcBorders>
                  <w:vAlign w:val="center"/>
                </w:tcPr>
                <w:p>
                  <w:pPr>
                    <w:pStyle w:val="90"/>
                    <w:rPr>
                      <w:rFonts w:hint="default" w:ascii="Times New Roman" w:hAnsi="Times New Roman" w:cs="Times New Roman"/>
                      <w:color w:val="auto"/>
                    </w:rPr>
                  </w:pPr>
                  <w:r>
                    <w:rPr>
                      <w:rFonts w:hint="default" w:ascii="Times New Roman" w:hAnsi="Times New Roman" w:cs="Times New Roman"/>
                      <w:color w:val="auto"/>
                    </w:rPr>
                    <w:t>饱和蒸汽压（KPa）</w:t>
                  </w:r>
                </w:p>
              </w:tc>
              <w:tc>
                <w:tcPr>
                  <w:tcW w:w="1376" w:type="pct"/>
                  <w:gridSpan w:val="4"/>
                  <w:tcBorders>
                    <w:tl2br w:val="nil"/>
                    <w:tr2bl w:val="nil"/>
                  </w:tcBorders>
                  <w:vAlign w:val="center"/>
                </w:tcPr>
                <w:p>
                  <w:pPr>
                    <w:pStyle w:val="90"/>
                    <w:rPr>
                      <w:rFonts w:hint="default" w:ascii="Times New Roman" w:hAnsi="Times New Roman" w:cs="Times New Roman"/>
                      <w:color w:val="auto"/>
                    </w:rPr>
                  </w:pPr>
                  <w:r>
                    <w:rPr>
                      <w:rFonts w:hint="default" w:ascii="Times New Roman" w:hAnsi="Times New Roman" w:cs="Times New Roman"/>
                      <w:color w:val="auto"/>
                    </w:rPr>
                    <w:t>0.21（84.5℃）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258" w:type="pct"/>
                  <w:vMerge w:val="continue"/>
                  <w:tcBorders>
                    <w:tl2br w:val="nil"/>
                    <w:tr2bl w:val="nil"/>
                  </w:tcBorders>
                  <w:vAlign w:val="center"/>
                </w:tcPr>
                <w:p>
                  <w:pPr>
                    <w:pStyle w:val="90"/>
                    <w:rPr>
                      <w:rFonts w:hint="default" w:ascii="Times New Roman" w:hAnsi="Times New Roman" w:cs="Times New Roman"/>
                      <w:color w:val="auto"/>
                    </w:rPr>
                  </w:pPr>
                </w:p>
              </w:tc>
              <w:tc>
                <w:tcPr>
                  <w:tcW w:w="869" w:type="pct"/>
                  <w:gridSpan w:val="2"/>
                  <w:tcBorders>
                    <w:tl2br w:val="nil"/>
                    <w:tr2bl w:val="nil"/>
                  </w:tcBorders>
                  <w:vAlign w:val="center"/>
                </w:tcPr>
                <w:p>
                  <w:pPr>
                    <w:pStyle w:val="90"/>
                    <w:rPr>
                      <w:rFonts w:hint="default" w:ascii="Times New Roman" w:hAnsi="Times New Roman" w:cs="Times New Roman"/>
                      <w:color w:val="auto"/>
                    </w:rPr>
                  </w:pPr>
                  <w:r>
                    <w:rPr>
                      <w:rFonts w:hint="default" w:ascii="Times New Roman" w:hAnsi="Times New Roman" w:cs="Times New Roman"/>
                      <w:color w:val="auto"/>
                    </w:rPr>
                    <w:t>溶解性</w:t>
                  </w:r>
                </w:p>
              </w:tc>
              <w:tc>
                <w:tcPr>
                  <w:tcW w:w="3873" w:type="pct"/>
                  <w:gridSpan w:val="13"/>
                  <w:tcBorders>
                    <w:tl2br w:val="nil"/>
                    <w:tr2bl w:val="nil"/>
                  </w:tcBorders>
                  <w:vAlign w:val="center"/>
                </w:tcPr>
                <w:p>
                  <w:pPr>
                    <w:pStyle w:val="90"/>
                    <w:rPr>
                      <w:rFonts w:hint="default" w:ascii="Times New Roman" w:hAnsi="Times New Roman" w:cs="Times New Roman"/>
                      <w:color w:val="auto"/>
                    </w:rPr>
                  </w:pPr>
                  <w:r>
                    <w:rPr>
                      <w:rFonts w:hint="default" w:ascii="Times New Roman" w:hAnsi="Times New Roman" w:cs="Times New Roman"/>
                      <w:color w:val="auto"/>
                    </w:rPr>
                    <w:t>与水混容。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258" w:type="pct"/>
                  <w:vMerge w:val="restart"/>
                  <w:tcBorders>
                    <w:tl2br w:val="nil"/>
                    <w:tr2bl w:val="nil"/>
                  </w:tcBorders>
                  <w:vAlign w:val="center"/>
                </w:tcPr>
                <w:p>
                  <w:pPr>
                    <w:pStyle w:val="90"/>
                    <w:rPr>
                      <w:rFonts w:hint="default" w:ascii="Times New Roman" w:hAnsi="Times New Roman" w:cs="Times New Roman"/>
                      <w:color w:val="auto"/>
                    </w:rPr>
                  </w:pPr>
                  <w:r>
                    <w:rPr>
                      <w:rFonts w:hint="default" w:ascii="Times New Roman" w:hAnsi="Times New Roman" w:cs="Times New Roman"/>
                      <w:color w:val="auto"/>
                    </w:rPr>
                    <w:t>毒</w:t>
                  </w:r>
                </w:p>
                <w:p>
                  <w:pPr>
                    <w:pStyle w:val="90"/>
                    <w:rPr>
                      <w:rFonts w:hint="default" w:ascii="Times New Roman" w:hAnsi="Times New Roman" w:cs="Times New Roman"/>
                      <w:color w:val="auto"/>
                    </w:rPr>
                  </w:pPr>
                  <w:r>
                    <w:rPr>
                      <w:rFonts w:hint="default" w:ascii="Times New Roman" w:hAnsi="Times New Roman" w:cs="Times New Roman"/>
                      <w:color w:val="auto"/>
                    </w:rPr>
                    <w:t>性</w:t>
                  </w:r>
                </w:p>
                <w:p>
                  <w:pPr>
                    <w:pStyle w:val="90"/>
                    <w:rPr>
                      <w:rFonts w:hint="default" w:ascii="Times New Roman" w:hAnsi="Times New Roman" w:cs="Times New Roman"/>
                      <w:color w:val="auto"/>
                    </w:rPr>
                  </w:pPr>
                  <w:r>
                    <w:rPr>
                      <w:rFonts w:hint="default" w:ascii="Times New Roman" w:hAnsi="Times New Roman" w:cs="Times New Roman"/>
                      <w:color w:val="auto"/>
                    </w:rPr>
                    <w:t>及</w:t>
                  </w:r>
                </w:p>
                <w:p>
                  <w:pPr>
                    <w:pStyle w:val="90"/>
                    <w:rPr>
                      <w:rFonts w:hint="default" w:ascii="Times New Roman" w:hAnsi="Times New Roman" w:cs="Times New Roman"/>
                      <w:color w:val="auto"/>
                    </w:rPr>
                  </w:pPr>
                  <w:r>
                    <w:rPr>
                      <w:rFonts w:hint="default" w:ascii="Times New Roman" w:hAnsi="Times New Roman" w:cs="Times New Roman"/>
                      <w:color w:val="auto"/>
                    </w:rPr>
                    <w:t>健</w:t>
                  </w:r>
                </w:p>
                <w:p>
                  <w:pPr>
                    <w:pStyle w:val="90"/>
                    <w:rPr>
                      <w:rFonts w:hint="default" w:ascii="Times New Roman" w:hAnsi="Times New Roman" w:cs="Times New Roman"/>
                      <w:color w:val="auto"/>
                    </w:rPr>
                  </w:pPr>
                  <w:r>
                    <w:rPr>
                      <w:rFonts w:hint="default" w:ascii="Times New Roman" w:hAnsi="Times New Roman" w:cs="Times New Roman"/>
                      <w:color w:val="auto"/>
                    </w:rPr>
                    <w:t>康</w:t>
                  </w:r>
                </w:p>
                <w:p>
                  <w:pPr>
                    <w:pStyle w:val="90"/>
                    <w:rPr>
                      <w:rFonts w:hint="default" w:ascii="Times New Roman" w:hAnsi="Times New Roman" w:cs="Times New Roman"/>
                      <w:color w:val="auto"/>
                    </w:rPr>
                  </w:pPr>
                  <w:r>
                    <w:rPr>
                      <w:rFonts w:hint="default" w:ascii="Times New Roman" w:hAnsi="Times New Roman" w:cs="Times New Roman"/>
                      <w:color w:val="auto"/>
                    </w:rPr>
                    <w:t>危</w:t>
                  </w:r>
                </w:p>
                <w:p>
                  <w:pPr>
                    <w:pStyle w:val="90"/>
                    <w:rPr>
                      <w:rFonts w:hint="default" w:ascii="Times New Roman" w:hAnsi="Times New Roman" w:cs="Times New Roman"/>
                      <w:color w:val="auto"/>
                    </w:rPr>
                  </w:pPr>
                  <w:r>
                    <w:rPr>
                      <w:rFonts w:hint="default" w:ascii="Times New Roman" w:hAnsi="Times New Roman" w:cs="Times New Roman"/>
                      <w:color w:val="auto"/>
                    </w:rPr>
                    <w:t>害</w:t>
                  </w:r>
                </w:p>
              </w:tc>
              <w:tc>
                <w:tcPr>
                  <w:tcW w:w="869" w:type="pct"/>
                  <w:gridSpan w:val="2"/>
                  <w:vMerge w:val="restart"/>
                  <w:tcBorders>
                    <w:tl2br w:val="nil"/>
                    <w:tr2bl w:val="nil"/>
                  </w:tcBorders>
                  <w:vAlign w:val="center"/>
                </w:tcPr>
                <w:p>
                  <w:pPr>
                    <w:pStyle w:val="90"/>
                    <w:rPr>
                      <w:rFonts w:hint="default" w:ascii="Times New Roman" w:hAnsi="Times New Roman" w:cs="Times New Roman"/>
                      <w:color w:val="auto"/>
                    </w:rPr>
                  </w:pPr>
                  <w:r>
                    <w:rPr>
                      <w:rFonts w:hint="default" w:ascii="Times New Roman" w:hAnsi="Times New Roman" w:cs="Times New Roman"/>
                      <w:color w:val="auto"/>
                    </w:rPr>
                    <w:t>职业接触限值</w:t>
                  </w:r>
                </w:p>
              </w:tc>
              <w:tc>
                <w:tcPr>
                  <w:tcW w:w="2892" w:type="pct"/>
                  <w:gridSpan w:val="10"/>
                  <w:tcBorders>
                    <w:tl2br w:val="nil"/>
                    <w:tr2bl w:val="nil"/>
                  </w:tcBorders>
                  <w:vAlign w:val="center"/>
                </w:tcPr>
                <w:p>
                  <w:pPr>
                    <w:pStyle w:val="90"/>
                    <w:rPr>
                      <w:rFonts w:hint="default" w:ascii="Times New Roman" w:hAnsi="Times New Roman" w:cs="Times New Roman"/>
                      <w:color w:val="auto"/>
                    </w:rPr>
                  </w:pPr>
                  <w:r>
                    <w:rPr>
                      <w:rFonts w:hint="default" w:ascii="Times New Roman" w:hAnsi="Times New Roman" w:cs="Times New Roman"/>
                      <w:color w:val="auto"/>
                    </w:rPr>
                    <w:t>最高容许浓度         （mg/m</w:t>
                  </w:r>
                  <w:r>
                    <w:rPr>
                      <w:rFonts w:hint="default" w:ascii="Times New Roman" w:hAnsi="Times New Roman" w:cs="Times New Roman"/>
                      <w:color w:val="auto"/>
                      <w:vertAlign w:val="superscript"/>
                    </w:rPr>
                    <w:t>3</w:t>
                  </w:r>
                  <w:r>
                    <w:rPr>
                      <w:rFonts w:hint="default" w:ascii="Times New Roman" w:hAnsi="Times New Roman" w:cs="Times New Roman"/>
                      <w:color w:val="auto"/>
                    </w:rPr>
                    <w:t>）</w:t>
                  </w:r>
                </w:p>
              </w:tc>
              <w:tc>
                <w:tcPr>
                  <w:tcW w:w="981" w:type="pct"/>
                  <w:gridSpan w:val="3"/>
                  <w:tcBorders>
                    <w:tl2br w:val="nil"/>
                    <w:tr2bl w:val="nil"/>
                  </w:tcBorders>
                  <w:vAlign w:val="center"/>
                </w:tcPr>
                <w:p>
                  <w:pPr>
                    <w:pStyle w:val="90"/>
                    <w:rPr>
                      <w:rFonts w:hint="default" w:ascii="Times New Roman" w:hAnsi="Times New Roman" w:cs="Times New Roman"/>
                      <w:color w:val="auto"/>
                    </w:rPr>
                  </w:pPr>
                  <w:r>
                    <w:rPr>
                      <w:rFonts w:hint="default" w:ascii="Times New Roman" w:hAnsi="Times New Roman" w:cs="Times New Roman"/>
                      <w:color w:val="auto"/>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8" w:type="pct"/>
                  <w:vMerge w:val="continue"/>
                  <w:tcBorders>
                    <w:tl2br w:val="nil"/>
                    <w:tr2bl w:val="nil"/>
                  </w:tcBorders>
                  <w:vAlign w:val="center"/>
                </w:tcPr>
                <w:p>
                  <w:pPr>
                    <w:pStyle w:val="90"/>
                    <w:rPr>
                      <w:rFonts w:hint="default" w:ascii="Times New Roman" w:hAnsi="Times New Roman" w:cs="Times New Roman"/>
                      <w:color w:val="auto"/>
                    </w:rPr>
                  </w:pPr>
                </w:p>
              </w:tc>
              <w:tc>
                <w:tcPr>
                  <w:tcW w:w="869" w:type="pct"/>
                  <w:gridSpan w:val="2"/>
                  <w:vMerge w:val="continue"/>
                  <w:tcBorders>
                    <w:tl2br w:val="nil"/>
                    <w:tr2bl w:val="nil"/>
                  </w:tcBorders>
                  <w:vAlign w:val="center"/>
                </w:tcPr>
                <w:p>
                  <w:pPr>
                    <w:pStyle w:val="90"/>
                    <w:rPr>
                      <w:rFonts w:hint="default" w:ascii="Times New Roman" w:hAnsi="Times New Roman" w:cs="Times New Roman"/>
                      <w:color w:val="auto"/>
                    </w:rPr>
                  </w:pPr>
                </w:p>
              </w:tc>
              <w:tc>
                <w:tcPr>
                  <w:tcW w:w="2892" w:type="pct"/>
                  <w:gridSpan w:val="10"/>
                  <w:tcBorders>
                    <w:tl2br w:val="nil"/>
                    <w:tr2bl w:val="nil"/>
                  </w:tcBorders>
                  <w:vAlign w:val="center"/>
                </w:tcPr>
                <w:p>
                  <w:pPr>
                    <w:pStyle w:val="90"/>
                    <w:rPr>
                      <w:rFonts w:hint="default" w:ascii="Times New Roman" w:hAnsi="Times New Roman" w:cs="Times New Roman"/>
                      <w:color w:val="auto"/>
                    </w:rPr>
                  </w:pPr>
                  <w:r>
                    <w:rPr>
                      <w:rFonts w:hint="default" w:ascii="Times New Roman" w:hAnsi="Times New Roman" w:cs="Times New Roman"/>
                      <w:color w:val="auto"/>
                    </w:rPr>
                    <w:t>时间加权平均容许浓度 （mg/m</w:t>
                  </w:r>
                  <w:r>
                    <w:rPr>
                      <w:rFonts w:hint="default" w:ascii="Times New Roman" w:hAnsi="Times New Roman" w:cs="Times New Roman"/>
                      <w:color w:val="auto"/>
                      <w:vertAlign w:val="superscript"/>
                    </w:rPr>
                    <w:t>3</w:t>
                  </w:r>
                  <w:r>
                    <w:rPr>
                      <w:rFonts w:hint="default" w:ascii="Times New Roman" w:hAnsi="Times New Roman" w:cs="Times New Roman"/>
                      <w:color w:val="auto"/>
                    </w:rPr>
                    <w:t>）</w:t>
                  </w:r>
                </w:p>
              </w:tc>
              <w:tc>
                <w:tcPr>
                  <w:tcW w:w="981" w:type="pct"/>
                  <w:gridSpan w:val="3"/>
                  <w:tcBorders>
                    <w:tl2br w:val="nil"/>
                    <w:tr2bl w:val="nil"/>
                  </w:tcBorders>
                  <w:vAlign w:val="center"/>
                </w:tcPr>
                <w:p>
                  <w:pPr>
                    <w:pStyle w:val="90"/>
                    <w:rPr>
                      <w:rFonts w:hint="default" w:ascii="Times New Roman" w:hAnsi="Times New Roman" w:cs="Times New Roman"/>
                      <w:color w:val="auto"/>
                    </w:rPr>
                  </w:pPr>
                  <w:r>
                    <w:rPr>
                      <w:rFonts w:hint="default" w:ascii="Times New Roman" w:hAnsi="Times New Roman" w:cs="Times New Roman"/>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258" w:type="pct"/>
                  <w:vMerge w:val="continue"/>
                  <w:tcBorders>
                    <w:tl2br w:val="nil"/>
                    <w:tr2bl w:val="nil"/>
                  </w:tcBorders>
                  <w:vAlign w:val="center"/>
                </w:tcPr>
                <w:p>
                  <w:pPr>
                    <w:pStyle w:val="90"/>
                    <w:rPr>
                      <w:rFonts w:hint="default" w:ascii="Times New Roman" w:hAnsi="Times New Roman" w:cs="Times New Roman"/>
                      <w:color w:val="auto"/>
                    </w:rPr>
                  </w:pPr>
                </w:p>
              </w:tc>
              <w:tc>
                <w:tcPr>
                  <w:tcW w:w="869" w:type="pct"/>
                  <w:gridSpan w:val="2"/>
                  <w:tcBorders>
                    <w:tl2br w:val="nil"/>
                    <w:tr2bl w:val="nil"/>
                  </w:tcBorders>
                  <w:vAlign w:val="center"/>
                </w:tcPr>
                <w:p>
                  <w:pPr>
                    <w:pStyle w:val="90"/>
                    <w:rPr>
                      <w:rFonts w:hint="default" w:ascii="Times New Roman" w:hAnsi="Times New Roman" w:cs="Times New Roman"/>
                      <w:color w:val="auto"/>
                    </w:rPr>
                  </w:pPr>
                  <w:r>
                    <w:rPr>
                      <w:rFonts w:hint="default" w:ascii="Times New Roman" w:hAnsi="Times New Roman" w:cs="Times New Roman"/>
                      <w:color w:val="auto"/>
                    </w:rPr>
                    <w:t>侵入途径</w:t>
                  </w:r>
                </w:p>
              </w:tc>
              <w:tc>
                <w:tcPr>
                  <w:tcW w:w="3873" w:type="pct"/>
                  <w:gridSpan w:val="13"/>
                  <w:tcBorders>
                    <w:tl2br w:val="nil"/>
                    <w:tr2bl w:val="nil"/>
                  </w:tcBorders>
                  <w:vAlign w:val="center"/>
                </w:tcPr>
                <w:p>
                  <w:pPr>
                    <w:pStyle w:val="90"/>
                    <w:rPr>
                      <w:rFonts w:hint="default" w:ascii="Times New Roman" w:hAnsi="Times New Roman" w:cs="Times New Roman"/>
                      <w:color w:val="auto"/>
                    </w:rPr>
                  </w:pPr>
                  <w:r>
                    <w:rPr>
                      <w:rFonts w:hint="default" w:ascii="Times New Roman" w:hAnsi="Times New Roman" w:cs="Times New Roman"/>
                      <w:color w:val="auto"/>
                    </w:rPr>
                    <w:t>吸入、食入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258" w:type="pct"/>
                  <w:vMerge w:val="continue"/>
                  <w:tcBorders>
                    <w:tl2br w:val="nil"/>
                    <w:tr2bl w:val="nil"/>
                  </w:tcBorders>
                  <w:vAlign w:val="center"/>
                </w:tcPr>
                <w:p>
                  <w:pPr>
                    <w:pStyle w:val="90"/>
                    <w:rPr>
                      <w:rFonts w:hint="default" w:ascii="Times New Roman" w:hAnsi="Times New Roman" w:cs="Times New Roman"/>
                      <w:color w:val="auto"/>
                    </w:rPr>
                  </w:pPr>
                </w:p>
              </w:tc>
              <w:tc>
                <w:tcPr>
                  <w:tcW w:w="869" w:type="pct"/>
                  <w:gridSpan w:val="2"/>
                  <w:tcBorders>
                    <w:tl2br w:val="nil"/>
                    <w:tr2bl w:val="nil"/>
                  </w:tcBorders>
                  <w:vAlign w:val="center"/>
                </w:tcPr>
                <w:p>
                  <w:pPr>
                    <w:pStyle w:val="90"/>
                    <w:rPr>
                      <w:rFonts w:hint="default" w:ascii="Times New Roman" w:hAnsi="Times New Roman" w:cs="Times New Roman"/>
                      <w:color w:val="auto"/>
                    </w:rPr>
                  </w:pPr>
                  <w:r>
                    <w:rPr>
                      <w:rFonts w:hint="default" w:ascii="Times New Roman" w:hAnsi="Times New Roman" w:cs="Times New Roman"/>
                      <w:color w:val="auto"/>
                    </w:rPr>
                    <w:t>毒    性</w:t>
                  </w:r>
                </w:p>
              </w:tc>
              <w:tc>
                <w:tcPr>
                  <w:tcW w:w="3873" w:type="pct"/>
                  <w:gridSpan w:val="13"/>
                  <w:tcBorders>
                    <w:tl2br w:val="nil"/>
                    <w:tr2bl w:val="nil"/>
                  </w:tcBorders>
                  <w:vAlign w:val="center"/>
                </w:tcPr>
                <w:p>
                  <w:pPr>
                    <w:pStyle w:val="90"/>
                    <w:rPr>
                      <w:rFonts w:hint="default" w:ascii="Times New Roman" w:hAnsi="Times New Roman" w:cs="Times New Roman"/>
                      <w:color w:val="auto"/>
                    </w:rPr>
                  </w:pPr>
                  <w:r>
                    <w:rPr>
                      <w:rFonts w:hint="default" w:ascii="Times New Roman" w:hAnsi="Times New Roman" w:cs="Times New Roman"/>
                      <w:color w:val="auto"/>
                    </w:rPr>
                    <w:t>LD50 2140mg/kg</w:t>
                  </w:r>
                  <w:r>
                    <w:rPr>
                      <w:rFonts w:hint="default" w:ascii="Times New Roman" w:hAnsi="Times New Roman" w:cs="Times New Roman"/>
                      <w:color w:val="auto"/>
                      <w:lang w:eastAsia="zh-CN"/>
                    </w:rPr>
                    <w:t>（</w:t>
                  </w:r>
                  <w:r>
                    <w:rPr>
                      <w:rFonts w:hint="default" w:ascii="Times New Roman" w:hAnsi="Times New Roman" w:cs="Times New Roman"/>
                      <w:color w:val="auto"/>
                    </w:rPr>
                    <w:t>大鼠经口</w:t>
                  </w:r>
                  <w:r>
                    <w:rPr>
                      <w:rFonts w:hint="default" w:ascii="Times New Roman" w:hAnsi="Times New Roman" w:cs="Times New Roman"/>
                      <w:color w:val="auto"/>
                      <w:lang w:eastAsia="zh-CN"/>
                    </w:rPr>
                    <w:t>）</w:t>
                  </w:r>
                  <w:r>
                    <w:rPr>
                      <w:rFonts w:hint="default" w:ascii="Times New Roman" w:hAnsi="Times New Roman" w:cs="Times New Roman"/>
                      <w:color w:val="auto"/>
                    </w:rPr>
                    <w:t>；LC50 510mg/kg，2小时；</w:t>
                  </w:r>
                  <w:r>
                    <w:rPr>
                      <w:rFonts w:hint="default" w:ascii="Times New Roman" w:hAnsi="Times New Roman" w:cs="Times New Roman"/>
                      <w:color w:val="auto"/>
                      <w:lang w:eastAsia="zh-CN"/>
                    </w:rPr>
                    <w:t>（</w:t>
                  </w:r>
                  <w:r>
                    <w:rPr>
                      <w:rFonts w:hint="default" w:ascii="Times New Roman" w:hAnsi="Times New Roman" w:cs="Times New Roman"/>
                      <w:color w:val="auto"/>
                    </w:rPr>
                    <w:t>小鼠吸入</w:t>
                  </w:r>
                  <w:r>
                    <w:rPr>
                      <w:rFonts w:hint="default" w:ascii="Times New Roman" w:hAnsi="Times New Roman" w:cs="Times New Roman"/>
                      <w:color w:val="auto"/>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8" w:type="pct"/>
                  <w:vMerge w:val="continue"/>
                  <w:tcBorders>
                    <w:tl2br w:val="nil"/>
                    <w:tr2bl w:val="nil"/>
                  </w:tcBorders>
                  <w:vAlign w:val="center"/>
                </w:tcPr>
                <w:p>
                  <w:pPr>
                    <w:pStyle w:val="90"/>
                    <w:rPr>
                      <w:rFonts w:hint="default" w:ascii="Times New Roman" w:hAnsi="Times New Roman" w:cs="Times New Roman"/>
                      <w:color w:val="auto"/>
                    </w:rPr>
                  </w:pPr>
                </w:p>
              </w:tc>
              <w:tc>
                <w:tcPr>
                  <w:tcW w:w="869" w:type="pct"/>
                  <w:gridSpan w:val="2"/>
                  <w:tcBorders>
                    <w:tl2br w:val="nil"/>
                    <w:tr2bl w:val="nil"/>
                  </w:tcBorders>
                  <w:vAlign w:val="center"/>
                </w:tcPr>
                <w:p>
                  <w:pPr>
                    <w:pStyle w:val="90"/>
                    <w:rPr>
                      <w:rFonts w:hint="default" w:ascii="Times New Roman" w:hAnsi="Times New Roman" w:cs="Times New Roman"/>
                      <w:color w:val="auto"/>
                    </w:rPr>
                  </w:pPr>
                  <w:r>
                    <w:rPr>
                      <w:rFonts w:hint="default" w:ascii="Times New Roman" w:hAnsi="Times New Roman" w:cs="Times New Roman"/>
                      <w:color w:val="auto"/>
                    </w:rPr>
                    <w:t>健康危害</w:t>
                  </w:r>
                </w:p>
              </w:tc>
              <w:tc>
                <w:tcPr>
                  <w:tcW w:w="3873" w:type="pct"/>
                  <w:gridSpan w:val="13"/>
                  <w:tcBorders>
                    <w:tl2br w:val="nil"/>
                    <w:tr2bl w:val="nil"/>
                  </w:tcBorders>
                  <w:vAlign w:val="center"/>
                </w:tcPr>
                <w:p>
                  <w:pPr>
                    <w:pStyle w:val="90"/>
                    <w:rPr>
                      <w:rFonts w:hint="default" w:ascii="Times New Roman" w:hAnsi="Times New Roman" w:cs="Times New Roman"/>
                      <w:color w:val="auto"/>
                    </w:rPr>
                  </w:pPr>
                  <w:r>
                    <w:rPr>
                      <w:rFonts w:hint="default" w:ascii="Times New Roman" w:hAnsi="Times New Roman" w:cs="Times New Roman"/>
                      <w:color w:val="auto"/>
                    </w:rPr>
                    <w:t>对皮肤、粘膜等组织有强烈的刺激和腐蚀作用。蒸气或雾可引起结膜炎、结膜水肿、角膜混浊，以致失明；引起呼吸道刺激，重者发生呼吸困难和肺水肿；高浓度引起痉挛或声门水肿而窒息死亡。口服后引起消化道烧伤以致溃疡形成；严重者可能有胃穿孔、腹膜炎、肾损害、休克等。皮肤灼伤轻者出现红斑，重者形成溃疡，愈后癍痕收缩影响功能。溅入眼内可造成灼伤，甚至角膜穿孔、全眼炎以致失明。慢性影响：牙齿酸蚀症、慢性支气管炎、肺气肿和肝硬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258" w:type="pct"/>
                  <w:vMerge w:val="restart"/>
                  <w:tcBorders>
                    <w:tl2br w:val="nil"/>
                    <w:tr2bl w:val="nil"/>
                  </w:tcBorders>
                  <w:vAlign w:val="center"/>
                </w:tcPr>
                <w:p>
                  <w:pPr>
                    <w:pStyle w:val="90"/>
                    <w:rPr>
                      <w:rFonts w:hint="default" w:ascii="Times New Roman" w:hAnsi="Times New Roman" w:cs="Times New Roman"/>
                      <w:color w:val="auto"/>
                    </w:rPr>
                  </w:pPr>
                  <w:r>
                    <w:rPr>
                      <w:rFonts w:hint="default" w:ascii="Times New Roman" w:hAnsi="Times New Roman" w:cs="Times New Roman"/>
                      <w:color w:val="auto"/>
                    </w:rPr>
                    <w:t>燃</w:t>
                  </w:r>
                </w:p>
                <w:p>
                  <w:pPr>
                    <w:pStyle w:val="90"/>
                    <w:rPr>
                      <w:rFonts w:hint="default" w:ascii="Times New Roman" w:hAnsi="Times New Roman" w:cs="Times New Roman"/>
                      <w:color w:val="auto"/>
                    </w:rPr>
                  </w:pPr>
                  <w:r>
                    <w:rPr>
                      <w:rFonts w:hint="default" w:ascii="Times New Roman" w:hAnsi="Times New Roman" w:cs="Times New Roman"/>
                      <w:color w:val="auto"/>
                    </w:rPr>
                    <w:t>烧</w:t>
                  </w:r>
                </w:p>
                <w:p>
                  <w:pPr>
                    <w:pStyle w:val="90"/>
                    <w:rPr>
                      <w:rFonts w:hint="default" w:ascii="Times New Roman" w:hAnsi="Times New Roman" w:cs="Times New Roman"/>
                      <w:color w:val="auto"/>
                    </w:rPr>
                  </w:pPr>
                  <w:r>
                    <w:rPr>
                      <w:rFonts w:hint="default" w:ascii="Times New Roman" w:hAnsi="Times New Roman" w:cs="Times New Roman"/>
                      <w:color w:val="auto"/>
                    </w:rPr>
                    <w:t>爆</w:t>
                  </w:r>
                </w:p>
                <w:p>
                  <w:pPr>
                    <w:pStyle w:val="90"/>
                    <w:rPr>
                      <w:rFonts w:hint="default" w:ascii="Times New Roman" w:hAnsi="Times New Roman" w:cs="Times New Roman"/>
                      <w:color w:val="auto"/>
                    </w:rPr>
                  </w:pPr>
                  <w:r>
                    <w:rPr>
                      <w:rFonts w:hint="default" w:ascii="Times New Roman" w:hAnsi="Times New Roman" w:cs="Times New Roman"/>
                      <w:color w:val="auto"/>
                    </w:rPr>
                    <w:t>炸</w:t>
                  </w:r>
                </w:p>
                <w:p>
                  <w:pPr>
                    <w:pStyle w:val="90"/>
                    <w:rPr>
                      <w:rFonts w:hint="default" w:ascii="Times New Roman" w:hAnsi="Times New Roman" w:cs="Times New Roman"/>
                      <w:color w:val="auto"/>
                    </w:rPr>
                  </w:pPr>
                  <w:r>
                    <w:rPr>
                      <w:rFonts w:hint="default" w:ascii="Times New Roman" w:hAnsi="Times New Roman" w:cs="Times New Roman"/>
                      <w:color w:val="auto"/>
                    </w:rPr>
                    <w:t>危</w:t>
                  </w:r>
                </w:p>
                <w:p>
                  <w:pPr>
                    <w:pStyle w:val="90"/>
                    <w:rPr>
                      <w:rFonts w:hint="default" w:ascii="Times New Roman" w:hAnsi="Times New Roman" w:cs="Times New Roman"/>
                      <w:color w:val="auto"/>
                    </w:rPr>
                  </w:pPr>
                  <w:r>
                    <w:rPr>
                      <w:rFonts w:hint="default" w:ascii="Times New Roman" w:hAnsi="Times New Roman" w:cs="Times New Roman"/>
                      <w:color w:val="auto"/>
                    </w:rPr>
                    <w:t>险</w:t>
                  </w:r>
                </w:p>
                <w:p>
                  <w:pPr>
                    <w:pStyle w:val="90"/>
                    <w:rPr>
                      <w:rFonts w:hint="default" w:ascii="Times New Roman" w:hAnsi="Times New Roman" w:cs="Times New Roman"/>
                      <w:color w:val="auto"/>
                    </w:rPr>
                  </w:pPr>
                  <w:r>
                    <w:rPr>
                      <w:rFonts w:hint="default" w:ascii="Times New Roman" w:hAnsi="Times New Roman" w:cs="Times New Roman"/>
                      <w:color w:val="auto"/>
                    </w:rPr>
                    <w:t>性</w:t>
                  </w:r>
                </w:p>
              </w:tc>
              <w:tc>
                <w:tcPr>
                  <w:tcW w:w="869" w:type="pct"/>
                  <w:gridSpan w:val="2"/>
                  <w:tcBorders>
                    <w:tl2br w:val="nil"/>
                    <w:tr2bl w:val="nil"/>
                  </w:tcBorders>
                  <w:vAlign w:val="center"/>
                </w:tcPr>
                <w:p>
                  <w:pPr>
                    <w:pStyle w:val="90"/>
                    <w:rPr>
                      <w:rFonts w:hint="default" w:ascii="Times New Roman" w:hAnsi="Times New Roman" w:cs="Times New Roman"/>
                      <w:color w:val="auto"/>
                    </w:rPr>
                  </w:pPr>
                  <w:r>
                    <w:rPr>
                      <w:rFonts w:hint="default" w:ascii="Times New Roman" w:hAnsi="Times New Roman" w:cs="Times New Roman"/>
                      <w:color w:val="auto"/>
                    </w:rPr>
                    <w:t>燃烧性</w:t>
                  </w:r>
                </w:p>
              </w:tc>
              <w:tc>
                <w:tcPr>
                  <w:tcW w:w="792" w:type="pct"/>
                  <w:gridSpan w:val="3"/>
                  <w:tcBorders>
                    <w:tl2br w:val="nil"/>
                    <w:tr2bl w:val="nil"/>
                  </w:tcBorders>
                  <w:vAlign w:val="center"/>
                </w:tcPr>
                <w:p>
                  <w:pPr>
                    <w:pStyle w:val="90"/>
                    <w:rPr>
                      <w:rFonts w:hint="default" w:ascii="Times New Roman" w:hAnsi="Times New Roman" w:cs="Times New Roman"/>
                      <w:color w:val="auto"/>
                    </w:rPr>
                  </w:pPr>
                  <w:r>
                    <w:rPr>
                      <w:rFonts w:hint="default" w:ascii="Times New Roman" w:hAnsi="Times New Roman" w:cs="Times New Roman"/>
                      <w:color w:val="auto"/>
                    </w:rPr>
                    <w:t>不燃</w:t>
                  </w:r>
                </w:p>
              </w:tc>
              <w:tc>
                <w:tcPr>
                  <w:tcW w:w="820" w:type="pct"/>
                  <w:gridSpan w:val="3"/>
                  <w:tcBorders>
                    <w:tl2br w:val="nil"/>
                    <w:tr2bl w:val="nil"/>
                  </w:tcBorders>
                  <w:vAlign w:val="center"/>
                </w:tcPr>
                <w:p>
                  <w:pPr>
                    <w:pStyle w:val="90"/>
                    <w:rPr>
                      <w:rFonts w:hint="default" w:ascii="Times New Roman" w:hAnsi="Times New Roman" w:cs="Times New Roman"/>
                      <w:color w:val="auto"/>
                    </w:rPr>
                  </w:pPr>
                  <w:r>
                    <w:rPr>
                      <w:rFonts w:hint="default" w:ascii="Times New Roman" w:hAnsi="Times New Roman" w:cs="Times New Roman"/>
                      <w:color w:val="auto"/>
                    </w:rPr>
                    <w:t>燃烧分解物</w:t>
                  </w:r>
                </w:p>
              </w:tc>
              <w:tc>
                <w:tcPr>
                  <w:tcW w:w="2261" w:type="pct"/>
                  <w:gridSpan w:val="7"/>
                  <w:tcBorders>
                    <w:tl2br w:val="nil"/>
                    <w:tr2bl w:val="nil"/>
                  </w:tcBorders>
                  <w:vAlign w:val="center"/>
                </w:tcPr>
                <w:p>
                  <w:pPr>
                    <w:pStyle w:val="90"/>
                    <w:rPr>
                      <w:rFonts w:hint="default" w:ascii="Times New Roman" w:hAnsi="Times New Roman" w:cs="Times New Roman"/>
                      <w:color w:val="auto"/>
                    </w:rPr>
                  </w:pPr>
                  <w:r>
                    <w:rPr>
                      <w:rFonts w:hint="default" w:ascii="Times New Roman" w:hAnsi="Times New Roman" w:cs="Times New Roman"/>
                      <w:color w:val="auto"/>
                    </w:rPr>
                    <w:t>氧化硫</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258" w:type="pct"/>
                  <w:vMerge w:val="continue"/>
                  <w:tcBorders>
                    <w:tl2br w:val="nil"/>
                    <w:tr2bl w:val="nil"/>
                  </w:tcBorders>
                  <w:vAlign w:val="center"/>
                </w:tcPr>
                <w:p>
                  <w:pPr>
                    <w:pStyle w:val="90"/>
                    <w:rPr>
                      <w:rFonts w:hint="default" w:ascii="Times New Roman" w:hAnsi="Times New Roman" w:cs="Times New Roman"/>
                      <w:color w:val="auto"/>
                    </w:rPr>
                  </w:pPr>
                </w:p>
              </w:tc>
              <w:tc>
                <w:tcPr>
                  <w:tcW w:w="869" w:type="pct"/>
                  <w:gridSpan w:val="2"/>
                  <w:tcBorders>
                    <w:tl2br w:val="nil"/>
                    <w:tr2bl w:val="nil"/>
                  </w:tcBorders>
                  <w:vAlign w:val="center"/>
                </w:tcPr>
                <w:p>
                  <w:pPr>
                    <w:pStyle w:val="90"/>
                    <w:rPr>
                      <w:rFonts w:hint="default" w:ascii="Times New Roman" w:hAnsi="Times New Roman" w:cs="Times New Roman"/>
                      <w:color w:val="auto"/>
                    </w:rPr>
                  </w:pPr>
                  <w:r>
                    <w:rPr>
                      <w:rFonts w:hint="default" w:ascii="Times New Roman" w:hAnsi="Times New Roman" w:cs="Times New Roman"/>
                      <w:color w:val="auto"/>
                    </w:rPr>
                    <w:t>闪点</w:t>
                  </w:r>
                  <w:r>
                    <w:rPr>
                      <w:rFonts w:hint="default" w:ascii="Times New Roman" w:hAnsi="Times New Roman" w:cs="Times New Roman"/>
                      <w:color w:val="auto"/>
                      <w:lang w:eastAsia="zh-CN"/>
                    </w:rPr>
                    <w:t>（</w:t>
                  </w:r>
                  <w:r>
                    <w:rPr>
                      <w:rFonts w:hint="default" w:ascii="Times New Roman" w:hAnsi="Times New Roman" w:cs="Times New Roman"/>
                      <w:color w:val="auto"/>
                    </w:rPr>
                    <w:t>℃)</w:t>
                  </w:r>
                </w:p>
              </w:tc>
              <w:tc>
                <w:tcPr>
                  <w:tcW w:w="792" w:type="pct"/>
                  <w:gridSpan w:val="3"/>
                  <w:tcBorders>
                    <w:tl2br w:val="nil"/>
                    <w:tr2bl w:val="nil"/>
                  </w:tcBorders>
                  <w:vAlign w:val="center"/>
                </w:tcPr>
                <w:p>
                  <w:pPr>
                    <w:pStyle w:val="90"/>
                    <w:rPr>
                      <w:rFonts w:hint="default" w:ascii="Times New Roman" w:hAnsi="Times New Roman" w:cs="Times New Roman"/>
                      <w:color w:val="auto"/>
                    </w:rPr>
                  </w:pPr>
                  <w:r>
                    <w:rPr>
                      <w:rFonts w:hint="default" w:ascii="Times New Roman" w:hAnsi="Times New Roman" w:cs="Times New Roman"/>
                      <w:color w:val="auto"/>
                    </w:rPr>
                    <w:t>无意义</w:t>
                  </w:r>
                </w:p>
              </w:tc>
              <w:tc>
                <w:tcPr>
                  <w:tcW w:w="1704" w:type="pct"/>
                  <w:gridSpan w:val="6"/>
                  <w:tcBorders>
                    <w:tl2br w:val="nil"/>
                    <w:tr2bl w:val="nil"/>
                  </w:tcBorders>
                  <w:vAlign w:val="center"/>
                </w:tcPr>
                <w:p>
                  <w:pPr>
                    <w:pStyle w:val="90"/>
                    <w:rPr>
                      <w:rFonts w:hint="default" w:ascii="Times New Roman" w:hAnsi="Times New Roman" w:cs="Times New Roman"/>
                      <w:color w:val="auto"/>
                    </w:rPr>
                  </w:pPr>
                  <w:r>
                    <w:rPr>
                      <w:rFonts w:hint="default" w:ascii="Times New Roman" w:hAnsi="Times New Roman" w:cs="Times New Roman"/>
                      <w:color w:val="auto"/>
                    </w:rPr>
                    <w:t>燃烧热</w:t>
                  </w:r>
                  <w:r>
                    <w:rPr>
                      <w:rFonts w:hint="default" w:ascii="Times New Roman" w:hAnsi="Times New Roman" w:cs="Times New Roman"/>
                      <w:color w:val="auto"/>
                      <w:lang w:eastAsia="zh-CN"/>
                    </w:rPr>
                    <w:t>（</w:t>
                  </w:r>
                  <w:r>
                    <w:rPr>
                      <w:rFonts w:hint="default" w:ascii="Times New Roman" w:hAnsi="Times New Roman" w:cs="Times New Roman"/>
                      <w:color w:val="auto"/>
                    </w:rPr>
                    <w:t>kJ/mol)</w:t>
                  </w:r>
                </w:p>
              </w:tc>
              <w:tc>
                <w:tcPr>
                  <w:tcW w:w="1376" w:type="pct"/>
                  <w:gridSpan w:val="4"/>
                  <w:tcBorders>
                    <w:tl2br w:val="nil"/>
                    <w:tr2bl w:val="nil"/>
                  </w:tcBorders>
                  <w:vAlign w:val="center"/>
                </w:tcPr>
                <w:p>
                  <w:pPr>
                    <w:pStyle w:val="90"/>
                    <w:rPr>
                      <w:rFonts w:hint="default" w:ascii="Times New Roman" w:hAnsi="Times New Roman" w:cs="Times New Roman"/>
                      <w:color w:val="auto"/>
                    </w:rPr>
                  </w:pPr>
                  <w:r>
                    <w:rPr>
                      <w:rFonts w:hint="default" w:ascii="Times New Roman" w:hAnsi="Times New Roman" w:cs="Times New Roman"/>
                      <w:color w:val="auto"/>
                    </w:rPr>
                    <w:t>无资料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258" w:type="pct"/>
                  <w:vMerge w:val="continue"/>
                  <w:tcBorders>
                    <w:tl2br w:val="nil"/>
                    <w:tr2bl w:val="nil"/>
                  </w:tcBorders>
                  <w:vAlign w:val="center"/>
                </w:tcPr>
                <w:p>
                  <w:pPr>
                    <w:pStyle w:val="90"/>
                    <w:rPr>
                      <w:rFonts w:hint="default" w:ascii="Times New Roman" w:hAnsi="Times New Roman" w:cs="Times New Roman"/>
                      <w:color w:val="auto"/>
                    </w:rPr>
                  </w:pPr>
                </w:p>
              </w:tc>
              <w:tc>
                <w:tcPr>
                  <w:tcW w:w="869" w:type="pct"/>
                  <w:gridSpan w:val="2"/>
                  <w:tcBorders>
                    <w:tl2br w:val="nil"/>
                    <w:tr2bl w:val="nil"/>
                  </w:tcBorders>
                  <w:vAlign w:val="center"/>
                </w:tcPr>
                <w:p>
                  <w:pPr>
                    <w:pStyle w:val="90"/>
                    <w:rPr>
                      <w:rFonts w:hint="default" w:ascii="Times New Roman" w:hAnsi="Times New Roman" w:cs="Times New Roman"/>
                      <w:color w:val="auto"/>
                    </w:rPr>
                  </w:pPr>
                  <w:r>
                    <w:rPr>
                      <w:rFonts w:hint="default" w:ascii="Times New Roman" w:hAnsi="Times New Roman" w:cs="Times New Roman"/>
                      <w:color w:val="auto"/>
                    </w:rPr>
                    <w:t>引燃温度</w:t>
                  </w:r>
                  <w:r>
                    <w:rPr>
                      <w:rFonts w:hint="default" w:ascii="Times New Roman" w:hAnsi="Times New Roman" w:cs="Times New Roman"/>
                      <w:color w:val="auto"/>
                      <w:lang w:eastAsia="zh-CN"/>
                    </w:rPr>
                    <w:t>（</w:t>
                  </w:r>
                  <w:r>
                    <w:rPr>
                      <w:rFonts w:hint="default" w:ascii="Times New Roman" w:hAnsi="Times New Roman" w:cs="Times New Roman"/>
                      <w:color w:val="auto"/>
                    </w:rPr>
                    <w:t>℃)</w:t>
                  </w:r>
                </w:p>
              </w:tc>
              <w:tc>
                <w:tcPr>
                  <w:tcW w:w="792" w:type="pct"/>
                  <w:gridSpan w:val="3"/>
                  <w:tcBorders>
                    <w:tl2br w:val="nil"/>
                    <w:tr2bl w:val="nil"/>
                  </w:tcBorders>
                  <w:vAlign w:val="center"/>
                </w:tcPr>
                <w:p>
                  <w:pPr>
                    <w:pStyle w:val="90"/>
                    <w:rPr>
                      <w:rFonts w:hint="default" w:ascii="Times New Roman" w:hAnsi="Times New Roman" w:cs="Times New Roman"/>
                      <w:color w:val="auto"/>
                    </w:rPr>
                  </w:pPr>
                  <w:r>
                    <w:rPr>
                      <w:rFonts w:hint="default" w:ascii="Times New Roman" w:hAnsi="Times New Roman" w:cs="Times New Roman"/>
                      <w:color w:val="auto"/>
                    </w:rPr>
                    <w:t>无资料</w:t>
                  </w:r>
                </w:p>
              </w:tc>
              <w:tc>
                <w:tcPr>
                  <w:tcW w:w="1704" w:type="pct"/>
                  <w:gridSpan w:val="6"/>
                  <w:tcBorders>
                    <w:tl2br w:val="nil"/>
                    <w:tr2bl w:val="nil"/>
                  </w:tcBorders>
                  <w:vAlign w:val="center"/>
                </w:tcPr>
                <w:p>
                  <w:pPr>
                    <w:pStyle w:val="90"/>
                    <w:rPr>
                      <w:rFonts w:hint="default" w:ascii="Times New Roman" w:hAnsi="Times New Roman" w:cs="Times New Roman"/>
                      <w:color w:val="auto"/>
                    </w:rPr>
                  </w:pPr>
                  <w:r>
                    <w:rPr>
                      <w:rFonts w:hint="default" w:ascii="Times New Roman" w:hAnsi="Times New Roman" w:cs="Times New Roman"/>
                      <w:color w:val="auto"/>
                    </w:rPr>
                    <w:t>爆炸极限%（v/v）</w:t>
                  </w:r>
                </w:p>
              </w:tc>
              <w:tc>
                <w:tcPr>
                  <w:tcW w:w="1376" w:type="pct"/>
                  <w:gridSpan w:val="4"/>
                  <w:tcBorders>
                    <w:tl2br w:val="nil"/>
                    <w:tr2bl w:val="nil"/>
                  </w:tcBorders>
                  <w:vAlign w:val="center"/>
                </w:tcPr>
                <w:p>
                  <w:pPr>
                    <w:pStyle w:val="90"/>
                    <w:rPr>
                      <w:rFonts w:hint="default" w:ascii="Times New Roman" w:hAnsi="Times New Roman" w:cs="Times New Roman"/>
                      <w:color w:val="auto"/>
                    </w:rPr>
                  </w:pPr>
                  <w:r>
                    <w:rPr>
                      <w:rFonts w:hint="default" w:ascii="Times New Roman" w:hAnsi="Times New Roman" w:cs="Times New Roman"/>
                      <w:color w:val="auto"/>
                    </w:rPr>
                    <w:t>无资料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258" w:type="pct"/>
                  <w:vMerge w:val="continue"/>
                  <w:tcBorders>
                    <w:tl2br w:val="nil"/>
                    <w:tr2bl w:val="nil"/>
                  </w:tcBorders>
                  <w:vAlign w:val="center"/>
                </w:tcPr>
                <w:p>
                  <w:pPr>
                    <w:pStyle w:val="90"/>
                    <w:rPr>
                      <w:rFonts w:hint="default" w:ascii="Times New Roman" w:hAnsi="Times New Roman" w:cs="Times New Roman"/>
                      <w:color w:val="auto"/>
                    </w:rPr>
                  </w:pPr>
                </w:p>
              </w:tc>
              <w:tc>
                <w:tcPr>
                  <w:tcW w:w="869" w:type="pct"/>
                  <w:gridSpan w:val="2"/>
                  <w:tcBorders>
                    <w:tl2br w:val="nil"/>
                    <w:tr2bl w:val="nil"/>
                  </w:tcBorders>
                  <w:vAlign w:val="center"/>
                </w:tcPr>
                <w:p>
                  <w:pPr>
                    <w:pStyle w:val="90"/>
                    <w:rPr>
                      <w:rFonts w:hint="default" w:ascii="Times New Roman" w:hAnsi="Times New Roman" w:cs="Times New Roman"/>
                      <w:color w:val="auto"/>
                    </w:rPr>
                  </w:pPr>
                  <w:r>
                    <w:rPr>
                      <w:rFonts w:hint="default" w:ascii="Times New Roman" w:hAnsi="Times New Roman" w:cs="Times New Roman"/>
                      <w:color w:val="auto"/>
                    </w:rPr>
                    <w:t>危险特性</w:t>
                  </w:r>
                </w:p>
              </w:tc>
              <w:tc>
                <w:tcPr>
                  <w:tcW w:w="3873" w:type="pct"/>
                  <w:gridSpan w:val="13"/>
                  <w:tcBorders>
                    <w:tl2br w:val="nil"/>
                    <w:tr2bl w:val="nil"/>
                  </w:tcBorders>
                  <w:vAlign w:val="center"/>
                </w:tcPr>
                <w:p>
                  <w:pPr>
                    <w:pStyle w:val="90"/>
                    <w:rPr>
                      <w:rFonts w:hint="default" w:ascii="Times New Roman" w:hAnsi="Times New Roman" w:cs="Times New Roman"/>
                      <w:color w:val="auto"/>
                    </w:rPr>
                  </w:pPr>
                  <w:r>
                    <w:rPr>
                      <w:rFonts w:hint="default" w:ascii="Times New Roman" w:hAnsi="Times New Roman" w:cs="Times New Roman"/>
                      <w:color w:val="auto"/>
                    </w:rPr>
                    <w:t>遇水大量放热，可发生沸溅。与易燃物（如苯）和可燃物（如糖、纤维素等）接触会发生剧烈反应，甚至引起燃烧。遇电石、高氯酸盐、雷酸盐、硝酸盐、苦味酸盐、金黄色属粉末等猛烈反应，发生爆炸或燃烧。有强烈的腐蚀性和吸水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258" w:type="pct"/>
                  <w:vMerge w:val="continue"/>
                  <w:tcBorders>
                    <w:tl2br w:val="nil"/>
                    <w:tr2bl w:val="nil"/>
                  </w:tcBorders>
                  <w:vAlign w:val="center"/>
                </w:tcPr>
                <w:p>
                  <w:pPr>
                    <w:pStyle w:val="90"/>
                    <w:rPr>
                      <w:rFonts w:hint="default" w:ascii="Times New Roman" w:hAnsi="Times New Roman" w:cs="Times New Roman"/>
                      <w:color w:val="auto"/>
                    </w:rPr>
                  </w:pPr>
                </w:p>
              </w:tc>
              <w:tc>
                <w:tcPr>
                  <w:tcW w:w="869" w:type="pct"/>
                  <w:gridSpan w:val="2"/>
                  <w:tcBorders>
                    <w:tl2br w:val="nil"/>
                    <w:tr2bl w:val="nil"/>
                  </w:tcBorders>
                  <w:vAlign w:val="center"/>
                </w:tcPr>
                <w:p>
                  <w:pPr>
                    <w:pStyle w:val="90"/>
                    <w:rPr>
                      <w:rFonts w:hint="default" w:ascii="Times New Roman" w:hAnsi="Times New Roman" w:cs="Times New Roman"/>
                      <w:color w:val="auto"/>
                    </w:rPr>
                  </w:pPr>
                  <w:r>
                    <w:rPr>
                      <w:rFonts w:hint="default" w:ascii="Times New Roman" w:hAnsi="Times New Roman" w:cs="Times New Roman"/>
                      <w:color w:val="auto"/>
                    </w:rPr>
                    <w:t>建规火险分级</w:t>
                  </w:r>
                </w:p>
              </w:tc>
              <w:tc>
                <w:tcPr>
                  <w:tcW w:w="557" w:type="pct"/>
                  <w:gridSpan w:val="2"/>
                  <w:tcBorders>
                    <w:tl2br w:val="nil"/>
                    <w:tr2bl w:val="nil"/>
                  </w:tcBorders>
                  <w:vAlign w:val="center"/>
                </w:tcPr>
                <w:p>
                  <w:pPr>
                    <w:pStyle w:val="90"/>
                    <w:rPr>
                      <w:rFonts w:hint="default" w:ascii="Times New Roman" w:hAnsi="Times New Roman" w:cs="Times New Roman"/>
                      <w:color w:val="auto"/>
                    </w:rPr>
                  </w:pPr>
                  <w:r>
                    <w:rPr>
                      <w:rFonts w:hint="default" w:ascii="Times New Roman" w:hAnsi="Times New Roman" w:cs="Times New Roman"/>
                      <w:color w:val="auto"/>
                    </w:rPr>
                    <w:t>乙</w:t>
                  </w:r>
                </w:p>
              </w:tc>
              <w:tc>
                <w:tcPr>
                  <w:tcW w:w="762" w:type="pct"/>
                  <w:gridSpan w:val="3"/>
                  <w:tcBorders>
                    <w:tl2br w:val="nil"/>
                    <w:tr2bl w:val="nil"/>
                  </w:tcBorders>
                  <w:vAlign w:val="center"/>
                </w:tcPr>
                <w:p>
                  <w:pPr>
                    <w:pStyle w:val="90"/>
                    <w:rPr>
                      <w:rFonts w:hint="default" w:ascii="Times New Roman" w:hAnsi="Times New Roman" w:cs="Times New Roman"/>
                      <w:color w:val="auto"/>
                    </w:rPr>
                  </w:pPr>
                  <w:r>
                    <w:rPr>
                      <w:rFonts w:hint="default" w:ascii="Times New Roman" w:hAnsi="Times New Roman" w:cs="Times New Roman"/>
                      <w:color w:val="auto"/>
                    </w:rPr>
                    <w:t>稳定性</w:t>
                  </w:r>
                </w:p>
              </w:tc>
              <w:tc>
                <w:tcPr>
                  <w:tcW w:w="596" w:type="pct"/>
                  <w:gridSpan w:val="3"/>
                  <w:tcBorders>
                    <w:tl2br w:val="nil"/>
                    <w:tr2bl w:val="nil"/>
                  </w:tcBorders>
                  <w:vAlign w:val="center"/>
                </w:tcPr>
                <w:p>
                  <w:pPr>
                    <w:pStyle w:val="90"/>
                    <w:rPr>
                      <w:rFonts w:hint="default" w:ascii="Times New Roman" w:hAnsi="Times New Roman" w:cs="Times New Roman"/>
                      <w:color w:val="auto"/>
                    </w:rPr>
                  </w:pPr>
                  <w:r>
                    <w:rPr>
                      <w:rFonts w:hint="default" w:ascii="Times New Roman" w:hAnsi="Times New Roman" w:cs="Times New Roman"/>
                      <w:color w:val="auto"/>
                    </w:rPr>
                    <w:t>稳定</w:t>
                  </w:r>
                </w:p>
              </w:tc>
              <w:tc>
                <w:tcPr>
                  <w:tcW w:w="1037" w:type="pct"/>
                  <w:gridSpan w:val="3"/>
                  <w:tcBorders>
                    <w:tl2br w:val="nil"/>
                    <w:tr2bl w:val="nil"/>
                  </w:tcBorders>
                  <w:vAlign w:val="center"/>
                </w:tcPr>
                <w:p>
                  <w:pPr>
                    <w:pStyle w:val="90"/>
                    <w:rPr>
                      <w:rFonts w:hint="default" w:ascii="Times New Roman" w:hAnsi="Times New Roman" w:cs="Times New Roman"/>
                      <w:color w:val="auto"/>
                    </w:rPr>
                  </w:pPr>
                  <w:r>
                    <w:rPr>
                      <w:rFonts w:hint="default" w:ascii="Times New Roman" w:hAnsi="Times New Roman" w:cs="Times New Roman"/>
                      <w:color w:val="auto"/>
                    </w:rPr>
                    <w:t>聚合危害</w:t>
                  </w:r>
                </w:p>
              </w:tc>
              <w:tc>
                <w:tcPr>
                  <w:tcW w:w="921" w:type="pct"/>
                  <w:gridSpan w:val="2"/>
                  <w:tcBorders>
                    <w:tl2br w:val="nil"/>
                    <w:tr2bl w:val="nil"/>
                  </w:tcBorders>
                  <w:vAlign w:val="center"/>
                </w:tcPr>
                <w:p>
                  <w:pPr>
                    <w:pStyle w:val="90"/>
                    <w:rPr>
                      <w:rFonts w:hint="default" w:ascii="Times New Roman" w:hAnsi="Times New Roman" w:cs="Times New Roman"/>
                      <w:color w:val="auto"/>
                    </w:rPr>
                  </w:pPr>
                  <w:r>
                    <w:rPr>
                      <w:rFonts w:hint="default" w:ascii="Times New Roman" w:hAnsi="Times New Roman" w:cs="Times New Roman"/>
                      <w:color w:val="auto"/>
                    </w:rPr>
                    <w:t>不聚合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258" w:type="pct"/>
                  <w:vMerge w:val="continue"/>
                  <w:tcBorders>
                    <w:tl2br w:val="nil"/>
                    <w:tr2bl w:val="nil"/>
                  </w:tcBorders>
                  <w:vAlign w:val="center"/>
                </w:tcPr>
                <w:p>
                  <w:pPr>
                    <w:pStyle w:val="90"/>
                    <w:rPr>
                      <w:rFonts w:hint="default" w:ascii="Times New Roman" w:hAnsi="Times New Roman" w:cs="Times New Roman"/>
                      <w:color w:val="auto"/>
                    </w:rPr>
                  </w:pPr>
                </w:p>
              </w:tc>
              <w:tc>
                <w:tcPr>
                  <w:tcW w:w="869" w:type="pct"/>
                  <w:gridSpan w:val="2"/>
                  <w:tcBorders>
                    <w:tl2br w:val="nil"/>
                    <w:tr2bl w:val="nil"/>
                  </w:tcBorders>
                  <w:vAlign w:val="center"/>
                </w:tcPr>
                <w:p>
                  <w:pPr>
                    <w:pStyle w:val="90"/>
                    <w:rPr>
                      <w:rFonts w:hint="default" w:ascii="Times New Roman" w:hAnsi="Times New Roman" w:cs="Times New Roman"/>
                      <w:color w:val="auto"/>
                    </w:rPr>
                  </w:pPr>
                  <w:r>
                    <w:rPr>
                      <w:rFonts w:hint="default" w:ascii="Times New Roman" w:hAnsi="Times New Roman" w:cs="Times New Roman"/>
                      <w:color w:val="auto"/>
                    </w:rPr>
                    <w:t>禁忌物</w:t>
                  </w:r>
                </w:p>
              </w:tc>
              <w:tc>
                <w:tcPr>
                  <w:tcW w:w="3873" w:type="pct"/>
                  <w:gridSpan w:val="13"/>
                  <w:tcBorders>
                    <w:tl2br w:val="nil"/>
                    <w:tr2bl w:val="nil"/>
                  </w:tcBorders>
                  <w:vAlign w:val="center"/>
                </w:tcPr>
                <w:p>
                  <w:pPr>
                    <w:pStyle w:val="90"/>
                    <w:rPr>
                      <w:rFonts w:hint="default" w:ascii="Times New Roman" w:hAnsi="Times New Roman" w:cs="Times New Roman"/>
                      <w:color w:val="auto"/>
                    </w:rPr>
                  </w:pPr>
                  <w:r>
                    <w:rPr>
                      <w:rFonts w:hint="default" w:ascii="Times New Roman" w:hAnsi="Times New Roman" w:cs="Times New Roman"/>
                      <w:color w:val="auto"/>
                    </w:rPr>
                    <w:t>碱类、碱金属、水、强还原剂、易燃或可燃物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258" w:type="pct"/>
                  <w:vMerge w:val="continue"/>
                  <w:tcBorders>
                    <w:tl2br w:val="nil"/>
                    <w:tr2bl w:val="nil"/>
                  </w:tcBorders>
                  <w:vAlign w:val="center"/>
                </w:tcPr>
                <w:p>
                  <w:pPr>
                    <w:pStyle w:val="90"/>
                    <w:rPr>
                      <w:rFonts w:hint="default" w:ascii="Times New Roman" w:hAnsi="Times New Roman" w:cs="Times New Roman"/>
                      <w:color w:val="auto"/>
                    </w:rPr>
                  </w:pPr>
                </w:p>
              </w:tc>
              <w:tc>
                <w:tcPr>
                  <w:tcW w:w="869" w:type="pct"/>
                  <w:gridSpan w:val="2"/>
                  <w:tcBorders>
                    <w:tl2br w:val="nil"/>
                    <w:tr2bl w:val="nil"/>
                  </w:tcBorders>
                  <w:vAlign w:val="center"/>
                </w:tcPr>
                <w:p>
                  <w:pPr>
                    <w:pStyle w:val="90"/>
                    <w:rPr>
                      <w:rFonts w:hint="default" w:ascii="Times New Roman" w:hAnsi="Times New Roman" w:cs="Times New Roman"/>
                      <w:color w:val="auto"/>
                    </w:rPr>
                  </w:pPr>
                  <w:r>
                    <w:rPr>
                      <w:rFonts w:hint="default" w:ascii="Times New Roman" w:hAnsi="Times New Roman" w:cs="Times New Roman"/>
                      <w:color w:val="auto"/>
                    </w:rPr>
                    <w:t>灭火方法</w:t>
                  </w:r>
                </w:p>
              </w:tc>
              <w:tc>
                <w:tcPr>
                  <w:tcW w:w="3873" w:type="pct"/>
                  <w:gridSpan w:val="13"/>
                  <w:tcBorders>
                    <w:tl2br w:val="nil"/>
                    <w:tr2bl w:val="nil"/>
                  </w:tcBorders>
                  <w:vAlign w:val="center"/>
                </w:tcPr>
                <w:p>
                  <w:pPr>
                    <w:pStyle w:val="90"/>
                    <w:rPr>
                      <w:rFonts w:hint="default" w:ascii="Times New Roman" w:hAnsi="Times New Roman" w:cs="Times New Roman"/>
                      <w:color w:val="auto"/>
                    </w:rPr>
                  </w:pPr>
                  <w:r>
                    <w:rPr>
                      <w:rFonts w:hint="default" w:ascii="Times New Roman" w:hAnsi="Times New Roman" w:cs="Times New Roman"/>
                      <w:color w:val="auto"/>
                    </w:rPr>
                    <w:t>砂土。禁止用水。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258" w:type="pct"/>
                  <w:vMerge w:val="restart"/>
                  <w:tcBorders>
                    <w:tl2br w:val="nil"/>
                    <w:tr2bl w:val="nil"/>
                  </w:tcBorders>
                  <w:vAlign w:val="center"/>
                </w:tcPr>
                <w:p>
                  <w:pPr>
                    <w:pStyle w:val="90"/>
                    <w:rPr>
                      <w:rFonts w:hint="default" w:ascii="Times New Roman" w:hAnsi="Times New Roman" w:cs="Times New Roman"/>
                      <w:color w:val="auto"/>
                    </w:rPr>
                  </w:pPr>
                  <w:r>
                    <w:rPr>
                      <w:rFonts w:hint="default" w:ascii="Times New Roman" w:hAnsi="Times New Roman" w:cs="Times New Roman"/>
                      <w:color w:val="auto"/>
                    </w:rPr>
                    <w:t>防</w:t>
                  </w:r>
                </w:p>
                <w:p>
                  <w:pPr>
                    <w:pStyle w:val="90"/>
                    <w:rPr>
                      <w:rFonts w:hint="default" w:ascii="Times New Roman" w:hAnsi="Times New Roman" w:cs="Times New Roman"/>
                      <w:color w:val="auto"/>
                    </w:rPr>
                  </w:pPr>
                  <w:r>
                    <w:rPr>
                      <w:rFonts w:hint="default" w:ascii="Times New Roman" w:hAnsi="Times New Roman" w:cs="Times New Roman"/>
                      <w:color w:val="auto"/>
                    </w:rPr>
                    <w:t>护</w:t>
                  </w:r>
                </w:p>
                <w:p>
                  <w:pPr>
                    <w:pStyle w:val="90"/>
                    <w:rPr>
                      <w:rFonts w:hint="default" w:ascii="Times New Roman" w:hAnsi="Times New Roman" w:cs="Times New Roman"/>
                      <w:color w:val="auto"/>
                    </w:rPr>
                  </w:pPr>
                  <w:r>
                    <w:rPr>
                      <w:rFonts w:hint="default" w:ascii="Times New Roman" w:hAnsi="Times New Roman" w:cs="Times New Roman"/>
                      <w:color w:val="auto"/>
                    </w:rPr>
                    <w:t>措</w:t>
                  </w:r>
                </w:p>
                <w:p>
                  <w:pPr>
                    <w:pStyle w:val="90"/>
                    <w:rPr>
                      <w:rFonts w:hint="default" w:ascii="Times New Roman" w:hAnsi="Times New Roman" w:cs="Times New Roman"/>
                      <w:color w:val="auto"/>
                    </w:rPr>
                  </w:pPr>
                  <w:r>
                    <w:rPr>
                      <w:rFonts w:hint="default" w:ascii="Times New Roman" w:hAnsi="Times New Roman" w:cs="Times New Roman"/>
                      <w:color w:val="auto"/>
                    </w:rPr>
                    <w:t>施</w:t>
                  </w:r>
                </w:p>
              </w:tc>
              <w:tc>
                <w:tcPr>
                  <w:tcW w:w="869" w:type="pct"/>
                  <w:gridSpan w:val="2"/>
                  <w:tcBorders>
                    <w:tl2br w:val="nil"/>
                    <w:tr2bl w:val="nil"/>
                  </w:tcBorders>
                  <w:vAlign w:val="center"/>
                </w:tcPr>
                <w:p>
                  <w:pPr>
                    <w:pStyle w:val="90"/>
                    <w:rPr>
                      <w:rFonts w:hint="default" w:ascii="Times New Roman" w:hAnsi="Times New Roman" w:cs="Times New Roman"/>
                      <w:color w:val="auto"/>
                    </w:rPr>
                  </w:pPr>
                  <w:r>
                    <w:rPr>
                      <w:rFonts w:hint="default" w:ascii="Times New Roman" w:hAnsi="Times New Roman" w:cs="Times New Roman"/>
                      <w:color w:val="auto"/>
                    </w:rPr>
                    <w:t>呼吸系统防护</w:t>
                  </w:r>
                </w:p>
              </w:tc>
              <w:tc>
                <w:tcPr>
                  <w:tcW w:w="3873" w:type="pct"/>
                  <w:gridSpan w:val="13"/>
                  <w:tcBorders>
                    <w:tl2br w:val="nil"/>
                    <w:tr2bl w:val="nil"/>
                  </w:tcBorders>
                </w:tcPr>
                <w:p>
                  <w:pPr>
                    <w:pStyle w:val="90"/>
                    <w:rPr>
                      <w:rFonts w:hint="default" w:ascii="Times New Roman" w:hAnsi="Times New Roman" w:cs="Times New Roman"/>
                      <w:color w:val="auto"/>
                    </w:rPr>
                  </w:pPr>
                  <w:r>
                    <w:rPr>
                      <w:rFonts w:hint="default" w:ascii="Times New Roman" w:hAnsi="Times New Roman" w:cs="Times New Roman"/>
                      <w:color w:val="auto"/>
                    </w:rPr>
                    <w:t>可能接触其烟雾时，佩戴自吸过滤式防毒面具（全面罩）或空气呼吸器。紧急事态抢救或撤离时，建议佩戴氧气呼吸器。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8" w:type="pct"/>
                  <w:vMerge w:val="continue"/>
                  <w:tcBorders>
                    <w:tl2br w:val="nil"/>
                    <w:tr2bl w:val="nil"/>
                  </w:tcBorders>
                  <w:vAlign w:val="center"/>
                </w:tcPr>
                <w:p>
                  <w:pPr>
                    <w:pStyle w:val="90"/>
                    <w:rPr>
                      <w:rFonts w:hint="default" w:ascii="Times New Roman" w:hAnsi="Times New Roman" w:cs="Times New Roman"/>
                      <w:color w:val="auto"/>
                    </w:rPr>
                  </w:pPr>
                </w:p>
              </w:tc>
              <w:tc>
                <w:tcPr>
                  <w:tcW w:w="869" w:type="pct"/>
                  <w:gridSpan w:val="2"/>
                  <w:tcBorders>
                    <w:tl2br w:val="nil"/>
                    <w:tr2bl w:val="nil"/>
                  </w:tcBorders>
                  <w:vAlign w:val="center"/>
                </w:tcPr>
                <w:p>
                  <w:pPr>
                    <w:pStyle w:val="90"/>
                    <w:rPr>
                      <w:rFonts w:hint="default" w:ascii="Times New Roman" w:hAnsi="Times New Roman" w:cs="Times New Roman"/>
                      <w:color w:val="auto"/>
                    </w:rPr>
                  </w:pPr>
                  <w:r>
                    <w:rPr>
                      <w:rFonts w:hint="default" w:ascii="Times New Roman" w:hAnsi="Times New Roman" w:cs="Times New Roman"/>
                      <w:color w:val="auto"/>
                    </w:rPr>
                    <w:t>眼睛防护</w:t>
                  </w:r>
                </w:p>
              </w:tc>
              <w:tc>
                <w:tcPr>
                  <w:tcW w:w="3873" w:type="pct"/>
                  <w:gridSpan w:val="13"/>
                  <w:tcBorders>
                    <w:tl2br w:val="nil"/>
                    <w:tr2bl w:val="nil"/>
                  </w:tcBorders>
                </w:tcPr>
                <w:p>
                  <w:pPr>
                    <w:pStyle w:val="90"/>
                    <w:rPr>
                      <w:rFonts w:hint="default" w:ascii="Times New Roman" w:hAnsi="Times New Roman" w:cs="Times New Roman"/>
                      <w:color w:val="auto"/>
                    </w:rPr>
                  </w:pPr>
                  <w:r>
                    <w:rPr>
                      <w:rFonts w:hint="default" w:ascii="Times New Roman" w:hAnsi="Times New Roman" w:cs="Times New Roman"/>
                      <w:color w:val="auto"/>
                    </w:rPr>
                    <w:t>呼吸系统防护中已作防护。</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258" w:type="pct"/>
                  <w:vMerge w:val="continue"/>
                  <w:tcBorders>
                    <w:tl2br w:val="nil"/>
                    <w:tr2bl w:val="nil"/>
                  </w:tcBorders>
                  <w:vAlign w:val="center"/>
                </w:tcPr>
                <w:p>
                  <w:pPr>
                    <w:pStyle w:val="90"/>
                    <w:rPr>
                      <w:rFonts w:hint="default" w:ascii="Times New Roman" w:hAnsi="Times New Roman" w:cs="Times New Roman"/>
                      <w:color w:val="auto"/>
                    </w:rPr>
                  </w:pPr>
                </w:p>
              </w:tc>
              <w:tc>
                <w:tcPr>
                  <w:tcW w:w="869" w:type="pct"/>
                  <w:gridSpan w:val="2"/>
                  <w:tcBorders>
                    <w:tl2br w:val="nil"/>
                    <w:tr2bl w:val="nil"/>
                  </w:tcBorders>
                  <w:vAlign w:val="center"/>
                </w:tcPr>
                <w:p>
                  <w:pPr>
                    <w:pStyle w:val="90"/>
                    <w:rPr>
                      <w:rFonts w:hint="default" w:ascii="Times New Roman" w:hAnsi="Times New Roman" w:cs="Times New Roman"/>
                      <w:color w:val="auto"/>
                    </w:rPr>
                  </w:pPr>
                  <w:r>
                    <w:rPr>
                      <w:rFonts w:hint="default" w:ascii="Times New Roman" w:hAnsi="Times New Roman" w:cs="Times New Roman"/>
                      <w:color w:val="auto"/>
                    </w:rPr>
                    <w:t>身体防护</w:t>
                  </w:r>
                </w:p>
              </w:tc>
              <w:tc>
                <w:tcPr>
                  <w:tcW w:w="3873" w:type="pct"/>
                  <w:gridSpan w:val="13"/>
                  <w:tcBorders>
                    <w:tl2br w:val="nil"/>
                    <w:tr2bl w:val="nil"/>
                  </w:tcBorders>
                </w:tcPr>
                <w:p>
                  <w:pPr>
                    <w:pStyle w:val="90"/>
                    <w:rPr>
                      <w:rFonts w:hint="default" w:ascii="Times New Roman" w:hAnsi="Times New Roman" w:cs="Times New Roman"/>
                      <w:color w:val="auto"/>
                    </w:rPr>
                  </w:pPr>
                  <w:r>
                    <w:rPr>
                      <w:rFonts w:hint="default" w:ascii="Times New Roman" w:hAnsi="Times New Roman" w:cs="Times New Roman"/>
                      <w:color w:val="auto"/>
                    </w:rPr>
                    <w:t>穿橡胶耐酸碱服。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258" w:type="pct"/>
                  <w:vMerge w:val="continue"/>
                  <w:tcBorders>
                    <w:tl2br w:val="nil"/>
                    <w:tr2bl w:val="nil"/>
                  </w:tcBorders>
                  <w:vAlign w:val="center"/>
                </w:tcPr>
                <w:p>
                  <w:pPr>
                    <w:pStyle w:val="90"/>
                    <w:rPr>
                      <w:rFonts w:hint="default" w:ascii="Times New Roman" w:hAnsi="Times New Roman" w:cs="Times New Roman"/>
                      <w:color w:val="auto"/>
                    </w:rPr>
                  </w:pPr>
                </w:p>
              </w:tc>
              <w:tc>
                <w:tcPr>
                  <w:tcW w:w="869" w:type="pct"/>
                  <w:gridSpan w:val="2"/>
                  <w:tcBorders>
                    <w:tl2br w:val="nil"/>
                    <w:tr2bl w:val="nil"/>
                  </w:tcBorders>
                  <w:vAlign w:val="center"/>
                </w:tcPr>
                <w:p>
                  <w:pPr>
                    <w:pStyle w:val="90"/>
                    <w:rPr>
                      <w:rFonts w:hint="default" w:ascii="Times New Roman" w:hAnsi="Times New Roman" w:cs="Times New Roman"/>
                      <w:color w:val="auto"/>
                    </w:rPr>
                  </w:pPr>
                  <w:r>
                    <w:rPr>
                      <w:rFonts w:hint="default" w:ascii="Times New Roman" w:hAnsi="Times New Roman" w:cs="Times New Roman"/>
                      <w:color w:val="auto"/>
                    </w:rPr>
                    <w:t>手防护</w:t>
                  </w:r>
                </w:p>
              </w:tc>
              <w:tc>
                <w:tcPr>
                  <w:tcW w:w="3873" w:type="pct"/>
                  <w:gridSpan w:val="13"/>
                  <w:tcBorders>
                    <w:tl2br w:val="nil"/>
                    <w:tr2bl w:val="nil"/>
                  </w:tcBorders>
                </w:tcPr>
                <w:p>
                  <w:pPr>
                    <w:pStyle w:val="90"/>
                    <w:rPr>
                      <w:rFonts w:hint="default" w:ascii="Times New Roman" w:hAnsi="Times New Roman" w:cs="Times New Roman"/>
                      <w:color w:val="auto"/>
                    </w:rPr>
                  </w:pPr>
                  <w:r>
                    <w:rPr>
                      <w:rFonts w:hint="default" w:ascii="Times New Roman" w:hAnsi="Times New Roman" w:cs="Times New Roman"/>
                      <w:color w:val="auto"/>
                    </w:rPr>
                    <w:t>戴橡胶耐酸碱手套。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8" w:type="pct"/>
                  <w:vMerge w:val="continue"/>
                  <w:tcBorders>
                    <w:tl2br w:val="nil"/>
                    <w:tr2bl w:val="nil"/>
                  </w:tcBorders>
                  <w:vAlign w:val="center"/>
                </w:tcPr>
                <w:p>
                  <w:pPr>
                    <w:pStyle w:val="90"/>
                    <w:rPr>
                      <w:rFonts w:hint="default" w:ascii="Times New Roman" w:hAnsi="Times New Roman" w:cs="Times New Roman"/>
                      <w:color w:val="auto"/>
                    </w:rPr>
                  </w:pPr>
                </w:p>
              </w:tc>
              <w:tc>
                <w:tcPr>
                  <w:tcW w:w="869" w:type="pct"/>
                  <w:gridSpan w:val="2"/>
                  <w:tcBorders>
                    <w:tl2br w:val="nil"/>
                    <w:tr2bl w:val="nil"/>
                  </w:tcBorders>
                  <w:vAlign w:val="center"/>
                </w:tcPr>
                <w:p>
                  <w:pPr>
                    <w:pStyle w:val="90"/>
                    <w:rPr>
                      <w:rFonts w:hint="default" w:ascii="Times New Roman" w:hAnsi="Times New Roman" w:cs="Times New Roman"/>
                      <w:color w:val="auto"/>
                    </w:rPr>
                  </w:pPr>
                  <w:r>
                    <w:rPr>
                      <w:rFonts w:hint="default" w:ascii="Times New Roman" w:hAnsi="Times New Roman" w:cs="Times New Roman"/>
                      <w:color w:val="auto"/>
                    </w:rPr>
                    <w:t>其他防护</w:t>
                  </w:r>
                </w:p>
              </w:tc>
              <w:tc>
                <w:tcPr>
                  <w:tcW w:w="3873" w:type="pct"/>
                  <w:gridSpan w:val="13"/>
                  <w:tcBorders>
                    <w:tl2br w:val="nil"/>
                    <w:tr2bl w:val="nil"/>
                  </w:tcBorders>
                </w:tcPr>
                <w:p>
                  <w:pPr>
                    <w:pStyle w:val="90"/>
                    <w:rPr>
                      <w:rFonts w:hint="default" w:ascii="Times New Roman" w:hAnsi="Times New Roman" w:cs="Times New Roman"/>
                      <w:color w:val="auto"/>
                    </w:rPr>
                  </w:pPr>
                  <w:r>
                    <w:rPr>
                      <w:rFonts w:hint="default" w:ascii="Times New Roman" w:hAnsi="Times New Roman" w:cs="Times New Roman"/>
                      <w:color w:val="auto"/>
                    </w:rPr>
                    <w:t>工作现场禁止吸烟、进食和饮水。工作完毕，淋浴更衣。单独存放被毒物污染的衣服，洗后备用。保持良好的卫生习惯。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1127" w:type="pct"/>
                  <w:gridSpan w:val="3"/>
                  <w:tcBorders>
                    <w:tl2br w:val="nil"/>
                    <w:tr2bl w:val="nil"/>
                  </w:tcBorders>
                  <w:vAlign w:val="center"/>
                </w:tcPr>
                <w:p>
                  <w:pPr>
                    <w:pStyle w:val="90"/>
                    <w:rPr>
                      <w:rFonts w:hint="default" w:ascii="Times New Roman" w:hAnsi="Times New Roman" w:cs="Times New Roman"/>
                      <w:color w:val="auto"/>
                    </w:rPr>
                  </w:pPr>
                  <w:r>
                    <w:rPr>
                      <w:rFonts w:hint="default" w:ascii="Times New Roman" w:hAnsi="Times New Roman" w:cs="Times New Roman"/>
                      <w:color w:val="auto"/>
                    </w:rPr>
                    <w:t>包装方法</w:t>
                  </w:r>
                </w:p>
              </w:tc>
              <w:tc>
                <w:tcPr>
                  <w:tcW w:w="3873" w:type="pct"/>
                  <w:gridSpan w:val="13"/>
                  <w:tcBorders>
                    <w:tl2br w:val="nil"/>
                    <w:tr2bl w:val="nil"/>
                  </w:tcBorders>
                  <w:vAlign w:val="center"/>
                </w:tcPr>
                <w:p>
                  <w:pPr>
                    <w:pStyle w:val="90"/>
                    <w:rPr>
                      <w:rFonts w:hint="default" w:ascii="Times New Roman" w:hAnsi="Times New Roman" w:cs="Times New Roman"/>
                      <w:color w:val="auto"/>
                    </w:rPr>
                  </w:pPr>
                  <w:r>
                    <w:rPr>
                      <w:rFonts w:hint="default" w:ascii="Times New Roman" w:hAnsi="Times New Roman" w:cs="Times New Roman"/>
                      <w:color w:val="auto"/>
                    </w:rPr>
                    <w:t>耐酸坛或陶瓷瓶外普通木箱或半花格木箱；磨砂口玻璃瓶或螺纹口玻璃瓶外普通木箱。</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1127" w:type="pct"/>
                  <w:gridSpan w:val="3"/>
                  <w:tcBorders>
                    <w:tl2br w:val="nil"/>
                    <w:tr2bl w:val="nil"/>
                  </w:tcBorders>
                  <w:vAlign w:val="center"/>
                </w:tcPr>
                <w:p>
                  <w:pPr>
                    <w:pStyle w:val="90"/>
                    <w:rPr>
                      <w:rFonts w:hint="default" w:ascii="Times New Roman" w:hAnsi="Times New Roman" w:cs="Times New Roman"/>
                      <w:color w:val="auto"/>
                    </w:rPr>
                  </w:pPr>
                  <w:r>
                    <w:rPr>
                      <w:rFonts w:hint="default" w:ascii="Times New Roman" w:hAnsi="Times New Roman" w:cs="Times New Roman"/>
                      <w:color w:val="auto"/>
                    </w:rPr>
                    <w:t>储存注意事项</w:t>
                  </w:r>
                </w:p>
              </w:tc>
              <w:tc>
                <w:tcPr>
                  <w:tcW w:w="3873" w:type="pct"/>
                  <w:gridSpan w:val="13"/>
                  <w:tcBorders>
                    <w:tl2br w:val="nil"/>
                    <w:tr2bl w:val="nil"/>
                  </w:tcBorders>
                  <w:vAlign w:val="center"/>
                </w:tcPr>
                <w:p>
                  <w:pPr>
                    <w:pStyle w:val="90"/>
                    <w:rPr>
                      <w:rFonts w:hint="default" w:ascii="Times New Roman" w:hAnsi="Times New Roman" w:cs="Times New Roman"/>
                      <w:color w:val="auto"/>
                    </w:rPr>
                  </w:pPr>
                  <w:r>
                    <w:rPr>
                      <w:rFonts w:hint="default" w:ascii="Times New Roman" w:hAnsi="Times New Roman" w:cs="Times New Roman"/>
                      <w:color w:val="auto"/>
                    </w:rPr>
                    <w:t>储存于阴凉、通风的库房。库温不超过35℃，相对湿度不超过85％。保持容器密封。应与易（可）燃物、还原剂、碱类、碱金属、食用化学品分开存放，切忌混储。储区应备有泄漏应急处理设备和合适的收容材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289" w:type="pct"/>
                  <w:gridSpan w:val="2"/>
                  <w:tcBorders>
                    <w:tl2br w:val="nil"/>
                    <w:tr2bl w:val="nil"/>
                  </w:tcBorders>
                  <w:vAlign w:val="center"/>
                </w:tcPr>
                <w:p>
                  <w:pPr>
                    <w:pStyle w:val="90"/>
                    <w:rPr>
                      <w:rFonts w:hint="default" w:ascii="Times New Roman" w:hAnsi="Times New Roman" w:cs="Times New Roman"/>
                      <w:color w:val="auto"/>
                    </w:rPr>
                  </w:pPr>
                  <w:r>
                    <w:rPr>
                      <w:rFonts w:hint="default" w:ascii="Times New Roman" w:hAnsi="Times New Roman" w:cs="Times New Roman"/>
                      <w:color w:val="auto"/>
                    </w:rPr>
                    <w:t>泄漏处理</w:t>
                  </w:r>
                </w:p>
              </w:tc>
              <w:tc>
                <w:tcPr>
                  <w:tcW w:w="4711" w:type="pct"/>
                  <w:gridSpan w:val="14"/>
                  <w:tcBorders>
                    <w:tl2br w:val="nil"/>
                    <w:tr2bl w:val="nil"/>
                  </w:tcBorders>
                  <w:vAlign w:val="center"/>
                </w:tcPr>
                <w:p>
                  <w:pPr>
                    <w:pStyle w:val="90"/>
                    <w:rPr>
                      <w:rFonts w:hint="default" w:ascii="Times New Roman" w:hAnsi="Times New Roman" w:cs="Times New Roman"/>
                      <w:color w:val="auto"/>
                    </w:rPr>
                  </w:pPr>
                  <w:r>
                    <w:rPr>
                      <w:rFonts w:hint="default" w:ascii="Times New Roman" w:hAnsi="Times New Roman" w:cs="Times New Roman"/>
                      <w:color w:val="auto"/>
                    </w:rPr>
                    <w:t>迅速撤离泄漏污染区人员至安全区，并进行隔离，严格限制出入。建议应急处理人员戴自给正压式呼吸器，穿防酸碱工作服。不要直接接触泄漏物。尽可能切断泄漏源。防止流入下水道、排洪沟等限制性空间。小量泄漏：用砂土、干燥石灰或苏打灰混合。也可以用大量水冲洗，洗水稀释后放入废水系统。大量泄漏：构筑围堤或挖坑收容。用泵转移至槽车或专用收集器内，回收或运至废物处理场所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289" w:type="pct"/>
                  <w:gridSpan w:val="2"/>
                  <w:tcBorders>
                    <w:tl2br w:val="nil"/>
                    <w:tr2bl w:val="nil"/>
                  </w:tcBorders>
                  <w:vAlign w:val="center"/>
                </w:tcPr>
                <w:p>
                  <w:pPr>
                    <w:pStyle w:val="90"/>
                    <w:rPr>
                      <w:rFonts w:hint="default" w:ascii="Times New Roman" w:hAnsi="Times New Roman" w:cs="Times New Roman"/>
                      <w:color w:val="auto"/>
                    </w:rPr>
                  </w:pPr>
                  <w:r>
                    <w:rPr>
                      <w:rFonts w:hint="default" w:ascii="Times New Roman" w:hAnsi="Times New Roman" w:cs="Times New Roman"/>
                      <w:color w:val="auto"/>
                    </w:rPr>
                    <w:t>运输信息</w:t>
                  </w:r>
                </w:p>
              </w:tc>
              <w:tc>
                <w:tcPr>
                  <w:tcW w:w="4711" w:type="pct"/>
                  <w:gridSpan w:val="14"/>
                  <w:tcBorders>
                    <w:tl2br w:val="nil"/>
                    <w:tr2bl w:val="nil"/>
                  </w:tcBorders>
                  <w:vAlign w:val="center"/>
                </w:tcPr>
                <w:p>
                  <w:pPr>
                    <w:pStyle w:val="90"/>
                    <w:rPr>
                      <w:rFonts w:hint="default" w:ascii="Times New Roman" w:hAnsi="Times New Roman" w:cs="Times New Roman"/>
                      <w:color w:val="auto"/>
                    </w:rPr>
                  </w:pPr>
                  <w:r>
                    <w:rPr>
                      <w:rFonts w:hint="default" w:ascii="Times New Roman" w:hAnsi="Times New Roman" w:cs="Times New Roman"/>
                      <w:color w:val="auto"/>
                    </w:rPr>
                    <w:t>本品铁路运输时限使用钢制企业自备罐车装运，装运前需报有关部门批准。铁路非罐装运输时应严格按照铁道部《危险货物运输规则》中的危险货物配装表进行配装。起运时包装要完整，装载应稳妥。运输过程中要确保容器不泄漏、不倒塌、不坠落、不损坏。严禁与易燃物或可燃物、还原剂、碱类、碱金属、食用化学品等混装混运。运输时运输车辆应配备泄漏应急处理设备。运输途中应防曝晒、雨淋，防高温。公路运输时要按规定路线行驶，勿在居民区和人口稠密区停留。 </w:t>
                  </w:r>
                </w:p>
              </w:tc>
            </w:tr>
          </w:tbl>
          <w:p>
            <w:pPr>
              <w:ind w:firstLine="482"/>
              <w:jc w:val="center"/>
              <w:rPr>
                <w:b/>
                <w:color w:val="auto"/>
              </w:rPr>
            </w:pPr>
            <w:r>
              <w:rPr>
                <w:rFonts w:hint="eastAsia" w:ascii="Times New Roman" w:hAnsi="Times New Roman" w:eastAsia="黑体" w:cs="Times New Roman"/>
                <w:color w:val="auto"/>
                <w:spacing w:val="6"/>
                <w:sz w:val="24"/>
                <w:lang w:val="en-US" w:eastAsia="zh-CN"/>
              </w:rPr>
              <w:t>4-9</w:t>
            </w:r>
            <w:r>
              <w:rPr>
                <w:rFonts w:hint="eastAsia" w:ascii="Times New Roman" w:hAnsi="Times New Roman" w:eastAsia="黑体" w:cs="Times New Roman"/>
                <w:color w:val="auto"/>
                <w:spacing w:val="6"/>
                <w:sz w:val="24"/>
              </w:rPr>
              <w:t xml:space="preserve">  </w:t>
            </w:r>
            <w:r>
              <w:rPr>
                <w:rFonts w:hint="eastAsia" w:ascii="Times New Roman" w:hAnsi="Times New Roman" w:eastAsia="黑体" w:cs="Times New Roman"/>
                <w:color w:val="auto"/>
                <w:spacing w:val="6"/>
                <w:sz w:val="24"/>
                <w:lang w:val="en-US" w:eastAsia="zh-CN"/>
              </w:rPr>
              <w:t>铅</w:t>
            </w:r>
            <w:r>
              <w:rPr>
                <w:rFonts w:hint="eastAsia" w:ascii="Times New Roman" w:hAnsi="Times New Roman" w:eastAsia="黑体" w:cs="Times New Roman"/>
                <w:color w:val="auto"/>
                <w:spacing w:val="6"/>
                <w:sz w:val="24"/>
              </w:rPr>
              <w:t>理化性质及特性一览表</w:t>
            </w:r>
          </w:p>
          <w:tbl>
            <w:tblPr>
              <w:tblStyle w:val="32"/>
              <w:tblW w:w="0" w:type="auto"/>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79"/>
              <w:gridCol w:w="2775"/>
              <w:gridCol w:w="1778"/>
              <w:gridCol w:w="1779"/>
              <w:gridCol w:w="177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779"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vertAlign w:val="baseline"/>
                      <w:lang w:val="en-US" w:eastAsia="zh-CN"/>
                    </w:rPr>
                  </w:pPr>
                  <w:r>
                    <w:rPr>
                      <w:rFonts w:hint="default" w:ascii="Times New Roman" w:hAnsi="Times New Roman" w:cs="Times New Roman"/>
                      <w:bCs/>
                      <w:color w:val="auto"/>
                      <w:sz w:val="21"/>
                      <w:szCs w:val="21"/>
                      <w:vertAlign w:val="baseline"/>
                      <w:lang w:val="en-US" w:eastAsia="zh-CN"/>
                    </w:rPr>
                    <w:t>标识</w:t>
                  </w:r>
                </w:p>
              </w:tc>
              <w:tc>
                <w:tcPr>
                  <w:tcW w:w="4553" w:type="dxa"/>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vertAlign w:val="baseline"/>
                      <w:lang w:val="en-US" w:eastAsia="zh-CN"/>
                    </w:rPr>
                  </w:pPr>
                  <w:r>
                    <w:rPr>
                      <w:rFonts w:hint="default" w:ascii="Times New Roman" w:hAnsi="Times New Roman" w:cs="Times New Roman"/>
                      <w:bCs/>
                      <w:color w:val="auto"/>
                      <w:sz w:val="21"/>
                      <w:szCs w:val="21"/>
                      <w:vertAlign w:val="baseline"/>
                      <w:lang w:val="en-US" w:eastAsia="zh-CN"/>
                    </w:rPr>
                    <w:t>中文名：铅</w:t>
                  </w:r>
                </w:p>
              </w:tc>
              <w:tc>
                <w:tcPr>
                  <w:tcW w:w="3557" w:type="dxa"/>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vertAlign w:val="baseline"/>
                      <w:lang w:val="en-US" w:eastAsia="zh-CN"/>
                    </w:rPr>
                  </w:pPr>
                  <w:r>
                    <w:rPr>
                      <w:rFonts w:hint="default" w:ascii="Times New Roman" w:hAnsi="Times New Roman" w:cs="Times New Roman"/>
                      <w:bCs/>
                      <w:color w:val="auto"/>
                      <w:sz w:val="21"/>
                      <w:szCs w:val="21"/>
                      <w:vertAlign w:val="baseline"/>
                      <w:lang w:val="en-US" w:eastAsia="zh-CN"/>
                    </w:rPr>
                    <w:t>英文名：lead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77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vertAlign w:val="baseline"/>
                    </w:rPr>
                  </w:pPr>
                </w:p>
              </w:tc>
              <w:tc>
                <w:tcPr>
                  <w:tcW w:w="277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vertAlign w:val="baseline"/>
                      <w:lang w:val="en-US" w:eastAsia="zh-CN"/>
                    </w:rPr>
                  </w:pPr>
                  <w:r>
                    <w:rPr>
                      <w:rFonts w:hint="default" w:ascii="Times New Roman" w:hAnsi="Times New Roman" w:cs="Times New Roman"/>
                      <w:bCs/>
                      <w:color w:val="auto"/>
                      <w:sz w:val="21"/>
                      <w:szCs w:val="21"/>
                      <w:vertAlign w:val="baseline"/>
                      <w:lang w:val="en-US" w:eastAsia="zh-CN"/>
                    </w:rPr>
                    <w:t>分子式：Pb</w:t>
                  </w:r>
                </w:p>
              </w:tc>
              <w:tc>
                <w:tcPr>
                  <w:tcW w:w="17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vertAlign w:val="baseline"/>
                      <w:lang w:val="en-US" w:eastAsia="zh-CN"/>
                    </w:rPr>
                  </w:pPr>
                  <w:r>
                    <w:rPr>
                      <w:rFonts w:hint="default" w:ascii="Times New Roman" w:hAnsi="Times New Roman" w:cs="Times New Roman"/>
                      <w:bCs/>
                      <w:color w:val="auto"/>
                      <w:sz w:val="21"/>
                      <w:szCs w:val="21"/>
                      <w:vertAlign w:val="baseline"/>
                      <w:lang w:val="en-US" w:eastAsia="zh-CN"/>
                    </w:rPr>
                    <w:t>分子量：207.2</w:t>
                  </w:r>
                </w:p>
              </w:tc>
              <w:tc>
                <w:tcPr>
                  <w:tcW w:w="3557" w:type="dxa"/>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vertAlign w:val="baseline"/>
                    </w:rPr>
                  </w:pPr>
                  <w:r>
                    <w:rPr>
                      <w:rFonts w:hint="default" w:ascii="Times New Roman" w:hAnsi="Times New Roman" w:cs="Times New Roman"/>
                      <w:bCs/>
                      <w:color w:val="auto"/>
                      <w:sz w:val="21"/>
                      <w:szCs w:val="21"/>
                      <w:vertAlign w:val="baseline"/>
                      <w:lang w:val="en-US" w:eastAsia="zh-CN"/>
                    </w:rPr>
                    <w:t>CAS号：7439-92-1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779"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vertAlign w:val="baseline"/>
                      <w:lang w:val="en-US" w:eastAsia="zh-CN"/>
                    </w:rPr>
                  </w:pPr>
                  <w:r>
                    <w:rPr>
                      <w:rFonts w:hint="default" w:ascii="Times New Roman" w:hAnsi="Times New Roman" w:cs="Times New Roman"/>
                      <w:bCs/>
                      <w:color w:val="auto"/>
                      <w:sz w:val="21"/>
                      <w:szCs w:val="21"/>
                      <w:vertAlign w:val="baseline"/>
                      <w:lang w:val="en-US" w:eastAsia="zh-CN"/>
                    </w:rPr>
                    <w:t>理化性质</w:t>
                  </w:r>
                </w:p>
              </w:tc>
              <w:tc>
                <w:tcPr>
                  <w:tcW w:w="277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vertAlign w:val="baseline"/>
                    </w:rPr>
                  </w:pPr>
                  <w:r>
                    <w:rPr>
                      <w:rFonts w:hint="default" w:ascii="Times New Roman" w:hAnsi="Times New Roman" w:cs="Times New Roman"/>
                      <w:bCs/>
                      <w:color w:val="auto"/>
                      <w:sz w:val="21"/>
                      <w:szCs w:val="21"/>
                      <w:vertAlign w:val="baseline"/>
                      <w:lang w:val="en-US" w:eastAsia="zh-CN"/>
                    </w:rPr>
                    <w:t>外观与形状</w:t>
                  </w:r>
                </w:p>
              </w:tc>
              <w:tc>
                <w:tcPr>
                  <w:tcW w:w="17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vertAlign w:val="baseline"/>
                      <w:lang w:val="en-US" w:eastAsia="zh-CN"/>
                    </w:rPr>
                  </w:pPr>
                  <w:r>
                    <w:rPr>
                      <w:rFonts w:hint="default" w:ascii="Times New Roman" w:hAnsi="Times New Roman" w:cs="Times New Roman"/>
                      <w:bCs/>
                      <w:color w:val="auto"/>
                      <w:sz w:val="21"/>
                      <w:szCs w:val="21"/>
                      <w:vertAlign w:val="baseline"/>
                      <w:lang w:val="en-US" w:eastAsia="zh-CN"/>
                    </w:rPr>
                    <w:t>灰白色质软的粉末，切削面有光泽，延性弱，展性强</w:t>
                  </w:r>
                </w:p>
              </w:tc>
              <w:tc>
                <w:tcPr>
                  <w:tcW w:w="177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vertAlign w:val="baseline"/>
                      <w:lang w:val="en-US" w:eastAsia="zh-CN"/>
                    </w:rPr>
                  </w:pPr>
                  <w:r>
                    <w:rPr>
                      <w:rFonts w:hint="default" w:ascii="Times New Roman" w:hAnsi="Times New Roman" w:cs="Times New Roman"/>
                      <w:bCs/>
                      <w:color w:val="auto"/>
                      <w:sz w:val="21"/>
                      <w:szCs w:val="21"/>
                      <w:vertAlign w:val="baseline"/>
                      <w:lang w:val="en-US" w:eastAsia="zh-CN"/>
                    </w:rPr>
                    <w:t>主要成分</w:t>
                  </w:r>
                </w:p>
              </w:tc>
              <w:tc>
                <w:tcPr>
                  <w:tcW w:w="17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vertAlign w:val="baseline"/>
                      <w:lang w:val="en-US" w:eastAsia="zh-CN"/>
                    </w:rPr>
                  </w:pPr>
                  <w:r>
                    <w:rPr>
                      <w:rFonts w:hint="default" w:ascii="Times New Roman" w:hAnsi="Times New Roman" w:cs="Times New Roman"/>
                      <w:bCs/>
                      <w:color w:val="auto"/>
                      <w:sz w:val="21"/>
                      <w:szCs w:val="21"/>
                      <w:vertAlign w:val="baseline"/>
                      <w:lang w:val="en-US" w:eastAsia="zh-CN"/>
                    </w:rPr>
                    <w:t>纯品</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77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vertAlign w:val="baseline"/>
                    </w:rPr>
                  </w:pPr>
                </w:p>
              </w:tc>
              <w:tc>
                <w:tcPr>
                  <w:tcW w:w="277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vertAlign w:val="baseline"/>
                      <w:lang w:val="en-US" w:eastAsia="zh-CN"/>
                    </w:rPr>
                  </w:pPr>
                  <w:r>
                    <w:rPr>
                      <w:rFonts w:hint="default" w:ascii="Times New Roman" w:hAnsi="Times New Roman" w:cs="Times New Roman"/>
                      <w:bCs/>
                      <w:color w:val="auto"/>
                      <w:sz w:val="21"/>
                      <w:szCs w:val="21"/>
                      <w:vertAlign w:val="baseline"/>
                      <w:lang w:val="en-US" w:eastAsia="zh-CN"/>
                    </w:rPr>
                    <w:t>相对密度（kg/m</w:t>
                  </w:r>
                  <w:r>
                    <w:rPr>
                      <w:rFonts w:hint="default" w:ascii="Times New Roman" w:hAnsi="Times New Roman" w:cs="Times New Roman"/>
                      <w:bCs/>
                      <w:color w:val="auto"/>
                      <w:sz w:val="21"/>
                      <w:szCs w:val="21"/>
                      <w:vertAlign w:val="superscript"/>
                      <w:lang w:val="en-US" w:eastAsia="zh-CN"/>
                    </w:rPr>
                    <w:t>3</w:t>
                  </w:r>
                  <w:r>
                    <w:rPr>
                      <w:rFonts w:hint="default" w:ascii="Times New Roman" w:hAnsi="Times New Roman" w:cs="Times New Roman"/>
                      <w:bCs/>
                      <w:color w:val="auto"/>
                      <w:sz w:val="21"/>
                      <w:szCs w:val="21"/>
                      <w:vertAlign w:val="baseline"/>
                      <w:lang w:val="en-US" w:eastAsia="zh-CN"/>
                    </w:rPr>
                    <w:t>）</w:t>
                  </w:r>
                </w:p>
              </w:tc>
              <w:tc>
                <w:tcPr>
                  <w:tcW w:w="17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vertAlign w:val="baseline"/>
                      <w:lang w:val="en-US" w:eastAsia="zh-CN"/>
                    </w:rPr>
                  </w:pPr>
                  <w:r>
                    <w:rPr>
                      <w:rFonts w:hint="default" w:ascii="Times New Roman" w:hAnsi="Times New Roman" w:cs="Times New Roman"/>
                      <w:bCs/>
                      <w:color w:val="auto"/>
                      <w:sz w:val="21"/>
                      <w:szCs w:val="21"/>
                      <w:vertAlign w:val="baseline"/>
                      <w:lang w:val="en-US" w:eastAsia="zh-CN"/>
                    </w:rPr>
                    <w:t>11.34</w:t>
                  </w:r>
                </w:p>
              </w:tc>
              <w:tc>
                <w:tcPr>
                  <w:tcW w:w="177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vertAlign w:val="baseline"/>
                      <w:lang w:val="en-US" w:eastAsia="zh-CN"/>
                    </w:rPr>
                  </w:pPr>
                  <w:r>
                    <w:rPr>
                      <w:rFonts w:hint="default" w:ascii="Times New Roman" w:hAnsi="Times New Roman" w:cs="Times New Roman"/>
                      <w:bCs/>
                      <w:color w:val="auto"/>
                      <w:sz w:val="21"/>
                      <w:szCs w:val="21"/>
                      <w:vertAlign w:val="baseline"/>
                      <w:lang w:val="en-US" w:eastAsia="zh-CN"/>
                    </w:rPr>
                    <w:t>相对蒸汽密度（空气=1）</w:t>
                  </w:r>
                </w:p>
              </w:tc>
              <w:tc>
                <w:tcPr>
                  <w:tcW w:w="17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vertAlign w:val="baseline"/>
                      <w:lang w:val="en-US" w:eastAsia="zh-CN"/>
                    </w:rPr>
                  </w:pPr>
                  <w:r>
                    <w:rPr>
                      <w:rFonts w:hint="default" w:ascii="Times New Roman" w:hAnsi="Times New Roman" w:cs="Times New Roman"/>
                      <w:bCs/>
                      <w:color w:val="auto"/>
                      <w:sz w:val="21"/>
                      <w:szCs w:val="21"/>
                      <w:vertAlign w:val="baseline"/>
                      <w:lang w:val="en-US" w:eastAsia="zh-CN"/>
                    </w:rPr>
                    <w:t>无资料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77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vertAlign w:val="baseline"/>
                    </w:rPr>
                  </w:pPr>
                </w:p>
              </w:tc>
              <w:tc>
                <w:tcPr>
                  <w:tcW w:w="277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vertAlign w:val="baseline"/>
                      <w:lang w:val="en-US" w:eastAsia="zh-CN"/>
                    </w:rPr>
                  </w:pPr>
                  <w:r>
                    <w:rPr>
                      <w:rFonts w:hint="default" w:ascii="Times New Roman" w:hAnsi="Times New Roman" w:cs="Times New Roman"/>
                      <w:bCs/>
                      <w:color w:val="auto"/>
                      <w:sz w:val="21"/>
                      <w:szCs w:val="21"/>
                      <w:vertAlign w:val="baseline"/>
                      <w:lang w:val="en-US" w:eastAsia="zh-CN"/>
                    </w:rPr>
                    <w:t>熔点（℃）</w:t>
                  </w:r>
                </w:p>
              </w:tc>
              <w:tc>
                <w:tcPr>
                  <w:tcW w:w="17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vertAlign w:val="baseline"/>
                    </w:rPr>
                  </w:pPr>
                  <w:r>
                    <w:rPr>
                      <w:rFonts w:hint="default" w:ascii="Times New Roman" w:hAnsi="Times New Roman" w:cs="Times New Roman"/>
                      <w:bCs/>
                      <w:color w:val="auto"/>
                      <w:sz w:val="21"/>
                      <w:szCs w:val="21"/>
                      <w:vertAlign w:val="baseline"/>
                      <w:lang w:val="en-US" w:eastAsia="zh-CN"/>
                    </w:rPr>
                    <w:t>327</w:t>
                  </w:r>
                </w:p>
              </w:tc>
              <w:tc>
                <w:tcPr>
                  <w:tcW w:w="177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vertAlign w:val="baseline"/>
                      <w:lang w:val="en-US" w:eastAsia="zh-CN"/>
                    </w:rPr>
                  </w:pPr>
                  <w:r>
                    <w:rPr>
                      <w:rFonts w:hint="default" w:ascii="Times New Roman" w:hAnsi="Times New Roman" w:cs="Times New Roman"/>
                      <w:bCs/>
                      <w:color w:val="auto"/>
                      <w:sz w:val="21"/>
                      <w:szCs w:val="21"/>
                      <w:vertAlign w:val="baseline"/>
                      <w:lang w:val="en-US" w:eastAsia="zh-CN"/>
                    </w:rPr>
                    <w:t>沸点（℃）</w:t>
                  </w:r>
                </w:p>
              </w:tc>
              <w:tc>
                <w:tcPr>
                  <w:tcW w:w="17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vertAlign w:val="baseline"/>
                      <w:lang w:val="en-US" w:eastAsia="zh-CN"/>
                    </w:rPr>
                  </w:pPr>
                  <w:r>
                    <w:rPr>
                      <w:rFonts w:hint="default" w:ascii="Times New Roman" w:hAnsi="Times New Roman" w:cs="Times New Roman"/>
                      <w:bCs/>
                      <w:color w:val="auto"/>
                      <w:sz w:val="21"/>
                      <w:szCs w:val="21"/>
                      <w:vertAlign w:val="baseline"/>
                      <w:lang w:val="en-US" w:eastAsia="zh-CN"/>
                    </w:rPr>
                    <w:t>1620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77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vertAlign w:val="baseline"/>
                    </w:rPr>
                  </w:pPr>
                </w:p>
              </w:tc>
              <w:tc>
                <w:tcPr>
                  <w:tcW w:w="277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vertAlign w:val="baseline"/>
                      <w:lang w:val="en-US" w:eastAsia="zh-CN"/>
                    </w:rPr>
                  </w:pPr>
                  <w:r>
                    <w:rPr>
                      <w:rFonts w:hint="default" w:ascii="Times New Roman" w:hAnsi="Times New Roman" w:cs="Times New Roman"/>
                      <w:bCs/>
                      <w:color w:val="auto"/>
                      <w:sz w:val="21"/>
                      <w:szCs w:val="21"/>
                      <w:vertAlign w:val="baseline"/>
                      <w:lang w:val="en-US" w:eastAsia="zh-CN"/>
                    </w:rPr>
                    <w:t>饱和蒸气压（kPa）</w:t>
                  </w:r>
                </w:p>
              </w:tc>
              <w:tc>
                <w:tcPr>
                  <w:tcW w:w="17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vertAlign w:val="baseline"/>
                      <w:lang w:val="en-US" w:eastAsia="zh-CN"/>
                    </w:rPr>
                  </w:pPr>
                  <w:r>
                    <w:rPr>
                      <w:rFonts w:hint="default" w:ascii="Times New Roman" w:hAnsi="Times New Roman" w:cs="Times New Roman"/>
                      <w:bCs/>
                      <w:color w:val="auto"/>
                      <w:sz w:val="21"/>
                      <w:szCs w:val="21"/>
                      <w:vertAlign w:val="baseline"/>
                      <w:lang w:val="en-US" w:eastAsia="zh-CN"/>
                    </w:rPr>
                    <w:t>0.13（970℃）</w:t>
                  </w:r>
                </w:p>
              </w:tc>
              <w:tc>
                <w:tcPr>
                  <w:tcW w:w="177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vertAlign w:val="baseline"/>
                      <w:lang w:val="en-US" w:eastAsia="zh-CN"/>
                    </w:rPr>
                  </w:pPr>
                  <w:r>
                    <w:rPr>
                      <w:rFonts w:hint="default" w:ascii="Times New Roman" w:hAnsi="Times New Roman" w:cs="Times New Roman"/>
                      <w:bCs/>
                      <w:color w:val="auto"/>
                      <w:sz w:val="21"/>
                      <w:szCs w:val="21"/>
                      <w:vertAlign w:val="baseline"/>
                      <w:lang w:val="en-US" w:eastAsia="zh-CN"/>
                    </w:rPr>
                    <w:t>引燃温度（℃）</w:t>
                  </w:r>
                </w:p>
              </w:tc>
              <w:tc>
                <w:tcPr>
                  <w:tcW w:w="17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vertAlign w:val="baseline"/>
                      <w:lang w:val="en-US" w:eastAsia="zh-CN"/>
                    </w:rPr>
                  </w:pPr>
                  <w:r>
                    <w:rPr>
                      <w:rFonts w:hint="default" w:ascii="Times New Roman" w:hAnsi="Times New Roman" w:cs="Times New Roman"/>
                      <w:bCs/>
                      <w:color w:val="auto"/>
                      <w:sz w:val="21"/>
                      <w:szCs w:val="21"/>
                      <w:vertAlign w:val="baseline"/>
                      <w:lang w:val="en-US" w:eastAsia="zh-CN"/>
                    </w:rPr>
                    <w:t>790（粉）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77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vertAlign w:val="baseline"/>
                    </w:rPr>
                  </w:pPr>
                </w:p>
              </w:tc>
              <w:tc>
                <w:tcPr>
                  <w:tcW w:w="277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vertAlign w:val="baseline"/>
                      <w:lang w:val="en-US" w:eastAsia="zh-CN"/>
                    </w:rPr>
                  </w:pPr>
                  <w:r>
                    <w:rPr>
                      <w:rFonts w:hint="default" w:ascii="Times New Roman" w:hAnsi="Times New Roman" w:cs="Times New Roman"/>
                      <w:bCs/>
                      <w:color w:val="auto"/>
                      <w:sz w:val="21"/>
                      <w:szCs w:val="21"/>
                      <w:vertAlign w:val="baseline"/>
                      <w:lang w:val="en-US" w:eastAsia="zh-CN"/>
                    </w:rPr>
                    <w:t>溶解性</w:t>
                  </w:r>
                </w:p>
              </w:tc>
              <w:tc>
                <w:tcPr>
                  <w:tcW w:w="5335" w:type="dxa"/>
                  <w:gridSpan w:val="3"/>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vertAlign w:val="baseline"/>
                    </w:rPr>
                  </w:pPr>
                  <w:r>
                    <w:rPr>
                      <w:rFonts w:hint="default" w:ascii="Times New Roman" w:hAnsi="Times New Roman" w:cs="Times New Roman"/>
                      <w:bCs/>
                      <w:color w:val="auto"/>
                      <w:sz w:val="21"/>
                      <w:szCs w:val="21"/>
                      <w:vertAlign w:val="baseline"/>
                      <w:lang w:val="en-US" w:eastAsia="zh-CN"/>
                    </w:rPr>
                    <w:t>不溶于水，溶于硝酸、热浓硫酸、碱液，不溶于稀盐酸</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779"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vertAlign w:val="baseline"/>
                      <w:lang w:val="en-US" w:eastAsia="zh-CN"/>
                    </w:rPr>
                  </w:pPr>
                  <w:r>
                    <w:rPr>
                      <w:rFonts w:hint="default" w:ascii="Times New Roman" w:hAnsi="Times New Roman" w:cs="Times New Roman"/>
                      <w:bCs/>
                      <w:color w:val="auto"/>
                      <w:sz w:val="21"/>
                      <w:szCs w:val="21"/>
                      <w:vertAlign w:val="baseline"/>
                      <w:lang w:val="en-US" w:eastAsia="zh-CN"/>
                    </w:rPr>
                    <w:t>危险性概述</w:t>
                  </w:r>
                </w:p>
              </w:tc>
              <w:tc>
                <w:tcPr>
                  <w:tcW w:w="277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vertAlign w:val="baseline"/>
                      <w:lang w:val="en-US" w:eastAsia="zh-CN"/>
                    </w:rPr>
                  </w:pPr>
                  <w:r>
                    <w:rPr>
                      <w:rFonts w:hint="default" w:ascii="Times New Roman" w:hAnsi="Times New Roman" w:cs="Times New Roman"/>
                      <w:bCs/>
                      <w:color w:val="auto"/>
                      <w:sz w:val="21"/>
                      <w:szCs w:val="21"/>
                      <w:vertAlign w:val="baseline"/>
                      <w:lang w:val="en-US" w:eastAsia="zh-CN"/>
                    </w:rPr>
                    <w:t>健康危害</w:t>
                  </w:r>
                </w:p>
              </w:tc>
              <w:tc>
                <w:tcPr>
                  <w:tcW w:w="5335" w:type="dxa"/>
                  <w:gridSpan w:val="3"/>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vertAlign w:val="baseline"/>
                      <w:lang w:val="en-US" w:eastAsia="zh-CN"/>
                    </w:rPr>
                  </w:pPr>
                  <w:r>
                    <w:rPr>
                      <w:rFonts w:hint="default" w:ascii="Times New Roman" w:hAnsi="Times New Roman" w:cs="Times New Roman"/>
                      <w:bCs/>
                      <w:color w:val="auto"/>
                      <w:sz w:val="21"/>
                      <w:szCs w:val="21"/>
                      <w:vertAlign w:val="baseline"/>
                      <w:lang w:val="en-US" w:eastAsia="zh-CN"/>
                    </w:rPr>
                    <w:t>损害造血、神经、消化系统和肾脏。职业中毒主要为慢性。神经系统主要表现为神经衰弱综合征、周围神经病（以运动功能受累较明显）</w:t>
                  </w:r>
                  <w:r>
                    <w:rPr>
                      <w:rFonts w:hint="default" w:ascii="Times New Roman" w:hAnsi="Times New Roman" w:eastAsia="宋体" w:cs="Times New Roman"/>
                      <w:color w:val="auto"/>
                      <w:sz w:val="21"/>
                      <w:szCs w:val="21"/>
                    </w:rPr>
                    <w:t>，重者出现铅中毒性脑病。消化系统表现有齿龈铅线、食欲不振、恶心、腹胀、腹泻或便秘，腹绞痛见于中等及较重病例。造血系统损害出现卟啉代谢障碍、贫血等。短时接触大剂量可发生急性或亚急性铅中毒，表现类似重症慢性铅中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77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vertAlign w:val="baseline"/>
                    </w:rPr>
                  </w:pPr>
                </w:p>
              </w:tc>
              <w:tc>
                <w:tcPr>
                  <w:tcW w:w="277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vertAlign w:val="baseline"/>
                      <w:lang w:val="en-US" w:eastAsia="zh-CN"/>
                    </w:rPr>
                  </w:pPr>
                  <w:r>
                    <w:rPr>
                      <w:rFonts w:hint="default" w:ascii="Times New Roman" w:hAnsi="Times New Roman" w:cs="Times New Roman"/>
                      <w:bCs/>
                      <w:color w:val="auto"/>
                      <w:sz w:val="21"/>
                      <w:szCs w:val="21"/>
                      <w:vertAlign w:val="baseline"/>
                      <w:lang w:val="en-US" w:eastAsia="zh-CN"/>
                    </w:rPr>
                    <w:t>环境危害</w:t>
                  </w:r>
                </w:p>
              </w:tc>
              <w:tc>
                <w:tcPr>
                  <w:tcW w:w="5335" w:type="dxa"/>
                  <w:gridSpan w:val="3"/>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vertAlign w:val="baseline"/>
                      <w:lang w:val="en-US" w:eastAsia="zh-CN"/>
                    </w:rPr>
                  </w:pPr>
                  <w:r>
                    <w:rPr>
                      <w:rFonts w:hint="default" w:ascii="Times New Roman" w:hAnsi="Times New Roman" w:cs="Times New Roman"/>
                      <w:bCs/>
                      <w:color w:val="auto"/>
                      <w:sz w:val="21"/>
                      <w:szCs w:val="21"/>
                      <w:vertAlign w:val="baseline"/>
                      <w:lang w:val="en-US" w:eastAsia="zh-CN"/>
                    </w:rPr>
                    <w:t>对环境有严重危害，对水体、土壤和大气可造成污染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779"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vertAlign w:val="baseline"/>
                      <w:lang w:val="en-US" w:eastAsia="zh-CN"/>
                    </w:rPr>
                  </w:pPr>
                  <w:r>
                    <w:rPr>
                      <w:rFonts w:hint="default" w:ascii="Times New Roman" w:hAnsi="Times New Roman" w:cs="Times New Roman"/>
                      <w:bCs/>
                      <w:color w:val="auto"/>
                      <w:sz w:val="21"/>
                      <w:szCs w:val="21"/>
                      <w:vertAlign w:val="baseline"/>
                      <w:lang w:val="en-US" w:eastAsia="zh-CN"/>
                    </w:rPr>
                    <w:t>急救措施</w:t>
                  </w:r>
                </w:p>
              </w:tc>
              <w:tc>
                <w:tcPr>
                  <w:tcW w:w="277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vertAlign w:val="baseline"/>
                      <w:lang w:val="en-US" w:eastAsia="zh-CN"/>
                    </w:rPr>
                  </w:pPr>
                  <w:r>
                    <w:rPr>
                      <w:rFonts w:hint="default" w:ascii="Times New Roman" w:hAnsi="Times New Roman" w:cs="Times New Roman"/>
                      <w:bCs/>
                      <w:color w:val="auto"/>
                      <w:sz w:val="21"/>
                      <w:szCs w:val="21"/>
                      <w:vertAlign w:val="baseline"/>
                      <w:lang w:val="en-US" w:eastAsia="zh-CN"/>
                    </w:rPr>
                    <w:t>皮肤接触</w:t>
                  </w:r>
                </w:p>
              </w:tc>
              <w:tc>
                <w:tcPr>
                  <w:tcW w:w="5335" w:type="dxa"/>
                  <w:gridSpan w:val="3"/>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vertAlign w:val="baseline"/>
                      <w:lang w:val="en-US" w:eastAsia="zh-CN"/>
                    </w:rPr>
                  </w:pPr>
                  <w:r>
                    <w:rPr>
                      <w:rFonts w:hint="default" w:ascii="Times New Roman" w:hAnsi="Times New Roman" w:cs="Times New Roman"/>
                      <w:bCs/>
                      <w:color w:val="auto"/>
                      <w:sz w:val="21"/>
                      <w:szCs w:val="21"/>
                      <w:vertAlign w:val="baseline"/>
                      <w:lang w:val="en-US" w:eastAsia="zh-CN"/>
                    </w:rPr>
                    <w:t>脱去污染的衣着，用流动清水冲洗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77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vertAlign w:val="baseline"/>
                    </w:rPr>
                  </w:pPr>
                </w:p>
              </w:tc>
              <w:tc>
                <w:tcPr>
                  <w:tcW w:w="277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vertAlign w:val="baseline"/>
                      <w:lang w:val="en-US" w:eastAsia="zh-CN"/>
                    </w:rPr>
                  </w:pPr>
                  <w:r>
                    <w:rPr>
                      <w:rFonts w:hint="default" w:ascii="Times New Roman" w:hAnsi="Times New Roman" w:cs="Times New Roman"/>
                      <w:bCs/>
                      <w:color w:val="auto"/>
                      <w:sz w:val="21"/>
                      <w:szCs w:val="21"/>
                      <w:vertAlign w:val="baseline"/>
                      <w:lang w:val="en-US" w:eastAsia="zh-CN"/>
                    </w:rPr>
                    <w:t>眼睛接触</w:t>
                  </w:r>
                </w:p>
              </w:tc>
              <w:tc>
                <w:tcPr>
                  <w:tcW w:w="5335" w:type="dxa"/>
                  <w:gridSpan w:val="3"/>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vertAlign w:val="baseline"/>
                      <w:lang w:val="en-US" w:eastAsia="zh-CN"/>
                    </w:rPr>
                  </w:pPr>
                  <w:r>
                    <w:rPr>
                      <w:rFonts w:hint="default" w:ascii="Times New Roman" w:hAnsi="Times New Roman" w:cs="Times New Roman"/>
                      <w:bCs/>
                      <w:color w:val="auto"/>
                      <w:sz w:val="21"/>
                      <w:szCs w:val="21"/>
                      <w:vertAlign w:val="baseline"/>
                      <w:lang w:val="en-US" w:eastAsia="zh-CN"/>
                    </w:rPr>
                    <w:t>提起眼睑，用流动清水或者生理盐水冲洗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77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vertAlign w:val="baseline"/>
                    </w:rPr>
                  </w:pPr>
                </w:p>
              </w:tc>
              <w:tc>
                <w:tcPr>
                  <w:tcW w:w="277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vertAlign w:val="baseline"/>
                      <w:lang w:val="en-US" w:eastAsia="zh-CN"/>
                    </w:rPr>
                  </w:pPr>
                  <w:r>
                    <w:rPr>
                      <w:rFonts w:hint="default" w:ascii="Times New Roman" w:hAnsi="Times New Roman" w:cs="Times New Roman"/>
                      <w:bCs/>
                      <w:color w:val="auto"/>
                      <w:sz w:val="21"/>
                      <w:szCs w:val="21"/>
                      <w:vertAlign w:val="baseline"/>
                      <w:lang w:val="en-US" w:eastAsia="zh-CN"/>
                    </w:rPr>
                    <w:t>吸入</w:t>
                  </w:r>
                </w:p>
              </w:tc>
              <w:tc>
                <w:tcPr>
                  <w:tcW w:w="5335" w:type="dxa"/>
                  <w:gridSpan w:val="3"/>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vertAlign w:val="baseline"/>
                    </w:rPr>
                  </w:pPr>
                  <w:r>
                    <w:rPr>
                      <w:rFonts w:hint="default" w:ascii="Times New Roman" w:hAnsi="Times New Roman" w:eastAsia="宋体" w:cs="Times New Roman"/>
                      <w:color w:val="auto"/>
                      <w:sz w:val="21"/>
                      <w:szCs w:val="21"/>
                    </w:rPr>
                    <w:t>迅速脱离现场至空气新鲜处.保持呼吸道通畅。如呼吸困难，给输氧。如呼吸停止，立即进行人工呼吸。就医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77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vertAlign w:val="baseline"/>
                    </w:rPr>
                  </w:pPr>
                </w:p>
              </w:tc>
              <w:tc>
                <w:tcPr>
                  <w:tcW w:w="277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vertAlign w:val="baseline"/>
                      <w:lang w:val="en-US" w:eastAsia="zh-CN"/>
                    </w:rPr>
                  </w:pPr>
                  <w:r>
                    <w:rPr>
                      <w:rFonts w:hint="default" w:ascii="Times New Roman" w:hAnsi="Times New Roman" w:cs="Times New Roman"/>
                      <w:bCs/>
                      <w:color w:val="auto"/>
                      <w:sz w:val="21"/>
                      <w:szCs w:val="21"/>
                      <w:vertAlign w:val="baseline"/>
                      <w:lang w:val="en-US" w:eastAsia="zh-CN"/>
                    </w:rPr>
                    <w:t>食入</w:t>
                  </w:r>
                </w:p>
              </w:tc>
              <w:tc>
                <w:tcPr>
                  <w:tcW w:w="5335" w:type="dxa"/>
                  <w:gridSpan w:val="3"/>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饮足量温水，催吐。洗胃，导泻。就医。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779"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vertAlign w:val="baseline"/>
                      <w:lang w:val="en-US" w:eastAsia="zh-CN"/>
                    </w:rPr>
                  </w:pPr>
                  <w:r>
                    <w:rPr>
                      <w:rFonts w:hint="default" w:ascii="Times New Roman" w:hAnsi="Times New Roman" w:cs="Times New Roman"/>
                      <w:bCs/>
                      <w:color w:val="auto"/>
                      <w:sz w:val="21"/>
                      <w:szCs w:val="21"/>
                      <w:vertAlign w:val="baseline"/>
                      <w:lang w:val="en-US" w:eastAsia="zh-CN"/>
                    </w:rPr>
                    <w:t>消防措施</w:t>
                  </w:r>
                </w:p>
              </w:tc>
              <w:tc>
                <w:tcPr>
                  <w:tcW w:w="277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vertAlign w:val="baseline"/>
                      <w:lang w:val="en-US" w:eastAsia="zh-CN"/>
                    </w:rPr>
                  </w:pPr>
                  <w:r>
                    <w:rPr>
                      <w:rFonts w:hint="default" w:ascii="Times New Roman" w:hAnsi="Times New Roman" w:eastAsia="宋体" w:cs="Times New Roman"/>
                      <w:color w:val="auto"/>
                      <w:sz w:val="21"/>
                      <w:szCs w:val="21"/>
                    </w:rPr>
                    <w:t>危险特性</w:t>
                  </w:r>
                </w:p>
              </w:tc>
              <w:tc>
                <w:tcPr>
                  <w:tcW w:w="5335" w:type="dxa"/>
                  <w:gridSpan w:val="3"/>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粉体在受热、遇明火或接触氧化剂时会引起燃烧爆炸。</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77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vertAlign w:val="baseline"/>
                    </w:rPr>
                  </w:pPr>
                </w:p>
              </w:tc>
              <w:tc>
                <w:tcPr>
                  <w:tcW w:w="277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有害燃烧产物</w:t>
                  </w:r>
                </w:p>
              </w:tc>
              <w:tc>
                <w:tcPr>
                  <w:tcW w:w="5335" w:type="dxa"/>
                  <w:gridSpan w:val="3"/>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氧化铅</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77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vertAlign w:val="baseline"/>
                    </w:rPr>
                  </w:pPr>
                </w:p>
              </w:tc>
              <w:tc>
                <w:tcPr>
                  <w:tcW w:w="277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灭火方法和</w:t>
                  </w:r>
                  <w:r>
                    <w:rPr>
                      <w:rFonts w:hint="default" w:ascii="Times New Roman" w:hAnsi="Times New Roman" w:eastAsia="宋体" w:cs="Times New Roman"/>
                      <w:color w:val="auto"/>
                      <w:sz w:val="21"/>
                      <w:szCs w:val="21"/>
                      <w:lang w:val="en-US" w:eastAsia="zh-CN"/>
                    </w:rPr>
                    <w:t>灭火剂</w:t>
                  </w:r>
                </w:p>
              </w:tc>
              <w:tc>
                <w:tcPr>
                  <w:tcW w:w="5335" w:type="dxa"/>
                  <w:gridSpan w:val="3"/>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消防人员须佩戴防毒面具、穿全身消防服，在上风向灭火。</w:t>
                  </w:r>
                  <w:r>
                    <w:rPr>
                      <w:rFonts w:hint="default" w:ascii="Times New Roman" w:hAnsi="Times New Roman" w:eastAsia="宋体" w:cs="Times New Roman"/>
                      <w:color w:val="auto"/>
                      <w:sz w:val="21"/>
                      <w:szCs w:val="21"/>
                    </w:rPr>
                    <w:br w:type="textWrapping"/>
                  </w:r>
                  <w:r>
                    <w:rPr>
                      <w:rFonts w:hint="default" w:ascii="Times New Roman" w:hAnsi="Times New Roman" w:eastAsia="宋体" w:cs="Times New Roman"/>
                      <w:color w:val="auto"/>
                      <w:sz w:val="21"/>
                      <w:szCs w:val="21"/>
                      <w:lang w:val="en-US" w:eastAsia="zh-CN"/>
                    </w:rPr>
                    <w:t>灭</w:t>
                  </w:r>
                  <w:r>
                    <w:rPr>
                      <w:rFonts w:hint="default" w:ascii="Times New Roman" w:hAnsi="Times New Roman" w:eastAsia="宋体" w:cs="Times New Roman"/>
                      <w:color w:val="auto"/>
                      <w:sz w:val="21"/>
                      <w:szCs w:val="21"/>
                    </w:rPr>
                    <w:t>火剂</w:t>
                  </w:r>
                  <w:r>
                    <w:rPr>
                      <w:rFonts w:hint="eastAsia" w:cs="Times New Roman"/>
                      <w:color w:val="auto"/>
                      <w:sz w:val="21"/>
                      <w:szCs w:val="21"/>
                      <w:lang w:eastAsia="zh-CN"/>
                    </w:rPr>
                    <w:t>：</w:t>
                  </w:r>
                  <w:r>
                    <w:rPr>
                      <w:rFonts w:hint="default" w:ascii="Times New Roman" w:hAnsi="Times New Roman" w:eastAsia="宋体" w:cs="Times New Roman"/>
                      <w:color w:val="auto"/>
                      <w:sz w:val="21"/>
                      <w:szCs w:val="21"/>
                    </w:rPr>
                    <w:t>干粉、砂土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77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vertAlign w:val="baseline"/>
                      <w:lang w:val="en-US" w:eastAsia="zh-CN"/>
                    </w:rPr>
                  </w:pPr>
                  <w:r>
                    <w:rPr>
                      <w:rFonts w:hint="default" w:ascii="Times New Roman" w:hAnsi="Times New Roman" w:cs="Times New Roman"/>
                      <w:bCs/>
                      <w:color w:val="auto"/>
                      <w:sz w:val="21"/>
                      <w:szCs w:val="21"/>
                      <w:vertAlign w:val="baseline"/>
                      <w:lang w:val="en-US" w:eastAsia="zh-CN"/>
                    </w:rPr>
                    <w:t>泄露应急处理</w:t>
                  </w:r>
                </w:p>
              </w:tc>
              <w:tc>
                <w:tcPr>
                  <w:tcW w:w="8110" w:type="dxa"/>
                  <w:gridSpan w:val="4"/>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隔离泄漏污染区，限制出入。切断火源。建议应急处理人员戴防尘面具(全面罩)，穿防毒服。用洁净的铲子收集于干燥、洁净、有盖的容器中。若大量泄漏，用塑料布、帆布覆盖。收集回收或运至废物处理场所处置。</w:t>
                  </w:r>
                </w:p>
              </w:tc>
            </w:tr>
          </w:tbl>
          <w:p>
            <w:pPr>
              <w:adjustRightInd w:val="0"/>
              <w:snapToGrid w:val="0"/>
              <w:spacing w:line="520" w:lineRule="exact"/>
              <w:ind w:firstLine="480" w:firstLineChars="200"/>
              <w:rPr>
                <w:bCs/>
                <w:color w:val="auto"/>
                <w:sz w:val="24"/>
                <w:szCs w:val="32"/>
              </w:rPr>
            </w:pPr>
            <w:r>
              <w:rPr>
                <w:rFonts w:hint="eastAsia"/>
                <w:bCs/>
                <w:color w:val="auto"/>
                <w:sz w:val="24"/>
                <w:szCs w:val="32"/>
              </w:rPr>
              <w:t>（2）危废暂存间</w:t>
            </w:r>
            <w:r>
              <w:rPr>
                <w:bCs/>
                <w:color w:val="auto"/>
                <w:sz w:val="24"/>
                <w:szCs w:val="32"/>
              </w:rPr>
              <w:t>风险识别</w:t>
            </w:r>
          </w:p>
          <w:p>
            <w:pPr>
              <w:adjustRightInd w:val="0"/>
              <w:snapToGrid w:val="0"/>
              <w:spacing w:line="520" w:lineRule="exact"/>
              <w:ind w:firstLine="480" w:firstLineChars="200"/>
              <w:rPr>
                <w:bCs/>
                <w:color w:val="auto"/>
                <w:sz w:val="24"/>
                <w:szCs w:val="32"/>
              </w:rPr>
            </w:pPr>
            <w:r>
              <w:rPr>
                <w:bCs/>
                <w:color w:val="auto"/>
                <w:sz w:val="24"/>
                <w:szCs w:val="32"/>
              </w:rPr>
              <w:t>本项目</w:t>
            </w:r>
            <w:r>
              <w:rPr>
                <w:rFonts w:hint="eastAsia"/>
                <w:bCs/>
                <w:color w:val="auto"/>
                <w:sz w:val="24"/>
                <w:szCs w:val="32"/>
              </w:rPr>
              <w:t>危废暂存间</w:t>
            </w:r>
            <w:r>
              <w:rPr>
                <w:bCs/>
                <w:color w:val="auto"/>
                <w:sz w:val="24"/>
                <w:szCs w:val="32"/>
              </w:rPr>
              <w:t>可能发生的风险事故有：</w:t>
            </w:r>
          </w:p>
          <w:p>
            <w:pPr>
              <w:adjustRightInd w:val="0"/>
              <w:snapToGrid w:val="0"/>
              <w:spacing w:line="520" w:lineRule="exact"/>
              <w:ind w:firstLine="480" w:firstLineChars="200"/>
              <w:rPr>
                <w:bCs/>
                <w:color w:val="auto"/>
                <w:sz w:val="24"/>
                <w:szCs w:val="32"/>
              </w:rPr>
            </w:pPr>
            <w:r>
              <w:rPr>
                <w:bCs/>
                <w:color w:val="auto"/>
                <w:sz w:val="24"/>
                <w:szCs w:val="32"/>
              </w:rPr>
              <w:t>A贮存可能因操作与判断失误，导致物料外泄；</w:t>
            </w:r>
          </w:p>
          <w:p>
            <w:pPr>
              <w:adjustRightInd w:val="0"/>
              <w:snapToGrid w:val="0"/>
              <w:spacing w:line="520" w:lineRule="exact"/>
              <w:ind w:firstLine="480" w:firstLineChars="200"/>
              <w:rPr>
                <w:bCs/>
                <w:color w:val="auto"/>
                <w:sz w:val="24"/>
                <w:szCs w:val="32"/>
              </w:rPr>
            </w:pPr>
            <w:r>
              <w:rPr>
                <w:rFonts w:hint="eastAsia"/>
                <w:bCs/>
                <w:color w:val="auto"/>
                <w:sz w:val="24"/>
                <w:szCs w:val="32"/>
              </w:rPr>
              <w:t>B危废暂存间起火</w:t>
            </w:r>
            <w:r>
              <w:rPr>
                <w:bCs/>
                <w:color w:val="auto"/>
                <w:sz w:val="24"/>
                <w:szCs w:val="32"/>
              </w:rPr>
              <w:t>。</w:t>
            </w:r>
          </w:p>
          <w:p>
            <w:pPr>
              <w:adjustRightInd w:val="0"/>
              <w:snapToGrid w:val="0"/>
              <w:spacing w:line="520" w:lineRule="exact"/>
              <w:ind w:firstLine="482" w:firstLineChars="200"/>
              <w:rPr>
                <w:b/>
                <w:color w:val="auto"/>
                <w:sz w:val="24"/>
                <w:szCs w:val="32"/>
              </w:rPr>
            </w:pPr>
            <w:r>
              <w:rPr>
                <w:rFonts w:hint="eastAsia"/>
                <w:b/>
                <w:color w:val="auto"/>
                <w:sz w:val="24"/>
                <w:szCs w:val="32"/>
                <w:lang w:val="en-US" w:eastAsia="zh-CN"/>
              </w:rPr>
              <w:t>6</w:t>
            </w:r>
            <w:r>
              <w:rPr>
                <w:rFonts w:hint="eastAsia"/>
                <w:b/>
                <w:color w:val="auto"/>
                <w:sz w:val="24"/>
                <w:szCs w:val="32"/>
              </w:rPr>
              <w:t>.4</w:t>
            </w:r>
            <w:r>
              <w:rPr>
                <w:b/>
                <w:color w:val="auto"/>
                <w:sz w:val="24"/>
                <w:szCs w:val="32"/>
              </w:rPr>
              <w:t>环境风险分析</w:t>
            </w:r>
          </w:p>
          <w:p>
            <w:pPr>
              <w:widowControl/>
              <w:adjustRightInd w:val="0"/>
              <w:snapToGrid w:val="0"/>
              <w:spacing w:line="520" w:lineRule="exact"/>
              <w:ind w:firstLine="480" w:firstLineChars="200"/>
              <w:textAlignment w:val="baseline"/>
              <w:rPr>
                <w:b/>
                <w:color w:val="auto"/>
                <w:sz w:val="24"/>
              </w:rPr>
            </w:pPr>
            <w:r>
              <w:rPr>
                <w:color w:val="auto"/>
                <w:sz w:val="24"/>
                <w:szCs w:val="32"/>
              </w:rPr>
              <w:t>本项目所</w:t>
            </w:r>
            <w:r>
              <w:rPr>
                <w:rFonts w:hint="eastAsia"/>
                <w:color w:val="auto"/>
                <w:sz w:val="24"/>
                <w:szCs w:val="32"/>
              </w:rPr>
              <w:t>贮存的废机油</w:t>
            </w:r>
            <w:r>
              <w:rPr>
                <w:color w:val="auto"/>
                <w:sz w:val="24"/>
                <w:szCs w:val="32"/>
              </w:rPr>
              <w:t>属于易燃物质和爆炸性物质。如果发生</w:t>
            </w:r>
            <w:r>
              <w:rPr>
                <w:rFonts w:hint="eastAsia"/>
                <w:color w:val="auto"/>
                <w:sz w:val="24"/>
                <w:szCs w:val="32"/>
              </w:rPr>
              <w:t>泄漏事故</w:t>
            </w:r>
            <w:bookmarkStart w:id="12" w:name="_GoBack"/>
            <w:bookmarkEnd w:id="12"/>
            <w:r>
              <w:rPr>
                <w:color w:val="auto"/>
                <w:sz w:val="24"/>
                <w:szCs w:val="32"/>
              </w:rPr>
              <w:t>，将会对地下水</w:t>
            </w:r>
            <w:r>
              <w:rPr>
                <w:rFonts w:hint="eastAsia"/>
                <w:color w:val="auto"/>
                <w:sz w:val="24"/>
                <w:szCs w:val="32"/>
              </w:rPr>
              <w:t>、土壤</w:t>
            </w:r>
            <w:r>
              <w:rPr>
                <w:color w:val="auto"/>
                <w:sz w:val="24"/>
                <w:szCs w:val="32"/>
              </w:rPr>
              <w:t>产生污染，遇到明火则会发生火灾并产生有害气体污染环境空气。</w:t>
            </w:r>
          </w:p>
          <w:p>
            <w:pPr>
              <w:widowControl/>
              <w:numPr>
                <w:ilvl w:val="0"/>
                <w:numId w:val="10"/>
              </w:numPr>
              <w:adjustRightInd w:val="0"/>
              <w:snapToGrid w:val="0"/>
              <w:spacing w:line="520" w:lineRule="exact"/>
              <w:ind w:firstLine="480" w:firstLineChars="200"/>
              <w:textAlignment w:val="baseline"/>
              <w:rPr>
                <w:color w:val="auto"/>
                <w:sz w:val="24"/>
                <w:szCs w:val="32"/>
              </w:rPr>
            </w:pPr>
            <w:r>
              <w:rPr>
                <w:rFonts w:hint="eastAsia"/>
                <w:color w:val="auto"/>
                <w:sz w:val="24"/>
                <w:szCs w:val="32"/>
              </w:rPr>
              <w:t>废机油</w:t>
            </w:r>
            <w:r>
              <w:rPr>
                <w:color w:val="auto"/>
                <w:sz w:val="24"/>
                <w:szCs w:val="32"/>
              </w:rPr>
              <w:t>泄漏事故</w:t>
            </w:r>
          </w:p>
          <w:p>
            <w:pPr>
              <w:widowControl/>
              <w:adjustRightInd w:val="0"/>
              <w:snapToGrid w:val="0"/>
              <w:spacing w:line="520" w:lineRule="exact"/>
              <w:ind w:firstLine="480" w:firstLineChars="200"/>
              <w:textAlignment w:val="baseline"/>
              <w:rPr>
                <w:color w:val="auto"/>
                <w:sz w:val="24"/>
                <w:szCs w:val="32"/>
              </w:rPr>
            </w:pPr>
            <w:r>
              <w:rPr>
                <w:color w:val="auto"/>
                <w:sz w:val="24"/>
                <w:szCs w:val="32"/>
              </w:rPr>
              <w:t>由于操作人员的工作失误导致</w:t>
            </w:r>
            <w:r>
              <w:rPr>
                <w:rFonts w:hint="eastAsia"/>
                <w:color w:val="auto"/>
                <w:sz w:val="24"/>
                <w:szCs w:val="32"/>
              </w:rPr>
              <w:t>废机油桶</w:t>
            </w:r>
            <w:r>
              <w:rPr>
                <w:color w:val="auto"/>
                <w:sz w:val="24"/>
                <w:szCs w:val="32"/>
              </w:rPr>
              <w:t>出现</w:t>
            </w:r>
            <w:r>
              <w:rPr>
                <w:rFonts w:hint="eastAsia"/>
                <w:color w:val="auto"/>
                <w:sz w:val="24"/>
                <w:szCs w:val="32"/>
              </w:rPr>
              <w:t>泄漏情况</w:t>
            </w:r>
            <w:r>
              <w:rPr>
                <w:color w:val="auto"/>
                <w:sz w:val="24"/>
                <w:szCs w:val="32"/>
              </w:rPr>
              <w:t>，储存介质外溢而引发</w:t>
            </w:r>
            <w:r>
              <w:rPr>
                <w:rFonts w:hint="eastAsia"/>
                <w:color w:val="auto"/>
                <w:sz w:val="24"/>
                <w:szCs w:val="32"/>
              </w:rPr>
              <w:t>废机油</w:t>
            </w:r>
            <w:r>
              <w:rPr>
                <w:color w:val="auto"/>
                <w:sz w:val="24"/>
                <w:szCs w:val="32"/>
              </w:rPr>
              <w:t>泄漏事故。</w:t>
            </w:r>
          </w:p>
          <w:p>
            <w:pPr>
              <w:widowControl/>
              <w:adjustRightInd w:val="0"/>
              <w:snapToGrid w:val="0"/>
              <w:spacing w:line="520" w:lineRule="exact"/>
              <w:ind w:firstLine="480" w:firstLineChars="200"/>
              <w:textAlignment w:val="baseline"/>
              <w:rPr>
                <w:color w:val="auto"/>
                <w:sz w:val="24"/>
                <w:szCs w:val="32"/>
              </w:rPr>
            </w:pPr>
            <w:r>
              <w:rPr>
                <w:rFonts w:hint="eastAsia"/>
                <w:color w:val="auto"/>
                <w:sz w:val="24"/>
                <w:szCs w:val="32"/>
              </w:rPr>
              <w:t>废机油</w:t>
            </w:r>
            <w:r>
              <w:rPr>
                <w:color w:val="auto"/>
                <w:sz w:val="24"/>
                <w:szCs w:val="32"/>
              </w:rPr>
              <w:t>泄漏后将会对周围土壤造成严重污染。</w:t>
            </w:r>
          </w:p>
          <w:p>
            <w:pPr>
              <w:widowControl/>
              <w:numPr>
                <w:ilvl w:val="0"/>
                <w:numId w:val="10"/>
              </w:numPr>
              <w:adjustRightInd w:val="0"/>
              <w:snapToGrid w:val="0"/>
              <w:spacing w:line="520" w:lineRule="exact"/>
              <w:ind w:firstLine="480" w:firstLineChars="200"/>
              <w:textAlignment w:val="baseline"/>
              <w:rPr>
                <w:color w:val="auto"/>
                <w:sz w:val="24"/>
                <w:szCs w:val="32"/>
              </w:rPr>
            </w:pPr>
            <w:r>
              <w:rPr>
                <w:rFonts w:hint="eastAsia"/>
                <w:color w:val="auto"/>
                <w:sz w:val="24"/>
                <w:szCs w:val="32"/>
              </w:rPr>
              <w:t>废机油</w:t>
            </w:r>
            <w:r>
              <w:rPr>
                <w:color w:val="auto"/>
                <w:sz w:val="24"/>
                <w:szCs w:val="32"/>
              </w:rPr>
              <w:t xml:space="preserve">火灾事故 </w:t>
            </w:r>
          </w:p>
          <w:p>
            <w:pPr>
              <w:widowControl/>
              <w:adjustRightInd w:val="0"/>
              <w:snapToGrid w:val="0"/>
              <w:spacing w:line="520" w:lineRule="exact"/>
              <w:ind w:firstLine="480" w:firstLineChars="200"/>
              <w:textAlignment w:val="baseline"/>
              <w:rPr>
                <w:rFonts w:hint="eastAsia" w:eastAsia="宋体"/>
                <w:color w:val="auto"/>
                <w:sz w:val="24"/>
                <w:szCs w:val="32"/>
              </w:rPr>
            </w:pPr>
            <w:r>
              <w:rPr>
                <w:rFonts w:hint="eastAsia"/>
                <w:color w:val="auto"/>
                <w:sz w:val="24"/>
                <w:szCs w:val="32"/>
              </w:rPr>
              <w:t>废机油</w:t>
            </w:r>
            <w:r>
              <w:rPr>
                <w:color w:val="auto"/>
                <w:sz w:val="24"/>
                <w:szCs w:val="32"/>
              </w:rPr>
              <w:t>泄漏后如遇明火将产生火灾事故，</w:t>
            </w:r>
            <w:r>
              <w:rPr>
                <w:rFonts w:hint="eastAsia"/>
                <w:color w:val="auto"/>
                <w:sz w:val="24"/>
                <w:szCs w:val="32"/>
              </w:rPr>
              <w:t>废机油</w:t>
            </w:r>
            <w:r>
              <w:rPr>
                <w:color w:val="auto"/>
                <w:sz w:val="24"/>
                <w:szCs w:val="32"/>
              </w:rPr>
              <w:t>燃烧伴随着大量的有机废气产生</w:t>
            </w:r>
            <w:r>
              <w:rPr>
                <w:rFonts w:hint="eastAsia" w:eastAsia="宋体"/>
                <w:color w:val="auto"/>
                <w:sz w:val="24"/>
                <w:szCs w:val="32"/>
              </w:rPr>
              <w:t>将对周围大气环境产生影响。</w:t>
            </w:r>
          </w:p>
          <w:p>
            <w:pPr>
              <w:widowControl/>
              <w:adjustRightInd w:val="0"/>
              <w:snapToGrid w:val="0"/>
              <w:spacing w:line="520" w:lineRule="exact"/>
              <w:ind w:firstLine="480" w:firstLineChars="200"/>
              <w:textAlignment w:val="baseline"/>
              <w:rPr>
                <w:rFonts w:hint="eastAsia" w:eastAsia="宋体"/>
                <w:color w:val="auto"/>
                <w:sz w:val="24"/>
                <w:szCs w:val="32"/>
                <w:lang w:eastAsia="zh-CN"/>
              </w:rPr>
            </w:pPr>
            <w:r>
              <w:rPr>
                <w:rFonts w:hint="eastAsia" w:eastAsia="宋体"/>
                <w:color w:val="auto"/>
                <w:sz w:val="24"/>
                <w:szCs w:val="32"/>
                <w:lang w:val="en-US" w:eastAsia="zh-CN"/>
              </w:rPr>
              <w:t>（3）废铅酸电池破损泄露</w:t>
            </w:r>
          </w:p>
          <w:p>
            <w:pPr>
              <w:widowControl/>
              <w:adjustRightInd w:val="0"/>
              <w:snapToGrid w:val="0"/>
              <w:spacing w:line="520" w:lineRule="exact"/>
              <w:ind w:firstLine="480" w:firstLineChars="200"/>
              <w:textAlignment w:val="baseline"/>
              <w:rPr>
                <w:rFonts w:hint="default" w:eastAsia="宋体"/>
                <w:color w:val="auto"/>
                <w:sz w:val="24"/>
                <w:szCs w:val="32"/>
                <w:lang w:val="en-US" w:eastAsia="zh-CN"/>
              </w:rPr>
            </w:pPr>
            <w:r>
              <w:rPr>
                <w:rFonts w:hint="eastAsia" w:eastAsia="宋体"/>
                <w:color w:val="auto"/>
                <w:sz w:val="24"/>
                <w:szCs w:val="32"/>
                <w:lang w:val="en-US" w:eastAsia="zh-CN"/>
              </w:rPr>
              <w:t>废铅酸蓄电池在贮存过程中若没发现废电池出现破损，或对破损废电池没有及时采取措施收集，会导致废铅酸电池泄露物质对土壤及地下水造成污染。</w:t>
            </w:r>
          </w:p>
          <w:p>
            <w:pPr>
              <w:pStyle w:val="68"/>
              <w:ind w:firstLine="498"/>
              <w:rPr>
                <w:b/>
                <w:bCs/>
                <w:color w:val="auto"/>
                <w:spacing w:val="4"/>
                <w:kern w:val="0"/>
              </w:rPr>
            </w:pPr>
            <w:r>
              <w:rPr>
                <w:rFonts w:hint="eastAsia"/>
                <w:b/>
                <w:bCs/>
                <w:color w:val="auto"/>
                <w:spacing w:val="4"/>
                <w:kern w:val="0"/>
                <w:lang w:val="en-US" w:eastAsia="zh-CN"/>
              </w:rPr>
              <w:t>6</w:t>
            </w:r>
            <w:r>
              <w:rPr>
                <w:rFonts w:hint="eastAsia"/>
                <w:b/>
                <w:bCs/>
                <w:color w:val="auto"/>
                <w:spacing w:val="4"/>
                <w:kern w:val="0"/>
              </w:rPr>
              <w:t>.5环境风险防范措施及应急要求</w:t>
            </w:r>
          </w:p>
          <w:p>
            <w:pPr>
              <w:pStyle w:val="68"/>
              <w:ind w:firstLine="496"/>
              <w:rPr>
                <w:rFonts w:cs="Times New Roman"/>
                <w:color w:val="auto"/>
                <w:spacing w:val="4"/>
              </w:rPr>
            </w:pPr>
            <w:r>
              <w:rPr>
                <w:rFonts w:hint="eastAsia" w:cs="Times New Roman"/>
                <w:color w:val="auto"/>
                <w:spacing w:val="4"/>
              </w:rPr>
              <w:t>（1）贮存风险防范措施</w:t>
            </w:r>
          </w:p>
          <w:p>
            <w:pPr>
              <w:pStyle w:val="68"/>
              <w:ind w:firstLine="496"/>
              <w:rPr>
                <w:rFonts w:hint="eastAsia" w:cs="Times New Roman"/>
                <w:color w:val="auto"/>
                <w:spacing w:val="4"/>
              </w:rPr>
            </w:pPr>
            <w:r>
              <w:rPr>
                <w:rFonts w:hint="eastAsia" w:cs="Times New Roman"/>
                <w:color w:val="auto"/>
                <w:spacing w:val="4"/>
              </w:rPr>
              <w:t>危险废物储存区建设符合国家相关规范（如</w:t>
            </w:r>
            <w:r>
              <w:rPr>
                <w:rFonts w:ascii="宋体" w:hAnsi="宋体" w:eastAsia="宋体" w:cs="宋体"/>
                <w:color w:val="auto"/>
                <w:sz w:val="24"/>
                <w:szCs w:val="24"/>
              </w:rPr>
              <w:t>防风、防晒、防雨、防漏、防渗、防腐</w:t>
            </w:r>
            <w:r>
              <w:rPr>
                <w:rFonts w:hint="eastAsia" w:ascii="宋体" w:hAnsi="宋体" w:cs="宋体"/>
                <w:color w:val="auto"/>
                <w:sz w:val="24"/>
                <w:szCs w:val="24"/>
                <w:lang w:val="en-US" w:eastAsia="zh-CN"/>
              </w:rPr>
              <w:t>等</w:t>
            </w:r>
            <w:r>
              <w:rPr>
                <w:rFonts w:hint="eastAsia" w:cs="Times New Roman"/>
                <w:color w:val="auto"/>
                <w:spacing w:val="4"/>
              </w:rPr>
              <w:t>），与其它单元和装置保持一定的通道和安全间距。固体危险废物储存区设置通讯、报警装置；设置明显的标识及警示牌。每隔两天对本项目危险废物暂存区进行安全、环保检查，防止危险废物的泄漏。</w:t>
            </w:r>
          </w:p>
          <w:p>
            <w:pPr>
              <w:pStyle w:val="68"/>
              <w:ind w:firstLine="496"/>
              <w:rPr>
                <w:rFonts w:hint="eastAsia" w:cs="Times New Roman"/>
                <w:color w:val="auto"/>
                <w:spacing w:val="4"/>
              </w:rPr>
            </w:pPr>
            <w:r>
              <w:rPr>
                <w:rFonts w:hint="eastAsia"/>
                <w:color w:val="auto"/>
              </w:rPr>
              <w:t>废机油暂存区设置有高度0</w:t>
            </w:r>
            <w:r>
              <w:rPr>
                <w:color w:val="auto"/>
              </w:rPr>
              <w:t>.1</w:t>
            </w:r>
            <w:r>
              <w:rPr>
                <w:rFonts w:hint="eastAsia"/>
                <w:color w:val="auto"/>
              </w:rPr>
              <w:t>m的围堰，围堰内容积约为0</w:t>
            </w:r>
            <w:r>
              <w:rPr>
                <w:color w:val="auto"/>
              </w:rPr>
              <w:t>.2</w:t>
            </w:r>
            <w:r>
              <w:rPr>
                <w:rFonts w:hint="eastAsia"/>
                <w:color w:val="auto"/>
              </w:rPr>
              <w:t>m³，可满足废机油暂存区收集需求。铅蓄电池暂存区域设置有高度0</w:t>
            </w:r>
            <w:r>
              <w:rPr>
                <w:color w:val="auto"/>
              </w:rPr>
              <w:t>.1</w:t>
            </w:r>
            <w:r>
              <w:rPr>
                <w:rFonts w:hint="eastAsia"/>
                <w:color w:val="auto"/>
              </w:rPr>
              <w:t>m的围堰，围堰内容积约为0</w:t>
            </w:r>
            <w:r>
              <w:rPr>
                <w:color w:val="auto"/>
              </w:rPr>
              <w:t>.2</w:t>
            </w:r>
            <w:r>
              <w:rPr>
                <w:rFonts w:hint="eastAsia"/>
                <w:color w:val="auto"/>
              </w:rPr>
              <w:t>m³，</w:t>
            </w:r>
            <w:r>
              <w:rPr>
                <w:rFonts w:hint="eastAsia" w:ascii="Calibri" w:hAnsi="Calibri" w:cs="方正楷体_GBK"/>
                <w:color w:val="auto"/>
                <w:highlight w:val="none"/>
                <w:lang w:val="en-US" w:eastAsia="zh-CN"/>
              </w:rPr>
              <w:t>本环评要求在废铅蓄电池及废机油存储区各放置一个备用铁桶，作为渗滤液的收集装置，发生大量泄露时，将泄漏液体采用油泵入备用铁桶，交由有资质单位进行处理，</w:t>
            </w:r>
            <w:r>
              <w:rPr>
                <w:rFonts w:hint="eastAsia"/>
                <w:color w:val="auto"/>
                <w:szCs w:val="21"/>
              </w:rPr>
              <w:t>完整废电池均整齐有序的放在耐酸地面上，并做好标识，破损废电池在独立加盖耐酸的容器内单独存放，并黏贴危险废物标签。</w:t>
            </w:r>
          </w:p>
          <w:p>
            <w:pPr>
              <w:pStyle w:val="68"/>
              <w:ind w:firstLine="496"/>
              <w:rPr>
                <w:rFonts w:cs="Times New Roman"/>
                <w:color w:val="auto"/>
                <w:spacing w:val="4"/>
              </w:rPr>
            </w:pPr>
            <w:r>
              <w:rPr>
                <w:rFonts w:hint="eastAsia" w:cs="Times New Roman"/>
                <w:color w:val="auto"/>
                <w:spacing w:val="4"/>
              </w:rPr>
              <w:t>（2）运输过程风险防范措施</w:t>
            </w:r>
          </w:p>
          <w:p>
            <w:pPr>
              <w:pStyle w:val="68"/>
              <w:ind w:firstLine="496"/>
              <w:rPr>
                <w:rFonts w:cs="Times New Roman"/>
                <w:color w:val="auto"/>
                <w:spacing w:val="4"/>
              </w:rPr>
            </w:pPr>
            <w:r>
              <w:rPr>
                <w:rFonts w:hint="eastAsia" w:cs="Times New Roman"/>
                <w:color w:val="auto"/>
                <w:spacing w:val="4"/>
              </w:rPr>
              <w:t>厂内转运：</w:t>
            </w:r>
          </w:p>
          <w:p>
            <w:pPr>
              <w:pStyle w:val="68"/>
              <w:ind w:firstLine="496"/>
              <w:rPr>
                <w:rFonts w:cs="Times New Roman"/>
                <w:color w:val="auto"/>
                <w:spacing w:val="4"/>
              </w:rPr>
            </w:pPr>
            <w:r>
              <w:rPr>
                <w:rFonts w:hint="eastAsia" w:cs="Times New Roman"/>
                <w:color w:val="auto"/>
                <w:spacing w:val="4"/>
              </w:rPr>
              <w:t>1）为防止废机油在运输过程中因倾斜、挤压而撒漏发生事故，保证安全运输，运输采用密封油桶包装。承运危险货物车辆车厢采用下防漏铺垫包装，装好危险货物后，封口包好，然后上盖篷布加以绳子紧固。保障运输途中安全、无泄漏、无抛洒，以防将废机油带入外环境。</w:t>
            </w:r>
          </w:p>
          <w:p>
            <w:pPr>
              <w:pStyle w:val="68"/>
              <w:ind w:firstLine="496"/>
              <w:rPr>
                <w:rFonts w:cs="Times New Roman"/>
                <w:color w:val="auto"/>
                <w:spacing w:val="4"/>
              </w:rPr>
            </w:pPr>
            <w:r>
              <w:rPr>
                <w:rFonts w:hint="eastAsia" w:cs="Times New Roman"/>
                <w:color w:val="auto"/>
                <w:spacing w:val="4"/>
              </w:rPr>
              <w:t>2）运输车辆提前准备安全</w:t>
            </w:r>
            <w:r>
              <w:rPr>
                <w:rFonts w:hint="eastAsia" w:cs="Times New Roman"/>
                <w:color w:val="auto"/>
                <w:spacing w:val="4"/>
                <w:lang w:eastAsia="zh-CN"/>
              </w:rPr>
              <w:t>警示标识</w:t>
            </w:r>
            <w:r>
              <w:rPr>
                <w:rFonts w:hint="eastAsia" w:cs="Times New Roman"/>
                <w:color w:val="auto"/>
                <w:spacing w:val="4"/>
              </w:rPr>
              <w:t>，发生泄漏、遗撒及时设置</w:t>
            </w:r>
            <w:r>
              <w:rPr>
                <w:rFonts w:hint="eastAsia" w:cs="Times New Roman"/>
                <w:color w:val="auto"/>
                <w:spacing w:val="4"/>
                <w:lang w:eastAsia="zh-CN"/>
              </w:rPr>
              <w:t>警示标识</w:t>
            </w:r>
            <w:r>
              <w:rPr>
                <w:rFonts w:hint="eastAsia" w:cs="Times New Roman"/>
                <w:color w:val="auto"/>
                <w:spacing w:val="4"/>
              </w:rPr>
              <w:t>，疏导来往车辆、人群。</w:t>
            </w:r>
          </w:p>
          <w:p>
            <w:pPr>
              <w:pStyle w:val="68"/>
              <w:ind w:firstLine="496"/>
              <w:rPr>
                <w:rFonts w:cs="Times New Roman"/>
                <w:color w:val="auto"/>
                <w:spacing w:val="4"/>
              </w:rPr>
            </w:pPr>
            <w:r>
              <w:rPr>
                <w:rFonts w:hint="eastAsia" w:cs="Times New Roman"/>
                <w:color w:val="auto"/>
                <w:spacing w:val="4"/>
              </w:rPr>
              <w:t>3）按照转运类别及转运量制定运输方案，且严格实施，并参照《危险废物收集 贮存 运输技术规范》标准附录B填写《危险废物厂内转运记录表》。</w:t>
            </w:r>
          </w:p>
          <w:p>
            <w:pPr>
              <w:pStyle w:val="68"/>
              <w:ind w:firstLine="496"/>
              <w:rPr>
                <w:rFonts w:cs="Times New Roman"/>
                <w:color w:val="auto"/>
                <w:spacing w:val="4"/>
              </w:rPr>
            </w:pPr>
            <w:r>
              <w:rPr>
                <w:rFonts w:hint="eastAsia" w:cs="Times New Roman"/>
                <w:color w:val="auto"/>
                <w:spacing w:val="4"/>
              </w:rPr>
              <w:t>厂外运输：应遵守《危险货物道路运输规则》（JT/T617）、《危险废物收集贮存运输技术规范》（HJ2025-2012）、《道路危险货物运输管理规定》（交通部令2005年第9号）和《汽车运输装卸危险货物作业规程》（IT618-2004）等相关要求的规定，并按要求季托具有危险货物道路运输相应资质的单位运输。在运输过程中需持有运输许可证，运输车辆应按GB13392的规定悬挂相应标志，其上应注明废物的来源、性质、数量、运往地点，必要时应有单位人员负责押送工作。在驾驶室两侧喷涂暂存场地的名称和运送车辆编号。</w:t>
            </w:r>
          </w:p>
          <w:p>
            <w:pPr>
              <w:pStyle w:val="68"/>
              <w:ind w:firstLine="496"/>
              <w:rPr>
                <w:rFonts w:cs="Times New Roman"/>
                <w:color w:val="auto"/>
                <w:spacing w:val="4"/>
              </w:rPr>
            </w:pPr>
            <w:r>
              <w:rPr>
                <w:rFonts w:hint="eastAsia" w:cs="Times New Roman"/>
                <w:color w:val="auto"/>
                <w:spacing w:val="4"/>
              </w:rPr>
              <w:t>运输单位应具有对危险废物包装发生破裂、泄漏或其他事故进行处理的能力。运输人员需进行处理危险废物和应急救援方面的培训，包括防火、防泄漏等，以及通过何种方式联络应急响应人员。</w:t>
            </w:r>
          </w:p>
          <w:p>
            <w:pPr>
              <w:pStyle w:val="68"/>
              <w:ind w:firstLine="496"/>
              <w:rPr>
                <w:rFonts w:cs="Times New Roman"/>
                <w:color w:val="auto"/>
                <w:spacing w:val="4"/>
              </w:rPr>
            </w:pPr>
            <w:r>
              <w:rPr>
                <w:rFonts w:hint="eastAsia" w:cs="Times New Roman"/>
                <w:color w:val="auto"/>
                <w:spacing w:val="4"/>
              </w:rPr>
              <w:t>（3）环境风险管理</w:t>
            </w:r>
          </w:p>
          <w:p>
            <w:pPr>
              <w:pStyle w:val="68"/>
              <w:ind w:firstLine="496"/>
              <w:rPr>
                <w:rFonts w:cs="Times New Roman"/>
                <w:color w:val="auto"/>
                <w:spacing w:val="4"/>
              </w:rPr>
            </w:pPr>
            <w:r>
              <w:rPr>
                <w:rFonts w:hint="eastAsia" w:cs="Times New Roman"/>
                <w:color w:val="auto"/>
                <w:spacing w:val="4"/>
              </w:rPr>
              <w:t>建立安全生产岗位责任制，制定安全生产规章制度、安全操作规程。如生产过程必须有全套切实可行的安全操作规程，有专人负责检查安全操作规程的执行、安全设备及防护设备的使用情况。</w:t>
            </w:r>
          </w:p>
          <w:p>
            <w:pPr>
              <w:pStyle w:val="68"/>
              <w:ind w:firstLine="496"/>
              <w:rPr>
                <w:rFonts w:cs="Times New Roman"/>
                <w:color w:val="auto"/>
                <w:spacing w:val="4"/>
              </w:rPr>
            </w:pPr>
            <w:r>
              <w:rPr>
                <w:rFonts w:hint="eastAsia" w:cs="Times New Roman"/>
                <w:color w:val="auto"/>
                <w:spacing w:val="4"/>
              </w:rPr>
              <w:t>（4）其他管理措施</w:t>
            </w:r>
          </w:p>
          <w:p>
            <w:pPr>
              <w:pStyle w:val="68"/>
              <w:ind w:firstLine="496"/>
              <w:rPr>
                <w:rFonts w:hint="eastAsia" w:cs="Times New Roman"/>
                <w:color w:val="auto"/>
                <w:spacing w:val="4"/>
              </w:rPr>
            </w:pPr>
            <w:r>
              <w:rPr>
                <w:rFonts w:hint="eastAsia" w:cs="Times New Roman"/>
                <w:color w:val="auto"/>
                <w:spacing w:val="4"/>
              </w:rPr>
              <w:t>应加强安全技术人员的引进，同时对生产操作人员进行上岗前的专业技术培训，树立严谨规范的操作作风，并及时、正确地实施相关应急措施。</w:t>
            </w:r>
          </w:p>
          <w:p>
            <w:pPr>
              <w:spacing w:line="520" w:lineRule="exact"/>
              <w:ind w:firstLine="480" w:firstLineChars="200"/>
              <w:rPr>
                <w:rFonts w:ascii="Times New Roman" w:hAnsi="Times New Roman" w:cs="Times New Roman"/>
                <w:color w:val="auto"/>
                <w:sz w:val="24"/>
              </w:rPr>
            </w:pPr>
            <w:r>
              <w:rPr>
                <w:rFonts w:hint="default" w:ascii="Times New Roman" w:hAnsi="Times New Roman" w:cs="Times New Roman"/>
                <w:color w:val="auto"/>
                <w:sz w:val="24"/>
              </w:rPr>
              <w:t>5</w:t>
            </w:r>
            <w:r>
              <w:rPr>
                <w:rFonts w:ascii="Times New Roman" w:hAnsi="Times New Roman" w:cs="Times New Roman"/>
                <w:color w:val="auto"/>
                <w:sz w:val="24"/>
              </w:rPr>
              <w:t>）</w:t>
            </w:r>
            <w:r>
              <w:rPr>
                <w:rFonts w:hint="eastAsia" w:ascii="Times New Roman" w:hAnsi="Times New Roman" w:cs="Times New Roman"/>
                <w:color w:val="auto"/>
                <w:sz w:val="24"/>
                <w:lang w:val="en-US" w:eastAsia="zh-CN"/>
              </w:rPr>
              <w:t>环境</w:t>
            </w:r>
            <w:r>
              <w:rPr>
                <w:rFonts w:ascii="Times New Roman" w:hAnsi="Times New Roman" w:cs="Times New Roman"/>
                <w:color w:val="auto"/>
                <w:sz w:val="24"/>
              </w:rPr>
              <w:t>风险应急预案</w:t>
            </w:r>
          </w:p>
          <w:p>
            <w:pPr>
              <w:spacing w:line="520" w:lineRule="exact"/>
              <w:ind w:firstLine="480" w:firstLineChars="200"/>
              <w:rPr>
                <w:rFonts w:ascii="Times New Roman" w:hAnsi="Times New Roman" w:cs="Times New Roman"/>
                <w:color w:val="auto"/>
                <w:sz w:val="24"/>
              </w:rPr>
            </w:pPr>
            <w:r>
              <w:rPr>
                <w:rFonts w:hint="eastAsia" w:cs="Times New Roman"/>
                <w:color w:val="auto"/>
                <w:sz w:val="24"/>
                <w:lang w:val="en-US" w:eastAsia="zh-CN"/>
              </w:rPr>
              <w:t>运营期将本项</w:t>
            </w:r>
            <w:r>
              <w:rPr>
                <w:rFonts w:hint="eastAsia" w:ascii="Times New Roman" w:hAnsi="Times New Roman" w:eastAsia="宋体" w:cs="Times New Roman"/>
                <w:color w:val="auto"/>
                <w:sz w:val="24"/>
                <w:lang w:val="en-US" w:eastAsia="zh-CN"/>
              </w:rPr>
              <w:t>目纳入中国石油天然气运输有限公司准东生产基地突发环境事件应急预案，本工程应急预案内容见表4-10。</w:t>
            </w:r>
          </w:p>
          <w:p>
            <w:pPr>
              <w:spacing w:line="240" w:lineRule="auto"/>
              <w:jc w:val="center"/>
              <w:rPr>
                <w:b/>
                <w:color w:val="auto"/>
                <w:sz w:val="21"/>
                <w:szCs w:val="21"/>
              </w:rPr>
            </w:pPr>
            <w:r>
              <w:rPr>
                <w:rFonts w:hint="eastAsia"/>
                <w:b/>
                <w:color w:val="auto"/>
                <w:sz w:val="21"/>
                <w:szCs w:val="21"/>
              </w:rPr>
              <w:t>表</w:t>
            </w:r>
            <w:r>
              <w:rPr>
                <w:rFonts w:hint="eastAsia"/>
                <w:b/>
                <w:color w:val="auto"/>
                <w:sz w:val="21"/>
                <w:szCs w:val="21"/>
                <w:lang w:val="en-US" w:eastAsia="zh-CN"/>
              </w:rPr>
              <w:t>4-10</w:t>
            </w:r>
            <w:r>
              <w:rPr>
                <w:rFonts w:hint="eastAsia"/>
                <w:b/>
                <w:color w:val="auto"/>
                <w:sz w:val="21"/>
                <w:szCs w:val="21"/>
              </w:rPr>
              <w:t xml:space="preserve">    应急预案内容</w:t>
            </w:r>
          </w:p>
          <w:tbl>
            <w:tblPr>
              <w:tblStyle w:val="31"/>
              <w:tblW w:w="4998" w:type="pct"/>
              <w:tblInd w:w="2"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740"/>
              <w:gridCol w:w="2915"/>
              <w:gridCol w:w="5240"/>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PrEx>
              <w:tc>
                <w:tcPr>
                  <w:tcW w:w="416" w:type="pct"/>
                  <w:tcBorders>
                    <w:tl2br w:val="nil"/>
                    <w:tr2bl w:val="nil"/>
                  </w:tcBorders>
                  <w:vAlign w:val="center"/>
                </w:tcPr>
                <w:p>
                  <w:pPr>
                    <w:spacing w:line="240" w:lineRule="auto"/>
                    <w:jc w:val="center"/>
                    <w:rPr>
                      <w:color w:val="auto"/>
                      <w:sz w:val="21"/>
                      <w:szCs w:val="21"/>
                    </w:rPr>
                  </w:pPr>
                  <w:r>
                    <w:rPr>
                      <w:color w:val="auto"/>
                      <w:sz w:val="21"/>
                      <w:szCs w:val="21"/>
                    </w:rPr>
                    <w:t>序号</w:t>
                  </w:r>
                </w:p>
              </w:tc>
              <w:tc>
                <w:tcPr>
                  <w:tcW w:w="1638" w:type="pct"/>
                  <w:tcBorders>
                    <w:tl2br w:val="nil"/>
                    <w:tr2bl w:val="nil"/>
                  </w:tcBorders>
                  <w:vAlign w:val="center"/>
                </w:tcPr>
                <w:p>
                  <w:pPr>
                    <w:spacing w:line="240" w:lineRule="auto"/>
                    <w:jc w:val="center"/>
                    <w:rPr>
                      <w:color w:val="auto"/>
                      <w:sz w:val="21"/>
                      <w:szCs w:val="21"/>
                    </w:rPr>
                  </w:pPr>
                  <w:r>
                    <w:rPr>
                      <w:color w:val="auto"/>
                      <w:sz w:val="21"/>
                      <w:szCs w:val="21"/>
                    </w:rPr>
                    <w:t>项目</w:t>
                  </w:r>
                </w:p>
              </w:tc>
              <w:tc>
                <w:tcPr>
                  <w:tcW w:w="2945" w:type="pct"/>
                  <w:tcBorders>
                    <w:tl2br w:val="nil"/>
                    <w:tr2bl w:val="nil"/>
                  </w:tcBorders>
                  <w:vAlign w:val="center"/>
                </w:tcPr>
                <w:p>
                  <w:pPr>
                    <w:spacing w:line="240" w:lineRule="auto"/>
                    <w:jc w:val="center"/>
                    <w:rPr>
                      <w:color w:val="auto"/>
                      <w:sz w:val="21"/>
                      <w:szCs w:val="21"/>
                    </w:rPr>
                  </w:pPr>
                  <w:r>
                    <w:rPr>
                      <w:color w:val="auto"/>
                      <w:sz w:val="21"/>
                      <w:szCs w:val="21"/>
                    </w:rPr>
                    <w:t>内容及要求</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PrEx>
              <w:tc>
                <w:tcPr>
                  <w:tcW w:w="416" w:type="pct"/>
                  <w:tcBorders>
                    <w:tl2br w:val="nil"/>
                    <w:tr2bl w:val="nil"/>
                  </w:tcBorders>
                  <w:vAlign w:val="center"/>
                </w:tcPr>
                <w:p>
                  <w:pPr>
                    <w:spacing w:line="240" w:lineRule="auto"/>
                    <w:jc w:val="center"/>
                    <w:rPr>
                      <w:color w:val="auto"/>
                      <w:sz w:val="21"/>
                      <w:szCs w:val="21"/>
                    </w:rPr>
                  </w:pPr>
                  <w:r>
                    <w:rPr>
                      <w:color w:val="auto"/>
                      <w:sz w:val="21"/>
                      <w:szCs w:val="21"/>
                    </w:rPr>
                    <w:t>1</w:t>
                  </w:r>
                </w:p>
              </w:tc>
              <w:tc>
                <w:tcPr>
                  <w:tcW w:w="1638" w:type="pct"/>
                  <w:tcBorders>
                    <w:tl2br w:val="nil"/>
                    <w:tr2bl w:val="nil"/>
                  </w:tcBorders>
                  <w:vAlign w:val="center"/>
                </w:tcPr>
                <w:p>
                  <w:pPr>
                    <w:spacing w:line="240" w:lineRule="auto"/>
                    <w:jc w:val="center"/>
                    <w:rPr>
                      <w:color w:val="auto"/>
                      <w:sz w:val="21"/>
                      <w:szCs w:val="21"/>
                    </w:rPr>
                  </w:pPr>
                  <w:r>
                    <w:rPr>
                      <w:color w:val="auto"/>
                      <w:sz w:val="21"/>
                      <w:szCs w:val="21"/>
                    </w:rPr>
                    <w:t>应急计划区</w:t>
                  </w:r>
                </w:p>
              </w:tc>
              <w:tc>
                <w:tcPr>
                  <w:tcW w:w="2945" w:type="pct"/>
                  <w:tcBorders>
                    <w:tl2br w:val="nil"/>
                    <w:tr2bl w:val="nil"/>
                  </w:tcBorders>
                  <w:vAlign w:val="center"/>
                </w:tcPr>
                <w:p>
                  <w:pPr>
                    <w:spacing w:line="240" w:lineRule="auto"/>
                    <w:rPr>
                      <w:color w:val="auto"/>
                      <w:sz w:val="21"/>
                      <w:szCs w:val="21"/>
                    </w:rPr>
                  </w:pPr>
                  <w:r>
                    <w:rPr>
                      <w:color w:val="auto"/>
                      <w:sz w:val="21"/>
                      <w:szCs w:val="21"/>
                    </w:rPr>
                    <w:t>危险目标：危废暂存</w:t>
                  </w:r>
                  <w:r>
                    <w:rPr>
                      <w:rFonts w:hint="eastAsia"/>
                      <w:color w:val="auto"/>
                      <w:sz w:val="21"/>
                      <w:szCs w:val="21"/>
                      <w:lang w:val="en-US" w:eastAsia="zh-CN"/>
                    </w:rPr>
                    <w:t>间</w:t>
                  </w:r>
                  <w:r>
                    <w:rPr>
                      <w:color w:val="auto"/>
                      <w:sz w:val="21"/>
                      <w:szCs w:val="21"/>
                    </w:rPr>
                    <w:t>、环境保护目标</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PrEx>
              <w:tc>
                <w:tcPr>
                  <w:tcW w:w="416" w:type="pct"/>
                  <w:tcBorders>
                    <w:tl2br w:val="nil"/>
                    <w:tr2bl w:val="nil"/>
                  </w:tcBorders>
                  <w:vAlign w:val="center"/>
                </w:tcPr>
                <w:p>
                  <w:pPr>
                    <w:spacing w:line="240" w:lineRule="auto"/>
                    <w:jc w:val="center"/>
                    <w:rPr>
                      <w:color w:val="auto"/>
                      <w:sz w:val="21"/>
                      <w:szCs w:val="21"/>
                    </w:rPr>
                  </w:pPr>
                  <w:r>
                    <w:rPr>
                      <w:color w:val="auto"/>
                      <w:sz w:val="21"/>
                      <w:szCs w:val="21"/>
                    </w:rPr>
                    <w:t>2</w:t>
                  </w:r>
                </w:p>
              </w:tc>
              <w:tc>
                <w:tcPr>
                  <w:tcW w:w="1638" w:type="pct"/>
                  <w:tcBorders>
                    <w:tl2br w:val="nil"/>
                    <w:tr2bl w:val="nil"/>
                  </w:tcBorders>
                  <w:vAlign w:val="center"/>
                </w:tcPr>
                <w:p>
                  <w:pPr>
                    <w:spacing w:line="240" w:lineRule="auto"/>
                    <w:jc w:val="center"/>
                    <w:rPr>
                      <w:color w:val="auto"/>
                      <w:sz w:val="21"/>
                      <w:szCs w:val="21"/>
                    </w:rPr>
                  </w:pPr>
                  <w:r>
                    <w:rPr>
                      <w:color w:val="auto"/>
                      <w:sz w:val="21"/>
                      <w:szCs w:val="21"/>
                    </w:rPr>
                    <w:t>应急组织机构、人员</w:t>
                  </w:r>
                </w:p>
              </w:tc>
              <w:tc>
                <w:tcPr>
                  <w:tcW w:w="2945" w:type="pct"/>
                  <w:tcBorders>
                    <w:tl2br w:val="nil"/>
                    <w:tr2bl w:val="nil"/>
                  </w:tcBorders>
                  <w:vAlign w:val="center"/>
                </w:tcPr>
                <w:p>
                  <w:pPr>
                    <w:spacing w:line="240" w:lineRule="auto"/>
                    <w:rPr>
                      <w:color w:val="auto"/>
                      <w:sz w:val="21"/>
                      <w:szCs w:val="21"/>
                    </w:rPr>
                  </w:pPr>
                  <w:r>
                    <w:rPr>
                      <w:color w:val="auto"/>
                      <w:sz w:val="21"/>
                      <w:szCs w:val="21"/>
                    </w:rPr>
                    <w:t>建设单位设置应急组织机构，设置有应急办主任、副主任，为应急计划、协调第一人，应急人员必须为培训上岗熟练工；区域应急组织结构由当地政府、相关行业专家、卫生安全相关单位组成，并由当地政府进行统一调度。</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PrEx>
              <w:tc>
                <w:tcPr>
                  <w:tcW w:w="416" w:type="pct"/>
                  <w:tcBorders>
                    <w:tl2br w:val="nil"/>
                    <w:tr2bl w:val="nil"/>
                  </w:tcBorders>
                  <w:vAlign w:val="center"/>
                </w:tcPr>
                <w:p>
                  <w:pPr>
                    <w:spacing w:line="240" w:lineRule="auto"/>
                    <w:jc w:val="center"/>
                    <w:rPr>
                      <w:color w:val="auto"/>
                      <w:sz w:val="21"/>
                      <w:szCs w:val="21"/>
                    </w:rPr>
                  </w:pPr>
                  <w:r>
                    <w:rPr>
                      <w:color w:val="auto"/>
                      <w:sz w:val="21"/>
                      <w:szCs w:val="21"/>
                    </w:rPr>
                    <w:t>3</w:t>
                  </w:r>
                </w:p>
              </w:tc>
              <w:tc>
                <w:tcPr>
                  <w:tcW w:w="1638" w:type="pct"/>
                  <w:tcBorders>
                    <w:tl2br w:val="nil"/>
                    <w:tr2bl w:val="nil"/>
                  </w:tcBorders>
                  <w:vAlign w:val="center"/>
                </w:tcPr>
                <w:p>
                  <w:pPr>
                    <w:spacing w:line="240" w:lineRule="auto"/>
                    <w:jc w:val="center"/>
                    <w:rPr>
                      <w:color w:val="auto"/>
                      <w:sz w:val="21"/>
                      <w:szCs w:val="21"/>
                    </w:rPr>
                  </w:pPr>
                  <w:r>
                    <w:rPr>
                      <w:color w:val="auto"/>
                      <w:sz w:val="21"/>
                      <w:szCs w:val="21"/>
                    </w:rPr>
                    <w:t>预案分级响应条件</w:t>
                  </w:r>
                </w:p>
              </w:tc>
              <w:tc>
                <w:tcPr>
                  <w:tcW w:w="2945" w:type="pct"/>
                  <w:tcBorders>
                    <w:tl2br w:val="nil"/>
                    <w:tr2bl w:val="nil"/>
                  </w:tcBorders>
                  <w:vAlign w:val="center"/>
                </w:tcPr>
                <w:p>
                  <w:pPr>
                    <w:spacing w:line="240" w:lineRule="auto"/>
                    <w:rPr>
                      <w:color w:val="auto"/>
                      <w:sz w:val="21"/>
                      <w:szCs w:val="21"/>
                    </w:rPr>
                  </w:pPr>
                  <w:r>
                    <w:rPr>
                      <w:color w:val="auto"/>
                      <w:sz w:val="21"/>
                      <w:szCs w:val="21"/>
                    </w:rPr>
                    <w:t>根据事故的严重程度制定相应级别的应急预案，以及适合相应情况的处理措施。</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PrEx>
              <w:tc>
                <w:tcPr>
                  <w:tcW w:w="416" w:type="pct"/>
                  <w:tcBorders>
                    <w:tl2br w:val="nil"/>
                    <w:tr2bl w:val="nil"/>
                  </w:tcBorders>
                  <w:vAlign w:val="center"/>
                </w:tcPr>
                <w:p>
                  <w:pPr>
                    <w:spacing w:line="240" w:lineRule="auto"/>
                    <w:jc w:val="center"/>
                    <w:rPr>
                      <w:color w:val="auto"/>
                      <w:sz w:val="21"/>
                      <w:szCs w:val="21"/>
                    </w:rPr>
                  </w:pPr>
                  <w:r>
                    <w:rPr>
                      <w:color w:val="auto"/>
                      <w:sz w:val="21"/>
                      <w:szCs w:val="21"/>
                    </w:rPr>
                    <w:t>4</w:t>
                  </w:r>
                </w:p>
              </w:tc>
              <w:tc>
                <w:tcPr>
                  <w:tcW w:w="1638" w:type="pct"/>
                  <w:tcBorders>
                    <w:tl2br w:val="nil"/>
                    <w:tr2bl w:val="nil"/>
                  </w:tcBorders>
                  <w:vAlign w:val="center"/>
                </w:tcPr>
                <w:p>
                  <w:pPr>
                    <w:spacing w:line="240" w:lineRule="auto"/>
                    <w:jc w:val="center"/>
                    <w:rPr>
                      <w:color w:val="auto"/>
                      <w:sz w:val="21"/>
                      <w:szCs w:val="21"/>
                    </w:rPr>
                  </w:pPr>
                  <w:r>
                    <w:rPr>
                      <w:color w:val="auto"/>
                      <w:sz w:val="21"/>
                      <w:szCs w:val="21"/>
                    </w:rPr>
                    <w:t>应急救援保障</w:t>
                  </w:r>
                </w:p>
              </w:tc>
              <w:tc>
                <w:tcPr>
                  <w:tcW w:w="2945" w:type="pct"/>
                  <w:tcBorders>
                    <w:tl2br w:val="nil"/>
                    <w:tr2bl w:val="nil"/>
                  </w:tcBorders>
                  <w:vAlign w:val="center"/>
                </w:tcPr>
                <w:p>
                  <w:pPr>
                    <w:spacing w:line="240" w:lineRule="auto"/>
                    <w:rPr>
                      <w:rFonts w:hint="eastAsia" w:eastAsia="宋体"/>
                      <w:color w:val="auto"/>
                      <w:sz w:val="21"/>
                      <w:szCs w:val="21"/>
                      <w:lang w:eastAsia="zh-CN"/>
                    </w:rPr>
                  </w:pPr>
                  <w:r>
                    <w:rPr>
                      <w:color w:val="auto"/>
                      <w:sz w:val="21"/>
                      <w:szCs w:val="21"/>
                    </w:rPr>
                    <w:t>应急设施、设备与器材等</w:t>
                  </w:r>
                  <w:r>
                    <w:rPr>
                      <w:rFonts w:hint="eastAsia"/>
                      <w:color w:val="auto"/>
                      <w:sz w:val="21"/>
                      <w:szCs w:val="21"/>
                      <w:lang w:eastAsia="zh-CN"/>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PrEx>
              <w:tc>
                <w:tcPr>
                  <w:tcW w:w="416" w:type="pct"/>
                  <w:tcBorders>
                    <w:tl2br w:val="nil"/>
                    <w:tr2bl w:val="nil"/>
                  </w:tcBorders>
                  <w:vAlign w:val="center"/>
                </w:tcPr>
                <w:p>
                  <w:pPr>
                    <w:spacing w:line="240" w:lineRule="auto"/>
                    <w:jc w:val="center"/>
                    <w:rPr>
                      <w:color w:val="auto"/>
                      <w:sz w:val="21"/>
                      <w:szCs w:val="21"/>
                    </w:rPr>
                  </w:pPr>
                  <w:r>
                    <w:rPr>
                      <w:color w:val="auto"/>
                      <w:sz w:val="21"/>
                      <w:szCs w:val="21"/>
                    </w:rPr>
                    <w:t>5</w:t>
                  </w:r>
                </w:p>
              </w:tc>
              <w:tc>
                <w:tcPr>
                  <w:tcW w:w="1638" w:type="pct"/>
                  <w:tcBorders>
                    <w:tl2br w:val="nil"/>
                    <w:tr2bl w:val="nil"/>
                  </w:tcBorders>
                  <w:vAlign w:val="center"/>
                </w:tcPr>
                <w:p>
                  <w:pPr>
                    <w:spacing w:line="240" w:lineRule="auto"/>
                    <w:jc w:val="center"/>
                    <w:rPr>
                      <w:color w:val="auto"/>
                      <w:sz w:val="21"/>
                      <w:szCs w:val="21"/>
                    </w:rPr>
                  </w:pPr>
                  <w:r>
                    <w:rPr>
                      <w:color w:val="auto"/>
                      <w:sz w:val="21"/>
                      <w:szCs w:val="21"/>
                    </w:rPr>
                    <w:t>报警、通讯联络方式</w:t>
                  </w:r>
                </w:p>
              </w:tc>
              <w:tc>
                <w:tcPr>
                  <w:tcW w:w="2945" w:type="pct"/>
                  <w:tcBorders>
                    <w:tl2br w:val="nil"/>
                    <w:tr2bl w:val="nil"/>
                  </w:tcBorders>
                  <w:vAlign w:val="center"/>
                </w:tcPr>
                <w:p>
                  <w:pPr>
                    <w:spacing w:line="240" w:lineRule="auto"/>
                    <w:rPr>
                      <w:color w:val="auto"/>
                      <w:sz w:val="21"/>
                      <w:szCs w:val="21"/>
                    </w:rPr>
                  </w:pPr>
                  <w:r>
                    <w:rPr>
                      <w:color w:val="auto"/>
                      <w:sz w:val="21"/>
                      <w:szCs w:val="21"/>
                    </w:rPr>
                    <w:t>细化应急状态下各主要部门的</w:t>
                  </w:r>
                  <w:r>
                    <w:rPr>
                      <w:rFonts w:hint="eastAsia"/>
                      <w:color w:val="auto"/>
                      <w:sz w:val="21"/>
                      <w:szCs w:val="21"/>
                      <w:lang w:eastAsia="zh-CN"/>
                    </w:rPr>
                    <w:t>报警通信</w:t>
                  </w:r>
                  <w:r>
                    <w:rPr>
                      <w:color w:val="auto"/>
                      <w:sz w:val="21"/>
                      <w:szCs w:val="21"/>
                    </w:rPr>
                    <w:t>方式、地点和电话号码以及相关配套的交通保障、管制和消防联络方式。</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PrEx>
              <w:tc>
                <w:tcPr>
                  <w:tcW w:w="416" w:type="pct"/>
                  <w:tcBorders>
                    <w:tl2br w:val="nil"/>
                    <w:tr2bl w:val="nil"/>
                  </w:tcBorders>
                  <w:vAlign w:val="center"/>
                </w:tcPr>
                <w:p>
                  <w:pPr>
                    <w:spacing w:line="240" w:lineRule="auto"/>
                    <w:jc w:val="center"/>
                    <w:rPr>
                      <w:color w:val="auto"/>
                      <w:sz w:val="21"/>
                      <w:szCs w:val="21"/>
                    </w:rPr>
                  </w:pPr>
                  <w:r>
                    <w:rPr>
                      <w:color w:val="auto"/>
                      <w:sz w:val="21"/>
                      <w:szCs w:val="21"/>
                    </w:rPr>
                    <w:t>6</w:t>
                  </w:r>
                </w:p>
              </w:tc>
              <w:tc>
                <w:tcPr>
                  <w:tcW w:w="1638" w:type="pct"/>
                  <w:tcBorders>
                    <w:tl2br w:val="nil"/>
                    <w:tr2bl w:val="nil"/>
                  </w:tcBorders>
                  <w:vAlign w:val="center"/>
                </w:tcPr>
                <w:p>
                  <w:pPr>
                    <w:spacing w:line="240" w:lineRule="auto"/>
                    <w:jc w:val="center"/>
                    <w:rPr>
                      <w:color w:val="auto"/>
                      <w:sz w:val="21"/>
                      <w:szCs w:val="21"/>
                    </w:rPr>
                  </w:pPr>
                  <w:r>
                    <w:rPr>
                      <w:color w:val="auto"/>
                      <w:sz w:val="21"/>
                      <w:szCs w:val="21"/>
                    </w:rPr>
                    <w:t>应急环境监测、抢险、救援及控制措施</w:t>
                  </w:r>
                </w:p>
              </w:tc>
              <w:tc>
                <w:tcPr>
                  <w:tcW w:w="2945" w:type="pct"/>
                  <w:tcBorders>
                    <w:tl2br w:val="nil"/>
                    <w:tr2bl w:val="nil"/>
                  </w:tcBorders>
                  <w:vAlign w:val="center"/>
                </w:tcPr>
                <w:p>
                  <w:pPr>
                    <w:spacing w:line="240" w:lineRule="auto"/>
                    <w:rPr>
                      <w:color w:val="auto"/>
                      <w:sz w:val="21"/>
                      <w:szCs w:val="21"/>
                    </w:rPr>
                  </w:pPr>
                  <w:r>
                    <w:rPr>
                      <w:color w:val="auto"/>
                      <w:sz w:val="21"/>
                      <w:szCs w:val="21"/>
                    </w:rPr>
                    <w:t>组织专业队伍负责对事故现场进行</w:t>
                  </w:r>
                  <w:r>
                    <w:rPr>
                      <w:rFonts w:hint="eastAsia"/>
                      <w:color w:val="auto"/>
                      <w:sz w:val="21"/>
                      <w:szCs w:val="21"/>
                      <w:lang w:eastAsia="zh-CN"/>
                    </w:rPr>
                    <w:t>侦察</w:t>
                  </w:r>
                  <w:r>
                    <w:rPr>
                      <w:color w:val="auto"/>
                      <w:sz w:val="21"/>
                      <w:szCs w:val="21"/>
                    </w:rPr>
                    <w:t>检测，对事故性质、参数与后果进行评估，为指挥部门提供决策依据。严格规定事故多发区、事故现场、邻近区域、控制防火区域设置控制和清除污染措施及相应设备的数量、使用人员和使用方法。</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PrEx>
              <w:tc>
                <w:tcPr>
                  <w:tcW w:w="416" w:type="pct"/>
                  <w:tcBorders>
                    <w:tl2br w:val="nil"/>
                    <w:tr2bl w:val="nil"/>
                  </w:tcBorders>
                  <w:vAlign w:val="center"/>
                </w:tcPr>
                <w:p>
                  <w:pPr>
                    <w:spacing w:line="240" w:lineRule="auto"/>
                    <w:jc w:val="center"/>
                    <w:rPr>
                      <w:color w:val="auto"/>
                      <w:sz w:val="21"/>
                      <w:szCs w:val="21"/>
                    </w:rPr>
                  </w:pPr>
                  <w:r>
                    <w:rPr>
                      <w:color w:val="auto"/>
                      <w:sz w:val="21"/>
                      <w:szCs w:val="21"/>
                    </w:rPr>
                    <w:t>7</w:t>
                  </w:r>
                </w:p>
              </w:tc>
              <w:tc>
                <w:tcPr>
                  <w:tcW w:w="1638" w:type="pct"/>
                  <w:tcBorders>
                    <w:tl2br w:val="nil"/>
                    <w:tr2bl w:val="nil"/>
                  </w:tcBorders>
                  <w:vAlign w:val="center"/>
                </w:tcPr>
                <w:p>
                  <w:pPr>
                    <w:spacing w:line="240" w:lineRule="auto"/>
                    <w:jc w:val="center"/>
                    <w:rPr>
                      <w:color w:val="auto"/>
                      <w:sz w:val="21"/>
                      <w:szCs w:val="21"/>
                    </w:rPr>
                  </w:pPr>
                  <w:r>
                    <w:rPr>
                      <w:color w:val="auto"/>
                      <w:sz w:val="21"/>
                      <w:szCs w:val="21"/>
                    </w:rPr>
                    <w:t>应急防护措</w:t>
                  </w:r>
                </w:p>
                <w:p>
                  <w:pPr>
                    <w:spacing w:line="240" w:lineRule="auto"/>
                    <w:jc w:val="center"/>
                    <w:rPr>
                      <w:color w:val="auto"/>
                      <w:sz w:val="21"/>
                      <w:szCs w:val="21"/>
                    </w:rPr>
                  </w:pPr>
                  <w:r>
                    <w:rPr>
                      <w:color w:val="auto"/>
                      <w:sz w:val="21"/>
                      <w:szCs w:val="21"/>
                    </w:rPr>
                    <w:t>施、清除措施和器材</w:t>
                  </w:r>
                </w:p>
              </w:tc>
              <w:tc>
                <w:tcPr>
                  <w:tcW w:w="2945" w:type="pct"/>
                  <w:tcBorders>
                    <w:tl2br w:val="nil"/>
                    <w:tr2bl w:val="nil"/>
                  </w:tcBorders>
                  <w:vAlign w:val="center"/>
                </w:tcPr>
                <w:p>
                  <w:pPr>
                    <w:spacing w:line="240" w:lineRule="auto"/>
                    <w:rPr>
                      <w:color w:val="auto"/>
                      <w:sz w:val="21"/>
                      <w:szCs w:val="21"/>
                    </w:rPr>
                  </w:pPr>
                  <w:r>
                    <w:rPr>
                      <w:color w:val="auto"/>
                      <w:sz w:val="21"/>
                      <w:szCs w:val="21"/>
                    </w:rPr>
                    <w:t>控制事故、防止扩大和蔓延及连锁反应。清除现场，降低危害，相应的设施器材设备。控制防火区域，控制和消除环境污染的措施及相应的设备配备。</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PrEx>
              <w:tc>
                <w:tcPr>
                  <w:tcW w:w="416" w:type="pct"/>
                  <w:tcBorders>
                    <w:tl2br w:val="nil"/>
                    <w:tr2bl w:val="nil"/>
                  </w:tcBorders>
                  <w:vAlign w:val="center"/>
                </w:tcPr>
                <w:p>
                  <w:pPr>
                    <w:spacing w:line="240" w:lineRule="auto"/>
                    <w:jc w:val="center"/>
                    <w:rPr>
                      <w:color w:val="auto"/>
                      <w:sz w:val="21"/>
                      <w:szCs w:val="21"/>
                    </w:rPr>
                  </w:pPr>
                  <w:r>
                    <w:rPr>
                      <w:color w:val="auto"/>
                      <w:sz w:val="21"/>
                      <w:szCs w:val="21"/>
                    </w:rPr>
                    <w:t>8</w:t>
                  </w:r>
                </w:p>
              </w:tc>
              <w:tc>
                <w:tcPr>
                  <w:tcW w:w="1638" w:type="pct"/>
                  <w:tcBorders>
                    <w:tl2br w:val="nil"/>
                    <w:tr2bl w:val="nil"/>
                  </w:tcBorders>
                  <w:vAlign w:val="center"/>
                </w:tcPr>
                <w:p>
                  <w:pPr>
                    <w:spacing w:line="240" w:lineRule="auto"/>
                    <w:jc w:val="center"/>
                    <w:rPr>
                      <w:color w:val="auto"/>
                      <w:sz w:val="21"/>
                      <w:szCs w:val="21"/>
                    </w:rPr>
                  </w:pPr>
                  <w:r>
                    <w:rPr>
                      <w:color w:val="auto"/>
                      <w:sz w:val="21"/>
                      <w:szCs w:val="21"/>
                    </w:rPr>
                    <w:t>人员紧急撤离、疏散，应急剂量控制、撤离组织计划</w:t>
                  </w:r>
                </w:p>
              </w:tc>
              <w:tc>
                <w:tcPr>
                  <w:tcW w:w="2945" w:type="pct"/>
                  <w:tcBorders>
                    <w:tl2br w:val="nil"/>
                    <w:tr2bl w:val="nil"/>
                  </w:tcBorders>
                  <w:vAlign w:val="center"/>
                </w:tcPr>
                <w:p>
                  <w:pPr>
                    <w:spacing w:line="240" w:lineRule="auto"/>
                    <w:rPr>
                      <w:color w:val="auto"/>
                      <w:sz w:val="21"/>
                      <w:szCs w:val="21"/>
                    </w:rPr>
                  </w:pPr>
                  <w:r>
                    <w:rPr>
                      <w:color w:val="auto"/>
                      <w:sz w:val="21"/>
                      <w:szCs w:val="21"/>
                    </w:rPr>
                    <w:t>事故现场、工厂邻近区、受事故影响的区域人员及公众对毒物应急剂量控制规定，撤离组织计划及救护，医疗救护与公众健康</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PrEx>
              <w:tc>
                <w:tcPr>
                  <w:tcW w:w="416" w:type="pct"/>
                  <w:tcBorders>
                    <w:tl2br w:val="nil"/>
                    <w:tr2bl w:val="nil"/>
                  </w:tcBorders>
                  <w:vAlign w:val="center"/>
                </w:tcPr>
                <w:p>
                  <w:pPr>
                    <w:spacing w:line="240" w:lineRule="auto"/>
                    <w:jc w:val="center"/>
                    <w:rPr>
                      <w:color w:val="auto"/>
                      <w:sz w:val="21"/>
                      <w:szCs w:val="21"/>
                    </w:rPr>
                  </w:pPr>
                  <w:r>
                    <w:rPr>
                      <w:color w:val="auto"/>
                      <w:sz w:val="21"/>
                      <w:szCs w:val="21"/>
                    </w:rPr>
                    <w:t>9</w:t>
                  </w:r>
                </w:p>
              </w:tc>
              <w:tc>
                <w:tcPr>
                  <w:tcW w:w="1638" w:type="pct"/>
                  <w:tcBorders>
                    <w:tl2br w:val="nil"/>
                    <w:tr2bl w:val="nil"/>
                  </w:tcBorders>
                  <w:vAlign w:val="center"/>
                </w:tcPr>
                <w:p>
                  <w:pPr>
                    <w:spacing w:line="240" w:lineRule="auto"/>
                    <w:jc w:val="center"/>
                    <w:rPr>
                      <w:color w:val="auto"/>
                      <w:sz w:val="21"/>
                      <w:szCs w:val="21"/>
                    </w:rPr>
                  </w:pPr>
                  <w:r>
                    <w:rPr>
                      <w:color w:val="auto"/>
                      <w:sz w:val="21"/>
                      <w:szCs w:val="21"/>
                    </w:rPr>
                    <w:t>事故应急救援关闭程序与恢复措施</w:t>
                  </w:r>
                </w:p>
              </w:tc>
              <w:tc>
                <w:tcPr>
                  <w:tcW w:w="2945" w:type="pct"/>
                  <w:tcBorders>
                    <w:tl2br w:val="nil"/>
                    <w:tr2bl w:val="nil"/>
                  </w:tcBorders>
                  <w:vAlign w:val="center"/>
                </w:tcPr>
                <w:p>
                  <w:pPr>
                    <w:spacing w:line="240" w:lineRule="auto"/>
                    <w:rPr>
                      <w:color w:val="auto"/>
                      <w:sz w:val="21"/>
                      <w:szCs w:val="21"/>
                    </w:rPr>
                  </w:pPr>
                  <w:r>
                    <w:rPr>
                      <w:color w:val="auto"/>
                      <w:sz w:val="21"/>
                      <w:szCs w:val="21"/>
                    </w:rPr>
                    <w:t>规定应急状态终止程序；事故现场善后处理，恢复措施；邻近区域解除事故警戒及善后恢复措施</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PrEx>
              <w:tc>
                <w:tcPr>
                  <w:tcW w:w="416" w:type="pct"/>
                  <w:tcBorders>
                    <w:tl2br w:val="nil"/>
                    <w:tr2bl w:val="nil"/>
                  </w:tcBorders>
                  <w:vAlign w:val="center"/>
                </w:tcPr>
                <w:p>
                  <w:pPr>
                    <w:spacing w:line="240" w:lineRule="auto"/>
                    <w:jc w:val="center"/>
                    <w:rPr>
                      <w:color w:val="auto"/>
                      <w:sz w:val="21"/>
                      <w:szCs w:val="21"/>
                    </w:rPr>
                  </w:pPr>
                  <w:r>
                    <w:rPr>
                      <w:color w:val="auto"/>
                      <w:sz w:val="21"/>
                      <w:szCs w:val="21"/>
                    </w:rPr>
                    <w:t>10</w:t>
                  </w:r>
                </w:p>
              </w:tc>
              <w:tc>
                <w:tcPr>
                  <w:tcW w:w="1638" w:type="pct"/>
                  <w:tcBorders>
                    <w:tl2br w:val="nil"/>
                    <w:tr2bl w:val="nil"/>
                  </w:tcBorders>
                  <w:vAlign w:val="center"/>
                </w:tcPr>
                <w:p>
                  <w:pPr>
                    <w:spacing w:line="240" w:lineRule="auto"/>
                    <w:jc w:val="center"/>
                    <w:rPr>
                      <w:color w:val="auto"/>
                      <w:sz w:val="21"/>
                      <w:szCs w:val="21"/>
                    </w:rPr>
                  </w:pPr>
                  <w:r>
                    <w:rPr>
                      <w:color w:val="auto"/>
                      <w:sz w:val="21"/>
                      <w:szCs w:val="21"/>
                    </w:rPr>
                    <w:t>应急培训计划</w:t>
                  </w:r>
                </w:p>
              </w:tc>
              <w:tc>
                <w:tcPr>
                  <w:tcW w:w="2945" w:type="pct"/>
                  <w:tcBorders>
                    <w:tl2br w:val="nil"/>
                    <w:tr2bl w:val="nil"/>
                  </w:tcBorders>
                  <w:vAlign w:val="center"/>
                </w:tcPr>
                <w:p>
                  <w:pPr>
                    <w:spacing w:line="240" w:lineRule="auto"/>
                    <w:rPr>
                      <w:color w:val="auto"/>
                      <w:sz w:val="21"/>
                      <w:szCs w:val="21"/>
                    </w:rPr>
                  </w:pPr>
                  <w:r>
                    <w:rPr>
                      <w:color w:val="auto"/>
                      <w:sz w:val="21"/>
                      <w:szCs w:val="21"/>
                    </w:rPr>
                    <w:t>应急计划制定后，平时安排人员进行相关知识培训，并进行事故应急处理演习；对工人进行安全卫生教育。</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PrEx>
              <w:tc>
                <w:tcPr>
                  <w:tcW w:w="416" w:type="pct"/>
                  <w:tcBorders>
                    <w:tl2br w:val="nil"/>
                    <w:tr2bl w:val="nil"/>
                  </w:tcBorders>
                  <w:vAlign w:val="center"/>
                </w:tcPr>
                <w:p>
                  <w:pPr>
                    <w:spacing w:line="240" w:lineRule="auto"/>
                    <w:jc w:val="center"/>
                    <w:rPr>
                      <w:color w:val="auto"/>
                      <w:sz w:val="21"/>
                      <w:szCs w:val="21"/>
                    </w:rPr>
                  </w:pPr>
                  <w:r>
                    <w:rPr>
                      <w:color w:val="auto"/>
                      <w:sz w:val="21"/>
                      <w:szCs w:val="21"/>
                    </w:rPr>
                    <w:t>11</w:t>
                  </w:r>
                </w:p>
              </w:tc>
              <w:tc>
                <w:tcPr>
                  <w:tcW w:w="1638" w:type="pct"/>
                  <w:tcBorders>
                    <w:tl2br w:val="nil"/>
                    <w:tr2bl w:val="nil"/>
                  </w:tcBorders>
                  <w:vAlign w:val="center"/>
                </w:tcPr>
                <w:p>
                  <w:pPr>
                    <w:spacing w:line="240" w:lineRule="auto"/>
                    <w:jc w:val="center"/>
                    <w:rPr>
                      <w:color w:val="auto"/>
                      <w:sz w:val="21"/>
                      <w:szCs w:val="21"/>
                    </w:rPr>
                  </w:pPr>
                  <w:r>
                    <w:rPr>
                      <w:color w:val="auto"/>
                      <w:sz w:val="21"/>
                      <w:szCs w:val="21"/>
                    </w:rPr>
                    <w:t>公众教育和信息</w:t>
                  </w:r>
                </w:p>
              </w:tc>
              <w:tc>
                <w:tcPr>
                  <w:tcW w:w="2945" w:type="pct"/>
                  <w:tcBorders>
                    <w:tl2br w:val="nil"/>
                    <w:tr2bl w:val="nil"/>
                  </w:tcBorders>
                  <w:vAlign w:val="center"/>
                </w:tcPr>
                <w:p>
                  <w:pPr>
                    <w:spacing w:line="240" w:lineRule="auto"/>
                    <w:rPr>
                      <w:color w:val="auto"/>
                      <w:sz w:val="21"/>
                      <w:szCs w:val="21"/>
                    </w:rPr>
                  </w:pPr>
                  <w:r>
                    <w:rPr>
                      <w:color w:val="auto"/>
                      <w:sz w:val="21"/>
                      <w:szCs w:val="21"/>
                    </w:rPr>
                    <w:t>对邻近地区公众开展环境风险事故预防措施、应急知识培训并定期发布相关信息。</w:t>
                  </w:r>
                </w:p>
              </w:tc>
            </w:tr>
          </w:tbl>
          <w:p>
            <w:pPr>
              <w:pStyle w:val="68"/>
              <w:ind w:firstLine="498"/>
              <w:rPr>
                <w:b/>
                <w:bCs/>
                <w:color w:val="auto"/>
                <w:spacing w:val="4"/>
                <w:kern w:val="0"/>
              </w:rPr>
            </w:pPr>
            <w:r>
              <w:rPr>
                <w:rFonts w:hint="eastAsia"/>
                <w:b/>
                <w:bCs/>
                <w:color w:val="auto"/>
                <w:spacing w:val="4"/>
                <w:kern w:val="0"/>
                <w:lang w:val="en-US" w:eastAsia="zh-CN"/>
              </w:rPr>
              <w:t>6</w:t>
            </w:r>
            <w:r>
              <w:rPr>
                <w:rFonts w:hint="eastAsia"/>
                <w:b/>
                <w:bCs/>
                <w:color w:val="auto"/>
                <w:spacing w:val="4"/>
                <w:kern w:val="0"/>
              </w:rPr>
              <w:t>.6分析结论</w:t>
            </w:r>
          </w:p>
          <w:p>
            <w:pPr>
              <w:pStyle w:val="68"/>
              <w:ind w:firstLine="496"/>
              <w:rPr>
                <w:rFonts w:cs="Times New Roman"/>
                <w:color w:val="auto"/>
                <w:spacing w:val="4"/>
              </w:rPr>
            </w:pPr>
            <w:r>
              <w:rPr>
                <w:rFonts w:hint="eastAsia" w:cs="Times New Roman"/>
                <w:color w:val="auto"/>
                <w:spacing w:val="4"/>
              </w:rPr>
              <w:t>综上所述，本项目主要可能产生的风险事故为废机油随处堆放、贮存不当，发生废机油泄漏进入土壤和地下水，污染土壤和地下水环境。</w:t>
            </w:r>
          </w:p>
          <w:p>
            <w:pPr>
              <w:pStyle w:val="68"/>
              <w:ind w:firstLine="496"/>
              <w:rPr>
                <w:rFonts w:cs="Times New Roman"/>
                <w:color w:val="auto"/>
                <w:spacing w:val="4"/>
              </w:rPr>
            </w:pPr>
            <w:r>
              <w:rPr>
                <w:rFonts w:hint="eastAsia" w:cs="Times New Roman"/>
                <w:color w:val="auto"/>
                <w:spacing w:val="4"/>
              </w:rPr>
              <w:t>环境风险泄漏事故的分析结果表明，在严格落实评价提出的各项风险防范措施后，事故风险对周围环境的影响较小，环境风险属于可接受水平。</w:t>
            </w:r>
          </w:p>
          <w:p>
            <w:pPr>
              <w:widowControl/>
              <w:jc w:val="center"/>
              <w:rPr>
                <w:rFonts w:eastAsia="黑体"/>
                <w:color w:val="auto"/>
                <w:sz w:val="24"/>
              </w:rPr>
            </w:pPr>
            <w:r>
              <w:rPr>
                <w:rFonts w:hint="eastAsia" w:eastAsia="黑体"/>
                <w:color w:val="auto"/>
                <w:sz w:val="24"/>
              </w:rPr>
              <w:t>表4-</w:t>
            </w:r>
            <w:r>
              <w:rPr>
                <w:rFonts w:hint="eastAsia" w:eastAsia="黑体"/>
                <w:color w:val="auto"/>
                <w:sz w:val="24"/>
                <w:lang w:val="en-US" w:eastAsia="zh-CN"/>
              </w:rPr>
              <w:t>11</w:t>
            </w:r>
            <w:r>
              <w:rPr>
                <w:rFonts w:hint="eastAsia" w:eastAsia="黑体"/>
                <w:color w:val="auto"/>
                <w:sz w:val="24"/>
              </w:rPr>
              <w:t xml:space="preserve">    建设项目环境风险简单分析内容表</w:t>
            </w:r>
          </w:p>
          <w:tbl>
            <w:tblPr>
              <w:tblStyle w:val="31"/>
              <w:tblW w:w="4997"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2590"/>
              <w:gridCol w:w="3179"/>
              <w:gridCol w:w="3125"/>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jc w:val="center"/>
              </w:trPr>
              <w:tc>
                <w:tcPr>
                  <w:tcW w:w="1456" w:type="pct"/>
                  <w:vAlign w:val="center"/>
                </w:tcPr>
                <w:p>
                  <w:pPr>
                    <w:snapToGrid w:val="0"/>
                    <w:spacing w:line="300" w:lineRule="exact"/>
                    <w:jc w:val="center"/>
                    <w:rPr>
                      <w:color w:val="auto"/>
                      <w:szCs w:val="21"/>
                    </w:rPr>
                  </w:pPr>
                  <w:r>
                    <w:rPr>
                      <w:color w:val="auto"/>
                      <w:szCs w:val="21"/>
                    </w:rPr>
                    <w:t>建设项目名称</w:t>
                  </w:r>
                </w:p>
              </w:tc>
              <w:tc>
                <w:tcPr>
                  <w:tcW w:w="3543" w:type="pct"/>
                  <w:gridSpan w:val="2"/>
                  <w:vAlign w:val="center"/>
                </w:tcPr>
                <w:p>
                  <w:pPr>
                    <w:snapToGrid w:val="0"/>
                    <w:spacing w:line="300" w:lineRule="exact"/>
                    <w:jc w:val="center"/>
                    <w:rPr>
                      <w:color w:val="auto"/>
                      <w:szCs w:val="21"/>
                    </w:rPr>
                  </w:pPr>
                  <w:r>
                    <w:rPr>
                      <w:rFonts w:hint="eastAsia"/>
                      <w:color w:val="auto"/>
                      <w:szCs w:val="21"/>
                    </w:rPr>
                    <w:t>中国石油天然气运输有限</w:t>
                  </w:r>
                  <w:r>
                    <w:rPr>
                      <w:rFonts w:hint="eastAsia"/>
                      <w:color w:val="auto"/>
                      <w:szCs w:val="21"/>
                      <w:lang w:eastAsia="zh-CN"/>
                    </w:rPr>
                    <w:t>公司</w:t>
                  </w:r>
                  <w:r>
                    <w:rPr>
                      <w:rFonts w:hint="eastAsia"/>
                      <w:color w:val="auto"/>
                      <w:szCs w:val="21"/>
                      <w:lang w:val="en-US" w:eastAsia="zh-CN"/>
                    </w:rPr>
                    <w:t>一分公司</w:t>
                  </w:r>
                  <w:r>
                    <w:rPr>
                      <w:rFonts w:hint="eastAsia"/>
                      <w:color w:val="auto"/>
                      <w:szCs w:val="21"/>
                    </w:rPr>
                    <w:t>准东油田运输大队危废暂存间建设项目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jc w:val="center"/>
              </w:trPr>
              <w:tc>
                <w:tcPr>
                  <w:tcW w:w="1456" w:type="pct"/>
                  <w:vAlign w:val="center"/>
                </w:tcPr>
                <w:p>
                  <w:pPr>
                    <w:snapToGrid w:val="0"/>
                    <w:spacing w:line="300" w:lineRule="exact"/>
                    <w:jc w:val="center"/>
                    <w:rPr>
                      <w:color w:val="auto"/>
                      <w:szCs w:val="21"/>
                    </w:rPr>
                  </w:pPr>
                  <w:r>
                    <w:rPr>
                      <w:color w:val="auto"/>
                      <w:szCs w:val="21"/>
                    </w:rPr>
                    <w:t>建设地点</w:t>
                  </w:r>
                </w:p>
              </w:tc>
              <w:tc>
                <w:tcPr>
                  <w:tcW w:w="3543" w:type="pct"/>
                  <w:gridSpan w:val="2"/>
                  <w:vAlign w:val="center"/>
                </w:tcPr>
                <w:p>
                  <w:pPr>
                    <w:snapToGrid w:val="0"/>
                    <w:spacing w:line="300" w:lineRule="exact"/>
                    <w:jc w:val="center"/>
                    <w:rPr>
                      <w:color w:val="auto"/>
                      <w:szCs w:val="21"/>
                    </w:rPr>
                  </w:pPr>
                  <w:r>
                    <w:rPr>
                      <w:rFonts w:hint="eastAsia"/>
                      <w:color w:val="auto"/>
                      <w:szCs w:val="21"/>
                    </w:rPr>
                    <w:t>新疆维吾尔自治区阜康市中国石油天然气运输有限公司准东生产基地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jc w:val="center"/>
              </w:trPr>
              <w:tc>
                <w:tcPr>
                  <w:tcW w:w="1456" w:type="pct"/>
                  <w:vAlign w:val="center"/>
                </w:tcPr>
                <w:p>
                  <w:pPr>
                    <w:snapToGrid w:val="0"/>
                    <w:spacing w:line="300" w:lineRule="exact"/>
                    <w:jc w:val="center"/>
                    <w:rPr>
                      <w:color w:val="auto"/>
                      <w:szCs w:val="21"/>
                    </w:rPr>
                  </w:pPr>
                  <w:r>
                    <w:rPr>
                      <w:color w:val="auto"/>
                      <w:szCs w:val="21"/>
                    </w:rPr>
                    <w:t>地理坐标</w:t>
                  </w:r>
                </w:p>
              </w:tc>
              <w:tc>
                <w:tcPr>
                  <w:tcW w:w="1787" w:type="pct"/>
                  <w:vAlign w:val="center"/>
                </w:tcPr>
                <w:p>
                  <w:pPr>
                    <w:snapToGrid w:val="0"/>
                    <w:spacing w:line="300" w:lineRule="exact"/>
                    <w:jc w:val="center"/>
                    <w:rPr>
                      <w:color w:val="auto"/>
                      <w:szCs w:val="21"/>
                    </w:rPr>
                  </w:pPr>
                  <w:r>
                    <w:rPr>
                      <w:color w:val="auto"/>
                      <w:szCs w:val="21"/>
                    </w:rPr>
                    <w:t>经度：</w:t>
                  </w:r>
                  <w:r>
                    <w:rPr>
                      <w:rFonts w:hint="eastAsia"/>
                      <w:color w:val="auto"/>
                      <w:szCs w:val="21"/>
                    </w:rPr>
                    <w:t>88</w:t>
                  </w:r>
                  <w:r>
                    <w:rPr>
                      <w:color w:val="auto"/>
                      <w:szCs w:val="21"/>
                    </w:rPr>
                    <w:t>°</w:t>
                  </w:r>
                  <w:r>
                    <w:rPr>
                      <w:rFonts w:hint="eastAsia"/>
                      <w:color w:val="auto"/>
                      <w:szCs w:val="21"/>
                    </w:rPr>
                    <w:t>42</w:t>
                  </w:r>
                  <w:r>
                    <w:rPr>
                      <w:color w:val="auto"/>
                      <w:szCs w:val="21"/>
                    </w:rPr>
                    <w:t>′</w:t>
                  </w:r>
                  <w:r>
                    <w:rPr>
                      <w:rFonts w:hint="eastAsia"/>
                      <w:color w:val="auto"/>
                      <w:szCs w:val="21"/>
                    </w:rPr>
                    <w:t>39.642</w:t>
                  </w:r>
                  <w:r>
                    <w:rPr>
                      <w:color w:val="auto"/>
                      <w:szCs w:val="21"/>
                    </w:rPr>
                    <w:t>″</w:t>
                  </w:r>
                </w:p>
              </w:tc>
              <w:tc>
                <w:tcPr>
                  <w:tcW w:w="1756" w:type="pct"/>
                  <w:vAlign w:val="center"/>
                </w:tcPr>
                <w:p>
                  <w:pPr>
                    <w:snapToGrid w:val="0"/>
                    <w:spacing w:line="300" w:lineRule="exact"/>
                    <w:jc w:val="center"/>
                    <w:rPr>
                      <w:color w:val="auto"/>
                      <w:szCs w:val="21"/>
                    </w:rPr>
                  </w:pPr>
                  <w:r>
                    <w:rPr>
                      <w:color w:val="auto"/>
                      <w:szCs w:val="21"/>
                    </w:rPr>
                    <w:t>纬度：4</w:t>
                  </w:r>
                  <w:r>
                    <w:rPr>
                      <w:rFonts w:hint="eastAsia"/>
                      <w:color w:val="auto"/>
                      <w:szCs w:val="21"/>
                    </w:rPr>
                    <w:t>4</w:t>
                  </w:r>
                  <w:r>
                    <w:rPr>
                      <w:color w:val="auto"/>
                      <w:szCs w:val="21"/>
                    </w:rPr>
                    <w:t>°</w:t>
                  </w:r>
                  <w:r>
                    <w:rPr>
                      <w:rFonts w:hint="eastAsia"/>
                      <w:color w:val="auto"/>
                      <w:szCs w:val="21"/>
                    </w:rPr>
                    <w:t>21</w:t>
                  </w:r>
                  <w:r>
                    <w:rPr>
                      <w:color w:val="auto"/>
                      <w:szCs w:val="21"/>
                    </w:rPr>
                    <w:t>′</w:t>
                  </w:r>
                  <w:r>
                    <w:rPr>
                      <w:rFonts w:hint="eastAsia"/>
                      <w:color w:val="auto"/>
                      <w:szCs w:val="21"/>
                    </w:rPr>
                    <w:t>1.951</w:t>
                  </w:r>
                  <w:r>
                    <w:rPr>
                      <w:color w:val="auto"/>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jc w:val="center"/>
              </w:trPr>
              <w:tc>
                <w:tcPr>
                  <w:tcW w:w="1456" w:type="pct"/>
                  <w:vAlign w:val="center"/>
                </w:tcPr>
                <w:p>
                  <w:pPr>
                    <w:snapToGrid w:val="0"/>
                    <w:spacing w:line="300" w:lineRule="exact"/>
                    <w:jc w:val="center"/>
                    <w:rPr>
                      <w:color w:val="auto"/>
                      <w:szCs w:val="21"/>
                    </w:rPr>
                  </w:pPr>
                  <w:r>
                    <w:rPr>
                      <w:color w:val="auto"/>
                      <w:szCs w:val="21"/>
                    </w:rPr>
                    <w:t>主要危险物质及分布</w:t>
                  </w:r>
                </w:p>
              </w:tc>
              <w:tc>
                <w:tcPr>
                  <w:tcW w:w="3543" w:type="pct"/>
                  <w:gridSpan w:val="2"/>
                  <w:vAlign w:val="center"/>
                </w:tcPr>
                <w:p>
                  <w:pPr>
                    <w:snapToGrid w:val="0"/>
                    <w:spacing w:line="300" w:lineRule="exact"/>
                    <w:jc w:val="center"/>
                    <w:rPr>
                      <w:color w:val="auto"/>
                      <w:szCs w:val="21"/>
                    </w:rPr>
                  </w:pPr>
                  <w:r>
                    <w:rPr>
                      <w:rFonts w:hint="eastAsia"/>
                      <w:color w:val="auto"/>
                      <w:szCs w:val="21"/>
                    </w:rPr>
                    <w:t>废机油</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jc w:val="center"/>
              </w:trPr>
              <w:tc>
                <w:tcPr>
                  <w:tcW w:w="1456" w:type="pct"/>
                  <w:vAlign w:val="center"/>
                </w:tcPr>
                <w:p>
                  <w:pPr>
                    <w:snapToGrid w:val="0"/>
                    <w:spacing w:line="300" w:lineRule="exact"/>
                    <w:jc w:val="center"/>
                    <w:rPr>
                      <w:color w:val="auto"/>
                      <w:szCs w:val="21"/>
                    </w:rPr>
                  </w:pPr>
                  <w:r>
                    <w:rPr>
                      <w:color w:val="auto"/>
                      <w:szCs w:val="21"/>
                    </w:rPr>
                    <w:t>环境影响途径及危害后果（大气、地表水、地下水等）</w:t>
                  </w:r>
                </w:p>
              </w:tc>
              <w:tc>
                <w:tcPr>
                  <w:tcW w:w="3543" w:type="pct"/>
                  <w:gridSpan w:val="2"/>
                  <w:vAlign w:val="center"/>
                </w:tcPr>
                <w:p>
                  <w:pPr>
                    <w:snapToGrid w:val="0"/>
                    <w:spacing w:line="300" w:lineRule="exact"/>
                    <w:jc w:val="center"/>
                    <w:rPr>
                      <w:color w:val="auto"/>
                      <w:szCs w:val="21"/>
                    </w:rPr>
                  </w:pPr>
                  <w:r>
                    <w:rPr>
                      <w:rFonts w:hint="eastAsia"/>
                      <w:color w:val="auto"/>
                      <w:szCs w:val="21"/>
                    </w:rPr>
                    <w:t>废机油、废蓄电池、废滤芯随处堆放、贮存不当，发生废机油泄漏进入土壤和地下水，污染土壤和地下水环境。</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218" w:hRule="atLeast"/>
                <w:jc w:val="center"/>
              </w:trPr>
              <w:tc>
                <w:tcPr>
                  <w:tcW w:w="1456" w:type="pct"/>
                  <w:vAlign w:val="center"/>
                </w:tcPr>
                <w:p>
                  <w:pPr>
                    <w:snapToGrid w:val="0"/>
                    <w:spacing w:line="300" w:lineRule="exact"/>
                    <w:jc w:val="center"/>
                    <w:rPr>
                      <w:color w:val="auto"/>
                      <w:szCs w:val="21"/>
                    </w:rPr>
                  </w:pPr>
                  <w:r>
                    <w:rPr>
                      <w:color w:val="auto"/>
                      <w:szCs w:val="21"/>
                    </w:rPr>
                    <w:t>风险防范措施要求</w:t>
                  </w:r>
                </w:p>
              </w:tc>
              <w:tc>
                <w:tcPr>
                  <w:tcW w:w="3543" w:type="pct"/>
                  <w:gridSpan w:val="2"/>
                  <w:vAlign w:val="center"/>
                </w:tcPr>
                <w:p>
                  <w:pPr>
                    <w:snapToGrid w:val="0"/>
                    <w:spacing w:line="300" w:lineRule="exact"/>
                    <w:jc w:val="left"/>
                    <w:rPr>
                      <w:color w:val="auto"/>
                    </w:rPr>
                  </w:pPr>
                  <w:r>
                    <w:rPr>
                      <w:rFonts w:hint="eastAsia"/>
                      <w:color w:val="auto"/>
                    </w:rPr>
                    <w:t>1、</w:t>
                  </w:r>
                  <w:r>
                    <w:rPr>
                      <w:rFonts w:hint="eastAsia" w:ascii="Times New Roman" w:hAnsi="Times New Roman" w:eastAsia="宋体" w:cs="Times New Roman"/>
                      <w:color w:val="auto"/>
                    </w:rPr>
                    <w:t>建设符合国家相关规范（如防风、防晒、防雨、防漏、防渗、防腐）；</w:t>
                  </w:r>
                </w:p>
                <w:p>
                  <w:pPr>
                    <w:snapToGrid w:val="0"/>
                    <w:spacing w:line="300" w:lineRule="exact"/>
                    <w:jc w:val="left"/>
                    <w:rPr>
                      <w:color w:val="auto"/>
                    </w:rPr>
                  </w:pPr>
                  <w:r>
                    <w:rPr>
                      <w:rFonts w:hint="eastAsia"/>
                      <w:color w:val="auto"/>
                    </w:rPr>
                    <w:t>2、根据《危险废物收集 贮存 运输技术规范》相关管理规定转运；</w:t>
                  </w:r>
                </w:p>
                <w:p>
                  <w:pPr>
                    <w:snapToGrid w:val="0"/>
                    <w:spacing w:line="300" w:lineRule="exact"/>
                    <w:jc w:val="left"/>
                    <w:rPr>
                      <w:rFonts w:hint="eastAsia" w:ascii="Times New Roman" w:hAnsi="Times New Roman" w:eastAsia="宋体" w:cs="Times New Roman"/>
                      <w:color w:val="auto"/>
                    </w:rPr>
                  </w:pPr>
                  <w:r>
                    <w:rPr>
                      <w:rFonts w:hint="eastAsia"/>
                      <w:color w:val="auto"/>
                    </w:rPr>
                    <w:t>3、本项目危废暂存间为集装箱式，底板采用100mm钢板并用</w:t>
                  </w:r>
                  <w:r>
                    <w:rPr>
                      <w:rFonts w:hint="eastAsia"/>
                      <w:color w:val="auto"/>
                      <w:lang w:eastAsia="zh-CN"/>
                    </w:rPr>
                    <w:t>环氧树脂</w:t>
                  </w:r>
                  <w:r>
                    <w:rPr>
                      <w:rFonts w:hint="eastAsia"/>
                      <w:color w:val="auto"/>
                    </w:rPr>
                    <w:t>胶泥灌封，集装箱由固定滑轮支撑，箱体处于悬空状态，集装</w:t>
                  </w:r>
                  <w:r>
                    <w:rPr>
                      <w:rFonts w:hint="eastAsia" w:ascii="Times New Roman" w:hAnsi="Times New Roman" w:eastAsia="宋体" w:cs="Times New Roman"/>
                      <w:color w:val="auto"/>
                    </w:rPr>
                    <w:t>箱下设C30混凝土硬化地面，集装箱渗透系数≤10-10cm/s。</w:t>
                  </w:r>
                </w:p>
                <w:p>
                  <w:pPr>
                    <w:snapToGrid w:val="0"/>
                    <w:spacing w:line="300" w:lineRule="exact"/>
                    <w:jc w:val="left"/>
                    <w:rPr>
                      <w:color w:val="auto"/>
                    </w:rPr>
                  </w:pPr>
                  <w:r>
                    <w:rPr>
                      <w:rFonts w:hint="eastAsia" w:ascii="Times New Roman" w:hAnsi="Times New Roman" w:eastAsia="宋体" w:cs="Times New Roman"/>
                      <w:color w:val="auto"/>
                      <w:lang w:eastAsia="en-US"/>
                    </w:rPr>
                    <w:t>在废铅蓄电池存储区域设置0.1m围堰（围堰内容积0.2m³），作为渗滤液收集设施。在废机油存储区域设置0.1m围堰（围堰内容积0.2m³）作为液体泄漏堵截设施。</w:t>
                  </w:r>
                  <w:r>
                    <w:rPr>
                      <w:rFonts w:hint="eastAsia" w:ascii="Times New Roman" w:hAnsi="Times New Roman" w:eastAsia="宋体" w:cs="Times New Roman"/>
                      <w:color w:val="auto"/>
                      <w:lang w:val="en-US" w:eastAsia="zh-CN"/>
                    </w:rPr>
                    <w:t>本环评要求在废铅蓄电池及废机油存储区各放置一个备用铁桶，作为渗滤液的收集装置，发生大量泄露时，将泄漏液体采用油泵入备用铁桶</w:t>
                  </w:r>
                  <w:r>
                    <w:rPr>
                      <w:rFonts w:hint="eastAsia" w:cs="Times New Roman"/>
                      <w:color w:val="auto"/>
                      <w:lang w:val="en-US" w:eastAsia="zh-CN"/>
                    </w:rPr>
                    <w:t>，</w:t>
                  </w:r>
                  <w:r>
                    <w:rPr>
                      <w:rFonts w:hint="eastAsia" w:ascii="Calibri" w:hAnsi="Calibri" w:cs="方正楷体_GBK"/>
                      <w:color w:val="auto"/>
                      <w:highlight w:val="none"/>
                      <w:lang w:val="en-US" w:eastAsia="zh-CN"/>
                    </w:rPr>
                    <w:t>交由有资质单位进行处理。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jc w:val="center"/>
              </w:trPr>
              <w:tc>
                <w:tcPr>
                  <w:tcW w:w="5000" w:type="pct"/>
                  <w:gridSpan w:val="3"/>
                  <w:vAlign w:val="center"/>
                </w:tcPr>
                <w:p>
                  <w:pPr>
                    <w:snapToGrid w:val="0"/>
                    <w:spacing w:line="300" w:lineRule="exact"/>
                    <w:jc w:val="left"/>
                    <w:rPr>
                      <w:color w:val="auto"/>
                      <w:szCs w:val="21"/>
                    </w:rPr>
                  </w:pPr>
                  <w:r>
                    <w:rPr>
                      <w:color w:val="auto"/>
                      <w:szCs w:val="21"/>
                    </w:rPr>
                    <w:t>填表说明（列出项目相关信息及评价说明）</w:t>
                  </w:r>
                </w:p>
              </w:tc>
            </w:tr>
          </w:tbl>
          <w:p>
            <w:pPr>
              <w:pStyle w:val="4"/>
              <w:keepNext/>
              <w:keepLines/>
              <w:pageBreakBefore w:val="0"/>
              <w:widowControl w:val="0"/>
              <w:kinsoku/>
              <w:wordWrap/>
              <w:overflowPunct/>
              <w:topLinePunct w:val="0"/>
              <w:autoSpaceDE/>
              <w:autoSpaceDN/>
              <w:bidi w:val="0"/>
              <w:adjustRightInd/>
              <w:snapToGrid/>
              <w:spacing w:before="0" w:after="0" w:line="520" w:lineRule="exact"/>
              <w:ind w:firstLine="482" w:firstLineChars="200"/>
              <w:jc w:val="both"/>
              <w:textAlignment w:val="auto"/>
              <w:rPr>
                <w:rFonts w:hint="default" w:ascii="Times New Roman" w:hAnsi="Times New Roman" w:eastAsia="宋体" w:cs="Times New Roman"/>
                <w:b/>
                <w:bCs/>
                <w:color w:val="auto"/>
                <w:sz w:val="24"/>
                <w:szCs w:val="24"/>
                <w:lang w:val="en-US" w:eastAsia="zh-CN"/>
              </w:rPr>
            </w:pPr>
            <w:r>
              <w:rPr>
                <w:rFonts w:hint="eastAsia" w:cs="Times New Roman"/>
                <w:b/>
                <w:bCs/>
                <w:color w:val="auto"/>
                <w:sz w:val="24"/>
                <w:szCs w:val="24"/>
                <w:lang w:val="en-US" w:eastAsia="zh-CN"/>
              </w:rPr>
              <w:t>7</w:t>
            </w:r>
            <w:r>
              <w:rPr>
                <w:rFonts w:hint="default" w:ascii="Times New Roman" w:hAnsi="Times New Roman" w:eastAsia="宋体" w:cs="Times New Roman"/>
                <w:b/>
                <w:bCs/>
                <w:color w:val="auto"/>
                <w:sz w:val="24"/>
                <w:szCs w:val="24"/>
                <w:lang w:val="en-US" w:eastAsia="zh-CN"/>
              </w:rPr>
              <w:t>、排污许可证</w:t>
            </w:r>
          </w:p>
          <w:p>
            <w:pPr>
              <w:pageBreakBefore w:val="0"/>
              <w:widowControl w:val="0"/>
              <w:kinsoku/>
              <w:wordWrap/>
              <w:overflowPunct/>
              <w:topLinePunct w:val="0"/>
              <w:autoSpaceDE/>
              <w:autoSpaceDN/>
              <w:bidi w:val="0"/>
              <w:adjustRightInd/>
              <w:snapToGrid/>
              <w:spacing w:line="520" w:lineRule="exact"/>
              <w:ind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国务院办公厅关于印发控制污染物排放许可制实施方案的通知》中提出：分步实现排污许可全覆盖。排污许可证管理内容主要包括大气污染物、水污染物，并依法逐步纳入其他污染物。按行业分步实现对固定污染源的全覆盖，率先对火电、造纸行业企业核发排污许可证，2020年全国基本完成排污许可证核发。</w:t>
            </w:r>
          </w:p>
          <w:p>
            <w:pPr>
              <w:pageBreakBefore w:val="0"/>
              <w:widowControl w:val="0"/>
              <w:kinsoku/>
              <w:wordWrap/>
              <w:overflowPunct/>
              <w:topLinePunct w:val="0"/>
              <w:autoSpaceDE/>
              <w:autoSpaceDN/>
              <w:bidi w:val="0"/>
              <w:adjustRightInd/>
              <w:snapToGrid/>
              <w:spacing w:line="520" w:lineRule="exact"/>
              <w:ind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2018年1月17日环保部颁发了《排污许可管理办法（试行）》规定了环境保护部依法制定并公布固定污染源排污许可分类管理名录，明确纳入排污许可管理的范围和申领时限。纳入固定污染源排污许可分类管理名录的企业事业单位和其他生产经营者（以下简称排污单位）应当按照规定的时限申请并取得排污许可证。排污单位应当依法持有排污许可证，并按照排污许可证的规定排放污染物。应当取得排污许可证而未取得的，不得排放污染物。对污染物产生量大、排放量大或者环境危害程度高的排污单位实行排污许可重点管理，对其他排污单位实行排污许可简化管理。</w:t>
            </w:r>
          </w:p>
          <w:p>
            <w:pPr>
              <w:pageBreakBefore w:val="0"/>
              <w:widowControl w:val="0"/>
              <w:kinsoku/>
              <w:wordWrap/>
              <w:overflowPunct/>
              <w:topLinePunct w:val="0"/>
              <w:autoSpaceDE/>
              <w:autoSpaceDN/>
              <w:bidi w:val="0"/>
              <w:adjustRightInd/>
              <w:snapToGrid/>
              <w:spacing w:line="520" w:lineRule="exact"/>
              <w:ind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根据《固定污染源排污许可分类管理名录（2019年版）》，本项目</w:t>
            </w:r>
            <w:r>
              <w:rPr>
                <w:rFonts w:hint="eastAsia" w:cs="Times New Roman"/>
                <w:color w:val="auto"/>
                <w:sz w:val="24"/>
                <w:szCs w:val="24"/>
                <w:lang w:val="en-US" w:eastAsia="zh-CN"/>
              </w:rPr>
              <w:t>未列入名录</w:t>
            </w:r>
            <w:r>
              <w:rPr>
                <w:rFonts w:hint="default" w:ascii="Times New Roman" w:hAnsi="Times New Roman" w:eastAsia="宋体" w:cs="Times New Roman"/>
                <w:color w:val="auto"/>
                <w:sz w:val="24"/>
                <w:szCs w:val="24"/>
              </w:rPr>
              <w:t>。</w:t>
            </w:r>
          </w:p>
          <w:p>
            <w:pPr>
              <w:adjustRightInd w:val="0"/>
              <w:snapToGrid w:val="0"/>
              <w:spacing w:line="480" w:lineRule="exact"/>
              <w:ind w:firstLine="482" w:firstLineChars="200"/>
              <w:rPr>
                <w:b/>
                <w:bCs/>
                <w:color w:val="auto"/>
                <w:sz w:val="24"/>
              </w:rPr>
            </w:pPr>
            <w:r>
              <w:rPr>
                <w:rFonts w:hint="eastAsia"/>
                <w:b/>
                <w:bCs/>
                <w:color w:val="auto"/>
                <w:sz w:val="24"/>
                <w:lang w:val="en-US" w:eastAsia="zh-CN"/>
              </w:rPr>
              <w:t>8</w:t>
            </w:r>
            <w:r>
              <w:rPr>
                <w:rFonts w:hint="eastAsia"/>
                <w:b/>
                <w:bCs/>
                <w:color w:val="auto"/>
                <w:sz w:val="24"/>
              </w:rPr>
              <w:t>、环保投资</w:t>
            </w:r>
          </w:p>
          <w:p>
            <w:pPr>
              <w:widowControl/>
              <w:autoSpaceDE w:val="0"/>
              <w:autoSpaceDN w:val="0"/>
              <w:spacing w:line="520" w:lineRule="exact"/>
              <w:ind w:firstLine="480" w:firstLineChars="200"/>
              <w:rPr>
                <w:rFonts w:hint="eastAsia"/>
                <w:color w:val="auto"/>
                <w:sz w:val="24"/>
                <w:highlight w:val="none"/>
              </w:rPr>
            </w:pPr>
            <w:r>
              <w:rPr>
                <w:rFonts w:hint="eastAsia"/>
                <w:color w:val="auto"/>
                <w:sz w:val="24"/>
              </w:rPr>
              <w:t>本项目为危废暂存间</w:t>
            </w:r>
            <w:r>
              <w:rPr>
                <w:rFonts w:hint="eastAsia"/>
                <w:color w:val="auto"/>
                <w:sz w:val="24"/>
                <w:highlight w:val="none"/>
              </w:rPr>
              <w:t>建设项目，属于环保设施改造项目，建设项目总投资</w:t>
            </w:r>
            <w:r>
              <w:rPr>
                <w:rFonts w:hint="eastAsia"/>
                <w:color w:val="auto"/>
                <w:sz w:val="24"/>
                <w:highlight w:val="none"/>
                <w:lang w:val="en-US" w:eastAsia="zh-CN"/>
              </w:rPr>
              <w:t>7</w:t>
            </w:r>
            <w:r>
              <w:rPr>
                <w:rFonts w:hint="eastAsia"/>
                <w:color w:val="auto"/>
                <w:sz w:val="24"/>
                <w:highlight w:val="none"/>
              </w:rPr>
              <w:t>万元，项目投资全部为环保治理投资，其中危废暂存间</w:t>
            </w:r>
            <w:r>
              <w:rPr>
                <w:color w:val="auto"/>
                <w:sz w:val="24"/>
                <w:highlight w:val="none"/>
              </w:rPr>
              <w:t>防渗</w:t>
            </w:r>
            <w:r>
              <w:rPr>
                <w:rFonts w:hint="eastAsia"/>
                <w:color w:val="auto"/>
                <w:sz w:val="24"/>
                <w:highlight w:val="none"/>
              </w:rPr>
              <w:t>工程投资约为5万元。</w:t>
            </w:r>
          </w:p>
          <w:p>
            <w:pPr>
              <w:adjustRightInd w:val="0"/>
              <w:snapToGrid w:val="0"/>
              <w:spacing w:line="480" w:lineRule="exact"/>
              <w:ind w:firstLine="482" w:firstLineChars="200"/>
              <w:rPr>
                <w:rFonts w:hint="default"/>
                <w:b/>
                <w:bCs/>
                <w:color w:val="auto"/>
                <w:sz w:val="24"/>
                <w:lang w:val="en-US" w:eastAsia="zh-CN"/>
              </w:rPr>
            </w:pPr>
            <w:r>
              <w:rPr>
                <w:rFonts w:hint="eastAsia"/>
                <w:b/>
                <w:bCs/>
                <w:color w:val="auto"/>
                <w:sz w:val="24"/>
                <w:lang w:val="en-US" w:eastAsia="zh-CN"/>
              </w:rPr>
              <w:t>9、服役期满后相关要求</w:t>
            </w:r>
          </w:p>
          <w:p>
            <w:pPr>
              <w:pStyle w:val="42"/>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本项目服役期满后应对危废暂存间拆除，并根据相关要求对场地</w:t>
            </w:r>
            <w:r>
              <w:rPr>
                <w:rFonts w:hint="eastAsia" w:cs="Times New Roman"/>
                <w:color w:val="auto"/>
                <w:kern w:val="2"/>
                <w:sz w:val="24"/>
                <w:szCs w:val="24"/>
                <w:highlight w:val="none"/>
                <w:lang w:val="en-US" w:eastAsia="zh-CN" w:bidi="ar-SA"/>
              </w:rPr>
              <w:t>污染情况</w:t>
            </w:r>
            <w:r>
              <w:rPr>
                <w:rFonts w:hint="eastAsia" w:ascii="Times New Roman" w:hAnsi="Times New Roman" w:eastAsia="宋体" w:cs="Times New Roman"/>
                <w:color w:val="auto"/>
                <w:kern w:val="2"/>
                <w:sz w:val="24"/>
                <w:szCs w:val="24"/>
                <w:highlight w:val="none"/>
                <w:lang w:val="en-US" w:eastAsia="zh-CN" w:bidi="ar-SA"/>
              </w:rPr>
              <w:t>进行评估，依据评估结果决定是否进行场地修复。</w:t>
            </w:r>
          </w:p>
          <w:p>
            <w:pPr>
              <w:pStyle w:val="42"/>
              <w:rPr>
                <w:rFonts w:hint="eastAsia"/>
                <w:color w:val="auto"/>
                <w:sz w:val="24"/>
                <w:highlight w:val="none"/>
              </w:rPr>
            </w:pPr>
          </w:p>
          <w:p>
            <w:pPr>
              <w:pStyle w:val="42"/>
              <w:rPr>
                <w:rFonts w:hint="eastAsia"/>
                <w:color w:val="auto"/>
                <w:sz w:val="24"/>
                <w:highlight w:val="none"/>
              </w:rPr>
            </w:pPr>
          </w:p>
          <w:p>
            <w:pPr>
              <w:pStyle w:val="42"/>
              <w:rPr>
                <w:rFonts w:hint="eastAsia"/>
                <w:color w:val="auto"/>
                <w:sz w:val="24"/>
                <w:highlight w:val="none"/>
              </w:rPr>
            </w:pPr>
          </w:p>
          <w:p>
            <w:pPr>
              <w:pStyle w:val="42"/>
              <w:rPr>
                <w:rFonts w:hint="eastAsia"/>
                <w:color w:val="auto"/>
                <w:sz w:val="24"/>
                <w:highlight w:val="none"/>
              </w:rPr>
            </w:pPr>
          </w:p>
          <w:p>
            <w:pPr>
              <w:pStyle w:val="42"/>
              <w:rPr>
                <w:rFonts w:hint="eastAsia"/>
                <w:color w:val="auto"/>
                <w:sz w:val="24"/>
                <w:highlight w:val="none"/>
              </w:rPr>
            </w:pPr>
          </w:p>
          <w:p>
            <w:pPr>
              <w:pStyle w:val="42"/>
              <w:rPr>
                <w:rFonts w:hint="eastAsia"/>
                <w:color w:val="auto"/>
                <w:sz w:val="24"/>
                <w:highlight w:val="none"/>
              </w:rPr>
            </w:pPr>
          </w:p>
          <w:p>
            <w:pPr>
              <w:pStyle w:val="42"/>
              <w:rPr>
                <w:rFonts w:hint="eastAsia"/>
                <w:color w:val="auto"/>
                <w:sz w:val="24"/>
                <w:highlight w:val="none"/>
              </w:rPr>
            </w:pPr>
          </w:p>
          <w:p>
            <w:pPr>
              <w:pStyle w:val="42"/>
              <w:rPr>
                <w:rFonts w:hint="eastAsia"/>
                <w:color w:val="auto"/>
                <w:sz w:val="24"/>
                <w:highlight w:val="none"/>
              </w:rPr>
            </w:pPr>
          </w:p>
          <w:p>
            <w:pPr>
              <w:pStyle w:val="42"/>
              <w:rPr>
                <w:rFonts w:hint="eastAsia"/>
                <w:color w:val="auto"/>
                <w:sz w:val="24"/>
                <w:highlight w:val="none"/>
              </w:rPr>
            </w:pPr>
          </w:p>
          <w:p>
            <w:pPr>
              <w:pStyle w:val="42"/>
              <w:rPr>
                <w:rFonts w:hint="eastAsia"/>
                <w:color w:val="auto"/>
                <w:sz w:val="24"/>
                <w:highlight w:val="none"/>
              </w:rPr>
            </w:pPr>
          </w:p>
          <w:p>
            <w:pPr>
              <w:widowControl/>
              <w:autoSpaceDE w:val="0"/>
              <w:autoSpaceDN w:val="0"/>
              <w:spacing w:line="520" w:lineRule="exact"/>
              <w:ind w:firstLine="0" w:firstLineChars="0"/>
              <w:rPr>
                <w:bCs/>
                <w:color w:val="auto"/>
                <w:spacing w:val="-10"/>
                <w:sz w:val="24"/>
              </w:rPr>
            </w:pPr>
          </w:p>
        </w:tc>
      </w:tr>
    </w:tbl>
    <w:p>
      <w:pPr>
        <w:adjustRightInd w:val="0"/>
        <w:snapToGrid w:val="0"/>
        <w:spacing w:line="360" w:lineRule="auto"/>
        <w:rPr>
          <w:rFonts w:ascii="宋体" w:cs="宋体"/>
          <w:b/>
          <w:kern w:val="0"/>
          <w:sz w:val="28"/>
          <w:szCs w:val="28"/>
        </w:rPr>
        <w:sectPr>
          <w:pgSz w:w="11907" w:h="16840"/>
          <w:pgMar w:top="1701" w:right="1531" w:bottom="2127" w:left="1531" w:header="851" w:footer="851" w:gutter="0"/>
          <w:pgBorders>
            <w:top w:val="none" w:sz="0" w:space="0"/>
            <w:left w:val="none" w:sz="0" w:space="0"/>
            <w:bottom w:val="none" w:sz="0" w:space="0"/>
            <w:right w:val="none" w:sz="0" w:space="0"/>
          </w:pgBorders>
          <w:cols w:space="720" w:num="1"/>
          <w:docGrid w:linePitch="312" w:charSpace="0"/>
        </w:sectPr>
      </w:pPr>
    </w:p>
    <w:p>
      <w:pPr>
        <w:pStyle w:val="27"/>
        <w:jc w:val="center"/>
        <w:outlineLvl w:val="0"/>
        <w:rPr>
          <w:rFonts w:ascii="黑体" w:hAnsi="黑体" w:eastAsia="黑体"/>
          <w:snapToGrid w:val="0"/>
          <w:sz w:val="30"/>
          <w:szCs w:val="30"/>
        </w:rPr>
      </w:pPr>
      <w:r>
        <w:rPr>
          <w:rFonts w:hint="eastAsia" w:ascii="黑体" w:hAnsi="黑体" w:eastAsia="黑体"/>
          <w:snapToGrid w:val="0"/>
          <w:sz w:val="30"/>
          <w:szCs w:val="30"/>
        </w:rPr>
        <w:t>五、</w:t>
      </w:r>
      <w:bookmarkStart w:id="5" w:name="_Hlk54167917"/>
      <w:r>
        <w:rPr>
          <w:rFonts w:hint="eastAsia" w:ascii="黑体" w:hAnsi="黑体" w:eastAsia="黑体"/>
          <w:snapToGrid w:val="0"/>
          <w:sz w:val="30"/>
          <w:szCs w:val="30"/>
        </w:rPr>
        <w:t>环境保护措施监督检查清单</w:t>
      </w:r>
      <w:bookmarkEnd w:id="5"/>
    </w:p>
    <w:tbl>
      <w:tblPr>
        <w:tblStyle w:val="31"/>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778"/>
        <w:gridCol w:w="1077"/>
        <w:gridCol w:w="1214"/>
        <w:gridCol w:w="2062"/>
        <w:gridCol w:w="266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778" w:type="dxa"/>
            <w:tcBorders>
              <w:tl2br w:val="single" w:color="auto" w:sz="4" w:space="0"/>
            </w:tcBorders>
            <w:vAlign w:val="center"/>
          </w:tcPr>
          <w:p>
            <w:pPr>
              <w:adjustRightInd w:val="0"/>
              <w:snapToGrid w:val="0"/>
              <w:spacing w:line="360" w:lineRule="auto"/>
              <w:ind w:firstLine="840"/>
              <w:rPr>
                <w:color w:val="auto"/>
                <w:sz w:val="24"/>
                <w:szCs w:val="24"/>
              </w:rPr>
            </w:pPr>
            <w:r>
              <w:rPr>
                <w:color w:val="auto"/>
                <w:sz w:val="24"/>
                <w:szCs w:val="24"/>
              </w:rPr>
              <w:t>内容</w:t>
            </w:r>
          </w:p>
          <w:p>
            <w:pPr>
              <w:adjustRightInd w:val="0"/>
              <w:snapToGrid w:val="0"/>
              <w:spacing w:line="360" w:lineRule="auto"/>
              <w:rPr>
                <w:color w:val="auto"/>
                <w:sz w:val="24"/>
                <w:szCs w:val="24"/>
              </w:rPr>
            </w:pPr>
            <w:r>
              <w:rPr>
                <w:color w:val="auto"/>
                <w:sz w:val="24"/>
                <w:szCs w:val="24"/>
              </w:rPr>
              <w:t>要素</w:t>
            </w:r>
          </w:p>
        </w:tc>
        <w:tc>
          <w:tcPr>
            <w:tcW w:w="1077" w:type="dxa"/>
            <w:vAlign w:val="center"/>
          </w:tcPr>
          <w:p>
            <w:pPr>
              <w:adjustRightInd w:val="0"/>
              <w:snapToGrid w:val="0"/>
              <w:spacing w:line="360" w:lineRule="auto"/>
              <w:jc w:val="center"/>
              <w:rPr>
                <w:color w:val="auto"/>
                <w:sz w:val="24"/>
                <w:szCs w:val="24"/>
              </w:rPr>
            </w:pPr>
            <w:r>
              <w:rPr>
                <w:color w:val="auto"/>
                <w:sz w:val="24"/>
                <w:szCs w:val="24"/>
              </w:rPr>
              <w:t>排放口(编号、</w:t>
            </w:r>
          </w:p>
          <w:p>
            <w:pPr>
              <w:adjustRightInd w:val="0"/>
              <w:snapToGrid w:val="0"/>
              <w:spacing w:line="360" w:lineRule="auto"/>
              <w:jc w:val="center"/>
              <w:rPr>
                <w:color w:val="auto"/>
                <w:sz w:val="24"/>
                <w:szCs w:val="24"/>
              </w:rPr>
            </w:pPr>
            <w:r>
              <w:rPr>
                <w:color w:val="auto"/>
                <w:sz w:val="24"/>
                <w:szCs w:val="24"/>
              </w:rPr>
              <w:t>名称)/污染源</w:t>
            </w:r>
          </w:p>
        </w:tc>
        <w:tc>
          <w:tcPr>
            <w:tcW w:w="1214" w:type="dxa"/>
            <w:vAlign w:val="center"/>
          </w:tcPr>
          <w:p>
            <w:pPr>
              <w:adjustRightInd w:val="0"/>
              <w:snapToGrid w:val="0"/>
              <w:spacing w:line="360" w:lineRule="auto"/>
              <w:jc w:val="center"/>
              <w:rPr>
                <w:color w:val="auto"/>
                <w:sz w:val="24"/>
                <w:szCs w:val="24"/>
              </w:rPr>
            </w:pPr>
            <w:r>
              <w:rPr>
                <w:color w:val="auto"/>
                <w:sz w:val="24"/>
                <w:szCs w:val="24"/>
              </w:rPr>
              <w:t>污染物项目</w:t>
            </w:r>
          </w:p>
        </w:tc>
        <w:tc>
          <w:tcPr>
            <w:tcW w:w="2062" w:type="dxa"/>
            <w:vAlign w:val="center"/>
          </w:tcPr>
          <w:p>
            <w:pPr>
              <w:adjustRightInd w:val="0"/>
              <w:snapToGrid w:val="0"/>
              <w:spacing w:line="360" w:lineRule="auto"/>
              <w:jc w:val="center"/>
              <w:rPr>
                <w:color w:val="auto"/>
                <w:sz w:val="24"/>
                <w:szCs w:val="24"/>
              </w:rPr>
            </w:pPr>
            <w:r>
              <w:rPr>
                <w:color w:val="auto"/>
                <w:sz w:val="24"/>
                <w:szCs w:val="24"/>
              </w:rPr>
              <w:t>环境保护</w:t>
            </w:r>
          </w:p>
          <w:p>
            <w:pPr>
              <w:adjustRightInd w:val="0"/>
              <w:snapToGrid w:val="0"/>
              <w:spacing w:line="360" w:lineRule="auto"/>
              <w:jc w:val="center"/>
              <w:rPr>
                <w:color w:val="auto"/>
                <w:sz w:val="24"/>
                <w:szCs w:val="24"/>
              </w:rPr>
            </w:pPr>
            <w:r>
              <w:rPr>
                <w:color w:val="auto"/>
                <w:sz w:val="24"/>
                <w:szCs w:val="24"/>
              </w:rPr>
              <w:t>措施</w:t>
            </w:r>
          </w:p>
        </w:tc>
        <w:tc>
          <w:tcPr>
            <w:tcW w:w="2669" w:type="dxa"/>
            <w:vAlign w:val="center"/>
          </w:tcPr>
          <w:p>
            <w:pPr>
              <w:adjustRightInd w:val="0"/>
              <w:snapToGrid w:val="0"/>
              <w:spacing w:line="360" w:lineRule="auto"/>
              <w:jc w:val="center"/>
              <w:rPr>
                <w:color w:val="auto"/>
                <w:sz w:val="24"/>
                <w:szCs w:val="24"/>
              </w:rPr>
            </w:pPr>
            <w:r>
              <w:rPr>
                <w:color w:val="auto"/>
                <w:sz w:val="24"/>
                <w:szCs w:val="24"/>
              </w:rPr>
              <w:t>执行标准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778" w:type="dxa"/>
            <w:vAlign w:val="center"/>
          </w:tcPr>
          <w:p>
            <w:pPr>
              <w:adjustRightInd w:val="0"/>
              <w:snapToGrid w:val="0"/>
              <w:jc w:val="center"/>
              <w:rPr>
                <w:color w:val="auto"/>
                <w:sz w:val="24"/>
                <w:szCs w:val="24"/>
              </w:rPr>
            </w:pPr>
            <w:r>
              <w:rPr>
                <w:color w:val="auto"/>
                <w:sz w:val="24"/>
                <w:szCs w:val="24"/>
              </w:rPr>
              <w:t>大气环境</w:t>
            </w:r>
          </w:p>
        </w:tc>
        <w:tc>
          <w:tcPr>
            <w:tcW w:w="1077" w:type="dxa"/>
            <w:vAlign w:val="center"/>
          </w:tcPr>
          <w:p>
            <w:pPr>
              <w:adjustRightInd w:val="0"/>
              <w:snapToGrid w:val="0"/>
              <w:jc w:val="center"/>
              <w:rPr>
                <w:color w:val="auto"/>
                <w:sz w:val="24"/>
                <w:szCs w:val="24"/>
              </w:rPr>
            </w:pPr>
            <w:r>
              <w:rPr>
                <w:rFonts w:hint="eastAsia"/>
                <w:color w:val="auto"/>
                <w:sz w:val="24"/>
                <w:szCs w:val="24"/>
              </w:rPr>
              <w:t>无组织</w:t>
            </w:r>
          </w:p>
        </w:tc>
        <w:tc>
          <w:tcPr>
            <w:tcW w:w="1214" w:type="dxa"/>
            <w:vAlign w:val="center"/>
          </w:tcPr>
          <w:p>
            <w:pPr>
              <w:adjustRightInd w:val="0"/>
              <w:snapToGrid w:val="0"/>
              <w:jc w:val="center"/>
              <w:rPr>
                <w:rFonts w:hint="default" w:eastAsia="宋体"/>
                <w:color w:val="auto"/>
                <w:sz w:val="24"/>
                <w:szCs w:val="24"/>
                <w:lang w:val="en-US" w:eastAsia="zh-CN"/>
              </w:rPr>
            </w:pPr>
            <w:r>
              <w:rPr>
                <w:rFonts w:hint="eastAsia" w:ascii="Times New Roman" w:hAnsi="Times New Roman" w:eastAsia="宋体" w:cs="Times New Roman"/>
                <w:color w:val="auto"/>
                <w:kern w:val="2"/>
                <w:sz w:val="24"/>
                <w:szCs w:val="24"/>
                <w:lang w:val="en-US" w:eastAsia="zh-CN" w:bidi="ar-SA"/>
              </w:rPr>
              <w:t>VOCs、硫酸雾</w:t>
            </w:r>
          </w:p>
        </w:tc>
        <w:tc>
          <w:tcPr>
            <w:tcW w:w="2062" w:type="dxa"/>
            <w:vAlign w:val="center"/>
          </w:tcPr>
          <w:p>
            <w:pPr>
              <w:pStyle w:val="11"/>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危废暂存间设有通风窗，采用自然通风，避免挥发油气堆积。</w:t>
            </w:r>
          </w:p>
          <w:p>
            <w:pPr>
              <w:adjustRightInd w:val="0"/>
              <w:snapToGrid w:val="0"/>
              <w:jc w:val="center"/>
              <w:rPr>
                <w:color w:val="auto"/>
                <w:sz w:val="24"/>
                <w:szCs w:val="24"/>
              </w:rPr>
            </w:pPr>
          </w:p>
        </w:tc>
        <w:tc>
          <w:tcPr>
            <w:tcW w:w="2669" w:type="dxa"/>
            <w:vAlign w:val="center"/>
          </w:tcPr>
          <w:p>
            <w:pPr>
              <w:adjustRightInd w:val="0"/>
              <w:snapToGrid w:val="0"/>
              <w:jc w:val="center"/>
              <w:rPr>
                <w:rFonts w:hint="eastAsia" w:eastAsia="宋体"/>
                <w:color w:val="auto"/>
                <w:sz w:val="24"/>
                <w:szCs w:val="24"/>
                <w:lang w:eastAsia="zh-CN"/>
              </w:rPr>
            </w:pPr>
            <w:r>
              <w:rPr>
                <w:rFonts w:hint="eastAsia"/>
                <w:color w:val="auto"/>
                <w:sz w:val="24"/>
                <w:szCs w:val="24"/>
              </w:rPr>
              <w:t>无组织排放非甲烷总烃执行《大气污染物综合排放标准》（GB16297-1996）表2非甲烷总烃4mg/m</w:t>
            </w:r>
            <w:r>
              <w:rPr>
                <w:rFonts w:hint="eastAsia"/>
                <w:color w:val="auto"/>
                <w:sz w:val="24"/>
                <w:szCs w:val="24"/>
                <w:vertAlign w:val="superscript"/>
              </w:rPr>
              <w:t>3</w:t>
            </w:r>
            <w:r>
              <w:rPr>
                <w:rFonts w:hint="eastAsia"/>
                <w:color w:val="auto"/>
                <w:sz w:val="24"/>
                <w:szCs w:val="24"/>
              </w:rPr>
              <w:t>限值要求以及《挥发性有机物无组织排放控制标准》（GB37822-2019）中厂房外VOCs无组织特别排放限值监控点处1h平均浓度值6mg/m</w:t>
            </w:r>
            <w:r>
              <w:rPr>
                <w:rFonts w:hint="eastAsia"/>
                <w:color w:val="auto"/>
                <w:sz w:val="24"/>
                <w:szCs w:val="24"/>
                <w:vertAlign w:val="superscript"/>
              </w:rPr>
              <w:t>3</w:t>
            </w:r>
            <w:r>
              <w:rPr>
                <w:rFonts w:hint="eastAsia"/>
                <w:color w:val="auto"/>
                <w:sz w:val="24"/>
                <w:szCs w:val="24"/>
              </w:rPr>
              <w:t>和监控点处任意一次浓度值20mg/m</w:t>
            </w:r>
            <w:r>
              <w:rPr>
                <w:rFonts w:hint="eastAsia"/>
                <w:color w:val="auto"/>
                <w:sz w:val="24"/>
                <w:szCs w:val="24"/>
                <w:vertAlign w:val="superscript"/>
              </w:rPr>
              <w:t>3</w:t>
            </w:r>
            <w:r>
              <w:rPr>
                <w:rFonts w:hint="eastAsia"/>
                <w:color w:val="auto"/>
                <w:sz w:val="24"/>
                <w:szCs w:val="24"/>
              </w:rPr>
              <w:t>的要求</w:t>
            </w:r>
            <w:r>
              <w:rPr>
                <w:rFonts w:hint="eastAsia"/>
                <w:color w:val="auto"/>
                <w:sz w:val="24"/>
                <w:szCs w:val="24"/>
                <w:lang w:eastAsia="zh-CN"/>
              </w:rPr>
              <w:t>，</w:t>
            </w:r>
            <w:r>
              <w:rPr>
                <w:rFonts w:hint="eastAsia"/>
                <w:color w:val="auto"/>
                <w:sz w:val="24"/>
                <w:szCs w:val="24"/>
              </w:rPr>
              <w:t>硫酸雾执行《大气污染物综合排放标准》（GB16297-1996）表2无组织排放监控浓度限值1.2</w:t>
            </w:r>
            <w:r>
              <w:rPr>
                <w:color w:val="auto"/>
                <w:sz w:val="24"/>
                <w:szCs w:val="24"/>
              </w:rPr>
              <w:t>mg/m</w:t>
            </w:r>
            <w:r>
              <w:rPr>
                <w:color w:val="auto"/>
                <w:sz w:val="24"/>
                <w:szCs w:val="24"/>
                <w:vertAlign w:val="superscript"/>
              </w:rPr>
              <w:t>3</w:t>
            </w:r>
            <w:r>
              <w:rPr>
                <w:color w:val="auto"/>
                <w:sz w:val="24"/>
                <w:szCs w:val="24"/>
              </w:rPr>
              <w:t>的要求</w:t>
            </w:r>
            <w:r>
              <w:rPr>
                <w:rFonts w:hint="eastAsia"/>
                <w:color w:val="auto"/>
                <w:sz w:val="24"/>
                <w:szCs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778" w:type="dxa"/>
            <w:vAlign w:val="center"/>
          </w:tcPr>
          <w:p>
            <w:pPr>
              <w:adjustRightInd w:val="0"/>
              <w:snapToGrid w:val="0"/>
              <w:spacing w:line="360" w:lineRule="auto"/>
              <w:jc w:val="center"/>
              <w:rPr>
                <w:color w:val="auto"/>
                <w:sz w:val="24"/>
                <w:szCs w:val="24"/>
              </w:rPr>
            </w:pPr>
            <w:r>
              <w:rPr>
                <w:color w:val="auto"/>
                <w:sz w:val="24"/>
                <w:szCs w:val="24"/>
              </w:rPr>
              <w:t>地表水环境</w:t>
            </w:r>
          </w:p>
        </w:tc>
        <w:tc>
          <w:tcPr>
            <w:tcW w:w="1077" w:type="dxa"/>
            <w:vAlign w:val="center"/>
          </w:tcPr>
          <w:p>
            <w:pPr>
              <w:adjustRightInd w:val="0"/>
              <w:snapToGrid w:val="0"/>
              <w:spacing w:line="360" w:lineRule="auto"/>
              <w:jc w:val="center"/>
              <w:rPr>
                <w:color w:val="auto"/>
                <w:sz w:val="24"/>
                <w:szCs w:val="24"/>
              </w:rPr>
            </w:pPr>
            <w:r>
              <w:rPr>
                <w:rFonts w:hint="eastAsia"/>
                <w:color w:val="auto"/>
                <w:sz w:val="24"/>
                <w:szCs w:val="24"/>
              </w:rPr>
              <w:t>/</w:t>
            </w:r>
          </w:p>
        </w:tc>
        <w:tc>
          <w:tcPr>
            <w:tcW w:w="1214" w:type="dxa"/>
            <w:vAlign w:val="center"/>
          </w:tcPr>
          <w:p>
            <w:pPr>
              <w:adjustRightInd w:val="0"/>
              <w:snapToGrid w:val="0"/>
              <w:spacing w:line="360" w:lineRule="auto"/>
              <w:jc w:val="center"/>
              <w:rPr>
                <w:color w:val="auto"/>
                <w:sz w:val="24"/>
                <w:szCs w:val="24"/>
              </w:rPr>
            </w:pPr>
            <w:r>
              <w:rPr>
                <w:rFonts w:hint="eastAsia"/>
                <w:color w:val="auto"/>
                <w:sz w:val="24"/>
                <w:szCs w:val="24"/>
              </w:rPr>
              <w:t>/</w:t>
            </w:r>
          </w:p>
        </w:tc>
        <w:tc>
          <w:tcPr>
            <w:tcW w:w="2062" w:type="dxa"/>
            <w:vAlign w:val="center"/>
          </w:tcPr>
          <w:p>
            <w:pPr>
              <w:adjustRightInd w:val="0"/>
              <w:snapToGrid w:val="0"/>
              <w:spacing w:line="360" w:lineRule="auto"/>
              <w:jc w:val="center"/>
              <w:rPr>
                <w:color w:val="auto"/>
                <w:sz w:val="24"/>
                <w:szCs w:val="24"/>
              </w:rPr>
            </w:pPr>
            <w:r>
              <w:rPr>
                <w:rFonts w:hint="eastAsia"/>
                <w:color w:val="auto"/>
                <w:sz w:val="24"/>
                <w:szCs w:val="24"/>
              </w:rPr>
              <w:t>/</w:t>
            </w:r>
          </w:p>
        </w:tc>
        <w:tc>
          <w:tcPr>
            <w:tcW w:w="2669" w:type="dxa"/>
            <w:vAlign w:val="center"/>
          </w:tcPr>
          <w:p>
            <w:pPr>
              <w:adjustRightInd w:val="0"/>
              <w:snapToGrid w:val="0"/>
              <w:spacing w:line="360" w:lineRule="auto"/>
              <w:jc w:val="center"/>
              <w:rPr>
                <w:color w:val="auto"/>
                <w:sz w:val="24"/>
                <w:szCs w:val="24"/>
              </w:rPr>
            </w:pPr>
            <w:r>
              <w:rPr>
                <w:rFonts w:hint="eastAsia"/>
                <w:color w:val="auto"/>
                <w:sz w:val="24"/>
                <w:szCs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778" w:type="dxa"/>
            <w:vAlign w:val="center"/>
          </w:tcPr>
          <w:p>
            <w:pPr>
              <w:adjustRightInd w:val="0"/>
              <w:snapToGrid w:val="0"/>
              <w:jc w:val="center"/>
              <w:rPr>
                <w:color w:val="auto"/>
                <w:sz w:val="24"/>
                <w:szCs w:val="24"/>
              </w:rPr>
            </w:pPr>
            <w:r>
              <w:rPr>
                <w:color w:val="auto"/>
                <w:sz w:val="24"/>
                <w:szCs w:val="24"/>
              </w:rPr>
              <w:t>声环境</w:t>
            </w:r>
          </w:p>
        </w:tc>
        <w:tc>
          <w:tcPr>
            <w:tcW w:w="1077" w:type="dxa"/>
            <w:vAlign w:val="center"/>
          </w:tcPr>
          <w:p>
            <w:pPr>
              <w:adjustRightInd w:val="0"/>
              <w:snapToGrid w:val="0"/>
              <w:jc w:val="center"/>
              <w:rPr>
                <w:color w:val="auto"/>
                <w:sz w:val="24"/>
                <w:szCs w:val="24"/>
              </w:rPr>
            </w:pPr>
            <w:r>
              <w:rPr>
                <w:rFonts w:hint="eastAsia"/>
                <w:color w:val="auto"/>
                <w:sz w:val="24"/>
                <w:szCs w:val="24"/>
              </w:rPr>
              <w:t>/</w:t>
            </w:r>
          </w:p>
        </w:tc>
        <w:tc>
          <w:tcPr>
            <w:tcW w:w="1214" w:type="dxa"/>
            <w:vAlign w:val="center"/>
          </w:tcPr>
          <w:p>
            <w:pPr>
              <w:adjustRightInd w:val="0"/>
              <w:snapToGrid w:val="0"/>
              <w:jc w:val="center"/>
              <w:rPr>
                <w:color w:val="auto"/>
                <w:sz w:val="24"/>
                <w:szCs w:val="24"/>
              </w:rPr>
            </w:pPr>
            <w:r>
              <w:rPr>
                <w:rFonts w:hint="eastAsia"/>
                <w:color w:val="auto"/>
                <w:sz w:val="24"/>
                <w:szCs w:val="24"/>
              </w:rPr>
              <w:t>/</w:t>
            </w:r>
          </w:p>
        </w:tc>
        <w:tc>
          <w:tcPr>
            <w:tcW w:w="2062" w:type="dxa"/>
            <w:vAlign w:val="center"/>
          </w:tcPr>
          <w:p>
            <w:pPr>
              <w:adjustRightInd w:val="0"/>
              <w:snapToGrid w:val="0"/>
              <w:jc w:val="center"/>
              <w:rPr>
                <w:color w:val="auto"/>
                <w:sz w:val="24"/>
                <w:szCs w:val="24"/>
              </w:rPr>
            </w:pPr>
            <w:r>
              <w:rPr>
                <w:rFonts w:hint="eastAsia" w:ascii="宋体" w:hAnsi="宋体"/>
                <w:color w:val="auto"/>
                <w:sz w:val="24"/>
                <w:szCs w:val="24"/>
              </w:rPr>
              <w:t>合理选取机械、车辆设备类型，加强机械及车辆的维护、保养，减少噪声的产生：合理规划收集车辆运输路线，合理控制车速，禁止随意鸣笛</w:t>
            </w:r>
          </w:p>
        </w:tc>
        <w:tc>
          <w:tcPr>
            <w:tcW w:w="2669" w:type="dxa"/>
            <w:vAlign w:val="center"/>
          </w:tcPr>
          <w:p>
            <w:pPr>
              <w:adjustRightInd w:val="0"/>
              <w:snapToGrid w:val="0"/>
              <w:jc w:val="center"/>
              <w:rPr>
                <w:color w:val="auto"/>
                <w:sz w:val="24"/>
                <w:szCs w:val="24"/>
              </w:rPr>
            </w:pPr>
            <w:r>
              <w:rPr>
                <w:color w:val="auto"/>
                <w:sz w:val="24"/>
                <w:szCs w:val="24"/>
              </w:rPr>
              <w:t>《工业企业厂界环境噪声排放标准》（GB12348-2008）中2类标准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778" w:type="dxa"/>
            <w:vAlign w:val="center"/>
          </w:tcPr>
          <w:p>
            <w:pPr>
              <w:adjustRightInd w:val="0"/>
              <w:snapToGrid w:val="0"/>
              <w:spacing w:line="360" w:lineRule="auto"/>
              <w:jc w:val="center"/>
              <w:rPr>
                <w:color w:val="auto"/>
                <w:sz w:val="24"/>
                <w:szCs w:val="24"/>
              </w:rPr>
            </w:pPr>
            <w:r>
              <w:rPr>
                <w:color w:val="auto"/>
                <w:sz w:val="24"/>
                <w:szCs w:val="24"/>
              </w:rPr>
              <w:t>电磁辐射</w:t>
            </w:r>
          </w:p>
        </w:tc>
        <w:tc>
          <w:tcPr>
            <w:tcW w:w="7022" w:type="dxa"/>
            <w:gridSpan w:val="4"/>
            <w:vAlign w:val="center"/>
          </w:tcPr>
          <w:p>
            <w:pPr>
              <w:adjustRightInd w:val="0"/>
              <w:snapToGrid w:val="0"/>
              <w:spacing w:line="360" w:lineRule="auto"/>
              <w:jc w:val="center"/>
              <w:rPr>
                <w:color w:val="auto"/>
                <w:sz w:val="24"/>
                <w:szCs w:val="24"/>
              </w:rPr>
            </w:pPr>
            <w:r>
              <w:rPr>
                <w:rFonts w:hint="eastAsia"/>
                <w:color w:val="auto"/>
                <w:sz w:val="24"/>
                <w:szCs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778" w:type="dxa"/>
            <w:vMerge w:val="restart"/>
            <w:vAlign w:val="center"/>
          </w:tcPr>
          <w:p>
            <w:pPr>
              <w:adjustRightInd w:val="0"/>
              <w:snapToGrid w:val="0"/>
              <w:spacing w:line="360" w:lineRule="auto"/>
              <w:jc w:val="center"/>
              <w:rPr>
                <w:color w:val="auto"/>
                <w:sz w:val="24"/>
                <w:szCs w:val="24"/>
              </w:rPr>
            </w:pPr>
            <w:r>
              <w:rPr>
                <w:color w:val="auto"/>
                <w:sz w:val="24"/>
                <w:szCs w:val="24"/>
              </w:rPr>
              <w:t>固体废物</w:t>
            </w:r>
          </w:p>
        </w:tc>
        <w:tc>
          <w:tcPr>
            <w:tcW w:w="7022" w:type="dxa"/>
            <w:gridSpan w:val="4"/>
            <w:vAlign w:val="center"/>
          </w:tcPr>
          <w:p>
            <w:pPr>
              <w:pStyle w:val="11"/>
              <w:snapToGrid w:val="0"/>
              <w:jc w:val="center"/>
              <w:rPr>
                <w:color w:val="auto"/>
                <w:sz w:val="24"/>
                <w:szCs w:val="24"/>
              </w:rPr>
            </w:pPr>
            <w:r>
              <w:rPr>
                <w:rFonts w:hint="eastAsia" w:ascii="宋体" w:hAnsi="宋体"/>
                <w:snapToGrid w:val="0"/>
                <w:color w:val="auto"/>
                <w:sz w:val="24"/>
                <w:szCs w:val="24"/>
              </w:rPr>
              <w:t>运营期应加强危险废物管理，及时清运，储存周期最长不超过1年（废铅蓄电池不大于90天）</w:t>
            </w:r>
            <w:r>
              <w:rPr>
                <w:rFonts w:ascii="宋体" w:hAnsi="宋体"/>
                <w:snapToGrid w:val="0"/>
                <w:color w:val="auto"/>
                <w:sz w:val="24"/>
                <w:szCs w:val="24"/>
              </w:rPr>
              <w:t>；加强废机油桶的检修，严禁使用破损或密封性差的容器盛装废机油</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778" w:type="dxa"/>
            <w:vMerge w:val="continue"/>
            <w:vAlign w:val="center"/>
          </w:tcPr>
          <w:p>
            <w:pPr>
              <w:adjustRightInd w:val="0"/>
              <w:snapToGrid w:val="0"/>
              <w:spacing w:line="360" w:lineRule="auto"/>
              <w:jc w:val="center"/>
              <w:rPr>
                <w:color w:val="auto"/>
                <w:sz w:val="24"/>
                <w:szCs w:val="24"/>
              </w:rPr>
            </w:pPr>
          </w:p>
        </w:tc>
        <w:tc>
          <w:tcPr>
            <w:tcW w:w="7022" w:type="dxa"/>
            <w:gridSpan w:val="4"/>
            <w:vAlign w:val="center"/>
          </w:tcPr>
          <w:p>
            <w:pPr>
              <w:pStyle w:val="11"/>
              <w:snapToGrid w:val="0"/>
              <w:jc w:val="center"/>
              <w:rPr>
                <w:rFonts w:hint="eastAsia"/>
                <w:color w:val="auto"/>
                <w:sz w:val="24"/>
                <w:szCs w:val="24"/>
              </w:rPr>
            </w:pPr>
            <w:r>
              <w:rPr>
                <w:rFonts w:hint="eastAsia"/>
                <w:color w:val="auto"/>
                <w:sz w:val="24"/>
                <w:szCs w:val="24"/>
              </w:rPr>
              <w:t>含油（液）抹布，废物代码为HW49（900-041-49）。根据《国家危险废物名录（2021年版）》中危险废物豁免管理清单，含油抹布属于豁免，废弃的含油抹布混入生活垃圾，全过程不按危险废物管理，收集后环卫部门统一清运；含液抹布不属于豁免。渗滤液由危废暂存库的事故收集井进行回收并委托有相应危废处置资质的单位拉运处置。按照《危险废物贮存污染控制标准》（GB18957-20</w:t>
            </w:r>
            <w:r>
              <w:rPr>
                <w:color w:val="auto"/>
                <w:sz w:val="24"/>
                <w:szCs w:val="24"/>
              </w:rPr>
              <w:t>23</w:t>
            </w:r>
            <w:r>
              <w:rPr>
                <w:rFonts w:hint="eastAsia"/>
                <w:color w:val="auto"/>
                <w:sz w:val="24"/>
                <w:szCs w:val="24"/>
              </w:rPr>
              <w:t>）和《危险废物储存 贮存 运输技术规范》（HJ2025-2012）中相关要求进行收集、贮存，并委托有相应危废处置资质的单位拉运处置。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778" w:type="dxa"/>
            <w:vAlign w:val="center"/>
          </w:tcPr>
          <w:p>
            <w:pPr>
              <w:adjustRightInd w:val="0"/>
              <w:snapToGrid w:val="0"/>
              <w:jc w:val="center"/>
              <w:rPr>
                <w:color w:val="auto"/>
                <w:sz w:val="24"/>
                <w:szCs w:val="24"/>
              </w:rPr>
            </w:pPr>
            <w:r>
              <w:rPr>
                <w:color w:val="auto"/>
                <w:sz w:val="24"/>
                <w:szCs w:val="24"/>
              </w:rPr>
              <w:t>土壤及地下水</w:t>
            </w:r>
          </w:p>
          <w:p>
            <w:pPr>
              <w:adjustRightInd w:val="0"/>
              <w:snapToGrid w:val="0"/>
              <w:jc w:val="center"/>
              <w:rPr>
                <w:color w:val="auto"/>
                <w:sz w:val="24"/>
                <w:szCs w:val="24"/>
              </w:rPr>
            </w:pPr>
            <w:r>
              <w:rPr>
                <w:color w:val="auto"/>
                <w:sz w:val="24"/>
                <w:szCs w:val="24"/>
              </w:rPr>
              <w:t>污染防治措施</w:t>
            </w:r>
          </w:p>
        </w:tc>
        <w:tc>
          <w:tcPr>
            <w:tcW w:w="7022" w:type="dxa"/>
            <w:gridSpan w:val="4"/>
            <w:vAlign w:val="center"/>
          </w:tcPr>
          <w:p>
            <w:pPr>
              <w:widowControl/>
              <w:adjustRightInd w:val="0"/>
              <w:snapToGrid w:val="0"/>
              <w:rPr>
                <w:color w:val="auto"/>
                <w:sz w:val="24"/>
                <w:szCs w:val="24"/>
              </w:rPr>
            </w:pPr>
            <w:r>
              <w:rPr>
                <w:rFonts w:hint="eastAsia"/>
                <w:color w:val="auto"/>
                <w:sz w:val="24"/>
                <w:szCs w:val="24"/>
              </w:rPr>
              <w:t>本项目危废暂存间为集装箱式，底板采用100mm钢板并用</w:t>
            </w:r>
            <w:r>
              <w:rPr>
                <w:rFonts w:hint="eastAsia"/>
                <w:color w:val="auto"/>
                <w:sz w:val="24"/>
                <w:szCs w:val="24"/>
                <w:lang w:eastAsia="zh-CN"/>
              </w:rPr>
              <w:t>环氧树脂</w:t>
            </w:r>
            <w:r>
              <w:rPr>
                <w:rFonts w:hint="eastAsia"/>
                <w:color w:val="auto"/>
                <w:sz w:val="24"/>
                <w:szCs w:val="24"/>
              </w:rPr>
              <w:t>胶泥灌封，集装箱由固定滑轮支撑，箱体处于悬空状态，集装箱下设C30混凝土硬化地面，集装箱渗透系数≤10</w:t>
            </w:r>
            <w:r>
              <w:rPr>
                <w:rFonts w:hint="eastAsia"/>
                <w:color w:val="auto"/>
                <w:sz w:val="24"/>
                <w:szCs w:val="24"/>
                <w:vertAlign w:val="superscript"/>
              </w:rPr>
              <w:t>-10</w:t>
            </w:r>
            <w:r>
              <w:rPr>
                <w:rFonts w:hint="eastAsia"/>
                <w:color w:val="auto"/>
                <w:sz w:val="24"/>
                <w:szCs w:val="24"/>
              </w:rPr>
              <w:t>cm/s。</w:t>
            </w:r>
            <w:r>
              <w:rPr>
                <w:rFonts w:hint="eastAsia" w:cs="方正楷体_GBK"/>
                <w:color w:val="auto"/>
                <w:sz w:val="24"/>
                <w:szCs w:val="24"/>
              </w:rPr>
              <w:t>在废铅蓄电池存储区域设置0</w:t>
            </w:r>
            <w:r>
              <w:rPr>
                <w:rFonts w:cs="方正楷体_GBK"/>
                <w:color w:val="auto"/>
                <w:sz w:val="24"/>
                <w:szCs w:val="24"/>
              </w:rPr>
              <w:t>.1</w:t>
            </w:r>
            <w:r>
              <w:rPr>
                <w:rFonts w:hint="eastAsia" w:cs="方正楷体_GBK"/>
                <w:color w:val="auto"/>
                <w:sz w:val="24"/>
                <w:szCs w:val="24"/>
              </w:rPr>
              <w:t>m围堰（围堰内容积0</w:t>
            </w:r>
            <w:r>
              <w:rPr>
                <w:rFonts w:cs="方正楷体_GBK"/>
                <w:color w:val="auto"/>
                <w:sz w:val="24"/>
                <w:szCs w:val="24"/>
              </w:rPr>
              <w:t>.2</w:t>
            </w:r>
            <w:r>
              <w:rPr>
                <w:rFonts w:hint="eastAsia" w:cs="方正楷体_GBK"/>
                <w:color w:val="auto"/>
                <w:sz w:val="24"/>
                <w:szCs w:val="24"/>
              </w:rPr>
              <w:t>m³），作为渗滤液收集</w:t>
            </w:r>
            <w:r>
              <w:rPr>
                <w:rFonts w:hint="eastAsia" w:ascii="Times New Roman" w:hAnsi="Times New Roman" w:eastAsia="宋体" w:cs="方正楷体_GBK"/>
                <w:color w:val="auto"/>
                <w:sz w:val="24"/>
                <w:szCs w:val="24"/>
              </w:rPr>
              <w:t>设施。在废机油存储区域设置0.1m围堰（围堰内容积0.2m³）作为液体泄漏堵截设施，破损电池放入加盖耐腐蚀的箱子存放。</w:t>
            </w:r>
            <w:r>
              <w:rPr>
                <w:rFonts w:hint="eastAsia" w:ascii="Times New Roman" w:hAnsi="Times New Roman" w:eastAsia="宋体" w:cs="方正楷体_GBK"/>
                <w:color w:val="auto"/>
                <w:sz w:val="24"/>
                <w:szCs w:val="24"/>
                <w:lang w:val="en-US" w:eastAsia="zh-CN"/>
              </w:rPr>
              <w:t>本环评要求在非铅蓄电池及废机油存储区各放置一个备用铁桶，作为渗滤液的收集装置，发生大量泄露时，将泄漏液体采用油泵入备用铁桶，交由有资质单位进行处理</w:t>
            </w:r>
            <w:r>
              <w:rPr>
                <w:rFonts w:hint="eastAsia" w:eastAsia="宋体" w:cs="方正楷体_GBK"/>
                <w:color w:val="auto"/>
                <w:sz w:val="24"/>
                <w:szCs w:val="24"/>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778" w:type="dxa"/>
            <w:vAlign w:val="center"/>
          </w:tcPr>
          <w:p>
            <w:pPr>
              <w:adjustRightInd w:val="0"/>
              <w:snapToGrid w:val="0"/>
              <w:spacing w:line="360" w:lineRule="auto"/>
              <w:jc w:val="center"/>
              <w:rPr>
                <w:color w:val="auto"/>
                <w:sz w:val="24"/>
                <w:szCs w:val="24"/>
              </w:rPr>
            </w:pPr>
            <w:r>
              <w:rPr>
                <w:color w:val="auto"/>
                <w:sz w:val="24"/>
                <w:szCs w:val="24"/>
              </w:rPr>
              <w:t>生态保护措施</w:t>
            </w:r>
          </w:p>
        </w:tc>
        <w:tc>
          <w:tcPr>
            <w:tcW w:w="7022" w:type="dxa"/>
            <w:gridSpan w:val="4"/>
            <w:vAlign w:val="center"/>
          </w:tcPr>
          <w:p>
            <w:pPr>
              <w:adjustRightInd w:val="0"/>
              <w:snapToGrid w:val="0"/>
              <w:spacing w:line="360" w:lineRule="auto"/>
              <w:jc w:val="center"/>
              <w:rPr>
                <w:color w:val="auto"/>
                <w:sz w:val="24"/>
                <w:szCs w:val="24"/>
              </w:rPr>
            </w:pPr>
            <w:r>
              <w:rPr>
                <w:rFonts w:hint="eastAsia"/>
                <w:color w:val="auto"/>
                <w:sz w:val="24"/>
                <w:szCs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778" w:type="dxa"/>
            <w:vAlign w:val="center"/>
          </w:tcPr>
          <w:p>
            <w:pPr>
              <w:adjustRightInd w:val="0"/>
              <w:snapToGrid w:val="0"/>
              <w:spacing w:line="360" w:lineRule="auto"/>
              <w:jc w:val="center"/>
              <w:rPr>
                <w:color w:val="auto"/>
                <w:spacing w:val="-8"/>
                <w:sz w:val="24"/>
                <w:szCs w:val="24"/>
              </w:rPr>
            </w:pPr>
            <w:r>
              <w:rPr>
                <w:color w:val="auto"/>
                <w:spacing w:val="-8"/>
                <w:sz w:val="24"/>
                <w:szCs w:val="24"/>
              </w:rPr>
              <w:t>环境风险</w:t>
            </w:r>
          </w:p>
          <w:p>
            <w:pPr>
              <w:adjustRightInd w:val="0"/>
              <w:snapToGrid w:val="0"/>
              <w:spacing w:line="360" w:lineRule="auto"/>
              <w:jc w:val="center"/>
              <w:rPr>
                <w:color w:val="auto"/>
                <w:spacing w:val="-8"/>
                <w:sz w:val="24"/>
                <w:szCs w:val="24"/>
              </w:rPr>
            </w:pPr>
            <w:r>
              <w:rPr>
                <w:color w:val="auto"/>
                <w:spacing w:val="-8"/>
                <w:sz w:val="24"/>
                <w:szCs w:val="24"/>
              </w:rPr>
              <w:t>防范措施</w:t>
            </w:r>
          </w:p>
        </w:tc>
        <w:tc>
          <w:tcPr>
            <w:tcW w:w="7022" w:type="dxa"/>
            <w:gridSpan w:val="4"/>
            <w:vAlign w:val="center"/>
          </w:tcPr>
          <w:p>
            <w:pPr>
              <w:widowControl/>
              <w:adjustRightInd w:val="0"/>
              <w:snapToGrid w:val="0"/>
              <w:rPr>
                <w:rFonts w:hint="eastAsia" w:ascii="Times New Roman" w:hAnsi="Times New Roman" w:eastAsia="宋体" w:cs="方正楷体_GBK"/>
                <w:color w:val="auto"/>
                <w:kern w:val="0"/>
                <w:sz w:val="24"/>
                <w:szCs w:val="24"/>
                <w:lang w:val="en-US" w:eastAsia="zh-CN" w:bidi="ar-SA"/>
              </w:rPr>
            </w:pPr>
            <w:r>
              <w:rPr>
                <w:rFonts w:hint="eastAsia"/>
                <w:color w:val="auto"/>
              </w:rPr>
              <w:t>1</w:t>
            </w:r>
            <w:r>
              <w:rPr>
                <w:rFonts w:hint="eastAsia" w:ascii="Times New Roman" w:hAnsi="Times New Roman" w:eastAsia="宋体" w:cs="方正楷体_GBK"/>
                <w:color w:val="auto"/>
                <w:kern w:val="0"/>
                <w:sz w:val="24"/>
                <w:szCs w:val="24"/>
                <w:lang w:val="en-US" w:eastAsia="zh-CN" w:bidi="ar-SA"/>
              </w:rPr>
              <w:t>、建设符合国家相关规范（如防风、防晒、防雨、防漏、防渗、防腐）；</w:t>
            </w:r>
          </w:p>
          <w:p>
            <w:pPr>
              <w:widowControl/>
              <w:adjustRightInd w:val="0"/>
              <w:snapToGrid w:val="0"/>
              <w:rPr>
                <w:rFonts w:hint="eastAsia" w:ascii="Times New Roman" w:hAnsi="Times New Roman" w:eastAsia="宋体" w:cs="方正楷体_GBK"/>
                <w:color w:val="auto"/>
                <w:kern w:val="0"/>
                <w:sz w:val="24"/>
                <w:szCs w:val="24"/>
                <w:lang w:val="en-US" w:eastAsia="zh-CN" w:bidi="ar-SA"/>
              </w:rPr>
            </w:pPr>
            <w:r>
              <w:rPr>
                <w:rFonts w:hint="eastAsia" w:ascii="Times New Roman" w:hAnsi="Times New Roman" w:eastAsia="宋体" w:cs="方正楷体_GBK"/>
                <w:color w:val="auto"/>
                <w:kern w:val="0"/>
                <w:sz w:val="24"/>
                <w:szCs w:val="24"/>
                <w:lang w:val="en-US" w:eastAsia="zh-CN" w:bidi="ar-SA"/>
              </w:rPr>
              <w:t>2、根据《危险废物收集 贮存 运输技术规范》（HJ2025-2012）相关管理规定转运；</w:t>
            </w:r>
          </w:p>
          <w:p>
            <w:pPr>
              <w:pStyle w:val="12"/>
              <w:rPr>
                <w:rFonts w:hint="eastAsia" w:eastAsia="宋体"/>
                <w:color w:val="auto"/>
                <w:lang w:val="en-US" w:eastAsia="zh-CN"/>
              </w:rPr>
            </w:pPr>
            <w:r>
              <w:rPr>
                <w:rFonts w:hint="eastAsia" w:cs="Times New Roman"/>
                <w:color w:val="auto"/>
                <w:sz w:val="24"/>
                <w:szCs w:val="24"/>
                <w:lang w:val="en-US" w:eastAsia="zh-CN"/>
              </w:rPr>
              <w:t>3、</w:t>
            </w:r>
            <w:r>
              <w:rPr>
                <w:rFonts w:hint="eastAsia" w:cs="方正楷体_GBK"/>
                <w:color w:val="auto"/>
                <w:sz w:val="24"/>
                <w:szCs w:val="24"/>
              </w:rPr>
              <w:t>在废铅蓄电池存储区域设置0</w:t>
            </w:r>
            <w:r>
              <w:rPr>
                <w:rFonts w:cs="方正楷体_GBK"/>
                <w:color w:val="auto"/>
                <w:sz w:val="24"/>
                <w:szCs w:val="24"/>
              </w:rPr>
              <w:t>.1</w:t>
            </w:r>
            <w:r>
              <w:rPr>
                <w:rFonts w:hint="eastAsia" w:cs="方正楷体_GBK"/>
                <w:color w:val="auto"/>
                <w:sz w:val="24"/>
                <w:szCs w:val="24"/>
              </w:rPr>
              <w:t>m围堰（围堰内容积0</w:t>
            </w:r>
            <w:r>
              <w:rPr>
                <w:rFonts w:cs="方正楷体_GBK"/>
                <w:color w:val="auto"/>
                <w:sz w:val="24"/>
                <w:szCs w:val="24"/>
              </w:rPr>
              <w:t>.2</w:t>
            </w:r>
            <w:r>
              <w:rPr>
                <w:rFonts w:hint="eastAsia" w:cs="方正楷体_GBK"/>
                <w:color w:val="auto"/>
                <w:sz w:val="24"/>
                <w:szCs w:val="24"/>
              </w:rPr>
              <w:t>m³），作为渗滤液收集</w:t>
            </w:r>
            <w:r>
              <w:rPr>
                <w:rFonts w:hint="eastAsia" w:ascii="Times New Roman" w:hAnsi="Times New Roman" w:eastAsia="宋体" w:cs="方正楷体_GBK"/>
                <w:color w:val="auto"/>
                <w:sz w:val="24"/>
                <w:szCs w:val="24"/>
              </w:rPr>
              <w:t>设施。在废机油存储区域设置0.1m围堰（围堰内容积0.2m³）作为液体泄漏堵截设施，破损电池放入加盖耐腐蚀的箱子存放。</w:t>
            </w:r>
            <w:r>
              <w:rPr>
                <w:rFonts w:hint="eastAsia" w:ascii="Times New Roman" w:hAnsi="Times New Roman" w:eastAsia="宋体" w:cs="方正楷体_GBK"/>
                <w:color w:val="auto"/>
                <w:sz w:val="24"/>
                <w:szCs w:val="24"/>
                <w:lang w:val="en-US" w:eastAsia="zh-CN"/>
              </w:rPr>
              <w:t>本环评要求在非铅蓄电池及废机油存储区各放置一个备用铁桶，作为渗滤液的收集装置，发生大量泄露时，将泄漏液体采用油泵入备用铁桶，交由有资质单位进行处理</w:t>
            </w:r>
            <w:r>
              <w:rPr>
                <w:rFonts w:hint="eastAsia" w:eastAsia="宋体" w:cs="方正楷体_GBK"/>
                <w:color w:val="auto"/>
                <w:sz w:val="24"/>
                <w:szCs w:val="24"/>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778" w:type="dxa"/>
            <w:vAlign w:val="center"/>
          </w:tcPr>
          <w:p>
            <w:pPr>
              <w:adjustRightInd w:val="0"/>
              <w:snapToGrid w:val="0"/>
              <w:spacing w:line="360" w:lineRule="auto"/>
              <w:jc w:val="center"/>
              <w:rPr>
                <w:color w:val="auto"/>
                <w:spacing w:val="-8"/>
                <w:sz w:val="24"/>
                <w:szCs w:val="24"/>
              </w:rPr>
            </w:pPr>
            <w:r>
              <w:rPr>
                <w:color w:val="auto"/>
                <w:spacing w:val="-8"/>
                <w:sz w:val="24"/>
                <w:szCs w:val="24"/>
              </w:rPr>
              <w:t>其他环境</w:t>
            </w:r>
          </w:p>
          <w:p>
            <w:pPr>
              <w:adjustRightInd w:val="0"/>
              <w:snapToGrid w:val="0"/>
              <w:spacing w:line="360" w:lineRule="auto"/>
              <w:jc w:val="center"/>
              <w:rPr>
                <w:color w:val="auto"/>
                <w:spacing w:val="-8"/>
                <w:sz w:val="24"/>
                <w:szCs w:val="24"/>
              </w:rPr>
            </w:pPr>
            <w:r>
              <w:rPr>
                <w:color w:val="auto"/>
                <w:spacing w:val="-8"/>
                <w:sz w:val="24"/>
                <w:szCs w:val="24"/>
              </w:rPr>
              <w:t>管理要求</w:t>
            </w:r>
          </w:p>
        </w:tc>
        <w:tc>
          <w:tcPr>
            <w:tcW w:w="7022" w:type="dxa"/>
            <w:gridSpan w:val="4"/>
            <w:vAlign w:val="center"/>
          </w:tcPr>
          <w:p>
            <w:pPr>
              <w:keepNext w:val="0"/>
              <w:keepLines w:val="0"/>
              <w:pageBreakBefore w:val="0"/>
              <w:widowControl/>
              <w:kinsoku/>
              <w:wordWrap/>
              <w:overflowPunct/>
              <w:topLinePunct w:val="0"/>
              <w:bidi w:val="0"/>
              <w:adjustRightInd w:val="0"/>
              <w:snapToGrid w:val="0"/>
              <w:spacing w:line="240" w:lineRule="auto"/>
              <w:ind w:firstLine="0" w:firstLineChars="0"/>
              <w:jc w:val="left"/>
              <w:textAlignment w:val="auto"/>
              <w:rPr>
                <w:rFonts w:hint="eastAsia" w:eastAsia="宋体"/>
                <w:color w:val="auto"/>
                <w:sz w:val="24"/>
                <w:szCs w:val="24"/>
              </w:rPr>
            </w:pPr>
            <w:r>
              <w:rPr>
                <w:rFonts w:hint="eastAsia" w:eastAsia="宋体"/>
                <w:color w:val="auto"/>
                <w:sz w:val="24"/>
                <w:szCs w:val="24"/>
              </w:rPr>
              <w:t>根据《危险废物管理计划和管理台账制定技术导则》（HJ1259—2022）本项目危险废物产生量小于10t且未纳入危险废物环境重点监管单位，属于危险废物登记管理。</w:t>
            </w:r>
          </w:p>
          <w:p>
            <w:pPr>
              <w:keepNext w:val="0"/>
              <w:keepLines w:val="0"/>
              <w:pageBreakBefore w:val="0"/>
              <w:widowControl/>
              <w:kinsoku/>
              <w:wordWrap/>
              <w:overflowPunct/>
              <w:topLinePunct w:val="0"/>
              <w:bidi w:val="0"/>
              <w:adjustRightInd w:val="0"/>
              <w:snapToGrid w:val="0"/>
              <w:spacing w:line="240" w:lineRule="auto"/>
              <w:ind w:firstLine="0" w:firstLineChars="0"/>
              <w:jc w:val="left"/>
              <w:textAlignment w:val="auto"/>
              <w:rPr>
                <w:rFonts w:hint="eastAsia" w:ascii="Times New Roman" w:hAnsi="Times New Roman" w:eastAsia="宋体" w:cs="Times New Roman"/>
                <w:color w:val="auto"/>
                <w:sz w:val="24"/>
              </w:rPr>
            </w:pPr>
            <w:r>
              <w:rPr>
                <w:rFonts w:hint="eastAsia" w:eastAsia="宋体"/>
                <w:color w:val="auto"/>
                <w:sz w:val="24"/>
                <w:szCs w:val="24"/>
                <w:lang w:val="en-US" w:eastAsia="zh-CN"/>
              </w:rPr>
              <w:t>企业应</w:t>
            </w:r>
            <w:r>
              <w:rPr>
                <w:rFonts w:hint="eastAsia" w:eastAsia="宋体"/>
                <w:color w:val="auto"/>
                <w:sz w:val="24"/>
                <w:szCs w:val="24"/>
              </w:rPr>
              <w:t>制定转运及贮存相关制度，</w:t>
            </w:r>
            <w:r>
              <w:rPr>
                <w:rFonts w:hint="eastAsia"/>
                <w:color w:val="auto"/>
                <w:sz w:val="24"/>
              </w:rPr>
              <w:t>每年年初在固废平台进行危险废物管理计划制定及备案，对于危废转运过程中存在的变更，可以做到及时变更并备案；对于危险废物指定有危险废物管理台账，现场库房按照危废管理指定有入库、出库台账；年底在固废平台及</w:t>
            </w:r>
            <w:r>
              <w:rPr>
                <w:rFonts w:hint="eastAsia" w:ascii="Times New Roman" w:hAnsi="Times New Roman" w:eastAsia="宋体" w:cs="Times New Roman"/>
                <w:color w:val="auto"/>
                <w:sz w:val="24"/>
              </w:rPr>
              <w:t>时对为危险废物进行申报。根据《危险废物管理计划和管理台账制定技术导则》（HJ1259—2022），本项目</w:t>
            </w:r>
            <w:r>
              <w:rPr>
                <w:rFonts w:hint="eastAsia" w:ascii="Times New Roman" w:hAnsi="Times New Roman" w:eastAsia="宋体" w:cs="Times New Roman"/>
                <w:color w:val="auto"/>
                <w:sz w:val="24"/>
                <w:lang w:val="en-US" w:eastAsia="zh-CN"/>
              </w:rPr>
              <w:t>危险废物年转运量</w:t>
            </w:r>
            <w:r>
              <w:rPr>
                <w:rFonts w:hint="eastAsia" w:ascii="Times New Roman" w:hAnsi="Times New Roman" w:eastAsia="宋体" w:cs="Times New Roman"/>
                <w:color w:val="auto"/>
                <w:sz w:val="24"/>
              </w:rPr>
              <w:t>＜10t，属于危险废物登记管理单位。</w:t>
            </w:r>
          </w:p>
          <w:p>
            <w:pPr>
              <w:keepNext w:val="0"/>
              <w:keepLines w:val="0"/>
              <w:pageBreakBefore w:val="0"/>
              <w:widowControl/>
              <w:kinsoku/>
              <w:wordWrap/>
              <w:overflowPunct/>
              <w:topLinePunct w:val="0"/>
              <w:autoSpaceDE w:val="0"/>
              <w:autoSpaceDN w:val="0"/>
              <w:bidi w:val="0"/>
              <w:spacing w:line="240" w:lineRule="auto"/>
              <w:ind w:firstLine="0" w:firstLineChars="0"/>
              <w:jc w:val="left"/>
              <w:textAlignment w:val="auto"/>
              <w:rPr>
                <w:color w:val="auto"/>
              </w:rPr>
            </w:pPr>
            <w:r>
              <w:rPr>
                <w:rFonts w:hint="eastAsia" w:ascii="Times New Roman" w:hAnsi="Times New Roman" w:eastAsia="宋体" w:cs="Times New Roman"/>
                <w:color w:val="auto"/>
                <w:sz w:val="24"/>
                <w:lang w:val="en-US" w:eastAsia="zh-CN"/>
              </w:rPr>
              <w:t>为防止危废暂存间随意移动造成废机油等泄露，本项目危废暂存间禁止随意在厂区内移动。</w:t>
            </w:r>
          </w:p>
        </w:tc>
      </w:tr>
    </w:tbl>
    <w:p>
      <w:pPr>
        <w:pStyle w:val="27"/>
        <w:jc w:val="both"/>
        <w:outlineLvl w:val="0"/>
        <w:rPr>
          <w:snapToGrid w:val="0"/>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pPr>
        <w:pStyle w:val="27"/>
        <w:jc w:val="center"/>
        <w:outlineLvl w:val="0"/>
        <w:rPr>
          <w:rFonts w:ascii="黑体" w:hAnsi="黑体" w:eastAsia="黑体"/>
          <w:snapToGrid w:val="0"/>
          <w:sz w:val="30"/>
          <w:szCs w:val="30"/>
        </w:rPr>
      </w:pPr>
      <w:r>
        <w:rPr>
          <w:rFonts w:hint="eastAsia" w:ascii="黑体" w:hAnsi="黑体" w:eastAsia="黑体"/>
          <w:snapToGrid w:val="0"/>
          <w:sz w:val="30"/>
          <w:szCs w:val="30"/>
        </w:rPr>
        <w:t>六、结论</w:t>
      </w:r>
    </w:p>
    <w:tbl>
      <w:tblPr>
        <w:tblStyle w:val="31"/>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vAlign w:val="center"/>
          </w:tcPr>
          <w:p>
            <w:pPr>
              <w:pStyle w:val="2"/>
              <w:tabs>
                <w:tab w:val="left" w:pos="546"/>
              </w:tabs>
              <w:spacing w:before="0" w:after="0" w:line="520" w:lineRule="exact"/>
              <w:jc w:val="left"/>
              <w:rPr>
                <w:rFonts w:ascii="Times New Roman" w:hAnsi="Times New Roman" w:eastAsia="宋体" w:cs="Times New Roman"/>
                <w:iCs/>
                <w:sz w:val="24"/>
                <w:szCs w:val="24"/>
              </w:rPr>
            </w:pPr>
            <w:bookmarkStart w:id="6" w:name="_Toc505162510"/>
            <w:bookmarkStart w:id="7" w:name="_Toc68537755"/>
            <w:bookmarkStart w:id="8" w:name="_Toc5292051"/>
            <w:bookmarkStart w:id="9" w:name="_Toc5292050"/>
            <w:bookmarkStart w:id="10" w:name="_Toc505162509"/>
            <w:bookmarkStart w:id="11" w:name="_Toc68537754"/>
            <w:r>
              <w:rPr>
                <w:rFonts w:hint="eastAsia" w:ascii="Times New Roman" w:hAnsi="Times New Roman" w:eastAsia="宋体" w:cs="Times New Roman"/>
                <w:iCs/>
                <w:sz w:val="24"/>
                <w:szCs w:val="24"/>
              </w:rPr>
              <w:t>1</w:t>
            </w:r>
            <w:r>
              <w:rPr>
                <w:rFonts w:ascii="Times New Roman" w:hAnsi="Times New Roman" w:eastAsia="宋体" w:cs="Times New Roman"/>
                <w:iCs/>
                <w:sz w:val="24"/>
                <w:szCs w:val="24"/>
              </w:rPr>
              <w:t>、综合评价结论</w:t>
            </w:r>
            <w:bookmarkEnd w:id="6"/>
            <w:bookmarkEnd w:id="7"/>
            <w:bookmarkEnd w:id="8"/>
          </w:p>
          <w:p>
            <w:pPr>
              <w:spacing w:line="520" w:lineRule="exact"/>
              <w:ind w:firstLine="480" w:firstLineChars="200"/>
              <w:rPr>
                <w:sz w:val="24"/>
              </w:rPr>
            </w:pPr>
            <w:r>
              <w:rPr>
                <w:sz w:val="24"/>
              </w:rPr>
              <w:t>本次评价对建</w:t>
            </w:r>
            <w:r>
              <w:rPr>
                <w:rFonts w:hint="eastAsia"/>
                <w:sz w:val="24"/>
                <w:lang w:eastAsia="zh-CN"/>
              </w:rPr>
              <w:t>设</w:t>
            </w:r>
            <w:r>
              <w:rPr>
                <w:sz w:val="24"/>
              </w:rPr>
              <w:t>项目及其周围区域环境现状进行了调查、监测和评价分析，通过对营运期污染物排放的环境影响分析和对环境风险的分析，提出了项目污染防治措施以及要求和建议，污染物的排放均能够严于相关标准，符合国家环境保护的要求。</w:t>
            </w:r>
          </w:p>
          <w:p>
            <w:pPr>
              <w:spacing w:line="520" w:lineRule="exact"/>
              <w:ind w:firstLine="480" w:firstLineChars="200"/>
              <w:rPr>
                <w:sz w:val="24"/>
              </w:rPr>
            </w:pPr>
            <w:r>
              <w:rPr>
                <w:sz w:val="24"/>
              </w:rPr>
              <w:t>本项目运行期间产生</w:t>
            </w:r>
            <w:r>
              <w:rPr>
                <w:rFonts w:hint="eastAsia"/>
                <w:sz w:val="24"/>
                <w:lang w:val="en-US" w:eastAsia="zh-CN"/>
              </w:rPr>
              <w:t>少量</w:t>
            </w:r>
            <w:r>
              <w:rPr>
                <w:sz w:val="24"/>
              </w:rPr>
              <w:t>的废气，通过采取有效的污染防治措施，可将项目对周围环境造成的影响降到最低。同时，项目建设和运营过程中，依据本次评价所提出的有关污染防治措施，全面落实“三同时”制度，加强施工期环境监理和运营期环境管理，定期监测，确保污染防治设施稳定达标运行，则项目建设对周围环境质量不会产生明显的影响，从环境保护角度出发，本项目建设是可行的。</w:t>
            </w:r>
          </w:p>
          <w:p>
            <w:pPr>
              <w:pStyle w:val="2"/>
              <w:tabs>
                <w:tab w:val="left" w:pos="546"/>
              </w:tabs>
              <w:spacing w:before="0" w:after="0" w:line="520" w:lineRule="exact"/>
              <w:jc w:val="left"/>
              <w:rPr>
                <w:rFonts w:ascii="Times New Roman" w:hAnsi="Times New Roman" w:eastAsia="宋体" w:cs="Times New Roman"/>
                <w:iCs/>
                <w:sz w:val="24"/>
                <w:szCs w:val="24"/>
              </w:rPr>
            </w:pPr>
            <w:r>
              <w:rPr>
                <w:rFonts w:hint="eastAsia" w:ascii="Times New Roman" w:hAnsi="Times New Roman" w:eastAsia="宋体" w:cs="Times New Roman"/>
                <w:iCs/>
                <w:sz w:val="24"/>
                <w:szCs w:val="24"/>
              </w:rPr>
              <w:t>2、要求与</w:t>
            </w:r>
            <w:r>
              <w:rPr>
                <w:rFonts w:ascii="Times New Roman" w:hAnsi="Times New Roman" w:eastAsia="宋体" w:cs="Times New Roman"/>
                <w:iCs/>
                <w:sz w:val="24"/>
                <w:szCs w:val="24"/>
              </w:rPr>
              <w:t>建议</w:t>
            </w:r>
            <w:bookmarkEnd w:id="9"/>
            <w:bookmarkEnd w:id="10"/>
            <w:bookmarkEnd w:id="11"/>
          </w:p>
          <w:p>
            <w:pPr>
              <w:spacing w:line="520" w:lineRule="exact"/>
              <w:ind w:firstLine="480" w:firstLineChars="200"/>
              <w:rPr>
                <w:sz w:val="24"/>
              </w:rPr>
            </w:pPr>
            <w:r>
              <w:rPr>
                <w:rFonts w:hint="eastAsia"/>
                <w:sz w:val="24"/>
              </w:rPr>
              <w:t>（1）建设单位</w:t>
            </w:r>
            <w:r>
              <w:rPr>
                <w:sz w:val="24"/>
              </w:rPr>
              <w:t>应切实落实各项污染防治措施，确保达标排放，并接受当地</w:t>
            </w:r>
            <w:r>
              <w:rPr>
                <w:rFonts w:hint="eastAsia"/>
                <w:sz w:val="24"/>
              </w:rPr>
              <w:t>生态环境部门</w:t>
            </w:r>
            <w:r>
              <w:rPr>
                <w:sz w:val="24"/>
              </w:rPr>
              <w:t>的监督检查。</w:t>
            </w:r>
          </w:p>
          <w:p>
            <w:pPr>
              <w:spacing w:line="520" w:lineRule="exact"/>
              <w:ind w:firstLine="480" w:firstLineChars="200"/>
              <w:rPr>
                <w:sz w:val="24"/>
              </w:rPr>
            </w:pPr>
            <w:r>
              <w:rPr>
                <w:rFonts w:hint="eastAsia"/>
                <w:sz w:val="24"/>
              </w:rPr>
              <w:t>（2）</w:t>
            </w:r>
            <w:r>
              <w:rPr>
                <w:sz w:val="24"/>
              </w:rPr>
              <w:t>若项目建设内容、建设地点、建设性质、生产规模及生产工艺发生较大变化，应重新编制环境影响报告，重新报批。</w:t>
            </w:r>
          </w:p>
          <w:p>
            <w:pPr>
              <w:pStyle w:val="12"/>
              <w:rPr>
                <w:sz w:val="24"/>
              </w:rPr>
            </w:pPr>
          </w:p>
          <w:p>
            <w:pPr>
              <w:pStyle w:val="12"/>
              <w:rPr>
                <w:sz w:val="24"/>
              </w:rPr>
            </w:pPr>
          </w:p>
          <w:p>
            <w:pPr>
              <w:pStyle w:val="12"/>
              <w:rPr>
                <w:sz w:val="24"/>
              </w:rPr>
            </w:pPr>
          </w:p>
          <w:p>
            <w:pPr>
              <w:pStyle w:val="12"/>
              <w:rPr>
                <w:sz w:val="24"/>
              </w:rPr>
            </w:pPr>
          </w:p>
          <w:p>
            <w:pPr>
              <w:pStyle w:val="12"/>
              <w:rPr>
                <w:sz w:val="24"/>
              </w:rPr>
            </w:pPr>
          </w:p>
          <w:p>
            <w:pPr>
              <w:pStyle w:val="12"/>
              <w:rPr>
                <w:sz w:val="24"/>
              </w:rPr>
            </w:pPr>
          </w:p>
        </w:tc>
      </w:tr>
    </w:tbl>
    <w:p>
      <w:pPr>
        <w:rPr>
          <w:rFonts w:ascii="宋体"/>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pPr>
        <w:pStyle w:val="27"/>
        <w:adjustRightInd w:val="0"/>
        <w:snapToGrid w:val="0"/>
        <w:spacing w:before="0" w:beforeAutospacing="0" w:after="0" w:afterAutospacing="0"/>
        <w:outlineLvl w:val="0"/>
        <w:rPr>
          <w:rFonts w:ascii="黑体" w:hAnsi="黑体" w:eastAsia="黑体"/>
          <w:snapToGrid w:val="0"/>
          <w:sz w:val="32"/>
          <w:szCs w:val="32"/>
        </w:rPr>
      </w:pPr>
      <w:r>
        <w:rPr>
          <w:rFonts w:hint="eastAsia" w:ascii="黑体" w:hAnsi="黑体" w:eastAsia="黑体"/>
          <w:snapToGrid w:val="0"/>
          <w:sz w:val="32"/>
          <w:szCs w:val="32"/>
        </w:rPr>
        <w:t>附表</w:t>
      </w:r>
    </w:p>
    <w:p>
      <w:pPr>
        <w:pStyle w:val="27"/>
        <w:adjustRightInd w:val="0"/>
        <w:snapToGrid w:val="0"/>
        <w:spacing w:before="0" w:beforeAutospacing="0" w:after="0" w:afterAutospacing="0"/>
        <w:jc w:val="center"/>
        <w:outlineLvl w:val="0"/>
        <w:rPr>
          <w:rFonts w:ascii="方正小标宋_GBK" w:hAnsi="黑体" w:eastAsia="方正小标宋_GBK"/>
          <w:snapToGrid w:val="0"/>
          <w:sz w:val="38"/>
          <w:szCs w:val="38"/>
        </w:rPr>
      </w:pPr>
      <w:r>
        <w:rPr>
          <w:rFonts w:hint="eastAsia" w:ascii="方正小标宋_GBK" w:hAnsi="黑体" w:eastAsia="方正小标宋_GBK"/>
          <w:snapToGrid w:val="0"/>
          <w:sz w:val="38"/>
          <w:szCs w:val="38"/>
        </w:rPr>
        <w:t>建设项目污染物排放量汇总表</w:t>
      </w:r>
    </w:p>
    <w:tbl>
      <w:tblPr>
        <w:tblStyle w:val="31"/>
        <w:tblW w:w="0" w:type="auto"/>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88"/>
        <w:gridCol w:w="1417"/>
        <w:gridCol w:w="1701"/>
        <w:gridCol w:w="1276"/>
        <w:gridCol w:w="1701"/>
        <w:gridCol w:w="1559"/>
        <w:gridCol w:w="1761"/>
        <w:gridCol w:w="1831"/>
        <w:gridCol w:w="95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1588" w:type="dxa"/>
            <w:tcBorders>
              <w:tl2br w:val="single" w:color="auto" w:sz="4" w:space="0"/>
            </w:tcBorders>
            <w:tcMar>
              <w:left w:w="28" w:type="dxa"/>
              <w:right w:w="28" w:type="dxa"/>
            </w:tcMar>
            <w:vAlign w:val="center"/>
          </w:tcPr>
          <w:p>
            <w:pPr>
              <w:pStyle w:val="58"/>
              <w:spacing w:beforeLines="0" w:afterLines="0" w:line="240" w:lineRule="auto"/>
              <w:jc w:val="right"/>
              <w:rPr>
                <w:rFonts w:ascii="Times New Roman" w:eastAsia="黑体"/>
                <w:snapToGrid w:val="0"/>
                <w:spacing w:val="-6"/>
                <w:kern w:val="21"/>
                <w:szCs w:val="21"/>
              </w:rPr>
            </w:pPr>
            <w:r>
              <w:rPr>
                <w:rFonts w:ascii="Times New Roman" w:eastAsia="黑体"/>
                <w:snapToGrid w:val="0"/>
                <w:spacing w:val="-6"/>
                <w:kern w:val="21"/>
                <w:szCs w:val="21"/>
              </w:rPr>
              <w:t>项目</w:t>
            </w:r>
          </w:p>
          <w:p>
            <w:pPr>
              <w:pStyle w:val="58"/>
              <w:spacing w:beforeLines="0" w:afterLines="0" w:line="240" w:lineRule="auto"/>
              <w:jc w:val="left"/>
              <w:rPr>
                <w:rFonts w:ascii="Times New Roman" w:eastAsia="黑体"/>
                <w:snapToGrid w:val="0"/>
                <w:spacing w:val="-6"/>
                <w:kern w:val="21"/>
                <w:szCs w:val="21"/>
              </w:rPr>
            </w:pPr>
            <w:r>
              <w:rPr>
                <w:rFonts w:ascii="Times New Roman" w:eastAsia="黑体"/>
                <w:snapToGrid w:val="0"/>
                <w:spacing w:val="-6"/>
                <w:kern w:val="21"/>
                <w:szCs w:val="21"/>
              </w:rPr>
              <w:t>分类</w:t>
            </w:r>
          </w:p>
        </w:tc>
        <w:tc>
          <w:tcPr>
            <w:tcW w:w="1417" w:type="dxa"/>
            <w:tcMar>
              <w:left w:w="28" w:type="dxa"/>
              <w:right w:w="28" w:type="dxa"/>
            </w:tcMar>
            <w:vAlign w:val="center"/>
          </w:tcPr>
          <w:p>
            <w:pPr>
              <w:pStyle w:val="58"/>
              <w:spacing w:beforeLines="0" w:afterLines="0" w:line="240" w:lineRule="auto"/>
              <w:rPr>
                <w:rFonts w:ascii="Times New Roman" w:eastAsia="黑体"/>
                <w:snapToGrid w:val="0"/>
                <w:spacing w:val="-6"/>
                <w:kern w:val="21"/>
                <w:szCs w:val="21"/>
              </w:rPr>
            </w:pPr>
            <w:r>
              <w:rPr>
                <w:rFonts w:ascii="Times New Roman" w:eastAsia="黑体"/>
                <w:snapToGrid w:val="0"/>
                <w:spacing w:val="-6"/>
                <w:kern w:val="21"/>
                <w:szCs w:val="21"/>
              </w:rPr>
              <w:t>污染物名称</w:t>
            </w:r>
          </w:p>
        </w:tc>
        <w:tc>
          <w:tcPr>
            <w:tcW w:w="1701" w:type="dxa"/>
            <w:tcMar>
              <w:left w:w="28" w:type="dxa"/>
              <w:right w:w="28" w:type="dxa"/>
            </w:tcMar>
            <w:vAlign w:val="center"/>
          </w:tcPr>
          <w:p>
            <w:pPr>
              <w:pStyle w:val="58"/>
              <w:spacing w:beforeLines="0" w:afterLines="0" w:line="240" w:lineRule="auto"/>
              <w:rPr>
                <w:rFonts w:ascii="Times New Roman" w:eastAsia="黑体"/>
                <w:snapToGrid w:val="0"/>
                <w:spacing w:val="-6"/>
                <w:kern w:val="21"/>
                <w:szCs w:val="21"/>
              </w:rPr>
            </w:pPr>
            <w:r>
              <w:rPr>
                <w:rFonts w:ascii="Times New Roman" w:eastAsia="黑体"/>
                <w:snapToGrid w:val="0"/>
                <w:spacing w:val="-6"/>
                <w:kern w:val="21"/>
                <w:szCs w:val="21"/>
              </w:rPr>
              <w:t>现有工程</w:t>
            </w:r>
          </w:p>
          <w:p>
            <w:pPr>
              <w:pStyle w:val="58"/>
              <w:spacing w:beforeLines="0" w:afterLines="0" w:line="240" w:lineRule="auto"/>
              <w:rPr>
                <w:rFonts w:ascii="Times New Roman" w:eastAsia="黑体"/>
                <w:snapToGrid w:val="0"/>
                <w:spacing w:val="-6"/>
                <w:kern w:val="21"/>
                <w:szCs w:val="21"/>
              </w:rPr>
            </w:pPr>
            <w:r>
              <w:rPr>
                <w:rFonts w:ascii="Times New Roman" w:eastAsia="黑体"/>
                <w:snapToGrid w:val="0"/>
                <w:spacing w:val="-6"/>
                <w:kern w:val="21"/>
                <w:szCs w:val="21"/>
              </w:rPr>
              <w:t>排放量（固体废物产生量）</w:t>
            </w:r>
            <w:r>
              <w:rPr>
                <w:rFonts w:ascii="Times New Roman" w:eastAsia="黑体"/>
                <w:snapToGrid w:val="0"/>
                <w:spacing w:val="-6"/>
                <w:kern w:val="21"/>
                <w:szCs w:val="21"/>
              </w:rPr>
              <w:fldChar w:fldCharType="begin"/>
            </w:r>
            <w:r>
              <w:rPr>
                <w:rFonts w:ascii="Times New Roman" w:eastAsia="黑体"/>
                <w:snapToGrid w:val="0"/>
                <w:spacing w:val="-6"/>
                <w:kern w:val="21"/>
                <w:szCs w:val="21"/>
              </w:rPr>
              <w:instrText xml:space="preserve"> = 1 \* GB3 \* MERGEFORMAT </w:instrText>
            </w:r>
            <w:r>
              <w:rPr>
                <w:rFonts w:ascii="Times New Roman" w:eastAsia="黑体"/>
                <w:snapToGrid w:val="0"/>
                <w:spacing w:val="-6"/>
                <w:kern w:val="21"/>
                <w:szCs w:val="21"/>
              </w:rPr>
              <w:fldChar w:fldCharType="separate"/>
            </w:r>
            <w:r>
              <w:rPr>
                <w:rFonts w:ascii="Times New Roman" w:eastAsia="黑体"/>
                <w:kern w:val="2"/>
                <w:szCs w:val="21"/>
              </w:rPr>
              <w:t>①</w:t>
            </w:r>
            <w:r>
              <w:rPr>
                <w:rFonts w:ascii="Times New Roman" w:eastAsia="黑体"/>
                <w:snapToGrid w:val="0"/>
                <w:spacing w:val="-6"/>
                <w:kern w:val="21"/>
                <w:szCs w:val="21"/>
              </w:rPr>
              <w:fldChar w:fldCharType="end"/>
            </w:r>
          </w:p>
        </w:tc>
        <w:tc>
          <w:tcPr>
            <w:tcW w:w="1276" w:type="dxa"/>
            <w:tcMar>
              <w:left w:w="28" w:type="dxa"/>
              <w:right w:w="28" w:type="dxa"/>
            </w:tcMar>
            <w:vAlign w:val="center"/>
          </w:tcPr>
          <w:p>
            <w:pPr>
              <w:pStyle w:val="58"/>
              <w:spacing w:beforeLines="0" w:afterLines="0" w:line="240" w:lineRule="auto"/>
              <w:rPr>
                <w:rFonts w:ascii="Times New Roman" w:eastAsia="黑体"/>
                <w:snapToGrid w:val="0"/>
                <w:spacing w:val="-6"/>
                <w:kern w:val="21"/>
                <w:szCs w:val="21"/>
              </w:rPr>
            </w:pPr>
            <w:r>
              <w:rPr>
                <w:rFonts w:ascii="Times New Roman" w:eastAsia="黑体"/>
                <w:snapToGrid w:val="0"/>
                <w:spacing w:val="-6"/>
                <w:kern w:val="21"/>
                <w:szCs w:val="21"/>
              </w:rPr>
              <w:t>现有工程</w:t>
            </w:r>
          </w:p>
          <w:p>
            <w:pPr>
              <w:pStyle w:val="58"/>
              <w:spacing w:beforeLines="0" w:afterLines="0" w:line="240" w:lineRule="auto"/>
              <w:rPr>
                <w:rFonts w:ascii="Times New Roman" w:eastAsia="黑体"/>
                <w:snapToGrid w:val="0"/>
                <w:spacing w:val="-6"/>
                <w:kern w:val="21"/>
                <w:szCs w:val="21"/>
              </w:rPr>
            </w:pPr>
            <w:r>
              <w:rPr>
                <w:rFonts w:ascii="Times New Roman" w:eastAsia="黑体"/>
                <w:snapToGrid w:val="0"/>
                <w:spacing w:val="-6"/>
                <w:kern w:val="21"/>
                <w:szCs w:val="21"/>
              </w:rPr>
              <w:t>许可排放量</w:t>
            </w:r>
          </w:p>
          <w:p>
            <w:pPr>
              <w:pStyle w:val="58"/>
              <w:spacing w:beforeLines="0" w:afterLines="0"/>
              <w:rPr>
                <w:rFonts w:ascii="Times New Roman" w:eastAsia="黑体"/>
                <w:snapToGrid w:val="0"/>
                <w:spacing w:val="-6"/>
                <w:kern w:val="21"/>
                <w:szCs w:val="21"/>
              </w:rPr>
            </w:pPr>
            <w:r>
              <w:rPr>
                <w:rFonts w:ascii="Times New Roman" w:eastAsia="黑体"/>
                <w:snapToGrid w:val="0"/>
                <w:spacing w:val="-6"/>
                <w:kern w:val="21"/>
                <w:szCs w:val="21"/>
              </w:rPr>
              <w:fldChar w:fldCharType="begin"/>
            </w:r>
            <w:r>
              <w:rPr>
                <w:rFonts w:ascii="Times New Roman" w:eastAsia="黑体"/>
                <w:snapToGrid w:val="0"/>
                <w:spacing w:val="-6"/>
                <w:kern w:val="21"/>
                <w:szCs w:val="21"/>
              </w:rPr>
              <w:instrText xml:space="preserve"> = 2 \* GB3 \* MERGEFORMAT </w:instrText>
            </w:r>
            <w:r>
              <w:rPr>
                <w:rFonts w:ascii="Times New Roman" w:eastAsia="黑体"/>
                <w:snapToGrid w:val="0"/>
                <w:spacing w:val="-6"/>
                <w:kern w:val="21"/>
                <w:szCs w:val="21"/>
              </w:rPr>
              <w:fldChar w:fldCharType="separate"/>
            </w:r>
            <w:r>
              <w:rPr>
                <w:rFonts w:ascii="Times New Roman" w:eastAsia="黑体"/>
                <w:snapToGrid w:val="0"/>
                <w:spacing w:val="-6"/>
                <w:kern w:val="21"/>
                <w:szCs w:val="21"/>
              </w:rPr>
              <w:t>②</w:t>
            </w:r>
            <w:r>
              <w:rPr>
                <w:rFonts w:ascii="Times New Roman" w:eastAsia="黑体"/>
                <w:snapToGrid w:val="0"/>
                <w:spacing w:val="-6"/>
                <w:kern w:val="21"/>
                <w:szCs w:val="21"/>
              </w:rPr>
              <w:fldChar w:fldCharType="end"/>
            </w:r>
          </w:p>
        </w:tc>
        <w:tc>
          <w:tcPr>
            <w:tcW w:w="1701" w:type="dxa"/>
            <w:tcMar>
              <w:left w:w="28" w:type="dxa"/>
              <w:right w:w="28" w:type="dxa"/>
            </w:tcMar>
            <w:vAlign w:val="center"/>
          </w:tcPr>
          <w:p>
            <w:pPr>
              <w:pStyle w:val="58"/>
              <w:spacing w:beforeLines="0" w:afterLines="0" w:line="240" w:lineRule="auto"/>
              <w:rPr>
                <w:rFonts w:ascii="Times New Roman" w:eastAsia="黑体"/>
                <w:snapToGrid w:val="0"/>
                <w:spacing w:val="-6"/>
                <w:kern w:val="21"/>
                <w:szCs w:val="21"/>
              </w:rPr>
            </w:pPr>
            <w:r>
              <w:rPr>
                <w:rFonts w:ascii="Times New Roman" w:eastAsia="黑体"/>
                <w:snapToGrid w:val="0"/>
                <w:spacing w:val="-6"/>
                <w:kern w:val="21"/>
                <w:szCs w:val="21"/>
              </w:rPr>
              <w:t>在建工程</w:t>
            </w:r>
          </w:p>
          <w:p>
            <w:pPr>
              <w:pStyle w:val="58"/>
              <w:spacing w:beforeLines="0" w:afterLines="0" w:line="240" w:lineRule="auto"/>
              <w:rPr>
                <w:rFonts w:ascii="Times New Roman" w:eastAsia="黑体"/>
                <w:snapToGrid w:val="0"/>
                <w:spacing w:val="-6"/>
                <w:kern w:val="21"/>
                <w:szCs w:val="21"/>
              </w:rPr>
            </w:pPr>
            <w:r>
              <w:rPr>
                <w:rFonts w:ascii="Times New Roman" w:eastAsia="黑体"/>
                <w:snapToGrid w:val="0"/>
                <w:spacing w:val="-6"/>
                <w:kern w:val="21"/>
                <w:szCs w:val="21"/>
              </w:rPr>
              <w:t>排放量（固体废物产生量）</w:t>
            </w:r>
            <w:r>
              <w:rPr>
                <w:rFonts w:ascii="Times New Roman" w:eastAsia="黑体"/>
                <w:snapToGrid w:val="0"/>
                <w:spacing w:val="-6"/>
                <w:kern w:val="21"/>
                <w:szCs w:val="21"/>
              </w:rPr>
              <w:fldChar w:fldCharType="begin"/>
            </w:r>
            <w:r>
              <w:rPr>
                <w:rFonts w:ascii="Times New Roman" w:eastAsia="黑体"/>
                <w:snapToGrid w:val="0"/>
                <w:spacing w:val="-6"/>
                <w:kern w:val="21"/>
                <w:szCs w:val="21"/>
              </w:rPr>
              <w:instrText xml:space="preserve"> = 3 \* GB3 \* MERGEFORMAT </w:instrText>
            </w:r>
            <w:r>
              <w:rPr>
                <w:rFonts w:ascii="Times New Roman" w:eastAsia="黑体"/>
                <w:snapToGrid w:val="0"/>
                <w:spacing w:val="-6"/>
                <w:kern w:val="21"/>
                <w:szCs w:val="21"/>
              </w:rPr>
              <w:fldChar w:fldCharType="separate"/>
            </w:r>
            <w:r>
              <w:rPr>
                <w:rFonts w:ascii="Times New Roman" w:eastAsia="黑体"/>
                <w:kern w:val="2"/>
                <w:szCs w:val="21"/>
              </w:rPr>
              <w:t>③</w:t>
            </w:r>
            <w:r>
              <w:rPr>
                <w:rFonts w:ascii="Times New Roman" w:eastAsia="黑体"/>
                <w:snapToGrid w:val="0"/>
                <w:spacing w:val="-6"/>
                <w:kern w:val="21"/>
                <w:szCs w:val="21"/>
              </w:rPr>
              <w:fldChar w:fldCharType="end"/>
            </w:r>
          </w:p>
        </w:tc>
        <w:tc>
          <w:tcPr>
            <w:tcW w:w="1559" w:type="dxa"/>
            <w:tcMar>
              <w:left w:w="28" w:type="dxa"/>
              <w:right w:w="28" w:type="dxa"/>
            </w:tcMar>
            <w:vAlign w:val="center"/>
          </w:tcPr>
          <w:p>
            <w:pPr>
              <w:pStyle w:val="58"/>
              <w:spacing w:beforeLines="0" w:afterLines="0" w:line="240" w:lineRule="auto"/>
              <w:rPr>
                <w:rFonts w:ascii="Times New Roman" w:eastAsia="黑体"/>
                <w:snapToGrid w:val="0"/>
                <w:spacing w:val="-6"/>
                <w:kern w:val="21"/>
                <w:szCs w:val="21"/>
              </w:rPr>
            </w:pPr>
            <w:r>
              <w:rPr>
                <w:rFonts w:ascii="Times New Roman" w:eastAsia="黑体"/>
                <w:snapToGrid w:val="0"/>
                <w:spacing w:val="-6"/>
                <w:kern w:val="21"/>
                <w:szCs w:val="21"/>
              </w:rPr>
              <w:t>本项目</w:t>
            </w:r>
          </w:p>
          <w:p>
            <w:pPr>
              <w:pStyle w:val="58"/>
              <w:spacing w:beforeLines="0" w:afterLines="0" w:line="240" w:lineRule="auto"/>
              <w:rPr>
                <w:rFonts w:ascii="Times New Roman" w:eastAsia="黑体"/>
                <w:snapToGrid w:val="0"/>
                <w:spacing w:val="-6"/>
                <w:kern w:val="21"/>
                <w:szCs w:val="21"/>
              </w:rPr>
            </w:pPr>
            <w:r>
              <w:rPr>
                <w:rFonts w:ascii="Times New Roman" w:eastAsia="黑体"/>
                <w:snapToGrid w:val="0"/>
                <w:spacing w:val="-6"/>
                <w:kern w:val="21"/>
                <w:szCs w:val="21"/>
              </w:rPr>
              <w:t>排放量（固体废物产生量）</w:t>
            </w:r>
            <w:r>
              <w:rPr>
                <w:rFonts w:ascii="Times New Roman" w:eastAsia="黑体"/>
                <w:snapToGrid w:val="0"/>
                <w:spacing w:val="-6"/>
                <w:kern w:val="21"/>
                <w:szCs w:val="21"/>
              </w:rPr>
              <w:fldChar w:fldCharType="begin"/>
            </w:r>
            <w:r>
              <w:rPr>
                <w:rFonts w:ascii="Times New Roman" w:eastAsia="黑体"/>
                <w:snapToGrid w:val="0"/>
                <w:spacing w:val="-6"/>
                <w:kern w:val="21"/>
                <w:szCs w:val="21"/>
              </w:rPr>
              <w:instrText xml:space="preserve"> = 4 \* GB3 \* MERGEFORMAT </w:instrText>
            </w:r>
            <w:r>
              <w:rPr>
                <w:rFonts w:ascii="Times New Roman" w:eastAsia="黑体"/>
                <w:snapToGrid w:val="0"/>
                <w:spacing w:val="-6"/>
                <w:kern w:val="21"/>
                <w:szCs w:val="21"/>
              </w:rPr>
              <w:fldChar w:fldCharType="separate"/>
            </w:r>
            <w:r>
              <w:rPr>
                <w:rFonts w:ascii="Times New Roman" w:eastAsia="黑体"/>
                <w:kern w:val="2"/>
                <w:szCs w:val="21"/>
              </w:rPr>
              <w:t>④</w:t>
            </w:r>
            <w:r>
              <w:rPr>
                <w:rFonts w:ascii="Times New Roman" w:eastAsia="黑体"/>
                <w:snapToGrid w:val="0"/>
                <w:spacing w:val="-6"/>
                <w:kern w:val="21"/>
                <w:szCs w:val="21"/>
              </w:rPr>
              <w:fldChar w:fldCharType="end"/>
            </w:r>
          </w:p>
        </w:tc>
        <w:tc>
          <w:tcPr>
            <w:tcW w:w="1761" w:type="dxa"/>
            <w:tcMar>
              <w:left w:w="28" w:type="dxa"/>
              <w:right w:w="28" w:type="dxa"/>
            </w:tcMar>
            <w:vAlign w:val="center"/>
          </w:tcPr>
          <w:p>
            <w:pPr>
              <w:pStyle w:val="58"/>
              <w:spacing w:beforeLines="0" w:afterLines="0" w:line="240" w:lineRule="auto"/>
              <w:rPr>
                <w:rFonts w:ascii="Times New Roman" w:eastAsia="黑体"/>
                <w:snapToGrid w:val="0"/>
                <w:spacing w:val="-16"/>
                <w:kern w:val="21"/>
                <w:szCs w:val="21"/>
              </w:rPr>
            </w:pPr>
            <w:r>
              <w:rPr>
                <w:rFonts w:ascii="Times New Roman" w:eastAsia="黑体"/>
                <w:snapToGrid w:val="0"/>
                <w:spacing w:val="-16"/>
                <w:kern w:val="21"/>
                <w:szCs w:val="21"/>
              </w:rPr>
              <w:t>以新带老削减量</w:t>
            </w:r>
          </w:p>
          <w:p>
            <w:pPr>
              <w:pStyle w:val="58"/>
              <w:spacing w:beforeLines="0" w:afterLines="0" w:line="240" w:lineRule="auto"/>
              <w:rPr>
                <w:rFonts w:ascii="Times New Roman" w:eastAsia="黑体"/>
                <w:snapToGrid w:val="0"/>
                <w:spacing w:val="-16"/>
                <w:kern w:val="21"/>
                <w:szCs w:val="21"/>
              </w:rPr>
            </w:pPr>
            <w:r>
              <w:rPr>
                <w:rFonts w:ascii="Times New Roman" w:eastAsia="黑体"/>
                <w:snapToGrid w:val="0"/>
                <w:spacing w:val="-16"/>
                <w:kern w:val="21"/>
                <w:szCs w:val="21"/>
              </w:rPr>
              <w:t>（新建项目不填）</w:t>
            </w:r>
            <w:r>
              <w:rPr>
                <w:rFonts w:ascii="Times New Roman" w:eastAsia="黑体"/>
                <w:snapToGrid w:val="0"/>
                <w:spacing w:val="-16"/>
                <w:kern w:val="21"/>
                <w:szCs w:val="21"/>
              </w:rPr>
              <w:fldChar w:fldCharType="begin"/>
            </w:r>
            <w:r>
              <w:rPr>
                <w:rFonts w:ascii="Times New Roman" w:eastAsia="黑体"/>
                <w:snapToGrid w:val="0"/>
                <w:spacing w:val="-16"/>
                <w:kern w:val="21"/>
                <w:szCs w:val="21"/>
              </w:rPr>
              <w:instrText xml:space="preserve"> = 5 \* GB3 \* MERGEFORMAT </w:instrText>
            </w:r>
            <w:r>
              <w:rPr>
                <w:rFonts w:ascii="Times New Roman" w:eastAsia="黑体"/>
                <w:snapToGrid w:val="0"/>
                <w:spacing w:val="-16"/>
                <w:kern w:val="21"/>
                <w:szCs w:val="21"/>
              </w:rPr>
              <w:fldChar w:fldCharType="separate"/>
            </w:r>
            <w:r>
              <w:rPr>
                <w:rFonts w:ascii="Times New Roman" w:eastAsia="黑体"/>
                <w:kern w:val="2"/>
                <w:szCs w:val="21"/>
              </w:rPr>
              <w:t>⑤</w:t>
            </w:r>
            <w:r>
              <w:rPr>
                <w:rFonts w:ascii="Times New Roman" w:eastAsia="黑体"/>
                <w:snapToGrid w:val="0"/>
                <w:spacing w:val="-16"/>
                <w:kern w:val="21"/>
                <w:szCs w:val="21"/>
              </w:rPr>
              <w:fldChar w:fldCharType="end"/>
            </w:r>
          </w:p>
        </w:tc>
        <w:tc>
          <w:tcPr>
            <w:tcW w:w="1831" w:type="dxa"/>
            <w:tcMar>
              <w:left w:w="28" w:type="dxa"/>
              <w:right w:w="28" w:type="dxa"/>
            </w:tcMar>
            <w:vAlign w:val="center"/>
          </w:tcPr>
          <w:p>
            <w:pPr>
              <w:pStyle w:val="58"/>
              <w:spacing w:beforeLines="0" w:afterLines="0" w:line="240" w:lineRule="auto"/>
              <w:rPr>
                <w:rFonts w:ascii="Times New Roman" w:eastAsia="黑体"/>
                <w:snapToGrid w:val="0"/>
                <w:spacing w:val="-16"/>
                <w:kern w:val="21"/>
                <w:szCs w:val="21"/>
              </w:rPr>
            </w:pPr>
            <w:r>
              <w:rPr>
                <w:rFonts w:ascii="Times New Roman" w:eastAsia="黑体"/>
                <w:snapToGrid w:val="0"/>
                <w:spacing w:val="-16"/>
                <w:kern w:val="21"/>
                <w:szCs w:val="21"/>
              </w:rPr>
              <w:t>本项目建成后</w:t>
            </w:r>
          </w:p>
          <w:p>
            <w:pPr>
              <w:pStyle w:val="58"/>
              <w:spacing w:beforeLines="0" w:afterLines="0" w:line="240" w:lineRule="auto"/>
              <w:rPr>
                <w:rFonts w:ascii="Times New Roman" w:eastAsia="黑体"/>
                <w:snapToGrid w:val="0"/>
                <w:spacing w:val="-16"/>
                <w:kern w:val="21"/>
                <w:szCs w:val="21"/>
              </w:rPr>
            </w:pPr>
            <w:r>
              <w:rPr>
                <w:rFonts w:ascii="Times New Roman" w:eastAsia="黑体"/>
                <w:snapToGrid w:val="0"/>
                <w:spacing w:val="-16"/>
                <w:kern w:val="21"/>
                <w:szCs w:val="21"/>
              </w:rPr>
              <w:t>全厂排放量（固体废物产生量）</w:t>
            </w:r>
            <w:r>
              <w:rPr>
                <w:rFonts w:ascii="Times New Roman" w:eastAsia="黑体"/>
                <w:snapToGrid w:val="0"/>
                <w:spacing w:val="-16"/>
                <w:kern w:val="21"/>
                <w:szCs w:val="21"/>
              </w:rPr>
              <w:fldChar w:fldCharType="begin"/>
            </w:r>
            <w:r>
              <w:rPr>
                <w:rFonts w:ascii="Times New Roman" w:eastAsia="黑体"/>
                <w:snapToGrid w:val="0"/>
                <w:spacing w:val="-16"/>
                <w:kern w:val="21"/>
                <w:szCs w:val="21"/>
              </w:rPr>
              <w:instrText xml:space="preserve"> = 6 \* GB3 \* MERGEFORMAT </w:instrText>
            </w:r>
            <w:r>
              <w:rPr>
                <w:rFonts w:ascii="Times New Roman" w:eastAsia="黑体"/>
                <w:snapToGrid w:val="0"/>
                <w:spacing w:val="-16"/>
                <w:kern w:val="21"/>
                <w:szCs w:val="21"/>
              </w:rPr>
              <w:fldChar w:fldCharType="separate"/>
            </w:r>
            <w:r>
              <w:rPr>
                <w:rFonts w:ascii="Times New Roman" w:eastAsia="黑体"/>
                <w:kern w:val="2"/>
                <w:szCs w:val="21"/>
              </w:rPr>
              <w:t>⑥</w:t>
            </w:r>
            <w:r>
              <w:rPr>
                <w:rFonts w:ascii="Times New Roman" w:eastAsia="黑体"/>
                <w:snapToGrid w:val="0"/>
                <w:spacing w:val="-16"/>
                <w:kern w:val="21"/>
                <w:szCs w:val="21"/>
              </w:rPr>
              <w:fldChar w:fldCharType="end"/>
            </w:r>
          </w:p>
        </w:tc>
        <w:tc>
          <w:tcPr>
            <w:tcW w:w="954" w:type="dxa"/>
            <w:tcMar>
              <w:left w:w="28" w:type="dxa"/>
              <w:right w:w="28" w:type="dxa"/>
            </w:tcMar>
            <w:vAlign w:val="center"/>
          </w:tcPr>
          <w:p>
            <w:pPr>
              <w:pStyle w:val="58"/>
              <w:spacing w:beforeLines="0" w:afterLines="0" w:line="240" w:lineRule="auto"/>
              <w:rPr>
                <w:rFonts w:ascii="Times New Roman" w:eastAsia="黑体"/>
                <w:snapToGrid w:val="0"/>
                <w:spacing w:val="-6"/>
                <w:kern w:val="21"/>
                <w:szCs w:val="21"/>
              </w:rPr>
            </w:pPr>
            <w:r>
              <w:rPr>
                <w:rFonts w:ascii="Times New Roman" w:eastAsia="黑体"/>
                <w:snapToGrid w:val="0"/>
                <w:spacing w:val="-6"/>
                <w:kern w:val="21"/>
                <w:szCs w:val="21"/>
              </w:rPr>
              <w:t>变化量</w:t>
            </w:r>
          </w:p>
          <w:p>
            <w:pPr>
              <w:pStyle w:val="58"/>
              <w:spacing w:beforeLines="0" w:afterLines="0" w:line="240" w:lineRule="auto"/>
              <w:rPr>
                <w:rFonts w:ascii="Times New Roman" w:eastAsia="黑体"/>
                <w:snapToGrid w:val="0"/>
                <w:spacing w:val="-6"/>
                <w:kern w:val="21"/>
                <w:szCs w:val="21"/>
              </w:rPr>
            </w:pPr>
            <w:r>
              <w:rPr>
                <w:rFonts w:ascii="Times New Roman" w:eastAsia="黑体"/>
                <w:snapToGrid w:val="0"/>
                <w:spacing w:val="-6"/>
                <w:kern w:val="21"/>
                <w:szCs w:val="21"/>
              </w:rPr>
              <w:fldChar w:fldCharType="begin"/>
            </w:r>
            <w:r>
              <w:rPr>
                <w:rFonts w:ascii="Times New Roman" w:eastAsia="黑体"/>
                <w:snapToGrid w:val="0"/>
                <w:spacing w:val="-6"/>
                <w:kern w:val="21"/>
                <w:szCs w:val="21"/>
              </w:rPr>
              <w:instrText xml:space="preserve"> = 7 \* GB3 \* MERGEFORMAT </w:instrText>
            </w:r>
            <w:r>
              <w:rPr>
                <w:rFonts w:ascii="Times New Roman" w:eastAsia="黑体"/>
                <w:snapToGrid w:val="0"/>
                <w:spacing w:val="-6"/>
                <w:kern w:val="21"/>
                <w:szCs w:val="21"/>
              </w:rPr>
              <w:fldChar w:fldCharType="separate"/>
            </w:r>
            <w:r>
              <w:rPr>
                <w:rFonts w:ascii="Times New Roman" w:eastAsia="黑体"/>
                <w:kern w:val="2"/>
                <w:szCs w:val="21"/>
              </w:rPr>
              <w:t>⑦</w:t>
            </w:r>
            <w:r>
              <w:rPr>
                <w:rFonts w:ascii="Times New Roman" w:eastAsia="黑体"/>
                <w:snapToGrid w:val="0"/>
                <w:spacing w:val="-6"/>
                <w:kern w:val="21"/>
                <w:szCs w:val="21"/>
              </w:rPr>
              <w:fldChar w:fldCharType="end"/>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Align w:val="center"/>
          </w:tcPr>
          <w:p>
            <w:pPr>
              <w:pStyle w:val="58"/>
              <w:spacing w:beforeLines="0" w:afterLines="0" w:line="240" w:lineRule="auto"/>
              <w:rPr>
                <w:rFonts w:ascii="Times New Roman"/>
                <w:snapToGrid w:val="0"/>
                <w:kern w:val="21"/>
                <w:szCs w:val="21"/>
              </w:rPr>
            </w:pPr>
            <w:r>
              <w:rPr>
                <w:rFonts w:ascii="Times New Roman"/>
                <w:snapToGrid w:val="0"/>
                <w:kern w:val="21"/>
                <w:szCs w:val="21"/>
              </w:rPr>
              <w:t>废气</w:t>
            </w:r>
          </w:p>
        </w:tc>
        <w:tc>
          <w:tcPr>
            <w:tcW w:w="1417" w:type="dxa"/>
            <w:vAlign w:val="center"/>
          </w:tcPr>
          <w:p>
            <w:pPr>
              <w:pStyle w:val="58"/>
              <w:spacing w:beforeLines="0" w:afterLines="0" w:line="240" w:lineRule="auto"/>
              <w:rPr>
                <w:rFonts w:ascii="Times New Roman"/>
                <w:snapToGrid w:val="0"/>
                <w:kern w:val="21"/>
                <w:szCs w:val="21"/>
              </w:rPr>
            </w:pPr>
            <w:r>
              <w:rPr>
                <w:rFonts w:hint="eastAsia" w:ascii="Times New Roman"/>
                <w:snapToGrid w:val="0"/>
                <w:kern w:val="21"/>
                <w:szCs w:val="21"/>
              </w:rPr>
              <w:t>/</w:t>
            </w:r>
          </w:p>
        </w:tc>
        <w:tc>
          <w:tcPr>
            <w:tcW w:w="1701" w:type="dxa"/>
            <w:vAlign w:val="center"/>
          </w:tcPr>
          <w:p>
            <w:pPr>
              <w:pStyle w:val="58"/>
              <w:spacing w:beforeLines="0" w:afterLines="0" w:line="240" w:lineRule="auto"/>
              <w:rPr>
                <w:rFonts w:ascii="Times New Roman"/>
                <w:snapToGrid w:val="0"/>
                <w:kern w:val="21"/>
                <w:szCs w:val="21"/>
              </w:rPr>
            </w:pPr>
            <w:r>
              <w:rPr>
                <w:rFonts w:hint="eastAsia" w:ascii="Times New Roman"/>
                <w:snapToGrid w:val="0"/>
                <w:kern w:val="21"/>
                <w:szCs w:val="21"/>
              </w:rPr>
              <w:t>/</w:t>
            </w:r>
          </w:p>
        </w:tc>
        <w:tc>
          <w:tcPr>
            <w:tcW w:w="1276" w:type="dxa"/>
            <w:vAlign w:val="center"/>
          </w:tcPr>
          <w:p>
            <w:pPr>
              <w:pStyle w:val="58"/>
              <w:spacing w:beforeLines="0" w:afterLines="0" w:line="240" w:lineRule="auto"/>
              <w:rPr>
                <w:rFonts w:ascii="Times New Roman"/>
                <w:snapToGrid w:val="0"/>
                <w:kern w:val="21"/>
                <w:szCs w:val="21"/>
              </w:rPr>
            </w:pPr>
            <w:r>
              <w:rPr>
                <w:rFonts w:hint="eastAsia" w:ascii="Times New Roman"/>
                <w:snapToGrid w:val="0"/>
                <w:kern w:val="21"/>
                <w:szCs w:val="21"/>
              </w:rPr>
              <w:t>/</w:t>
            </w:r>
          </w:p>
        </w:tc>
        <w:tc>
          <w:tcPr>
            <w:tcW w:w="1701" w:type="dxa"/>
            <w:vAlign w:val="center"/>
          </w:tcPr>
          <w:p>
            <w:pPr>
              <w:pStyle w:val="58"/>
              <w:spacing w:beforeLines="0" w:afterLines="0" w:line="240" w:lineRule="auto"/>
              <w:rPr>
                <w:rFonts w:ascii="Times New Roman"/>
                <w:snapToGrid w:val="0"/>
                <w:kern w:val="21"/>
                <w:szCs w:val="21"/>
              </w:rPr>
            </w:pPr>
            <w:r>
              <w:rPr>
                <w:rFonts w:hint="eastAsia" w:ascii="Times New Roman"/>
                <w:snapToGrid w:val="0"/>
                <w:kern w:val="21"/>
                <w:szCs w:val="21"/>
              </w:rPr>
              <w:t>/</w:t>
            </w:r>
          </w:p>
        </w:tc>
        <w:tc>
          <w:tcPr>
            <w:tcW w:w="1559" w:type="dxa"/>
            <w:vAlign w:val="center"/>
          </w:tcPr>
          <w:p>
            <w:pPr>
              <w:pStyle w:val="58"/>
              <w:spacing w:beforeLines="0" w:afterLines="0" w:line="240" w:lineRule="auto"/>
              <w:rPr>
                <w:rFonts w:ascii="Times New Roman"/>
                <w:snapToGrid w:val="0"/>
                <w:kern w:val="21"/>
                <w:szCs w:val="21"/>
              </w:rPr>
            </w:pPr>
            <w:r>
              <w:rPr>
                <w:rFonts w:hint="eastAsia" w:ascii="Times New Roman"/>
                <w:snapToGrid w:val="0"/>
                <w:kern w:val="21"/>
                <w:szCs w:val="21"/>
              </w:rPr>
              <w:t>/</w:t>
            </w:r>
          </w:p>
        </w:tc>
        <w:tc>
          <w:tcPr>
            <w:tcW w:w="1761" w:type="dxa"/>
            <w:vAlign w:val="center"/>
          </w:tcPr>
          <w:p>
            <w:pPr>
              <w:pStyle w:val="58"/>
              <w:spacing w:beforeLines="0" w:afterLines="0" w:line="240" w:lineRule="auto"/>
              <w:rPr>
                <w:rFonts w:ascii="Times New Roman"/>
                <w:snapToGrid w:val="0"/>
                <w:kern w:val="21"/>
                <w:szCs w:val="21"/>
              </w:rPr>
            </w:pPr>
            <w:r>
              <w:rPr>
                <w:rFonts w:hint="eastAsia" w:ascii="Times New Roman"/>
                <w:snapToGrid w:val="0"/>
                <w:kern w:val="21"/>
                <w:szCs w:val="21"/>
              </w:rPr>
              <w:t>/</w:t>
            </w:r>
          </w:p>
        </w:tc>
        <w:tc>
          <w:tcPr>
            <w:tcW w:w="1831" w:type="dxa"/>
            <w:vAlign w:val="center"/>
          </w:tcPr>
          <w:p>
            <w:pPr>
              <w:pStyle w:val="58"/>
              <w:spacing w:beforeLines="0" w:afterLines="0" w:line="240" w:lineRule="auto"/>
              <w:rPr>
                <w:rFonts w:ascii="Times New Roman"/>
                <w:snapToGrid w:val="0"/>
                <w:kern w:val="21"/>
                <w:szCs w:val="21"/>
              </w:rPr>
            </w:pPr>
            <w:r>
              <w:rPr>
                <w:rFonts w:hint="eastAsia" w:ascii="Times New Roman"/>
                <w:snapToGrid w:val="0"/>
                <w:kern w:val="21"/>
                <w:szCs w:val="21"/>
              </w:rPr>
              <w:t>/</w:t>
            </w:r>
          </w:p>
        </w:tc>
        <w:tc>
          <w:tcPr>
            <w:tcW w:w="954" w:type="dxa"/>
            <w:vAlign w:val="center"/>
          </w:tcPr>
          <w:p>
            <w:pPr>
              <w:pStyle w:val="58"/>
              <w:spacing w:beforeLines="0" w:afterLines="0" w:line="240" w:lineRule="auto"/>
              <w:rPr>
                <w:rFonts w:ascii="Times New Roman"/>
                <w:snapToGrid w:val="0"/>
                <w:kern w:val="21"/>
                <w:szCs w:val="21"/>
              </w:rPr>
            </w:pPr>
            <w:r>
              <w:rPr>
                <w:rFonts w:hint="eastAsia" w:ascii="Times New Roman"/>
                <w:snapToGrid w:val="0"/>
                <w:kern w:val="21"/>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Align w:val="center"/>
          </w:tcPr>
          <w:p>
            <w:pPr>
              <w:pStyle w:val="58"/>
              <w:spacing w:beforeLines="0" w:afterLines="0" w:line="240" w:lineRule="auto"/>
              <w:rPr>
                <w:rFonts w:ascii="Times New Roman"/>
                <w:snapToGrid w:val="0"/>
                <w:kern w:val="21"/>
                <w:szCs w:val="21"/>
              </w:rPr>
            </w:pPr>
            <w:r>
              <w:rPr>
                <w:rFonts w:ascii="Times New Roman"/>
                <w:snapToGrid w:val="0"/>
                <w:kern w:val="21"/>
                <w:szCs w:val="21"/>
              </w:rPr>
              <w:t>废水</w:t>
            </w:r>
          </w:p>
        </w:tc>
        <w:tc>
          <w:tcPr>
            <w:tcW w:w="1417" w:type="dxa"/>
            <w:vAlign w:val="center"/>
          </w:tcPr>
          <w:p>
            <w:pPr>
              <w:pStyle w:val="58"/>
              <w:spacing w:beforeLines="0" w:afterLines="0" w:line="240" w:lineRule="auto"/>
              <w:rPr>
                <w:rFonts w:ascii="Times New Roman"/>
                <w:snapToGrid w:val="0"/>
                <w:kern w:val="21"/>
                <w:szCs w:val="21"/>
              </w:rPr>
            </w:pPr>
            <w:r>
              <w:rPr>
                <w:rFonts w:hint="eastAsia" w:ascii="Times New Roman"/>
                <w:snapToGrid w:val="0"/>
                <w:kern w:val="21"/>
                <w:szCs w:val="21"/>
              </w:rPr>
              <w:t>/</w:t>
            </w:r>
          </w:p>
        </w:tc>
        <w:tc>
          <w:tcPr>
            <w:tcW w:w="1701" w:type="dxa"/>
            <w:vAlign w:val="center"/>
          </w:tcPr>
          <w:p>
            <w:pPr>
              <w:pStyle w:val="58"/>
              <w:spacing w:beforeLines="0" w:afterLines="0" w:line="240" w:lineRule="auto"/>
              <w:rPr>
                <w:rFonts w:ascii="Times New Roman"/>
                <w:snapToGrid w:val="0"/>
                <w:kern w:val="21"/>
                <w:szCs w:val="21"/>
              </w:rPr>
            </w:pPr>
            <w:r>
              <w:rPr>
                <w:rFonts w:hint="eastAsia" w:ascii="Times New Roman"/>
                <w:snapToGrid w:val="0"/>
                <w:kern w:val="21"/>
                <w:szCs w:val="21"/>
              </w:rPr>
              <w:t>/</w:t>
            </w:r>
          </w:p>
        </w:tc>
        <w:tc>
          <w:tcPr>
            <w:tcW w:w="1276" w:type="dxa"/>
            <w:vAlign w:val="center"/>
          </w:tcPr>
          <w:p>
            <w:pPr>
              <w:pStyle w:val="58"/>
              <w:spacing w:beforeLines="0" w:afterLines="0" w:line="240" w:lineRule="auto"/>
              <w:rPr>
                <w:rFonts w:ascii="Times New Roman"/>
                <w:snapToGrid w:val="0"/>
                <w:kern w:val="21"/>
                <w:szCs w:val="21"/>
              </w:rPr>
            </w:pPr>
            <w:r>
              <w:rPr>
                <w:rFonts w:hint="eastAsia" w:ascii="Times New Roman"/>
                <w:snapToGrid w:val="0"/>
                <w:kern w:val="21"/>
                <w:szCs w:val="21"/>
              </w:rPr>
              <w:t>/</w:t>
            </w:r>
          </w:p>
        </w:tc>
        <w:tc>
          <w:tcPr>
            <w:tcW w:w="1701" w:type="dxa"/>
            <w:vAlign w:val="center"/>
          </w:tcPr>
          <w:p>
            <w:pPr>
              <w:pStyle w:val="58"/>
              <w:spacing w:beforeLines="0" w:afterLines="0" w:line="240" w:lineRule="auto"/>
              <w:rPr>
                <w:rFonts w:ascii="Times New Roman"/>
                <w:snapToGrid w:val="0"/>
                <w:kern w:val="21"/>
                <w:szCs w:val="21"/>
              </w:rPr>
            </w:pPr>
            <w:r>
              <w:rPr>
                <w:rFonts w:hint="eastAsia" w:ascii="Times New Roman"/>
                <w:snapToGrid w:val="0"/>
                <w:kern w:val="21"/>
                <w:szCs w:val="21"/>
              </w:rPr>
              <w:t>/</w:t>
            </w:r>
          </w:p>
        </w:tc>
        <w:tc>
          <w:tcPr>
            <w:tcW w:w="1559" w:type="dxa"/>
            <w:vAlign w:val="center"/>
          </w:tcPr>
          <w:p>
            <w:pPr>
              <w:pStyle w:val="58"/>
              <w:spacing w:beforeLines="0" w:afterLines="0" w:line="240" w:lineRule="auto"/>
              <w:rPr>
                <w:rFonts w:ascii="Times New Roman"/>
                <w:snapToGrid w:val="0"/>
                <w:kern w:val="21"/>
                <w:szCs w:val="21"/>
              </w:rPr>
            </w:pPr>
            <w:r>
              <w:rPr>
                <w:rFonts w:hint="eastAsia" w:ascii="Times New Roman"/>
                <w:snapToGrid w:val="0"/>
                <w:kern w:val="21"/>
                <w:szCs w:val="21"/>
              </w:rPr>
              <w:t>/</w:t>
            </w:r>
          </w:p>
        </w:tc>
        <w:tc>
          <w:tcPr>
            <w:tcW w:w="1761" w:type="dxa"/>
            <w:vAlign w:val="center"/>
          </w:tcPr>
          <w:p>
            <w:pPr>
              <w:pStyle w:val="58"/>
              <w:spacing w:beforeLines="0" w:afterLines="0" w:line="240" w:lineRule="auto"/>
              <w:rPr>
                <w:rFonts w:ascii="Times New Roman"/>
                <w:snapToGrid w:val="0"/>
                <w:kern w:val="21"/>
                <w:szCs w:val="21"/>
              </w:rPr>
            </w:pPr>
            <w:r>
              <w:rPr>
                <w:rFonts w:hint="eastAsia" w:ascii="Times New Roman"/>
                <w:snapToGrid w:val="0"/>
                <w:kern w:val="21"/>
                <w:szCs w:val="21"/>
              </w:rPr>
              <w:t>/</w:t>
            </w:r>
          </w:p>
        </w:tc>
        <w:tc>
          <w:tcPr>
            <w:tcW w:w="1831" w:type="dxa"/>
            <w:vAlign w:val="center"/>
          </w:tcPr>
          <w:p>
            <w:pPr>
              <w:pStyle w:val="58"/>
              <w:spacing w:beforeLines="0" w:afterLines="0" w:line="240" w:lineRule="auto"/>
              <w:rPr>
                <w:rFonts w:ascii="Times New Roman"/>
                <w:snapToGrid w:val="0"/>
                <w:kern w:val="21"/>
                <w:szCs w:val="21"/>
              </w:rPr>
            </w:pPr>
            <w:r>
              <w:rPr>
                <w:rFonts w:hint="eastAsia" w:ascii="Times New Roman"/>
                <w:snapToGrid w:val="0"/>
                <w:kern w:val="21"/>
                <w:szCs w:val="21"/>
              </w:rPr>
              <w:t>/</w:t>
            </w:r>
          </w:p>
        </w:tc>
        <w:tc>
          <w:tcPr>
            <w:tcW w:w="954" w:type="dxa"/>
            <w:vAlign w:val="center"/>
          </w:tcPr>
          <w:p>
            <w:pPr>
              <w:pStyle w:val="58"/>
              <w:spacing w:beforeLines="0" w:afterLines="0" w:line="240" w:lineRule="auto"/>
              <w:rPr>
                <w:rFonts w:ascii="Times New Roman"/>
                <w:snapToGrid w:val="0"/>
                <w:kern w:val="21"/>
                <w:szCs w:val="21"/>
              </w:rPr>
            </w:pPr>
            <w:r>
              <w:rPr>
                <w:rFonts w:hint="eastAsia" w:ascii="Times New Roman"/>
                <w:snapToGrid w:val="0"/>
                <w:kern w:val="21"/>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Align w:val="center"/>
          </w:tcPr>
          <w:p>
            <w:pPr>
              <w:pStyle w:val="58"/>
              <w:spacing w:beforeLines="0" w:afterLines="0" w:line="240" w:lineRule="auto"/>
              <w:rPr>
                <w:rFonts w:ascii="Times New Roman"/>
                <w:snapToGrid w:val="0"/>
                <w:kern w:val="21"/>
                <w:szCs w:val="21"/>
              </w:rPr>
            </w:pPr>
            <w:r>
              <w:rPr>
                <w:rFonts w:ascii="Times New Roman"/>
                <w:snapToGrid w:val="0"/>
                <w:kern w:val="21"/>
                <w:szCs w:val="21"/>
              </w:rPr>
              <w:t>一般工业</w:t>
            </w:r>
          </w:p>
          <w:p>
            <w:pPr>
              <w:pStyle w:val="58"/>
              <w:spacing w:beforeLines="0" w:afterLines="0" w:line="240" w:lineRule="auto"/>
              <w:rPr>
                <w:rFonts w:ascii="Times New Roman"/>
                <w:snapToGrid w:val="0"/>
                <w:kern w:val="21"/>
                <w:szCs w:val="21"/>
              </w:rPr>
            </w:pPr>
            <w:r>
              <w:rPr>
                <w:rFonts w:ascii="Times New Roman"/>
                <w:snapToGrid w:val="0"/>
                <w:kern w:val="21"/>
                <w:szCs w:val="21"/>
              </w:rPr>
              <w:t>固体废物</w:t>
            </w:r>
          </w:p>
        </w:tc>
        <w:tc>
          <w:tcPr>
            <w:tcW w:w="1417" w:type="dxa"/>
            <w:vAlign w:val="center"/>
          </w:tcPr>
          <w:p>
            <w:pPr>
              <w:pStyle w:val="58"/>
              <w:spacing w:beforeLines="0" w:afterLines="0" w:line="240" w:lineRule="auto"/>
              <w:rPr>
                <w:rFonts w:ascii="Times New Roman"/>
                <w:snapToGrid w:val="0"/>
                <w:kern w:val="21"/>
                <w:szCs w:val="21"/>
              </w:rPr>
            </w:pPr>
            <w:r>
              <w:rPr>
                <w:rFonts w:hint="eastAsia" w:ascii="Times New Roman"/>
                <w:snapToGrid w:val="0"/>
                <w:kern w:val="21"/>
                <w:szCs w:val="21"/>
              </w:rPr>
              <w:t>/</w:t>
            </w:r>
          </w:p>
        </w:tc>
        <w:tc>
          <w:tcPr>
            <w:tcW w:w="1701" w:type="dxa"/>
            <w:vAlign w:val="center"/>
          </w:tcPr>
          <w:p>
            <w:pPr>
              <w:pStyle w:val="58"/>
              <w:spacing w:beforeLines="0" w:afterLines="0" w:line="240" w:lineRule="auto"/>
              <w:rPr>
                <w:rFonts w:ascii="Times New Roman"/>
                <w:snapToGrid w:val="0"/>
                <w:kern w:val="21"/>
                <w:szCs w:val="21"/>
              </w:rPr>
            </w:pPr>
            <w:r>
              <w:rPr>
                <w:rFonts w:hint="eastAsia" w:ascii="Times New Roman"/>
                <w:snapToGrid w:val="0"/>
                <w:kern w:val="21"/>
                <w:szCs w:val="21"/>
              </w:rPr>
              <w:t>/</w:t>
            </w:r>
          </w:p>
        </w:tc>
        <w:tc>
          <w:tcPr>
            <w:tcW w:w="1276" w:type="dxa"/>
            <w:vAlign w:val="center"/>
          </w:tcPr>
          <w:p>
            <w:pPr>
              <w:pStyle w:val="58"/>
              <w:spacing w:beforeLines="0" w:afterLines="0" w:line="240" w:lineRule="auto"/>
              <w:rPr>
                <w:rFonts w:ascii="Times New Roman"/>
                <w:snapToGrid w:val="0"/>
                <w:kern w:val="21"/>
                <w:szCs w:val="21"/>
              </w:rPr>
            </w:pPr>
            <w:r>
              <w:rPr>
                <w:rFonts w:hint="eastAsia" w:ascii="Times New Roman"/>
                <w:snapToGrid w:val="0"/>
                <w:kern w:val="21"/>
                <w:szCs w:val="21"/>
              </w:rPr>
              <w:t>/</w:t>
            </w:r>
          </w:p>
        </w:tc>
        <w:tc>
          <w:tcPr>
            <w:tcW w:w="1701" w:type="dxa"/>
            <w:vAlign w:val="center"/>
          </w:tcPr>
          <w:p>
            <w:pPr>
              <w:pStyle w:val="58"/>
              <w:spacing w:beforeLines="0" w:afterLines="0" w:line="240" w:lineRule="auto"/>
              <w:rPr>
                <w:rFonts w:ascii="Times New Roman"/>
                <w:snapToGrid w:val="0"/>
                <w:kern w:val="21"/>
                <w:szCs w:val="21"/>
              </w:rPr>
            </w:pPr>
            <w:r>
              <w:rPr>
                <w:rFonts w:hint="eastAsia" w:ascii="Times New Roman"/>
                <w:snapToGrid w:val="0"/>
                <w:kern w:val="21"/>
                <w:szCs w:val="21"/>
              </w:rPr>
              <w:t>/</w:t>
            </w:r>
          </w:p>
        </w:tc>
        <w:tc>
          <w:tcPr>
            <w:tcW w:w="1559" w:type="dxa"/>
            <w:vAlign w:val="center"/>
          </w:tcPr>
          <w:p>
            <w:pPr>
              <w:pStyle w:val="58"/>
              <w:spacing w:beforeLines="0" w:afterLines="0" w:line="240" w:lineRule="auto"/>
              <w:rPr>
                <w:rFonts w:ascii="Times New Roman"/>
                <w:snapToGrid w:val="0"/>
                <w:kern w:val="21"/>
                <w:szCs w:val="21"/>
              </w:rPr>
            </w:pPr>
            <w:r>
              <w:rPr>
                <w:rFonts w:hint="eastAsia" w:ascii="Times New Roman"/>
                <w:snapToGrid w:val="0"/>
                <w:kern w:val="21"/>
                <w:szCs w:val="21"/>
              </w:rPr>
              <w:t>/</w:t>
            </w:r>
          </w:p>
        </w:tc>
        <w:tc>
          <w:tcPr>
            <w:tcW w:w="1761" w:type="dxa"/>
            <w:vAlign w:val="center"/>
          </w:tcPr>
          <w:p>
            <w:pPr>
              <w:pStyle w:val="58"/>
              <w:spacing w:beforeLines="0" w:afterLines="0" w:line="240" w:lineRule="auto"/>
              <w:rPr>
                <w:rFonts w:ascii="Times New Roman"/>
                <w:snapToGrid w:val="0"/>
                <w:kern w:val="21"/>
                <w:szCs w:val="21"/>
              </w:rPr>
            </w:pPr>
            <w:r>
              <w:rPr>
                <w:rFonts w:hint="eastAsia" w:ascii="Times New Roman"/>
                <w:snapToGrid w:val="0"/>
                <w:kern w:val="21"/>
                <w:szCs w:val="21"/>
              </w:rPr>
              <w:t>/</w:t>
            </w:r>
          </w:p>
        </w:tc>
        <w:tc>
          <w:tcPr>
            <w:tcW w:w="1831" w:type="dxa"/>
            <w:vAlign w:val="center"/>
          </w:tcPr>
          <w:p>
            <w:pPr>
              <w:pStyle w:val="58"/>
              <w:spacing w:beforeLines="0" w:afterLines="0" w:line="240" w:lineRule="auto"/>
              <w:rPr>
                <w:rFonts w:ascii="Times New Roman"/>
                <w:snapToGrid w:val="0"/>
                <w:kern w:val="21"/>
                <w:szCs w:val="21"/>
              </w:rPr>
            </w:pPr>
            <w:r>
              <w:rPr>
                <w:rFonts w:hint="eastAsia" w:ascii="Times New Roman"/>
                <w:snapToGrid w:val="0"/>
                <w:kern w:val="21"/>
                <w:szCs w:val="21"/>
              </w:rPr>
              <w:t>/</w:t>
            </w:r>
          </w:p>
        </w:tc>
        <w:tc>
          <w:tcPr>
            <w:tcW w:w="954" w:type="dxa"/>
            <w:vAlign w:val="center"/>
          </w:tcPr>
          <w:p>
            <w:pPr>
              <w:pStyle w:val="58"/>
              <w:spacing w:beforeLines="0" w:afterLines="0" w:line="240" w:lineRule="auto"/>
              <w:rPr>
                <w:rFonts w:ascii="Times New Roman"/>
                <w:snapToGrid w:val="0"/>
                <w:kern w:val="21"/>
                <w:szCs w:val="21"/>
              </w:rPr>
            </w:pPr>
            <w:r>
              <w:rPr>
                <w:rFonts w:hint="eastAsia" w:ascii="Times New Roman"/>
                <w:snapToGrid w:val="0"/>
                <w:kern w:val="21"/>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Align w:val="center"/>
          </w:tcPr>
          <w:p>
            <w:pPr>
              <w:pStyle w:val="58"/>
              <w:spacing w:beforeLines="0" w:afterLines="0" w:line="240" w:lineRule="auto"/>
              <w:rPr>
                <w:rFonts w:ascii="Times New Roman"/>
                <w:snapToGrid w:val="0"/>
                <w:kern w:val="21"/>
                <w:szCs w:val="21"/>
              </w:rPr>
            </w:pPr>
            <w:r>
              <w:rPr>
                <w:rFonts w:ascii="Times New Roman"/>
                <w:snapToGrid w:val="0"/>
                <w:kern w:val="21"/>
                <w:szCs w:val="21"/>
              </w:rPr>
              <w:t>危险废物</w:t>
            </w:r>
          </w:p>
        </w:tc>
        <w:tc>
          <w:tcPr>
            <w:tcW w:w="1417" w:type="dxa"/>
            <w:vAlign w:val="center"/>
          </w:tcPr>
          <w:p>
            <w:pPr>
              <w:pStyle w:val="58"/>
              <w:spacing w:beforeLines="0" w:afterLines="0" w:line="240" w:lineRule="auto"/>
              <w:rPr>
                <w:rFonts w:ascii="Times New Roman"/>
                <w:snapToGrid w:val="0"/>
                <w:kern w:val="21"/>
                <w:szCs w:val="21"/>
              </w:rPr>
            </w:pPr>
            <w:r>
              <w:rPr>
                <w:rFonts w:hint="eastAsia" w:ascii="Times New Roman"/>
                <w:snapToGrid w:val="0"/>
                <w:kern w:val="21"/>
                <w:szCs w:val="21"/>
              </w:rPr>
              <w:t>/</w:t>
            </w:r>
          </w:p>
        </w:tc>
        <w:tc>
          <w:tcPr>
            <w:tcW w:w="1701" w:type="dxa"/>
            <w:vAlign w:val="center"/>
          </w:tcPr>
          <w:p>
            <w:pPr>
              <w:pStyle w:val="58"/>
              <w:spacing w:beforeLines="0" w:afterLines="0" w:line="240" w:lineRule="auto"/>
              <w:rPr>
                <w:rFonts w:ascii="Times New Roman"/>
                <w:snapToGrid w:val="0"/>
                <w:kern w:val="21"/>
                <w:szCs w:val="21"/>
              </w:rPr>
            </w:pPr>
            <w:r>
              <w:rPr>
                <w:rFonts w:hint="eastAsia" w:ascii="Times New Roman"/>
                <w:snapToGrid w:val="0"/>
                <w:kern w:val="21"/>
                <w:szCs w:val="21"/>
              </w:rPr>
              <w:t>/</w:t>
            </w:r>
          </w:p>
        </w:tc>
        <w:tc>
          <w:tcPr>
            <w:tcW w:w="1276" w:type="dxa"/>
            <w:vAlign w:val="center"/>
          </w:tcPr>
          <w:p>
            <w:pPr>
              <w:pStyle w:val="58"/>
              <w:spacing w:beforeLines="0" w:afterLines="0" w:line="240" w:lineRule="auto"/>
              <w:rPr>
                <w:rFonts w:ascii="Times New Roman"/>
                <w:snapToGrid w:val="0"/>
                <w:kern w:val="21"/>
                <w:szCs w:val="21"/>
              </w:rPr>
            </w:pPr>
            <w:r>
              <w:rPr>
                <w:rFonts w:hint="eastAsia" w:ascii="Times New Roman"/>
                <w:snapToGrid w:val="0"/>
                <w:kern w:val="21"/>
                <w:szCs w:val="21"/>
              </w:rPr>
              <w:t>/</w:t>
            </w:r>
          </w:p>
        </w:tc>
        <w:tc>
          <w:tcPr>
            <w:tcW w:w="1701" w:type="dxa"/>
            <w:vAlign w:val="center"/>
          </w:tcPr>
          <w:p>
            <w:pPr>
              <w:pStyle w:val="58"/>
              <w:spacing w:beforeLines="0" w:afterLines="0" w:line="240" w:lineRule="auto"/>
              <w:rPr>
                <w:rFonts w:ascii="Times New Roman"/>
                <w:snapToGrid w:val="0"/>
                <w:kern w:val="21"/>
                <w:szCs w:val="21"/>
              </w:rPr>
            </w:pPr>
            <w:r>
              <w:rPr>
                <w:rFonts w:hint="eastAsia" w:ascii="Times New Roman"/>
                <w:snapToGrid w:val="0"/>
                <w:kern w:val="21"/>
                <w:szCs w:val="21"/>
              </w:rPr>
              <w:t>/</w:t>
            </w:r>
          </w:p>
        </w:tc>
        <w:tc>
          <w:tcPr>
            <w:tcW w:w="1559" w:type="dxa"/>
            <w:vAlign w:val="center"/>
          </w:tcPr>
          <w:p>
            <w:pPr>
              <w:pStyle w:val="58"/>
              <w:spacing w:beforeLines="0" w:afterLines="0" w:line="240" w:lineRule="auto"/>
              <w:rPr>
                <w:rFonts w:ascii="Times New Roman"/>
                <w:snapToGrid w:val="0"/>
                <w:kern w:val="21"/>
                <w:szCs w:val="21"/>
              </w:rPr>
            </w:pPr>
            <w:r>
              <w:rPr>
                <w:rFonts w:hint="eastAsia" w:ascii="Times New Roman"/>
                <w:snapToGrid w:val="0"/>
                <w:kern w:val="21"/>
                <w:szCs w:val="21"/>
              </w:rPr>
              <w:t>/</w:t>
            </w:r>
          </w:p>
        </w:tc>
        <w:tc>
          <w:tcPr>
            <w:tcW w:w="1761" w:type="dxa"/>
            <w:vAlign w:val="center"/>
          </w:tcPr>
          <w:p>
            <w:pPr>
              <w:pStyle w:val="58"/>
              <w:spacing w:beforeLines="0" w:afterLines="0" w:line="240" w:lineRule="auto"/>
              <w:rPr>
                <w:rFonts w:ascii="Times New Roman"/>
                <w:snapToGrid w:val="0"/>
                <w:kern w:val="21"/>
                <w:szCs w:val="21"/>
              </w:rPr>
            </w:pPr>
            <w:r>
              <w:rPr>
                <w:rFonts w:hint="eastAsia" w:ascii="Times New Roman"/>
                <w:snapToGrid w:val="0"/>
                <w:kern w:val="21"/>
                <w:szCs w:val="21"/>
              </w:rPr>
              <w:t>/</w:t>
            </w:r>
          </w:p>
        </w:tc>
        <w:tc>
          <w:tcPr>
            <w:tcW w:w="1831" w:type="dxa"/>
            <w:vAlign w:val="center"/>
          </w:tcPr>
          <w:p>
            <w:pPr>
              <w:pStyle w:val="58"/>
              <w:spacing w:beforeLines="0" w:afterLines="0" w:line="240" w:lineRule="auto"/>
              <w:rPr>
                <w:rFonts w:ascii="Times New Roman"/>
                <w:snapToGrid w:val="0"/>
                <w:kern w:val="21"/>
                <w:szCs w:val="21"/>
              </w:rPr>
            </w:pPr>
            <w:r>
              <w:rPr>
                <w:rFonts w:hint="eastAsia" w:ascii="Times New Roman"/>
                <w:snapToGrid w:val="0"/>
                <w:kern w:val="21"/>
                <w:szCs w:val="21"/>
              </w:rPr>
              <w:t>/</w:t>
            </w:r>
          </w:p>
        </w:tc>
        <w:tc>
          <w:tcPr>
            <w:tcW w:w="954" w:type="dxa"/>
            <w:vAlign w:val="center"/>
          </w:tcPr>
          <w:p>
            <w:pPr>
              <w:pStyle w:val="58"/>
              <w:spacing w:beforeLines="0" w:afterLines="0" w:line="240" w:lineRule="auto"/>
              <w:rPr>
                <w:rFonts w:ascii="Times New Roman"/>
                <w:snapToGrid w:val="0"/>
                <w:kern w:val="21"/>
                <w:szCs w:val="21"/>
              </w:rPr>
            </w:pPr>
            <w:r>
              <w:rPr>
                <w:rFonts w:hint="eastAsia" w:ascii="Times New Roman"/>
                <w:snapToGrid w:val="0"/>
                <w:kern w:val="21"/>
                <w:szCs w:val="21"/>
              </w:rPr>
              <w:t>/</w:t>
            </w:r>
          </w:p>
        </w:tc>
      </w:tr>
    </w:tbl>
    <w:p>
      <w:pPr>
        <w:pStyle w:val="58"/>
        <w:spacing w:before="192" w:beforeLines="80" w:after="24"/>
        <w:jc w:val="left"/>
        <w:rPr>
          <w:rFonts w:hAnsi="宋体"/>
          <w:snapToGrid w:val="0"/>
          <w:spacing w:val="-6"/>
          <w:kern w:val="21"/>
          <w:szCs w:val="21"/>
        </w:rPr>
      </w:pPr>
      <w:r>
        <w:rPr>
          <w:rFonts w:hAnsi="宋体"/>
          <w:snapToGrid w:val="0"/>
          <w:kern w:val="21"/>
          <w:szCs w:val="21"/>
        </w:rPr>
        <w:t>注：</w:t>
      </w:r>
      <w:r>
        <w:rPr>
          <w:rFonts w:hAnsi="宋体"/>
          <w:snapToGrid w:val="0"/>
          <w:spacing w:val="-16"/>
          <w:kern w:val="21"/>
          <w:szCs w:val="21"/>
        </w:rPr>
        <w:fldChar w:fldCharType="begin"/>
      </w:r>
      <w:r>
        <w:rPr>
          <w:rFonts w:hAnsi="宋体"/>
          <w:snapToGrid w:val="0"/>
          <w:spacing w:val="-16"/>
          <w:kern w:val="21"/>
          <w:szCs w:val="21"/>
        </w:rPr>
        <w:instrText xml:space="preserve"> = 6 \* GB3 \* MERGEFORMAT </w:instrText>
      </w:r>
      <w:r>
        <w:rPr>
          <w:rFonts w:hAnsi="宋体"/>
          <w:snapToGrid w:val="0"/>
          <w:spacing w:val="-16"/>
          <w:kern w:val="21"/>
          <w:szCs w:val="21"/>
        </w:rPr>
        <w:fldChar w:fldCharType="separate"/>
      </w:r>
      <w:r>
        <w:rPr>
          <w:rFonts w:hint="eastAsia" w:hAnsi="宋体"/>
          <w:szCs w:val="21"/>
        </w:rPr>
        <w:t>⑥</w:t>
      </w:r>
      <w:r>
        <w:rPr>
          <w:rFonts w:hAnsi="宋体"/>
          <w:snapToGrid w:val="0"/>
          <w:spacing w:val="-16"/>
          <w:kern w:val="21"/>
          <w:szCs w:val="21"/>
        </w:rPr>
        <w:fldChar w:fldCharType="end"/>
      </w:r>
      <w:r>
        <w:rPr>
          <w:rFonts w:hAnsi="宋体"/>
          <w:snapToGrid w:val="0"/>
          <w:spacing w:val="-16"/>
          <w:kern w:val="21"/>
          <w:szCs w:val="21"/>
        </w:rPr>
        <w:t>=</w:t>
      </w:r>
      <w:r>
        <w:rPr>
          <w:rFonts w:hAnsi="宋体"/>
          <w:snapToGrid w:val="0"/>
          <w:spacing w:val="-6"/>
          <w:kern w:val="21"/>
          <w:szCs w:val="21"/>
        </w:rPr>
        <w:fldChar w:fldCharType="begin"/>
      </w:r>
      <w:r>
        <w:rPr>
          <w:rFonts w:hAnsi="宋体"/>
          <w:snapToGrid w:val="0"/>
          <w:spacing w:val="-6"/>
          <w:kern w:val="21"/>
          <w:szCs w:val="21"/>
        </w:rPr>
        <w:instrText xml:space="preserve"> = 1 \* GB3 \* MERGEFORMAT </w:instrText>
      </w:r>
      <w:r>
        <w:rPr>
          <w:rFonts w:hAnsi="宋体"/>
          <w:snapToGrid w:val="0"/>
          <w:spacing w:val="-6"/>
          <w:kern w:val="21"/>
          <w:szCs w:val="21"/>
        </w:rPr>
        <w:fldChar w:fldCharType="separate"/>
      </w:r>
      <w:r>
        <w:rPr>
          <w:rFonts w:hint="eastAsia" w:hAnsi="宋体"/>
          <w:szCs w:val="21"/>
        </w:rPr>
        <w:t>①</w:t>
      </w:r>
      <w:r>
        <w:rPr>
          <w:rFonts w:hAnsi="宋体"/>
          <w:snapToGrid w:val="0"/>
          <w:spacing w:val="-6"/>
          <w:kern w:val="21"/>
          <w:szCs w:val="21"/>
        </w:rPr>
        <w:fldChar w:fldCharType="end"/>
      </w:r>
      <w:r>
        <w:rPr>
          <w:rFonts w:hAnsi="宋体"/>
          <w:snapToGrid w:val="0"/>
          <w:spacing w:val="-6"/>
          <w:kern w:val="21"/>
          <w:szCs w:val="21"/>
        </w:rPr>
        <w:t>+</w:t>
      </w:r>
      <w:r>
        <w:rPr>
          <w:rFonts w:hAnsi="宋体"/>
          <w:snapToGrid w:val="0"/>
          <w:spacing w:val="-6"/>
          <w:kern w:val="21"/>
          <w:szCs w:val="21"/>
        </w:rPr>
        <w:fldChar w:fldCharType="begin"/>
      </w:r>
      <w:r>
        <w:rPr>
          <w:rFonts w:hAnsi="宋体"/>
          <w:snapToGrid w:val="0"/>
          <w:spacing w:val="-6"/>
          <w:kern w:val="21"/>
          <w:szCs w:val="21"/>
        </w:rPr>
        <w:instrText xml:space="preserve"> = 3 \* GB3 \* MERGEFORMAT </w:instrText>
      </w:r>
      <w:r>
        <w:rPr>
          <w:rFonts w:hAnsi="宋体"/>
          <w:snapToGrid w:val="0"/>
          <w:spacing w:val="-6"/>
          <w:kern w:val="21"/>
          <w:szCs w:val="21"/>
        </w:rPr>
        <w:fldChar w:fldCharType="separate"/>
      </w:r>
      <w:r>
        <w:rPr>
          <w:rFonts w:hint="eastAsia" w:hAnsi="宋体"/>
          <w:szCs w:val="21"/>
        </w:rPr>
        <w:t>③</w:t>
      </w:r>
      <w:r>
        <w:rPr>
          <w:rFonts w:hAnsi="宋体"/>
          <w:snapToGrid w:val="0"/>
          <w:spacing w:val="-6"/>
          <w:kern w:val="21"/>
          <w:szCs w:val="21"/>
        </w:rPr>
        <w:fldChar w:fldCharType="end"/>
      </w:r>
      <w:r>
        <w:rPr>
          <w:rFonts w:hAnsi="宋体"/>
          <w:snapToGrid w:val="0"/>
          <w:spacing w:val="-6"/>
          <w:kern w:val="21"/>
          <w:szCs w:val="21"/>
        </w:rPr>
        <w:t>+</w:t>
      </w:r>
      <w:r>
        <w:rPr>
          <w:rFonts w:hAnsi="宋体"/>
          <w:snapToGrid w:val="0"/>
          <w:spacing w:val="-6"/>
          <w:kern w:val="21"/>
          <w:szCs w:val="21"/>
        </w:rPr>
        <w:fldChar w:fldCharType="begin"/>
      </w:r>
      <w:r>
        <w:rPr>
          <w:rFonts w:hAnsi="宋体"/>
          <w:snapToGrid w:val="0"/>
          <w:spacing w:val="-6"/>
          <w:kern w:val="21"/>
          <w:szCs w:val="21"/>
        </w:rPr>
        <w:instrText xml:space="preserve"> = 4 \* GB3 \* MERGEFORMAT </w:instrText>
      </w:r>
      <w:r>
        <w:rPr>
          <w:rFonts w:hAnsi="宋体"/>
          <w:snapToGrid w:val="0"/>
          <w:spacing w:val="-6"/>
          <w:kern w:val="21"/>
          <w:szCs w:val="21"/>
        </w:rPr>
        <w:fldChar w:fldCharType="separate"/>
      </w:r>
      <w:r>
        <w:rPr>
          <w:rFonts w:hint="eastAsia" w:hAnsi="宋体"/>
          <w:szCs w:val="21"/>
        </w:rPr>
        <w:t>④</w:t>
      </w:r>
      <w:r>
        <w:rPr>
          <w:rFonts w:hAnsi="宋体"/>
          <w:snapToGrid w:val="0"/>
          <w:spacing w:val="-6"/>
          <w:kern w:val="21"/>
          <w:szCs w:val="21"/>
        </w:rPr>
        <w:fldChar w:fldCharType="end"/>
      </w:r>
      <w:r>
        <w:rPr>
          <w:rFonts w:hAnsi="宋体"/>
          <w:snapToGrid w:val="0"/>
          <w:spacing w:val="-6"/>
          <w:kern w:val="21"/>
          <w:szCs w:val="21"/>
        </w:rPr>
        <w:t>-</w:t>
      </w:r>
      <w:r>
        <w:rPr>
          <w:rFonts w:hAnsi="宋体"/>
          <w:snapToGrid w:val="0"/>
          <w:spacing w:val="-16"/>
          <w:kern w:val="21"/>
          <w:szCs w:val="21"/>
        </w:rPr>
        <w:fldChar w:fldCharType="begin"/>
      </w:r>
      <w:r>
        <w:rPr>
          <w:rFonts w:hAnsi="宋体"/>
          <w:snapToGrid w:val="0"/>
          <w:spacing w:val="-16"/>
          <w:kern w:val="21"/>
          <w:szCs w:val="21"/>
        </w:rPr>
        <w:instrText xml:space="preserve"> = 5 \* GB3 \* MERGEFORMAT </w:instrText>
      </w:r>
      <w:r>
        <w:rPr>
          <w:rFonts w:hAnsi="宋体"/>
          <w:snapToGrid w:val="0"/>
          <w:spacing w:val="-16"/>
          <w:kern w:val="21"/>
          <w:szCs w:val="21"/>
        </w:rPr>
        <w:fldChar w:fldCharType="separate"/>
      </w:r>
      <w:r>
        <w:rPr>
          <w:rFonts w:hint="eastAsia" w:hAnsi="宋体"/>
          <w:szCs w:val="21"/>
        </w:rPr>
        <w:t>⑤</w:t>
      </w:r>
      <w:r>
        <w:rPr>
          <w:rFonts w:hAnsi="宋体"/>
          <w:snapToGrid w:val="0"/>
          <w:spacing w:val="-16"/>
          <w:kern w:val="21"/>
          <w:szCs w:val="21"/>
        </w:rPr>
        <w:fldChar w:fldCharType="end"/>
      </w:r>
      <w:r>
        <w:rPr>
          <w:rFonts w:hAnsi="宋体"/>
          <w:snapToGrid w:val="0"/>
          <w:spacing w:val="-16"/>
          <w:kern w:val="21"/>
          <w:szCs w:val="21"/>
        </w:rPr>
        <w:t>；</w:t>
      </w:r>
      <w:r>
        <w:rPr>
          <w:rFonts w:hAnsi="宋体"/>
          <w:snapToGrid w:val="0"/>
          <w:spacing w:val="-6"/>
          <w:kern w:val="21"/>
          <w:szCs w:val="21"/>
        </w:rPr>
        <w:fldChar w:fldCharType="begin"/>
      </w:r>
      <w:r>
        <w:rPr>
          <w:rFonts w:hAnsi="宋体"/>
          <w:snapToGrid w:val="0"/>
          <w:spacing w:val="-6"/>
          <w:kern w:val="21"/>
          <w:szCs w:val="21"/>
        </w:rPr>
        <w:instrText xml:space="preserve"> = 7 \* GB3 \* MERGEFORMAT </w:instrText>
      </w:r>
      <w:r>
        <w:rPr>
          <w:rFonts w:hAnsi="宋体"/>
          <w:snapToGrid w:val="0"/>
          <w:spacing w:val="-6"/>
          <w:kern w:val="21"/>
          <w:szCs w:val="21"/>
        </w:rPr>
        <w:fldChar w:fldCharType="separate"/>
      </w:r>
      <w:r>
        <w:rPr>
          <w:rFonts w:hint="eastAsia" w:hAnsi="宋体"/>
          <w:szCs w:val="21"/>
        </w:rPr>
        <w:t>⑦</w:t>
      </w:r>
      <w:r>
        <w:rPr>
          <w:rFonts w:hAnsi="宋体"/>
          <w:snapToGrid w:val="0"/>
          <w:spacing w:val="-6"/>
          <w:kern w:val="21"/>
          <w:szCs w:val="21"/>
        </w:rPr>
        <w:fldChar w:fldCharType="end"/>
      </w:r>
      <w:r>
        <w:rPr>
          <w:rFonts w:hAnsi="宋体"/>
          <w:snapToGrid w:val="0"/>
          <w:spacing w:val="-6"/>
          <w:kern w:val="21"/>
          <w:szCs w:val="21"/>
        </w:rPr>
        <w:t>=</w:t>
      </w:r>
      <w:r>
        <w:rPr>
          <w:rFonts w:hAnsi="宋体"/>
          <w:snapToGrid w:val="0"/>
          <w:spacing w:val="-16"/>
          <w:kern w:val="21"/>
          <w:szCs w:val="21"/>
        </w:rPr>
        <w:fldChar w:fldCharType="begin"/>
      </w:r>
      <w:r>
        <w:rPr>
          <w:rFonts w:hAnsi="宋体"/>
          <w:snapToGrid w:val="0"/>
          <w:spacing w:val="-16"/>
          <w:kern w:val="21"/>
          <w:szCs w:val="21"/>
        </w:rPr>
        <w:instrText xml:space="preserve"> = 6 \* GB3 \* MERGEFORMAT </w:instrText>
      </w:r>
      <w:r>
        <w:rPr>
          <w:rFonts w:hAnsi="宋体"/>
          <w:snapToGrid w:val="0"/>
          <w:spacing w:val="-16"/>
          <w:kern w:val="21"/>
          <w:szCs w:val="21"/>
        </w:rPr>
        <w:fldChar w:fldCharType="separate"/>
      </w:r>
      <w:r>
        <w:rPr>
          <w:rFonts w:hint="eastAsia" w:hAnsi="宋体"/>
          <w:szCs w:val="21"/>
        </w:rPr>
        <w:t>⑥</w:t>
      </w:r>
      <w:r>
        <w:rPr>
          <w:rFonts w:hAnsi="宋体"/>
          <w:snapToGrid w:val="0"/>
          <w:spacing w:val="-16"/>
          <w:kern w:val="21"/>
          <w:szCs w:val="21"/>
        </w:rPr>
        <w:fldChar w:fldCharType="end"/>
      </w:r>
      <w:r>
        <w:rPr>
          <w:rFonts w:hAnsi="宋体"/>
          <w:snapToGrid w:val="0"/>
          <w:spacing w:val="-16"/>
          <w:kern w:val="21"/>
          <w:szCs w:val="21"/>
        </w:rPr>
        <w:t>-</w:t>
      </w:r>
      <w:r>
        <w:rPr>
          <w:rFonts w:hAnsi="宋体"/>
          <w:snapToGrid w:val="0"/>
          <w:spacing w:val="-6"/>
          <w:kern w:val="21"/>
          <w:szCs w:val="21"/>
        </w:rPr>
        <w:fldChar w:fldCharType="begin"/>
      </w:r>
      <w:r>
        <w:rPr>
          <w:rFonts w:hAnsi="宋体"/>
          <w:snapToGrid w:val="0"/>
          <w:spacing w:val="-6"/>
          <w:kern w:val="21"/>
          <w:szCs w:val="21"/>
        </w:rPr>
        <w:instrText xml:space="preserve"> = 1 \* GB3 \* MERGEFORMAT </w:instrText>
      </w:r>
      <w:r>
        <w:rPr>
          <w:rFonts w:hAnsi="宋体"/>
          <w:snapToGrid w:val="0"/>
          <w:spacing w:val="-6"/>
          <w:kern w:val="21"/>
          <w:szCs w:val="21"/>
        </w:rPr>
        <w:fldChar w:fldCharType="separate"/>
      </w:r>
      <w:r>
        <w:rPr>
          <w:rFonts w:hint="eastAsia" w:hAnsi="宋体"/>
          <w:szCs w:val="21"/>
        </w:rPr>
        <w:t>①</w:t>
      </w:r>
      <w:r>
        <w:rPr>
          <w:rFonts w:hAnsi="宋体"/>
          <w:snapToGrid w:val="0"/>
          <w:spacing w:val="-6"/>
          <w:kern w:val="21"/>
          <w:szCs w:val="21"/>
        </w:rPr>
        <w:fldChar w:fldCharType="end"/>
      </w:r>
    </w:p>
    <w:p/>
    <w:p>
      <w:pPr>
        <w:sectPr>
          <w:footerReference r:id="rId6" w:type="default"/>
          <w:pgSz w:w="16838" w:h="11906" w:orient="landscape"/>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pPr>
        <w:widowControl/>
        <w:spacing w:before="163" w:beforeLines="50"/>
        <w:ind w:firstLine="480" w:firstLineChars="200"/>
        <w:jc w:val="center"/>
        <w:rPr>
          <w:rFonts w:eastAsia="黑体"/>
          <w:color w:val="FF0000"/>
          <w:sz w:val="24"/>
        </w:rPr>
      </w:pPr>
    </w:p>
    <w:p>
      <w:pPr>
        <w:spacing w:line="300" w:lineRule="exact"/>
      </w:pPr>
      <w:r>
        <w:rPr>
          <w:rFonts w:hint="eastAsia"/>
          <w:b/>
          <w:sz w:val="28"/>
          <w:szCs w:val="28"/>
        </w:rPr>
        <w:t>附件</w:t>
      </w:r>
      <w:r>
        <w:rPr>
          <w:b/>
          <w:sz w:val="28"/>
          <w:szCs w:val="28"/>
        </w:rPr>
        <w:t xml:space="preserve">1  </w:t>
      </w:r>
      <w:r>
        <w:rPr>
          <w:rFonts w:hint="eastAsia"/>
          <w:b/>
          <w:sz w:val="28"/>
          <w:szCs w:val="28"/>
        </w:rPr>
        <w:t>环评委托书</w:t>
      </w:r>
    </w:p>
    <w:p>
      <w:pPr>
        <w:tabs>
          <w:tab w:val="left" w:pos="616"/>
        </w:tabs>
        <w:bidi w:val="0"/>
        <w:jc w:val="center"/>
        <w:rPr>
          <w:rFonts w:hint="eastAsia"/>
          <w:lang w:eastAsia="zh-CN"/>
        </w:rPr>
        <w:sectPr>
          <w:footerReference r:id="rId7" w:type="default"/>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r>
        <w:rPr>
          <w:rFonts w:hint="eastAsia"/>
          <w:lang w:eastAsia="zh-CN"/>
        </w:rPr>
        <w:drawing>
          <wp:inline distT="0" distB="0" distL="114300" distR="114300">
            <wp:extent cx="4935220" cy="7760970"/>
            <wp:effectExtent l="0" t="0" r="17780" b="11430"/>
            <wp:docPr id="3" name="图片 3" descr="cd0a038f7d92975ba574a3bfc1c5d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d0a038f7d92975ba574a3bfc1c5d05"/>
                    <pic:cNvPicPr>
                      <a:picLocks noChangeAspect="1"/>
                    </pic:cNvPicPr>
                  </pic:nvPicPr>
                  <pic:blipFill>
                    <a:blip r:embed="rId23"/>
                    <a:stretch>
                      <a:fillRect/>
                    </a:stretch>
                  </pic:blipFill>
                  <pic:spPr>
                    <a:xfrm rot="10800000">
                      <a:off x="0" y="0"/>
                      <a:ext cx="4935220" cy="7760970"/>
                    </a:xfrm>
                    <a:prstGeom prst="rect">
                      <a:avLst/>
                    </a:prstGeom>
                  </pic:spPr>
                </pic:pic>
              </a:graphicData>
            </a:graphic>
          </wp:inline>
        </w:drawing>
      </w:r>
    </w:p>
    <w:p>
      <w:pPr>
        <w:tabs>
          <w:tab w:val="left" w:pos="616"/>
        </w:tabs>
        <w:bidi w:val="0"/>
        <w:jc w:val="left"/>
        <w:rPr>
          <w:b/>
          <w:bCs/>
          <w:sz w:val="28"/>
          <w:szCs w:val="28"/>
        </w:rPr>
      </w:pPr>
      <w:r>
        <w:rPr>
          <w:rFonts w:hint="eastAsia"/>
          <w:b/>
          <w:bCs/>
          <w:sz w:val="28"/>
          <w:szCs w:val="28"/>
        </w:rPr>
        <w:t>附件2   用地文件</w:t>
      </w:r>
    </w:p>
    <w:p>
      <w:pPr>
        <w:pStyle w:val="39"/>
        <w:sectPr>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r>
        <w:drawing>
          <wp:inline distT="0" distB="0" distL="114300" distR="114300">
            <wp:extent cx="8515985" cy="5161280"/>
            <wp:effectExtent l="0" t="0" r="18415" b="1270"/>
            <wp:docPr id="4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
                    <pic:cNvPicPr>
                      <a:picLocks noChangeAspect="1"/>
                    </pic:cNvPicPr>
                  </pic:nvPicPr>
                  <pic:blipFill>
                    <a:blip r:embed="rId24"/>
                    <a:stretch>
                      <a:fillRect/>
                    </a:stretch>
                  </pic:blipFill>
                  <pic:spPr>
                    <a:xfrm>
                      <a:off x="0" y="0"/>
                      <a:ext cx="8515985" cy="5161280"/>
                    </a:xfrm>
                    <a:prstGeom prst="rect">
                      <a:avLst/>
                    </a:prstGeom>
                    <a:noFill/>
                    <a:ln>
                      <a:noFill/>
                    </a:ln>
                  </pic:spPr>
                </pic:pic>
              </a:graphicData>
            </a:graphic>
          </wp:inline>
        </w:drawing>
      </w:r>
    </w:p>
    <w:p>
      <w:pPr>
        <w:pStyle w:val="12"/>
      </w:pPr>
      <w:r>
        <w:rPr>
          <w:rFonts w:hint="eastAsia"/>
          <w:b/>
          <w:bCs/>
          <w:sz w:val="28"/>
          <w:szCs w:val="28"/>
        </w:rPr>
        <w:t>附件3  现状监测报告</w:t>
      </w:r>
    </w:p>
    <w:p>
      <w:pPr>
        <w:pStyle w:val="12"/>
      </w:pPr>
      <w:r>
        <w:drawing>
          <wp:inline distT="0" distB="0" distL="114300" distR="114300">
            <wp:extent cx="5594350" cy="8025765"/>
            <wp:effectExtent l="0" t="0" r="6350" b="13335"/>
            <wp:docPr id="1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
                    <pic:cNvPicPr>
                      <a:picLocks noChangeAspect="1"/>
                    </pic:cNvPicPr>
                  </pic:nvPicPr>
                  <pic:blipFill>
                    <a:blip r:embed="rId25"/>
                    <a:stretch>
                      <a:fillRect/>
                    </a:stretch>
                  </pic:blipFill>
                  <pic:spPr>
                    <a:xfrm>
                      <a:off x="0" y="0"/>
                      <a:ext cx="5594350" cy="8025765"/>
                    </a:xfrm>
                    <a:prstGeom prst="rect">
                      <a:avLst/>
                    </a:prstGeom>
                    <a:noFill/>
                    <a:ln>
                      <a:noFill/>
                    </a:ln>
                  </pic:spPr>
                </pic:pic>
              </a:graphicData>
            </a:graphic>
          </wp:inline>
        </w:drawing>
      </w:r>
    </w:p>
    <w:p>
      <w:pPr>
        <w:pStyle w:val="20"/>
        <w:rPr>
          <w:rFonts w:hint="eastAsia" w:eastAsia="宋体"/>
          <w:lang w:eastAsia="zh-CN"/>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r>
        <w:drawing>
          <wp:inline distT="0" distB="0" distL="114300" distR="114300">
            <wp:extent cx="5594350" cy="8168005"/>
            <wp:effectExtent l="0" t="0" r="6350" b="4445"/>
            <wp:docPr id="1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3"/>
                    <pic:cNvPicPr>
                      <a:picLocks noChangeAspect="1"/>
                    </pic:cNvPicPr>
                  </pic:nvPicPr>
                  <pic:blipFill>
                    <a:blip r:embed="rId26"/>
                    <a:stretch>
                      <a:fillRect/>
                    </a:stretch>
                  </pic:blipFill>
                  <pic:spPr>
                    <a:xfrm>
                      <a:off x="0" y="0"/>
                      <a:ext cx="5594350" cy="8168005"/>
                    </a:xfrm>
                    <a:prstGeom prst="rect">
                      <a:avLst/>
                    </a:prstGeom>
                    <a:noFill/>
                    <a:ln>
                      <a:noFill/>
                    </a:ln>
                  </pic:spPr>
                </pic:pic>
              </a:graphicData>
            </a:graphic>
          </wp:inline>
        </w:drawing>
      </w:r>
      <w:r>
        <w:drawing>
          <wp:inline distT="0" distB="0" distL="114300" distR="114300">
            <wp:extent cx="5594350" cy="8382635"/>
            <wp:effectExtent l="0" t="0" r="6350" b="18415"/>
            <wp:docPr id="1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4"/>
                    <pic:cNvPicPr>
                      <a:picLocks noChangeAspect="1"/>
                    </pic:cNvPicPr>
                  </pic:nvPicPr>
                  <pic:blipFill>
                    <a:blip r:embed="rId27"/>
                    <a:stretch>
                      <a:fillRect/>
                    </a:stretch>
                  </pic:blipFill>
                  <pic:spPr>
                    <a:xfrm>
                      <a:off x="0" y="0"/>
                      <a:ext cx="5594350" cy="8382635"/>
                    </a:xfrm>
                    <a:prstGeom prst="rect">
                      <a:avLst/>
                    </a:prstGeom>
                    <a:noFill/>
                    <a:ln>
                      <a:noFill/>
                    </a:ln>
                  </pic:spPr>
                </pic:pic>
              </a:graphicData>
            </a:graphic>
          </wp:inline>
        </w:drawing>
      </w:r>
      <w:r>
        <w:drawing>
          <wp:inline distT="0" distB="0" distL="114300" distR="114300">
            <wp:extent cx="5594350" cy="8501380"/>
            <wp:effectExtent l="0" t="0" r="6350" b="13970"/>
            <wp:docPr id="1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5"/>
                    <pic:cNvPicPr>
                      <a:picLocks noChangeAspect="1"/>
                    </pic:cNvPicPr>
                  </pic:nvPicPr>
                  <pic:blipFill>
                    <a:blip r:embed="rId28"/>
                    <a:stretch>
                      <a:fillRect/>
                    </a:stretch>
                  </pic:blipFill>
                  <pic:spPr>
                    <a:xfrm>
                      <a:off x="0" y="0"/>
                      <a:ext cx="5594350" cy="8501380"/>
                    </a:xfrm>
                    <a:prstGeom prst="rect">
                      <a:avLst/>
                    </a:prstGeom>
                    <a:noFill/>
                    <a:ln>
                      <a:noFill/>
                    </a:ln>
                  </pic:spPr>
                </pic:pic>
              </a:graphicData>
            </a:graphic>
          </wp:inline>
        </w:drawing>
      </w:r>
      <w:r>
        <w:drawing>
          <wp:inline distT="0" distB="0" distL="114300" distR="114300">
            <wp:extent cx="5594350" cy="8389620"/>
            <wp:effectExtent l="0" t="0" r="6350" b="11430"/>
            <wp:docPr id="1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6"/>
                    <pic:cNvPicPr>
                      <a:picLocks noChangeAspect="1"/>
                    </pic:cNvPicPr>
                  </pic:nvPicPr>
                  <pic:blipFill>
                    <a:blip r:embed="rId29"/>
                    <a:stretch>
                      <a:fillRect/>
                    </a:stretch>
                  </pic:blipFill>
                  <pic:spPr>
                    <a:xfrm>
                      <a:off x="0" y="0"/>
                      <a:ext cx="5594350" cy="8389620"/>
                    </a:xfrm>
                    <a:prstGeom prst="rect">
                      <a:avLst/>
                    </a:prstGeom>
                    <a:noFill/>
                    <a:ln>
                      <a:noFill/>
                    </a:ln>
                  </pic:spPr>
                </pic:pic>
              </a:graphicData>
            </a:graphic>
          </wp:inline>
        </w:drawing>
      </w:r>
      <w:r>
        <w:drawing>
          <wp:inline distT="0" distB="0" distL="114300" distR="114300">
            <wp:extent cx="5594350" cy="8406765"/>
            <wp:effectExtent l="0" t="0" r="6350" b="13335"/>
            <wp:docPr id="1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7"/>
                    <pic:cNvPicPr>
                      <a:picLocks noChangeAspect="1"/>
                    </pic:cNvPicPr>
                  </pic:nvPicPr>
                  <pic:blipFill>
                    <a:blip r:embed="rId30"/>
                    <a:stretch>
                      <a:fillRect/>
                    </a:stretch>
                  </pic:blipFill>
                  <pic:spPr>
                    <a:xfrm>
                      <a:off x="0" y="0"/>
                      <a:ext cx="5594350" cy="8406765"/>
                    </a:xfrm>
                    <a:prstGeom prst="rect">
                      <a:avLst/>
                    </a:prstGeom>
                    <a:noFill/>
                    <a:ln>
                      <a:noFill/>
                    </a:ln>
                  </pic:spPr>
                </pic:pic>
              </a:graphicData>
            </a:graphic>
          </wp:inline>
        </w:drawing>
      </w:r>
    </w:p>
    <w:p>
      <w:pPr>
        <w:pStyle w:val="30"/>
        <w:ind w:left="0" w:leftChars="0" w:firstLine="0" w:firstLineChars="0"/>
        <w:rPr>
          <w:b/>
          <w:bCs/>
          <w:sz w:val="28"/>
          <w:szCs w:val="28"/>
        </w:rPr>
      </w:pPr>
      <w:r>
        <w:rPr>
          <w:rFonts w:hint="eastAsia"/>
          <w:b/>
          <w:bCs/>
          <w:sz w:val="28"/>
          <w:szCs w:val="28"/>
        </w:rPr>
        <w:t>附图1    项目地理位置图</w:t>
      </w:r>
    </w:p>
    <w:p>
      <w:pPr>
        <w:pStyle w:val="30"/>
        <w:ind w:left="0" w:leftChars="0" w:firstLine="0" w:firstLineChars="0"/>
        <w:rPr>
          <w:rFonts w:hint="eastAsia" w:eastAsia="宋体"/>
          <w:b/>
          <w:bCs/>
          <w:sz w:val="28"/>
          <w:szCs w:val="28"/>
          <w:lang w:eastAsia="zh-CN"/>
        </w:rPr>
      </w:pPr>
      <w:r>
        <w:drawing>
          <wp:anchor distT="0" distB="0" distL="114300" distR="114300" simplePos="0" relativeHeight="251666432" behindDoc="0" locked="0" layoutInCell="1" allowOverlap="1">
            <wp:simplePos x="0" y="0"/>
            <wp:positionH relativeFrom="column">
              <wp:posOffset>31115</wp:posOffset>
            </wp:positionH>
            <wp:positionV relativeFrom="paragraph">
              <wp:posOffset>31750</wp:posOffset>
            </wp:positionV>
            <wp:extent cx="1400175" cy="1514475"/>
            <wp:effectExtent l="0" t="0" r="9525" b="9525"/>
            <wp:wrapNone/>
            <wp:docPr id="49" name="图片 49" descr="阜康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阜康市"/>
                    <pic:cNvPicPr>
                      <a:picLocks noChangeAspect="1"/>
                    </pic:cNvPicPr>
                  </pic:nvPicPr>
                  <pic:blipFill>
                    <a:blip r:embed="rId31"/>
                    <a:stretch>
                      <a:fillRect/>
                    </a:stretch>
                  </pic:blipFill>
                  <pic:spPr>
                    <a:xfrm>
                      <a:off x="0" y="0"/>
                      <a:ext cx="1400175" cy="1514475"/>
                    </a:xfrm>
                    <a:prstGeom prst="rect">
                      <a:avLst/>
                    </a:prstGeom>
                  </pic:spPr>
                </pic:pic>
              </a:graphicData>
            </a:graphic>
          </wp:anchor>
        </w:drawing>
      </w:r>
      <w:r>
        <w:rPr>
          <w:rFonts w:hint="eastAsia" w:eastAsia="宋体"/>
          <w:b/>
          <w:bCs/>
          <w:sz w:val="28"/>
          <w:szCs w:val="28"/>
          <w:lang w:eastAsia="zh-CN"/>
        </w:rPr>
        <w:drawing>
          <wp:anchor distT="0" distB="0" distL="114300" distR="114300" simplePos="0" relativeHeight="251677696" behindDoc="1" locked="0" layoutInCell="1" allowOverlap="1">
            <wp:simplePos x="0" y="0"/>
            <wp:positionH relativeFrom="column">
              <wp:posOffset>0</wp:posOffset>
            </wp:positionH>
            <wp:positionV relativeFrom="paragraph">
              <wp:posOffset>0</wp:posOffset>
            </wp:positionV>
            <wp:extent cx="5615305" cy="7945755"/>
            <wp:effectExtent l="0" t="0" r="4445" b="17145"/>
            <wp:wrapNone/>
            <wp:docPr id="17" name="图片 17" descr="新疆地图册_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新疆地图册_116"/>
                    <pic:cNvPicPr>
                      <a:picLocks noChangeAspect="1"/>
                    </pic:cNvPicPr>
                  </pic:nvPicPr>
                  <pic:blipFill>
                    <a:blip r:embed="rId32"/>
                    <a:stretch>
                      <a:fillRect/>
                    </a:stretch>
                  </pic:blipFill>
                  <pic:spPr>
                    <a:xfrm>
                      <a:off x="0" y="0"/>
                      <a:ext cx="5615305" cy="7945755"/>
                    </a:xfrm>
                    <a:prstGeom prst="rect">
                      <a:avLst/>
                    </a:prstGeom>
                  </pic:spPr>
                </pic:pic>
              </a:graphicData>
            </a:graphic>
          </wp:anchor>
        </w:drawing>
      </w:r>
    </w:p>
    <w:p>
      <w:p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r>
        <mc:AlternateContent>
          <mc:Choice Requires="wps">
            <w:drawing>
              <wp:anchor distT="0" distB="0" distL="114300" distR="114300" simplePos="0" relativeHeight="251660288" behindDoc="0" locked="0" layoutInCell="1" allowOverlap="1">
                <wp:simplePos x="0" y="0"/>
                <wp:positionH relativeFrom="column">
                  <wp:posOffset>3568065</wp:posOffset>
                </wp:positionH>
                <wp:positionV relativeFrom="paragraph">
                  <wp:posOffset>2756535</wp:posOffset>
                </wp:positionV>
                <wp:extent cx="841375" cy="340360"/>
                <wp:effectExtent l="4445" t="5080" r="106680" b="1102360"/>
                <wp:wrapNone/>
                <wp:docPr id="6" name="自选图形 9"/>
                <wp:cNvGraphicFramePr/>
                <a:graphic xmlns:a="http://schemas.openxmlformats.org/drawingml/2006/main">
                  <a:graphicData uri="http://schemas.microsoft.com/office/word/2010/wordprocessingShape">
                    <wps:wsp>
                      <wps:cNvSpPr/>
                      <wps:spPr>
                        <a:xfrm>
                          <a:off x="0" y="0"/>
                          <a:ext cx="841375" cy="340360"/>
                        </a:xfrm>
                        <a:prstGeom prst="wedgeEllipseCallout">
                          <a:avLst>
                            <a:gd name="adj1" fmla="val 58528"/>
                            <a:gd name="adj2" fmla="val 359888"/>
                          </a:avLst>
                        </a:prstGeom>
                        <a:solidFill>
                          <a:srgbClr val="FFFFFF"/>
                        </a:solidFill>
                        <a:ln w="9525" cap="flat" cmpd="sng">
                          <a:solidFill>
                            <a:srgbClr val="000000"/>
                          </a:solidFill>
                          <a:prstDash val="solid"/>
                          <a:miter/>
                          <a:headEnd type="none" w="med" len="med"/>
                          <a:tailEnd type="none" w="med" len="med"/>
                        </a:ln>
                        <a:effectLst/>
                      </wps:spPr>
                      <wps:txbx>
                        <w:txbxContent>
                          <w:p>
                            <w:pPr>
                              <w:rPr>
                                <w:b/>
                                <w:bCs/>
                              </w:rPr>
                            </w:pPr>
                            <w:r>
                              <w:rPr>
                                <w:rFonts w:hint="eastAsia"/>
                                <w:b/>
                                <w:bCs/>
                              </w:rPr>
                              <w:t>项目区</w:t>
                            </w:r>
                          </w:p>
                        </w:txbxContent>
                      </wps:txbx>
                      <wps:bodyPr vert="horz" wrap="square" anchor="t" anchorCtr="0" upright="1"/>
                    </wps:wsp>
                  </a:graphicData>
                </a:graphic>
              </wp:anchor>
            </w:drawing>
          </mc:Choice>
          <mc:Fallback>
            <w:pict>
              <v:shape id="自选图形 9" o:spid="_x0000_s1026" o:spt="63" type="#_x0000_t63" style="position:absolute;left:0pt;margin-left:280.95pt;margin-top:217.05pt;height:26.8pt;width:66.25pt;z-index:251660288;mso-width-relative:page;mso-height-relative:page;" fillcolor="#FFFFFF" filled="t" stroked="t" coordsize="21600,21600" o:gfxdata="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JP7cNvZAAAACwEAAA8AAAAAAAAAAQAgAAAAIgAAAGRycy9kb3ducmV2LnhtbFBLAQIUABQA&#10;AAAIAIdO4kAgozi8YQIAANAEAAAOAAAAAAAAAAEAIAAAACgBAABkcnMvZTJvRG9jLnhtbFBLBQYA&#10;AAAABgAGAFkBAAD7BQAAAAA=&#10;" adj="23442,88536">
                <v:fill on="t" focussize="0,0"/>
                <v:stroke color="#000000" joinstyle="miter"/>
                <v:imagedata o:title=""/>
                <o:lock v:ext="edit" aspectratio="f"/>
                <v:textbox>
                  <w:txbxContent>
                    <w:p>
                      <w:pPr>
                        <w:rPr>
                          <w:b/>
                          <w:bCs/>
                        </w:rPr>
                      </w:pPr>
                      <w:r>
                        <w:rPr>
                          <w:rFonts w:hint="eastAsia"/>
                          <w:b/>
                          <w:bCs/>
                        </w:rPr>
                        <w:t>项目区</w:t>
                      </w:r>
                    </w:p>
                  </w:txbxContent>
                </v:textbox>
              </v:shape>
            </w:pict>
          </mc:Fallback>
        </mc:AlternateContent>
      </w:r>
      <w:r>
        <mc:AlternateContent>
          <mc:Choice Requires="wps">
            <w:drawing>
              <wp:anchor distT="0" distB="0" distL="114300" distR="114300" simplePos="0" relativeHeight="251659264" behindDoc="0" locked="0" layoutInCell="1" allowOverlap="1">
                <wp:simplePos x="0" y="0"/>
                <wp:positionH relativeFrom="column">
                  <wp:posOffset>4446270</wp:posOffset>
                </wp:positionH>
                <wp:positionV relativeFrom="paragraph">
                  <wp:posOffset>4113530</wp:posOffset>
                </wp:positionV>
                <wp:extent cx="75565" cy="75565"/>
                <wp:effectExtent l="13970" t="15875" r="24765" b="22860"/>
                <wp:wrapNone/>
                <wp:docPr id="5" name="自选图形 8"/>
                <wp:cNvGraphicFramePr/>
                <a:graphic xmlns:a="http://schemas.openxmlformats.org/drawingml/2006/main">
                  <a:graphicData uri="http://schemas.microsoft.com/office/word/2010/wordprocessingShape">
                    <wps:wsp>
                      <wps:cNvSpPr/>
                      <wps:spPr>
                        <a:xfrm>
                          <a:off x="0" y="0"/>
                          <a:ext cx="75565" cy="75565"/>
                        </a:xfrm>
                        <a:prstGeom prst="star5">
                          <a:avLst/>
                        </a:prstGeom>
                        <a:solidFill>
                          <a:srgbClr val="FF0000"/>
                        </a:solidFill>
                        <a:ln w="6350" cap="flat" cmpd="sng">
                          <a:solidFill>
                            <a:srgbClr val="000000"/>
                          </a:solidFill>
                          <a:prstDash val="solid"/>
                          <a:miter/>
                          <a:headEnd type="none" w="med" len="med"/>
                          <a:tailEnd type="none" w="med" len="med"/>
                        </a:ln>
                        <a:effectLst/>
                      </wps:spPr>
                      <wps:bodyPr vert="horz" wrap="square" anchor="t" anchorCtr="0" upright="1"/>
                    </wps:wsp>
                  </a:graphicData>
                </a:graphic>
              </wp:anchor>
            </w:drawing>
          </mc:Choice>
          <mc:Fallback>
            <w:pict>
              <v:shape id="自选图形 8" o:spid="_x0000_s1026" style="position:absolute;left:0pt;margin-left:350.1pt;margin-top:323.9pt;height:5.95pt;width:5.95pt;z-index:251659264;mso-width-relative:page;mso-height-relative:page;" fillcolor="#FF0000" filled="t" stroked="t" coordsize="75565,75565" o:gfxdata="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PKRGFfbAAAACwEAAA8AAAAAAAAAAQAgAAAAIgAAAGRycy9kb3ducmV2LnhtbFBLAQIUABQA&#10;AAAIAIdO4kCNnnd/JgIAAGMEAAAOAAAAAAAAAAEAIAAAACoBAABkcnMvZTJvRG9jLnhtbFBLBQYA&#10;AAAABgAGAFkBAADCBQAAAAA=&#10;" path="m0,28863l28863,28863,37782,0,46701,28863,75564,28863,52213,46701,61133,75564,37782,57726,14431,75564,23351,46701xe">
                <v:path o:connectlocs="37782,0;0,28863;14431,75564;61133,75564;75564,28863" o:connectangles="247,164,82,82,0"/>
                <v:fill on="t" focussize="0,0"/>
                <v:stroke weight="0.5pt" color="#000000" joinstyle="miter"/>
                <v:imagedata o:title=""/>
                <o:lock v:ext="edit" aspectratio="f"/>
              </v:shape>
            </w:pict>
          </mc:Fallback>
        </mc:AlternateContent>
      </w:r>
    </w:p>
    <w:p>
      <w:pPr>
        <w:pStyle w:val="30"/>
        <w:ind w:left="0" w:leftChars="0" w:firstLine="0" w:firstLineChars="0"/>
        <w:rPr>
          <w:b/>
          <w:bCs/>
          <w:sz w:val="28"/>
          <w:szCs w:val="28"/>
        </w:rPr>
      </w:pPr>
      <w:r>
        <w:rPr>
          <w:sz w:val="21"/>
        </w:rPr>
        <mc:AlternateContent>
          <mc:Choice Requires="wps">
            <w:drawing>
              <wp:anchor distT="0" distB="0" distL="114300" distR="114300" simplePos="0" relativeHeight="251679744" behindDoc="0" locked="0" layoutInCell="1" allowOverlap="1">
                <wp:simplePos x="0" y="0"/>
                <wp:positionH relativeFrom="column">
                  <wp:posOffset>320040</wp:posOffset>
                </wp:positionH>
                <wp:positionV relativeFrom="paragraph">
                  <wp:posOffset>293370</wp:posOffset>
                </wp:positionV>
                <wp:extent cx="7769860" cy="5306695"/>
                <wp:effectExtent l="13970" t="13970" r="26670" b="32385"/>
                <wp:wrapNone/>
                <wp:docPr id="21" name="矩形 21"/>
                <wp:cNvGraphicFramePr/>
                <a:graphic xmlns:a="http://schemas.openxmlformats.org/drawingml/2006/main">
                  <a:graphicData uri="http://schemas.microsoft.com/office/word/2010/wordprocessingShape">
                    <wps:wsp>
                      <wps:cNvSpPr/>
                      <wps:spPr>
                        <a:xfrm>
                          <a:off x="1400175" y="1224915"/>
                          <a:ext cx="7769860" cy="5306695"/>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5.2pt;margin-top:23.1pt;height:417.85pt;width:611.8pt;z-index:251679744;v-text-anchor:middle;mso-width-relative:page;mso-height-relative:page;" filled="f" stroked="t" coordsize="21600,21600" o:gfxdata="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6E+5ztkAAAAKAQAADwAAAAAAAAABACAAAAAiAAAAZHJzL2Rvd25yZXYueG1s&#10;UEsBAhQAFAAAAAgAh07iQDUDLHhpAgAAwwQAAA4AAAAAAAAAAQAgAAAAKAEAAGRycy9lMm9Eb2Mu&#10;eG1sUEsFBgAAAAAGAAYAWQEAAAMGAAAAAA==&#10;">
                <v:fill on="f" focussize="0,0"/>
                <v:stroke weight="2.25pt" color="#000000 [3213]" joinstyle="round"/>
                <v:imagedata o:title=""/>
                <o:lock v:ext="edit" aspectratio="f"/>
              </v:rect>
            </w:pict>
          </mc:Fallback>
        </mc:AlternateContent>
      </w:r>
      <w:r>
        <w:drawing>
          <wp:anchor distT="0" distB="0" distL="114300" distR="114300" simplePos="0" relativeHeight="251667456" behindDoc="0" locked="0" layoutInCell="1" allowOverlap="1">
            <wp:simplePos x="0" y="0"/>
            <wp:positionH relativeFrom="column">
              <wp:posOffset>346710</wp:posOffset>
            </wp:positionH>
            <wp:positionV relativeFrom="paragraph">
              <wp:posOffset>281940</wp:posOffset>
            </wp:positionV>
            <wp:extent cx="1400175" cy="1514475"/>
            <wp:effectExtent l="0" t="0" r="9525" b="9525"/>
            <wp:wrapNone/>
            <wp:docPr id="50" name="图片 50" descr="阜康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阜康市"/>
                    <pic:cNvPicPr>
                      <a:picLocks noChangeAspect="1"/>
                    </pic:cNvPicPr>
                  </pic:nvPicPr>
                  <pic:blipFill>
                    <a:blip r:embed="rId31"/>
                    <a:stretch>
                      <a:fillRect/>
                    </a:stretch>
                  </pic:blipFill>
                  <pic:spPr>
                    <a:xfrm>
                      <a:off x="0" y="0"/>
                      <a:ext cx="1400175" cy="1514475"/>
                    </a:xfrm>
                    <a:prstGeom prst="rect">
                      <a:avLst/>
                    </a:prstGeom>
                  </pic:spPr>
                </pic:pic>
              </a:graphicData>
            </a:graphic>
          </wp:anchor>
        </w:drawing>
      </w:r>
      <w:r>
        <w:rPr>
          <w:rFonts w:hint="eastAsia"/>
          <w:b/>
          <w:bCs/>
          <w:sz w:val="28"/>
          <w:szCs w:val="28"/>
        </w:rPr>
        <w:t>附图2    项目卫星影像图</w:t>
      </w:r>
    </w:p>
    <w:p>
      <w:pPr>
        <w:pStyle w:val="12"/>
        <w:jc w:val="center"/>
        <w:sectPr>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r>
        <w:rPr>
          <w:sz w:val="28"/>
        </w:rPr>
        <mc:AlternateContent>
          <mc:Choice Requires="wps">
            <w:drawing>
              <wp:anchor distT="0" distB="0" distL="114300" distR="114300" simplePos="0" relativeHeight="251665408" behindDoc="0" locked="0" layoutInCell="1" allowOverlap="1">
                <wp:simplePos x="0" y="0"/>
                <wp:positionH relativeFrom="column">
                  <wp:posOffset>2415540</wp:posOffset>
                </wp:positionH>
                <wp:positionV relativeFrom="paragraph">
                  <wp:posOffset>2106930</wp:posOffset>
                </wp:positionV>
                <wp:extent cx="914400" cy="914400"/>
                <wp:effectExtent l="0" t="0" r="0" b="0"/>
                <wp:wrapNone/>
                <wp:docPr id="43" name="文本框 43"/>
                <wp:cNvGraphicFramePr/>
                <a:graphic xmlns:a="http://schemas.openxmlformats.org/drawingml/2006/main">
                  <a:graphicData uri="http://schemas.microsoft.com/office/word/2010/wordprocessingShape">
                    <wps:wsp>
                      <wps:cNvSpPr txBox="1"/>
                      <wps:spPr>
                        <a:xfrm>
                          <a:off x="2207895" y="488315"/>
                          <a:ext cx="914400" cy="9144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color w:val="FF0000"/>
                              </w:rPr>
                            </w:pPr>
                            <w:r>
                              <w:rPr>
                                <w:rFonts w:hint="eastAsia"/>
                                <w:color w:val="FF0000"/>
                              </w:rPr>
                              <w:t>项目区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0.2pt;margin-top:165.9pt;height:72pt;width:72pt;z-index:251665408;mso-width-relative:page;mso-height-relative:page;" filled="f" stroked="f" coordsize="21600,21600" o:gfxdata="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QTQSUtwAAAALAQAADwAAAAAAAAABACAA&#10;AAAiAAAAZHJzL2Rvd25yZXYueG1sUEsBAhQAFAAAAAgAh07iQBQPJx5CAgAAcgQAAA4AAAAAAAAA&#10;AQAgAAAAKwEAAGRycy9lMm9Eb2MueG1sUEsFBgAAAAAGAAYAWQEAAN8FAAAAAA==&#10;">
                <v:fill on="f" focussize="0,0"/>
                <v:stroke on="f" weight="0.5pt"/>
                <v:imagedata o:title=""/>
                <o:lock v:ext="edit" aspectratio="f"/>
                <v:textbox>
                  <w:txbxContent>
                    <w:p>
                      <w:pPr>
                        <w:rPr>
                          <w:color w:val="FF0000"/>
                        </w:rPr>
                      </w:pPr>
                      <w:r>
                        <w:rPr>
                          <w:rFonts w:hint="eastAsia"/>
                          <w:color w:val="FF0000"/>
                        </w:rPr>
                        <w:t>项目区</w:t>
                      </w:r>
                    </w:p>
                  </w:txbxContent>
                </v:textbox>
              </v:shape>
            </w:pict>
          </mc:Fallback>
        </mc:AlternateContent>
      </w:r>
      <w:r>
        <mc:AlternateContent>
          <mc:Choice Requires="wps">
            <w:drawing>
              <wp:anchor distT="0" distB="0" distL="114300" distR="114300" simplePos="0" relativeHeight="251664384" behindDoc="0" locked="0" layoutInCell="1" allowOverlap="1">
                <wp:simplePos x="0" y="0"/>
                <wp:positionH relativeFrom="column">
                  <wp:posOffset>2535555</wp:posOffset>
                </wp:positionH>
                <wp:positionV relativeFrom="paragraph">
                  <wp:posOffset>2375535</wp:posOffset>
                </wp:positionV>
                <wp:extent cx="255270" cy="241300"/>
                <wp:effectExtent l="12700" t="12700" r="17780" b="12700"/>
                <wp:wrapNone/>
                <wp:docPr id="42" name="十字星 42"/>
                <wp:cNvGraphicFramePr/>
                <a:graphic xmlns:a="http://schemas.openxmlformats.org/drawingml/2006/main">
                  <a:graphicData uri="http://schemas.microsoft.com/office/word/2010/wordprocessingShape">
                    <wps:wsp>
                      <wps:cNvSpPr/>
                      <wps:spPr>
                        <a:xfrm>
                          <a:off x="6487160" y="4204335"/>
                          <a:ext cx="255270" cy="241300"/>
                        </a:xfrm>
                        <a:prstGeom prst="star4">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7" type="#_x0000_t187" style="position:absolute;left:0pt;margin-left:199.65pt;margin-top:187.05pt;height:19pt;width:20.1pt;z-index:251664384;v-text-anchor:middle;mso-width-relative:page;mso-height-relative:page;" fillcolor="#FF0000" filled="t" stroked="t" coordsize="21600,21600" o:gfxdata="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BmCCIP2wAAAAsBAAAPAAAAAAAAAAEAIAAAACIAAABkcnMv&#10;ZG93bnJldi54bWxQSwECFAAUAAAACACHTuJA6wCdZHICAADuBAAADgAAAAAAAAABACAAAAAqAQAA&#10;ZHJzL2Uyb0RvYy54bWxQSwUGAAAAAAYABgBZAQAADgYAAAAA&#10;" adj="8100">
                <v:fill on="t" focussize="0,0"/>
                <v:stroke weight="2pt" color="#FF0000 [3204]" joinstyle="round"/>
                <v:imagedata o:title=""/>
                <o:lock v:ext="edit" aspectratio="f"/>
              </v:shape>
            </w:pict>
          </mc:Fallback>
        </mc:AlternateContent>
      </w:r>
      <w:r>
        <w:drawing>
          <wp:inline distT="0" distB="0" distL="114300" distR="114300">
            <wp:extent cx="7785100" cy="5288915"/>
            <wp:effectExtent l="0" t="0" r="6350" b="6985"/>
            <wp:docPr id="4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3"/>
                    <pic:cNvPicPr>
                      <a:picLocks noChangeAspect="1"/>
                    </pic:cNvPicPr>
                  </pic:nvPicPr>
                  <pic:blipFill>
                    <a:blip r:embed="rId33"/>
                    <a:stretch>
                      <a:fillRect/>
                    </a:stretch>
                  </pic:blipFill>
                  <pic:spPr>
                    <a:xfrm>
                      <a:off x="0" y="0"/>
                      <a:ext cx="7785100" cy="5288915"/>
                    </a:xfrm>
                    <a:prstGeom prst="rect">
                      <a:avLst/>
                    </a:prstGeom>
                    <a:noFill/>
                    <a:ln>
                      <a:noFill/>
                    </a:ln>
                  </pic:spPr>
                </pic:pic>
              </a:graphicData>
            </a:graphic>
          </wp:inline>
        </w:drawing>
      </w:r>
    </w:p>
    <w:p>
      <w:pPr>
        <w:pStyle w:val="12"/>
        <w:rPr>
          <w:b/>
          <w:bCs/>
          <w:sz w:val="28"/>
          <w:szCs w:val="28"/>
        </w:rPr>
      </w:pPr>
      <w:r>
        <w:rPr>
          <w:rFonts w:hint="eastAsia"/>
          <w:b/>
          <w:bCs/>
          <w:sz w:val="28"/>
          <w:szCs w:val="28"/>
        </w:rPr>
        <w:t>附图3    项目区平面布置图</w:t>
      </w:r>
    </w:p>
    <w:p>
      <w:pPr>
        <w:pStyle w:val="26"/>
        <w:jc w:val="center"/>
        <w:rPr>
          <w:rFonts w:hint="eastAsia" w:eastAsia="宋体"/>
          <w:b/>
          <w:bCs/>
          <w:sz w:val="28"/>
          <w:szCs w:val="28"/>
          <w:lang w:eastAsia="zh-CN"/>
        </w:rPr>
        <w:sectPr>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r>
        <w:drawing>
          <wp:anchor distT="0" distB="0" distL="114300" distR="114300" simplePos="0" relativeHeight="251668480" behindDoc="0" locked="0" layoutInCell="1" allowOverlap="1">
            <wp:simplePos x="0" y="0"/>
            <wp:positionH relativeFrom="column">
              <wp:posOffset>6725285</wp:posOffset>
            </wp:positionH>
            <wp:positionV relativeFrom="paragraph">
              <wp:posOffset>13970</wp:posOffset>
            </wp:positionV>
            <wp:extent cx="525145" cy="568325"/>
            <wp:effectExtent l="0" t="0" r="8255" b="3175"/>
            <wp:wrapNone/>
            <wp:docPr id="52" name="图片 52" descr="阜康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阜康市"/>
                    <pic:cNvPicPr>
                      <a:picLocks noChangeAspect="1"/>
                    </pic:cNvPicPr>
                  </pic:nvPicPr>
                  <pic:blipFill>
                    <a:blip r:embed="rId31"/>
                    <a:stretch>
                      <a:fillRect/>
                    </a:stretch>
                  </pic:blipFill>
                  <pic:spPr>
                    <a:xfrm>
                      <a:off x="0" y="0"/>
                      <a:ext cx="525145" cy="568325"/>
                    </a:xfrm>
                    <a:prstGeom prst="rect">
                      <a:avLst/>
                    </a:prstGeom>
                  </pic:spPr>
                </pic:pic>
              </a:graphicData>
            </a:graphic>
          </wp:anchor>
        </w:drawing>
      </w:r>
      <w:r>
        <w:rPr>
          <w:rFonts w:hint="eastAsia" w:eastAsia="宋体"/>
          <w:b/>
          <w:bCs/>
          <w:sz w:val="28"/>
          <w:szCs w:val="28"/>
          <w:lang w:eastAsia="zh-CN"/>
        </w:rPr>
        <w:drawing>
          <wp:inline distT="0" distB="0" distL="114300" distR="114300">
            <wp:extent cx="6051550" cy="5099685"/>
            <wp:effectExtent l="0" t="0" r="6350" b="5715"/>
            <wp:docPr id="18" name="图片 18"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图片1"/>
                    <pic:cNvPicPr>
                      <a:picLocks noChangeAspect="1"/>
                    </pic:cNvPicPr>
                  </pic:nvPicPr>
                  <pic:blipFill>
                    <a:blip r:embed="rId34"/>
                    <a:stretch>
                      <a:fillRect/>
                    </a:stretch>
                  </pic:blipFill>
                  <pic:spPr>
                    <a:xfrm>
                      <a:off x="0" y="0"/>
                      <a:ext cx="6051550" cy="5099685"/>
                    </a:xfrm>
                    <a:prstGeom prst="rect">
                      <a:avLst/>
                    </a:prstGeom>
                  </pic:spPr>
                </pic:pic>
              </a:graphicData>
            </a:graphic>
          </wp:inline>
        </w:drawing>
      </w:r>
    </w:p>
    <w:p>
      <w:pPr>
        <w:pStyle w:val="12"/>
        <w:rPr>
          <w:rFonts w:hint="default" w:eastAsia="宋体"/>
          <w:b/>
          <w:bCs/>
          <w:sz w:val="28"/>
          <w:szCs w:val="28"/>
          <w:lang w:val="en-US" w:eastAsia="zh-CN"/>
        </w:rPr>
      </w:pPr>
      <w:r>
        <w:rPr>
          <w:sz w:val="28"/>
        </w:rPr>
        <mc:AlternateContent>
          <mc:Choice Requires="wps">
            <w:drawing>
              <wp:anchor distT="0" distB="0" distL="114300" distR="114300" simplePos="0" relativeHeight="251680768" behindDoc="0" locked="0" layoutInCell="1" allowOverlap="1">
                <wp:simplePos x="0" y="0"/>
                <wp:positionH relativeFrom="column">
                  <wp:posOffset>577850</wp:posOffset>
                </wp:positionH>
                <wp:positionV relativeFrom="paragraph">
                  <wp:posOffset>304165</wp:posOffset>
                </wp:positionV>
                <wp:extent cx="7294245" cy="5021580"/>
                <wp:effectExtent l="13970" t="14605" r="26035" b="31115"/>
                <wp:wrapNone/>
                <wp:docPr id="22" name="矩形 22"/>
                <wp:cNvGraphicFramePr/>
                <a:graphic xmlns:a="http://schemas.openxmlformats.org/drawingml/2006/main">
                  <a:graphicData uri="http://schemas.microsoft.com/office/word/2010/wordprocessingShape">
                    <wps:wsp>
                      <wps:cNvSpPr/>
                      <wps:spPr>
                        <a:xfrm>
                          <a:off x="1617980" y="1249680"/>
                          <a:ext cx="7294245" cy="502158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5.5pt;margin-top:23.95pt;height:395.4pt;width:574.35pt;z-index:251680768;v-text-anchor:middle;mso-width-relative:page;mso-height-relative:page;" filled="f" stroked="t" coordsize="21600,21600" o:gfxdata="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Np/vKraAAAACgEAAA8AAAAAAAAAAQAgAAAAIgAAAGRycy9kb3ducmV2Lnht&#10;bFBLAQIUABQAAAAIAIdO4kC7lKtXaQIAAMMEAAAOAAAAAAAAAAEAIAAAACkBAABkcnMvZTJvRG9j&#10;LnhtbFBLBQYAAAAABgAGAFkBAAAEBgAAAAA=&#10;">
                <v:fill on="f" focussize="0,0"/>
                <v:stroke weight="2.25pt" color="#000000 [3213]" joinstyle="round"/>
                <v:imagedata o:title=""/>
                <o:lock v:ext="edit" aspectratio="f"/>
              </v:rect>
            </w:pict>
          </mc:Fallback>
        </mc:AlternateContent>
      </w:r>
      <w:r>
        <w:rPr>
          <w:rFonts w:hint="eastAsia"/>
          <w:b/>
          <w:bCs/>
          <w:sz w:val="28"/>
          <w:szCs w:val="28"/>
        </w:rPr>
        <w:t>附图</w:t>
      </w:r>
      <w:r>
        <w:rPr>
          <w:rFonts w:hint="eastAsia"/>
          <w:b/>
          <w:bCs/>
          <w:sz w:val="28"/>
          <w:szCs w:val="28"/>
          <w:lang w:val="en-US" w:eastAsia="zh-CN"/>
        </w:rPr>
        <w:t>4</w:t>
      </w:r>
      <w:r>
        <w:rPr>
          <w:rFonts w:hint="eastAsia"/>
          <w:b/>
          <w:bCs/>
          <w:sz w:val="28"/>
          <w:szCs w:val="28"/>
        </w:rPr>
        <w:t xml:space="preserve">    </w:t>
      </w:r>
      <w:r>
        <w:rPr>
          <w:rFonts w:hint="eastAsia"/>
          <w:b/>
          <w:bCs/>
          <w:sz w:val="28"/>
          <w:szCs w:val="28"/>
          <w:lang w:val="en-US" w:eastAsia="zh-CN"/>
        </w:rPr>
        <w:t>监测点位示意图</w:t>
      </w:r>
    </w:p>
    <w:p>
      <w:pPr>
        <w:pStyle w:val="12"/>
        <w:jc w:val="center"/>
        <w:rPr>
          <w:rFonts w:hint="eastAsia"/>
          <w:b/>
          <w:bCs/>
          <w:sz w:val="28"/>
          <w:szCs w:val="28"/>
        </w:rPr>
      </w:pPr>
      <w:r>
        <w:drawing>
          <wp:anchor distT="0" distB="0" distL="114300" distR="114300" simplePos="0" relativeHeight="251678720" behindDoc="0" locked="0" layoutInCell="1" allowOverlap="1">
            <wp:simplePos x="0" y="0"/>
            <wp:positionH relativeFrom="column">
              <wp:posOffset>6431280</wp:posOffset>
            </wp:positionH>
            <wp:positionV relativeFrom="paragraph">
              <wp:posOffset>8255</wp:posOffset>
            </wp:positionV>
            <wp:extent cx="1400175" cy="1514475"/>
            <wp:effectExtent l="0" t="0" r="9525" b="9525"/>
            <wp:wrapNone/>
            <wp:docPr id="20" name="图片 20" descr="阜康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阜康市"/>
                    <pic:cNvPicPr>
                      <a:picLocks noChangeAspect="1"/>
                    </pic:cNvPicPr>
                  </pic:nvPicPr>
                  <pic:blipFill>
                    <a:blip r:embed="rId31"/>
                    <a:stretch>
                      <a:fillRect/>
                    </a:stretch>
                  </pic:blipFill>
                  <pic:spPr>
                    <a:xfrm>
                      <a:off x="0" y="0"/>
                      <a:ext cx="1400175" cy="1514475"/>
                    </a:xfrm>
                    <a:prstGeom prst="rect">
                      <a:avLst/>
                    </a:prstGeom>
                  </pic:spPr>
                </pic:pic>
              </a:graphicData>
            </a:graphic>
          </wp:anchor>
        </w:drawing>
      </w:r>
      <w:r>
        <w:rPr>
          <w:sz w:val="18"/>
        </w:rPr>
        <mc:AlternateContent>
          <mc:Choice Requires="wps">
            <w:drawing>
              <wp:anchor distT="0" distB="0" distL="114300" distR="114300" simplePos="0" relativeHeight="251673600" behindDoc="0" locked="0" layoutInCell="1" allowOverlap="1">
                <wp:simplePos x="0" y="0"/>
                <wp:positionH relativeFrom="column">
                  <wp:posOffset>2962275</wp:posOffset>
                </wp:positionH>
                <wp:positionV relativeFrom="paragraph">
                  <wp:posOffset>2211705</wp:posOffset>
                </wp:positionV>
                <wp:extent cx="214630" cy="285750"/>
                <wp:effectExtent l="12700" t="12700" r="20320" b="25400"/>
                <wp:wrapNone/>
                <wp:docPr id="9" name="流程图: 联系 9"/>
                <wp:cNvGraphicFramePr/>
                <a:graphic xmlns:a="http://schemas.openxmlformats.org/drawingml/2006/main">
                  <a:graphicData uri="http://schemas.microsoft.com/office/word/2010/wordprocessingShape">
                    <wps:wsp>
                      <wps:cNvSpPr/>
                      <wps:spPr>
                        <a:xfrm>
                          <a:off x="5594350" y="3756025"/>
                          <a:ext cx="214630" cy="285750"/>
                        </a:xfrm>
                        <a:prstGeom prst="flowChartConnector">
                          <a:avLst/>
                        </a:prstGeom>
                        <a:solidFill>
                          <a:srgbClr val="92D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20" type="#_x0000_t120" style="position:absolute;left:0pt;margin-left:233.25pt;margin-top:174.15pt;height:22.5pt;width:16.9pt;z-index:251673600;v-text-anchor:middle;mso-width-relative:page;mso-height-relative:page;" fillcolor="#92D050" filled="t" stroked="t" coordsize="21600,21600" o:gfxdata="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">
                <v:fill on="t" focussize="0,0"/>
                <v:stroke weight="2pt" color="#385D8A [3204]" joinstyle="round"/>
                <v:imagedata o:title=""/>
                <o:lock v:ext="edit" aspectratio="f"/>
              </v:shape>
            </w:pict>
          </mc:Fallback>
        </mc:AlternateContent>
      </w:r>
      <w:r>
        <w:rPr>
          <w:sz w:val="28"/>
        </w:rPr>
        <mc:AlternateContent>
          <mc:Choice Requires="wps">
            <w:drawing>
              <wp:anchor distT="0" distB="0" distL="114300" distR="114300" simplePos="0" relativeHeight="251677696" behindDoc="0" locked="0" layoutInCell="1" allowOverlap="1">
                <wp:simplePos x="0" y="0"/>
                <wp:positionH relativeFrom="column">
                  <wp:posOffset>2595880</wp:posOffset>
                </wp:positionH>
                <wp:positionV relativeFrom="paragraph">
                  <wp:posOffset>2444115</wp:posOffset>
                </wp:positionV>
                <wp:extent cx="224790" cy="198755"/>
                <wp:effectExtent l="12700" t="12700" r="29210" b="17145"/>
                <wp:wrapNone/>
                <wp:docPr id="19" name="十字星 19"/>
                <wp:cNvGraphicFramePr/>
                <a:graphic xmlns:a="http://schemas.openxmlformats.org/drawingml/2006/main">
                  <a:graphicData uri="http://schemas.microsoft.com/office/word/2010/wordprocessingShape">
                    <wps:wsp>
                      <wps:cNvSpPr/>
                      <wps:spPr>
                        <a:xfrm>
                          <a:off x="2169160" y="5575935"/>
                          <a:ext cx="224790" cy="198755"/>
                        </a:xfrm>
                        <a:prstGeom prst="star4">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7" type="#_x0000_t187" style="position:absolute;left:0pt;margin-left:204.4pt;margin-top:192.45pt;height:15.65pt;width:17.7pt;z-index:251677696;v-text-anchor:middle;mso-width-relative:page;mso-height-relative:page;" fillcolor="#FF0000" filled="t" stroked="t" coordsize="21600,21600" o:gfxdata="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DbUcjtsAAAALAQAADwAAAAAAAAABACAAAAAiAAAAZHJz&#10;L2Rvd25yZXYueG1sUEsBAhQAFAAAAAgAh07iQMyUEulzAgAA7gQAAA4AAAAAAAAAAQAgAAAAKgEA&#10;AGRycy9lMm9Eb2MueG1sUEsFBgAAAAAGAAYAWQEAAA8GAAAAAA==&#10;" adj="8100">
                <v:fill on="t" focussize="0,0"/>
                <v:stroke weight="2pt" color="#FF0000 [3204]" joinstyle="round"/>
                <v:imagedata o:title=""/>
                <o:lock v:ext="edit" aspectratio="f"/>
              </v:shape>
            </w:pict>
          </mc:Fallback>
        </mc:AlternateContent>
      </w:r>
      <w:r>
        <w:rPr>
          <w:sz w:val="28"/>
        </w:rPr>
        <mc:AlternateContent>
          <mc:Choice Requires="wps">
            <w:drawing>
              <wp:anchor distT="0" distB="0" distL="114300" distR="114300" simplePos="0" relativeHeight="251674624" behindDoc="0" locked="0" layoutInCell="1" allowOverlap="1">
                <wp:simplePos x="0" y="0"/>
                <wp:positionH relativeFrom="column">
                  <wp:posOffset>2939415</wp:posOffset>
                </wp:positionH>
                <wp:positionV relativeFrom="paragraph">
                  <wp:posOffset>2011680</wp:posOffset>
                </wp:positionV>
                <wp:extent cx="1235710" cy="271780"/>
                <wp:effectExtent l="0" t="0" r="0" b="0"/>
                <wp:wrapNone/>
                <wp:docPr id="10" name="文本框 10"/>
                <wp:cNvGraphicFramePr/>
                <a:graphic xmlns:a="http://schemas.openxmlformats.org/drawingml/2006/main">
                  <a:graphicData uri="http://schemas.microsoft.com/office/word/2010/wordprocessingShape">
                    <wps:wsp>
                      <wps:cNvSpPr txBox="1"/>
                      <wps:spPr>
                        <a:xfrm>
                          <a:off x="0" y="0"/>
                          <a:ext cx="1235710" cy="2717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color w:val="FF0000"/>
                                <w:lang w:val="en-US" w:eastAsia="zh-CN"/>
                              </w:rPr>
                            </w:pPr>
                            <w:r>
                              <w:rPr>
                                <w:rFonts w:hint="eastAsia"/>
                                <w:color w:val="FF0000"/>
                                <w:lang w:val="en-US" w:eastAsia="zh-CN"/>
                              </w:rPr>
                              <w:t>环境空气监测点位</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1.45pt;margin-top:158.4pt;height:21.4pt;width:97.3pt;z-index:251674624;mso-width-relative:page;mso-height-relative:page;" filled="f" stroked="f" coordsize="21600,21600" o:gfxdata="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mTJLfdwAAAALAQAADwAAAAAAAAABACAAAAAiAAAA&#10;ZHJzL2Rvd25yZXYueG1sUEsBAhQAFAAAAAgAh07iQIjbQfM8AgAAaAQAAA4AAAAAAAAAAQAgAAAA&#10;KwEAAGRycy9lMm9Eb2MueG1sUEsFBgAAAAAGAAYAWQEAANkFAAAAAA==&#10;">
                <v:fill on="f" focussize="0,0"/>
                <v:stroke on="f" weight="0.5pt"/>
                <v:imagedata o:title=""/>
                <o:lock v:ext="edit" aspectratio="f"/>
                <v:textbox>
                  <w:txbxContent>
                    <w:p>
                      <w:pPr>
                        <w:rPr>
                          <w:rFonts w:hint="default" w:eastAsia="宋体"/>
                          <w:color w:val="FF0000"/>
                          <w:lang w:val="en-US" w:eastAsia="zh-CN"/>
                        </w:rPr>
                      </w:pPr>
                      <w:r>
                        <w:rPr>
                          <w:rFonts w:hint="eastAsia"/>
                          <w:color w:val="FF0000"/>
                          <w:lang w:val="en-US" w:eastAsia="zh-CN"/>
                        </w:rPr>
                        <w:t>环境空气监测点位</w:t>
                      </w:r>
                    </w:p>
                  </w:txbxContent>
                </v:textbox>
              </v:shape>
            </w:pict>
          </mc:Fallback>
        </mc:AlternateContent>
      </w:r>
      <w:r>
        <w:rPr>
          <w:sz w:val="28"/>
        </w:rPr>
        <mc:AlternateContent>
          <mc:Choice Requires="wps">
            <w:drawing>
              <wp:anchor distT="0" distB="0" distL="114300" distR="114300" simplePos="0" relativeHeight="251672576" behindDoc="0" locked="0" layoutInCell="1" allowOverlap="1">
                <wp:simplePos x="0" y="0"/>
                <wp:positionH relativeFrom="column">
                  <wp:posOffset>2379980</wp:posOffset>
                </wp:positionH>
                <wp:positionV relativeFrom="paragraph">
                  <wp:posOffset>2168525</wp:posOffset>
                </wp:positionV>
                <wp:extent cx="914400" cy="271780"/>
                <wp:effectExtent l="0" t="0" r="0" b="0"/>
                <wp:wrapNone/>
                <wp:docPr id="7" name="文本框 7"/>
                <wp:cNvGraphicFramePr/>
                <a:graphic xmlns:a="http://schemas.openxmlformats.org/drawingml/2006/main">
                  <a:graphicData uri="http://schemas.microsoft.com/office/word/2010/wordprocessingShape">
                    <wps:wsp>
                      <wps:cNvSpPr txBox="1"/>
                      <wps:spPr>
                        <a:xfrm>
                          <a:off x="0" y="0"/>
                          <a:ext cx="914400" cy="2717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color w:val="FF0000"/>
                              </w:rPr>
                            </w:pPr>
                            <w:r>
                              <w:rPr>
                                <w:rFonts w:hint="eastAsia"/>
                                <w:color w:val="FF0000"/>
                              </w:rPr>
                              <w:t>项目区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7.4pt;margin-top:170.75pt;height:21.4pt;width:72pt;z-index:251672576;mso-width-relative:page;mso-height-relative:page;" filled="f" stroked="f" coordsize="21600,21600" o:gfxdata="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AUWaZbcAAAACwEAAA8AAAAAAAAAAQAgAAAAIgAAAGRy&#10;cy9kb3ducmV2LnhtbFBLAQIUABQAAAAIAIdO4kBzNSeVOgIAAGUEAAAOAAAAAAAAAAEAIAAAACsB&#10;AABkcnMvZTJvRG9jLnhtbFBLBQYAAAAABgAGAFkBAADXBQAAAAA=&#10;">
                <v:fill on="f" focussize="0,0"/>
                <v:stroke on="f" weight="0.5pt"/>
                <v:imagedata o:title=""/>
                <o:lock v:ext="edit" aspectratio="f"/>
                <v:textbox>
                  <w:txbxContent>
                    <w:p>
                      <w:pPr>
                        <w:rPr>
                          <w:color w:val="FF0000"/>
                        </w:rPr>
                      </w:pPr>
                      <w:r>
                        <w:rPr>
                          <w:rFonts w:hint="eastAsia"/>
                          <w:color w:val="FF0000"/>
                        </w:rPr>
                        <w:t>项目区</w:t>
                      </w:r>
                    </w:p>
                  </w:txbxContent>
                </v:textbox>
              </v:shape>
            </w:pict>
          </mc:Fallback>
        </mc:AlternateContent>
      </w:r>
      <w:r>
        <w:drawing>
          <wp:inline distT="0" distB="0" distL="114300" distR="114300">
            <wp:extent cx="7268210" cy="4963795"/>
            <wp:effectExtent l="0" t="0" r="8890" b="8255"/>
            <wp:docPr id="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3"/>
                    <pic:cNvPicPr>
                      <a:picLocks noChangeAspect="1"/>
                    </pic:cNvPicPr>
                  </pic:nvPicPr>
                  <pic:blipFill>
                    <a:blip r:embed="rId33"/>
                    <a:stretch>
                      <a:fillRect/>
                    </a:stretch>
                  </pic:blipFill>
                  <pic:spPr>
                    <a:xfrm>
                      <a:off x="0" y="0"/>
                      <a:ext cx="7268210" cy="4963795"/>
                    </a:xfrm>
                    <a:prstGeom prst="rect">
                      <a:avLst/>
                    </a:prstGeom>
                    <a:noFill/>
                    <a:ln>
                      <a:noFill/>
                    </a:ln>
                  </pic:spPr>
                </pic:pic>
              </a:graphicData>
            </a:graphic>
          </wp:inline>
        </w:drawing>
      </w:r>
    </w:p>
    <w:p>
      <w:pPr>
        <w:pStyle w:val="12"/>
      </w:pPr>
      <w:r>
        <w:rPr>
          <w:rFonts w:hint="eastAsia" w:ascii="仿宋_GB2312" w:eastAsia="仿宋_GB2312"/>
          <w:sz w:val="28"/>
          <w:szCs w:val="28"/>
        </w:rPr>
        <w:drawing>
          <wp:anchor distT="0" distB="0" distL="114300" distR="114300" simplePos="0" relativeHeight="251669504" behindDoc="0" locked="0" layoutInCell="1" allowOverlap="1">
            <wp:simplePos x="0" y="0"/>
            <wp:positionH relativeFrom="column">
              <wp:posOffset>-146685</wp:posOffset>
            </wp:positionH>
            <wp:positionV relativeFrom="paragraph">
              <wp:posOffset>254635</wp:posOffset>
            </wp:positionV>
            <wp:extent cx="8658225" cy="5410200"/>
            <wp:effectExtent l="0" t="0" r="9525" b="0"/>
            <wp:wrapNone/>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35" cstate="print">
                      <a:extLst>
                        <a:ext uri="{28A0092B-C50C-407E-A947-70E740481C1C}">
                          <a14:useLocalDpi xmlns:a14="http://schemas.microsoft.com/office/drawing/2010/main" val="0"/>
                        </a:ext>
                      </a:extLst>
                    </a:blip>
                    <a:srcRect l="1164" t="1788" r="1392" b="1793"/>
                    <a:stretch>
                      <a:fillRect/>
                    </a:stretch>
                  </pic:blipFill>
                  <pic:spPr>
                    <a:xfrm>
                      <a:off x="0" y="0"/>
                      <a:ext cx="8658225" cy="5410200"/>
                    </a:xfrm>
                    <a:prstGeom prst="rect">
                      <a:avLst/>
                    </a:prstGeom>
                    <a:ln>
                      <a:noFill/>
                    </a:ln>
                  </pic:spPr>
                </pic:pic>
              </a:graphicData>
            </a:graphic>
          </wp:anchor>
        </w:drawing>
      </w:r>
      <w:r>
        <w:rPr>
          <w:rFonts w:hint="eastAsia"/>
          <w:b/>
          <w:bCs/>
          <w:sz w:val="28"/>
          <w:szCs w:val="28"/>
        </w:rPr>
        <w:t>附图</w:t>
      </w:r>
      <w:r>
        <w:rPr>
          <w:rFonts w:hint="eastAsia"/>
          <w:b/>
          <w:bCs/>
          <w:sz w:val="28"/>
          <w:szCs w:val="28"/>
          <w:lang w:val="en-US" w:eastAsia="zh-CN"/>
        </w:rPr>
        <w:t>5</w:t>
      </w:r>
      <w:r>
        <w:rPr>
          <w:rFonts w:hint="eastAsia"/>
          <w:b/>
          <w:bCs/>
          <w:sz w:val="28"/>
          <w:szCs w:val="28"/>
        </w:rPr>
        <w:t xml:space="preserve">    项目与昌吉回族自治州“三线一单”环境管控单元</w:t>
      </w:r>
    </w:p>
    <w:p>
      <w:pPr>
        <w:pStyle w:val="26"/>
      </w:pPr>
      <w:r>
        <mc:AlternateContent>
          <mc:Choice Requires="wps">
            <w:drawing>
              <wp:anchor distT="0" distB="0" distL="114300" distR="114300" simplePos="0" relativeHeight="251671552" behindDoc="0" locked="0" layoutInCell="1" allowOverlap="1">
                <wp:simplePos x="0" y="0"/>
                <wp:positionH relativeFrom="column">
                  <wp:posOffset>3255010</wp:posOffset>
                </wp:positionH>
                <wp:positionV relativeFrom="paragraph">
                  <wp:posOffset>2513965</wp:posOffset>
                </wp:positionV>
                <wp:extent cx="963930" cy="399415"/>
                <wp:effectExtent l="0" t="0" r="7620" b="635"/>
                <wp:wrapNone/>
                <wp:docPr id="54" name="文本框 54"/>
                <wp:cNvGraphicFramePr/>
                <a:graphic xmlns:a="http://schemas.openxmlformats.org/drawingml/2006/main">
                  <a:graphicData uri="http://schemas.microsoft.com/office/word/2010/wordprocessingShape">
                    <wps:wsp>
                      <wps:cNvSpPr txBox="1"/>
                      <wps:spPr>
                        <a:xfrm>
                          <a:off x="3865245" y="2495550"/>
                          <a:ext cx="963930" cy="3994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color w:val="FF0000"/>
                              </w:rPr>
                            </w:pPr>
                            <w:r>
                              <w:rPr>
                                <w:rFonts w:hint="eastAsia"/>
                                <w:color w:val="FF0000"/>
                              </w:rPr>
                              <w:t>项目区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6.3pt;margin-top:197.95pt;height:31.45pt;width:75.9pt;z-index:251671552;mso-width-relative:page;mso-height-relative:page;" filled="f" stroked="f" coordsize="21600,21600" o:gfxdata="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Nm+5Dt0AAAALAQAADwAAAAAA&#10;AAABACAAAAAiAAAAZHJzL2Rvd25yZXYueG1sUEsBAhQAFAAAAAgAh07iQEG1VANHAgAAcwQAAA4A&#10;AAAAAAAAAQAgAAAALAEAAGRycy9lMm9Eb2MueG1sUEsFBgAAAAAGAAYAWQEAAOUFAAAAAA==&#10;">
                <v:fill on="f" focussize="0,0"/>
                <v:stroke on="f" weight="0.5pt"/>
                <v:imagedata o:title=""/>
                <o:lock v:ext="edit" aspectratio="f"/>
                <v:textbox>
                  <w:txbxContent>
                    <w:p>
                      <w:pPr>
                        <w:rPr>
                          <w:color w:val="FF0000"/>
                        </w:rPr>
                      </w:pPr>
                      <w:r>
                        <w:rPr>
                          <w:rFonts w:hint="eastAsia"/>
                          <w:color w:val="FF0000"/>
                        </w:rPr>
                        <w:t>项目区</w:t>
                      </w:r>
                    </w:p>
                  </w:txbxContent>
                </v:textbox>
              </v:shape>
            </w:pict>
          </mc:Fallback>
        </mc:AlternateContent>
      </w:r>
      <w:r>
        <mc:AlternateContent>
          <mc:Choice Requires="wps">
            <w:drawing>
              <wp:anchor distT="0" distB="0" distL="114300" distR="114300" simplePos="0" relativeHeight="251670528" behindDoc="0" locked="0" layoutInCell="1" allowOverlap="1">
                <wp:simplePos x="0" y="0"/>
                <wp:positionH relativeFrom="column">
                  <wp:posOffset>3396615</wp:posOffset>
                </wp:positionH>
                <wp:positionV relativeFrom="paragraph">
                  <wp:posOffset>2726055</wp:posOffset>
                </wp:positionV>
                <wp:extent cx="247015" cy="234950"/>
                <wp:effectExtent l="12700" t="12700" r="26035" b="19050"/>
                <wp:wrapNone/>
                <wp:docPr id="53" name="十字星 53"/>
                <wp:cNvGraphicFramePr/>
                <a:graphic xmlns:a="http://schemas.openxmlformats.org/drawingml/2006/main">
                  <a:graphicData uri="http://schemas.microsoft.com/office/word/2010/wordprocessingShape">
                    <wps:wsp>
                      <wps:cNvSpPr/>
                      <wps:spPr>
                        <a:xfrm>
                          <a:off x="4406265" y="3812540"/>
                          <a:ext cx="247015" cy="234950"/>
                        </a:xfrm>
                        <a:prstGeom prst="star4">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7" type="#_x0000_t187" style="position:absolute;left:0pt;margin-left:267.45pt;margin-top:214.65pt;height:18.5pt;width:19.45pt;z-index:251670528;v-text-anchor:middle;mso-width-relative:page;mso-height-relative:page;" fillcolor="#FFFF00" filled="t" stroked="t" coordsize="21600,21600" o:gfxdata="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DZ+guN2wAAAAsBAAAPAAAAAAAAAAEAIAAAACIAAABkcnMv&#10;ZG93bnJldi54bWxQSwECFAAUAAAACACHTuJAAim58nICAADuBAAADgAAAAAAAAABACAAAAAqAQAA&#10;ZHJzL2Uyb0RvYy54bWxQSwUGAAAAAAYABgBZAQAADgYAAAAA&#10;" adj="8100">
                <v:fill on="t" focussize="0,0"/>
                <v:stroke weight="2pt" color="#FFFF00 [3204]" joinstyle="round"/>
                <v:imagedata o:title=""/>
                <o:lock v:ext="edit" aspectratio="f"/>
              </v:shape>
            </w:pict>
          </mc:Fallback>
        </mc:AlternateContent>
      </w:r>
    </w:p>
    <w:sectPr>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AFF" w:usb1="C0007841"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003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ambria">
    <w:panose1 w:val="02040503050406030204"/>
    <w:charset w:val="00"/>
    <w:family w:val="roman"/>
    <w:pitch w:val="default"/>
    <w:sig w:usb0="E00002FF" w:usb1="400004FF" w:usb2="00000000" w:usb3="00000000" w:csb0="2000019F" w:csb1="00000000"/>
  </w:font>
  <w:font w:name="仿宋_GB2312">
    <w:panose1 w:val="02010609030101010101"/>
    <w:charset w:val="86"/>
    <w:family w:val="modern"/>
    <w:pitch w:val="default"/>
    <w:sig w:usb0="00000001" w:usb1="080E0000" w:usb2="00000000" w:usb3="00000000" w:csb0="00040000" w:csb1="00000000"/>
  </w:font>
  <w:font w:name="Arial Unicode MS">
    <w:altName w:val="宋体"/>
    <w:panose1 w:val="020B0604020202020204"/>
    <w:charset w:val="86"/>
    <w:family w:val="swiss"/>
    <w:pitch w:val="default"/>
    <w:sig w:usb0="00000000" w:usb1="00000000" w:usb2="0000003F" w:usb3="00000000" w:csb0="603F01FF" w:csb1="FFFF0000"/>
  </w:font>
  <w:font w:name="仿宋">
    <w:panose1 w:val="02010609060101010101"/>
    <w:charset w:val="86"/>
    <w:family w:val="modern"/>
    <w:pitch w:val="default"/>
    <w:sig w:usb0="800002BF" w:usb1="38CF7CFA" w:usb2="00000016" w:usb3="00000000" w:csb0="00040001" w:csb1="00000000"/>
  </w:font>
  <w:font w:name="楷体_GB2312">
    <w:panose1 w:val="02010609030101010101"/>
    <w:charset w:val="86"/>
    <w:family w:val="modern"/>
    <w:pitch w:val="default"/>
    <w:sig w:usb0="00000001" w:usb1="080E0000" w:usb2="00000000" w:usb3="00000000" w:csb0="00040000" w:csb1="00000000"/>
  </w:font>
  <w:font w:name="方正仿宋_GBK">
    <w:panose1 w:val="02000000000000000000"/>
    <w:charset w:val="86"/>
    <w:family w:val="script"/>
    <w:pitch w:val="default"/>
    <w:sig w:usb0="A00002BF" w:usb1="38CF7CFA" w:usb2="00082016" w:usb3="00000000" w:csb0="00040001" w:csb1="00000000"/>
  </w:font>
  <w:font w:name="方正小标宋_GBK">
    <w:panose1 w:val="02000000000000000000"/>
    <w:charset w:val="86"/>
    <w:family w:val="script"/>
    <w:pitch w:val="default"/>
    <w:sig w:usb0="A00002BF" w:usb1="38CF7CFA" w:usb2="00082016" w:usb3="00000000" w:csb0="00040001" w:csb1="00000000"/>
  </w:font>
  <w:font w:name="华文仿宋">
    <w:altName w:val="仿宋"/>
    <w:panose1 w:val="02010600040101010101"/>
    <w:charset w:val="86"/>
    <w:family w:val="auto"/>
    <w:pitch w:val="default"/>
    <w:sig w:usb0="00000000" w:usb1="00000000" w:usb2="00000000" w:usb3="00000000" w:csb0="0004009F" w:csb1="DFD70000"/>
  </w:font>
  <w:font w:name="Wingdings 2">
    <w:altName w:val="Wingdings"/>
    <w:panose1 w:val="05020102010507070707"/>
    <w:charset w:val="02"/>
    <w:family w:val="roman"/>
    <w:pitch w:val="default"/>
    <w:sig w:usb0="00000000" w:usb1="00000000" w:usb2="00000000" w:usb3="00000000" w:csb0="80000000" w:csb1="00000000"/>
  </w:font>
  <w:font w:name="微软雅黑">
    <w:panose1 w:val="020B0503020204020204"/>
    <w:charset w:val="86"/>
    <w:family w:val="swiss"/>
    <w:pitch w:val="default"/>
    <w:sig w:usb0="80000287" w:usb1="280F3C52" w:usb2="00000016" w:usb3="00000000" w:csb0="0004001F" w:csb1="00000000"/>
  </w:font>
  <w:font w:name="方正楷体_GBK">
    <w:panose1 w:val="02000000000000000000"/>
    <w:charset w:val="86"/>
    <w:family w:val="script"/>
    <w:pitch w:val="default"/>
    <w:sig w:usb0="A00002BF" w:usb1="38CF7CFA" w:usb2="00082016" w:usb3="00000000" w:csb0="00040001" w:csb1="00000000"/>
  </w:font>
  <w:font w:name="Wingdings">
    <w:panose1 w:val="05000000000000000000"/>
    <w:charset w:val="00"/>
    <w:family w:val="auto"/>
    <w:pitch w:val="default"/>
    <w:sig w:usb0="00000000" w:usb1="0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framePr w:wrap="around" w:vAnchor="text" w:hAnchor="margin" w:xAlign="center" w:y="1"/>
      <w:rPr>
        <w:rStyle w:val="35"/>
      </w:rPr>
    </w:pPr>
    <w:r>
      <w:fldChar w:fldCharType="begin"/>
    </w:r>
    <w:r>
      <w:rPr>
        <w:rStyle w:val="35"/>
      </w:rPr>
      <w:instrText xml:space="preserve">PAGE  </w:instrText>
    </w:r>
    <w:r>
      <w:fldChar w:fldCharType="end"/>
    </w:r>
  </w:p>
  <w:p>
    <w:pPr>
      <w:pStyle w:val="23"/>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ind w:right="360" w:firstLine="360"/>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98" name="文本框 9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pPr>
                            <w:pStyle w:val="23"/>
                          </w:pPr>
                          <w:r>
                            <w:fldChar w:fldCharType="begin"/>
                          </w:r>
                          <w:r>
                            <w:instrText xml:space="preserve"> PAGE  \* MERGEFORMAT </w:instrText>
                          </w:r>
                          <w:r>
                            <w:fldChar w:fldCharType="separate"/>
                          </w:r>
                          <w:r>
                            <w:t>4</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FX3oVgzAgAAZQQAAA4AAAAAAAAAAQAgAAAAHwEAAGRycy9lMm9Eb2MueG1sUEsF&#10;BgAAAAAGAAYAWQEAAMQFAAAAAA==&#10;">
              <v:fill on="f" focussize="0,0"/>
              <v:stroke on="f" weight="0.5pt"/>
              <v:imagedata o:title=""/>
              <o:lock v:ext="edit" aspectratio="f"/>
              <v:textbox inset="0mm,0mm,0mm,0mm" style="mso-fit-shape-to-text:t;">
                <w:txbxContent>
                  <w:p>
                    <w:pPr>
                      <w:pStyle w:val="23"/>
                    </w:pPr>
                    <w:r>
                      <w:fldChar w:fldCharType="begin"/>
                    </w:r>
                    <w:r>
                      <w:instrText xml:space="preserve"> PAGE  \* MERGEFORMAT </w:instrText>
                    </w:r>
                    <w:r>
                      <w:fldChar w:fldCharType="separate"/>
                    </w:r>
                    <w:r>
                      <w:t>4</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ind w:right="360" w:firstLine="360"/>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99" name="文本框 9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pPr>
                            <w:pStyle w:val="23"/>
                          </w:pPr>
                          <w:r>
                            <w:fldChar w:fldCharType="begin"/>
                          </w:r>
                          <w:r>
                            <w:instrText xml:space="preserve"> PAGE  \* MERGEFORMAT </w:instrText>
                          </w:r>
                          <w:r>
                            <w:fldChar w:fldCharType="separate"/>
                          </w:r>
                          <w:r>
                            <w:t>46</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J8e40IzAgAAZQQAAA4AAAAAAAAAAQAgAAAAHwEAAGRycy9lMm9Eb2MueG1sUEsF&#10;BgAAAAAGAAYAWQEAAMQFAAAAAA==&#10;">
              <v:fill on="f" focussize="0,0"/>
              <v:stroke on="f" weight="0.5pt"/>
              <v:imagedata o:title=""/>
              <o:lock v:ext="edit" aspectratio="f"/>
              <v:textbox inset="0mm,0mm,0mm,0mm" style="mso-fit-shape-to-text:t;">
                <w:txbxContent>
                  <w:p>
                    <w:pPr>
                      <w:pStyle w:val="23"/>
                    </w:pPr>
                    <w:r>
                      <w:fldChar w:fldCharType="begin"/>
                    </w:r>
                    <w:r>
                      <w:instrText xml:space="preserve"> PAGE  \* MERGEFORMAT </w:instrText>
                    </w:r>
                    <w:r>
                      <w:fldChar w:fldCharType="separate"/>
                    </w:r>
                    <w:r>
                      <w:t>46</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ind w:right="360" w:firstLine="360"/>
      <w:jc w:val="cente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00" name="文本框 10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pPr>
                            <w:pStyle w:val="23"/>
                          </w:pPr>
                          <w:r>
                            <w:fldChar w:fldCharType="begin"/>
                          </w:r>
                          <w:r>
                            <w:instrText xml:space="preserve"> PAGE  \* MERGEFORMAT </w:instrText>
                          </w:r>
                          <w:r>
                            <w:fldChar w:fldCharType="separate"/>
                          </w:r>
                          <w:r>
                            <w:t>47</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AdX0GJMQIAAGcEAAAOAAAAAAAAAAEAIAAAAB8BAABkcnMvZTJvRG9jLnhtbFBLBQYA&#10;AAAABgAGAFkBAADCBQAAAAA=&#10;">
              <v:fill on="f" focussize="0,0"/>
              <v:stroke on="f" weight="0.5pt"/>
              <v:imagedata o:title=""/>
              <o:lock v:ext="edit" aspectratio="f"/>
              <v:textbox inset="0mm,0mm,0mm,0mm" style="mso-fit-shape-to-text:t;">
                <w:txbxContent>
                  <w:p>
                    <w:pPr>
                      <w:pStyle w:val="23"/>
                    </w:pPr>
                    <w:r>
                      <w:fldChar w:fldCharType="begin"/>
                    </w:r>
                    <w:r>
                      <w:instrText xml:space="preserve"> PAGE  \* MERGEFORMAT </w:instrText>
                    </w:r>
                    <w:r>
                      <w:fldChar w:fldCharType="separate"/>
                    </w:r>
                    <w:r>
                      <w:t>47</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028F51A"/>
    <w:multiLevelType w:val="singleLevel"/>
    <w:tmpl w:val="8028F51A"/>
    <w:lvl w:ilvl="0" w:tentative="0">
      <w:start w:val="6"/>
      <w:numFmt w:val="decimal"/>
      <w:suff w:val="nothing"/>
      <w:lvlText w:val="%1、"/>
      <w:lvlJc w:val="left"/>
    </w:lvl>
  </w:abstractNum>
  <w:abstractNum w:abstractNumId="1">
    <w:nsid w:val="920A7587"/>
    <w:multiLevelType w:val="singleLevel"/>
    <w:tmpl w:val="920A7587"/>
    <w:lvl w:ilvl="0" w:tentative="0">
      <w:start w:val="8"/>
      <w:numFmt w:val="decimal"/>
      <w:suff w:val="nothing"/>
      <w:lvlText w:val="%1、"/>
      <w:lvlJc w:val="left"/>
    </w:lvl>
  </w:abstractNum>
  <w:abstractNum w:abstractNumId="2">
    <w:nsid w:val="A08E0653"/>
    <w:multiLevelType w:val="singleLevel"/>
    <w:tmpl w:val="A08E0653"/>
    <w:lvl w:ilvl="0" w:tentative="0">
      <w:start w:val="1"/>
      <w:numFmt w:val="decimal"/>
      <w:suff w:val="nothing"/>
      <w:lvlText w:val="%1、"/>
      <w:lvlJc w:val="left"/>
    </w:lvl>
  </w:abstractNum>
  <w:abstractNum w:abstractNumId="3">
    <w:nsid w:val="DAF08C81"/>
    <w:multiLevelType w:val="singleLevel"/>
    <w:tmpl w:val="DAF08C81"/>
    <w:lvl w:ilvl="0" w:tentative="0">
      <w:start w:val="2"/>
      <w:numFmt w:val="decimal"/>
      <w:suff w:val="nothing"/>
      <w:lvlText w:val="（%1）"/>
      <w:lvlJc w:val="left"/>
    </w:lvl>
  </w:abstractNum>
  <w:abstractNum w:abstractNumId="4">
    <w:nsid w:val="F47F6BB7"/>
    <w:multiLevelType w:val="singleLevel"/>
    <w:tmpl w:val="F47F6BB7"/>
    <w:lvl w:ilvl="0" w:tentative="0">
      <w:start w:val="1"/>
      <w:numFmt w:val="decimal"/>
      <w:suff w:val="nothing"/>
      <w:lvlText w:val="%1、"/>
      <w:lvlJc w:val="left"/>
    </w:lvl>
  </w:abstractNum>
  <w:abstractNum w:abstractNumId="5">
    <w:nsid w:val="F71A5862"/>
    <w:multiLevelType w:val="singleLevel"/>
    <w:tmpl w:val="F71A5862"/>
    <w:lvl w:ilvl="0" w:tentative="0">
      <w:start w:val="1"/>
      <w:numFmt w:val="decimal"/>
      <w:suff w:val="nothing"/>
      <w:lvlText w:val="（%1）"/>
      <w:lvlJc w:val="left"/>
    </w:lvl>
  </w:abstractNum>
  <w:abstractNum w:abstractNumId="6">
    <w:nsid w:val="1A01BA1A"/>
    <w:multiLevelType w:val="singleLevel"/>
    <w:tmpl w:val="1A01BA1A"/>
    <w:lvl w:ilvl="0" w:tentative="0">
      <w:start w:val="1"/>
      <w:numFmt w:val="decimal"/>
      <w:suff w:val="nothing"/>
      <w:lvlText w:val="%1、"/>
      <w:lvlJc w:val="left"/>
      <w:pPr>
        <w:ind w:left="-60"/>
      </w:pPr>
    </w:lvl>
  </w:abstractNum>
  <w:abstractNum w:abstractNumId="7">
    <w:nsid w:val="226BCE92"/>
    <w:multiLevelType w:val="singleLevel"/>
    <w:tmpl w:val="226BCE92"/>
    <w:lvl w:ilvl="0" w:tentative="0">
      <w:start w:val="1"/>
      <w:numFmt w:val="decimal"/>
      <w:suff w:val="nothing"/>
      <w:lvlText w:val="%1、"/>
      <w:lvlJc w:val="left"/>
    </w:lvl>
  </w:abstractNum>
  <w:abstractNum w:abstractNumId="8">
    <w:nsid w:val="44111B20"/>
    <w:multiLevelType w:val="singleLevel"/>
    <w:tmpl w:val="44111B20"/>
    <w:lvl w:ilvl="0" w:tentative="0">
      <w:start w:val="7"/>
      <w:numFmt w:val="decimal"/>
      <w:suff w:val="nothing"/>
      <w:lvlText w:val="%1、"/>
      <w:lvlJc w:val="left"/>
    </w:lvl>
  </w:abstractNum>
  <w:abstractNum w:abstractNumId="9">
    <w:nsid w:val="576167E7"/>
    <w:multiLevelType w:val="multilevel"/>
    <w:tmpl w:val="576167E7"/>
    <w:lvl w:ilvl="0" w:tentative="0">
      <w:start w:val="1"/>
      <w:numFmt w:val="decimal"/>
      <w:lvlText w:val="%1"/>
      <w:lvlJc w:val="left"/>
      <w:pPr>
        <w:tabs>
          <w:tab w:val="left" w:pos="432"/>
        </w:tabs>
        <w:ind w:left="432" w:hanging="432"/>
      </w:pPr>
      <w:rPr>
        <w:rFonts w:hint="eastAsia"/>
      </w:rPr>
    </w:lvl>
    <w:lvl w:ilvl="1" w:tentative="0">
      <w:start w:val="1"/>
      <w:numFmt w:val="decimal"/>
      <w:lvlText w:val="%1.%2"/>
      <w:lvlJc w:val="left"/>
      <w:pPr>
        <w:tabs>
          <w:tab w:val="left" w:pos="576"/>
        </w:tabs>
        <w:ind w:left="576" w:hanging="576"/>
      </w:pPr>
      <w:rPr>
        <w:rFonts w:hint="eastAsia"/>
      </w:rPr>
    </w:lvl>
    <w:lvl w:ilvl="2" w:tentative="0">
      <w:start w:val="1"/>
      <w:numFmt w:val="decimal"/>
      <w:lvlText w:val="%1.%2.%3"/>
      <w:lvlJc w:val="left"/>
      <w:pPr>
        <w:tabs>
          <w:tab w:val="left" w:pos="720"/>
        </w:tabs>
        <w:ind w:left="720" w:hanging="720"/>
      </w:pPr>
      <w:rPr>
        <w:rFonts w:hint="eastAsia"/>
      </w:rPr>
    </w:lvl>
    <w:lvl w:ilvl="3" w:tentative="0">
      <w:start w:val="1"/>
      <w:numFmt w:val="decimal"/>
      <w:pStyle w:val="5"/>
      <w:lvlText w:val="%1.%2.%3.%4"/>
      <w:lvlJc w:val="left"/>
      <w:pPr>
        <w:tabs>
          <w:tab w:val="left" w:pos="864"/>
        </w:tabs>
        <w:ind w:left="864" w:hanging="864"/>
      </w:pPr>
      <w:rPr>
        <w:rFonts w:hint="eastAsia"/>
      </w:rPr>
    </w:lvl>
    <w:lvl w:ilvl="4" w:tentative="0">
      <w:start w:val="1"/>
      <w:numFmt w:val="decimal"/>
      <w:lvlText w:val="%1.%2.%3.%4.%5"/>
      <w:lvlJc w:val="left"/>
      <w:pPr>
        <w:tabs>
          <w:tab w:val="left" w:pos="1008"/>
        </w:tabs>
        <w:ind w:left="1008" w:hanging="1008"/>
      </w:pPr>
      <w:rPr>
        <w:rFonts w:hint="eastAsia"/>
      </w:rPr>
    </w:lvl>
    <w:lvl w:ilvl="5" w:tentative="0">
      <w:start w:val="1"/>
      <w:numFmt w:val="decimal"/>
      <w:lvlText w:val="%1.%2.%3.%4.%5.%6"/>
      <w:lvlJc w:val="left"/>
      <w:pPr>
        <w:tabs>
          <w:tab w:val="left" w:pos="1152"/>
        </w:tabs>
        <w:ind w:left="1152" w:hanging="1152"/>
      </w:pPr>
      <w:rPr>
        <w:rFonts w:hint="eastAsia"/>
      </w:rPr>
    </w:lvl>
    <w:lvl w:ilvl="6" w:tentative="0">
      <w:start w:val="1"/>
      <w:numFmt w:val="decimal"/>
      <w:lvlText w:val="%1.%2.%3.%4.%5.%6.%7"/>
      <w:lvlJc w:val="left"/>
      <w:pPr>
        <w:tabs>
          <w:tab w:val="left" w:pos="1296"/>
        </w:tabs>
        <w:ind w:left="1296" w:hanging="1296"/>
      </w:pPr>
      <w:rPr>
        <w:rFonts w:hint="eastAsia"/>
      </w:rPr>
    </w:lvl>
    <w:lvl w:ilvl="7" w:tentative="0">
      <w:start w:val="1"/>
      <w:numFmt w:val="decimal"/>
      <w:lvlText w:val="%1.%2.%3.%4.%5.%6.%7.%8"/>
      <w:lvlJc w:val="left"/>
      <w:pPr>
        <w:tabs>
          <w:tab w:val="left" w:pos="1440"/>
        </w:tabs>
        <w:ind w:left="1440" w:hanging="1440"/>
      </w:pPr>
      <w:rPr>
        <w:rFonts w:hint="eastAsia"/>
      </w:rPr>
    </w:lvl>
    <w:lvl w:ilvl="8" w:tentative="0">
      <w:start w:val="1"/>
      <w:numFmt w:val="decimal"/>
      <w:lvlText w:val="%1.%2.%3.%4.%5.%6.%7.%8.%9"/>
      <w:lvlJc w:val="left"/>
      <w:pPr>
        <w:tabs>
          <w:tab w:val="left" w:pos="1584"/>
        </w:tabs>
        <w:ind w:left="1584" w:hanging="1584"/>
      </w:pPr>
      <w:rPr>
        <w:rFonts w:hint="eastAsia"/>
      </w:rPr>
    </w:lvl>
  </w:abstractNum>
  <w:num w:numId="1">
    <w:abstractNumId w:val="9"/>
  </w:num>
  <w:num w:numId="2">
    <w:abstractNumId w:val="2"/>
  </w:num>
  <w:num w:numId="3">
    <w:abstractNumId w:val="8"/>
  </w:num>
  <w:num w:numId="4">
    <w:abstractNumId w:val="1"/>
  </w:num>
  <w:num w:numId="5">
    <w:abstractNumId w:val="4"/>
  </w:num>
  <w:num w:numId="6">
    <w:abstractNumId w:val="0"/>
  </w:num>
  <w:num w:numId="7">
    <w:abstractNumId w:val="3"/>
  </w:num>
  <w:num w:numId="8">
    <w:abstractNumId w:val="6"/>
  </w:num>
  <w:num w:numId="9">
    <w:abstractNumId w:val="7"/>
  </w:num>
  <w:num w:numId="1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attachedTemplate r:id="rId1"/>
  <w:documentProtection w:edit="trackedChanges" w:enforcement="0"/>
  <w:defaultTabStop w:val="420"/>
  <w:doNotHyphenateCaps/>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2QzNGY1Y2EyYjg3N2E5MTJmNWYzZjFkZjI4YjczMTAifQ=="/>
    <w:docVar w:name="KSO_WPS_MARK_KEY" w:val="47420842-9906-477f-b993-3a401446adc8"/>
  </w:docVars>
  <w:rsids>
    <w:rsidRoot w:val="00A14947"/>
    <w:rsid w:val="000060B3"/>
    <w:rsid w:val="00037F47"/>
    <w:rsid w:val="00042886"/>
    <w:rsid w:val="0004364B"/>
    <w:rsid w:val="00061B1F"/>
    <w:rsid w:val="000733C4"/>
    <w:rsid w:val="00074783"/>
    <w:rsid w:val="0008070B"/>
    <w:rsid w:val="000810AC"/>
    <w:rsid w:val="00081A02"/>
    <w:rsid w:val="00082231"/>
    <w:rsid w:val="00092D38"/>
    <w:rsid w:val="00092F58"/>
    <w:rsid w:val="0009377B"/>
    <w:rsid w:val="000A20C9"/>
    <w:rsid w:val="000B058F"/>
    <w:rsid w:val="000B3898"/>
    <w:rsid w:val="000B4467"/>
    <w:rsid w:val="000B4DB9"/>
    <w:rsid w:val="000C09AC"/>
    <w:rsid w:val="000C767F"/>
    <w:rsid w:val="000D5A44"/>
    <w:rsid w:val="000E3ED2"/>
    <w:rsid w:val="00104980"/>
    <w:rsid w:val="00131F42"/>
    <w:rsid w:val="001357F1"/>
    <w:rsid w:val="00140FA8"/>
    <w:rsid w:val="00142FEB"/>
    <w:rsid w:val="00143A2D"/>
    <w:rsid w:val="00145A41"/>
    <w:rsid w:val="00151675"/>
    <w:rsid w:val="00157435"/>
    <w:rsid w:val="0017504D"/>
    <w:rsid w:val="0017671A"/>
    <w:rsid w:val="00177422"/>
    <w:rsid w:val="00184590"/>
    <w:rsid w:val="001870D1"/>
    <w:rsid w:val="0018781E"/>
    <w:rsid w:val="0019262D"/>
    <w:rsid w:val="001A1B35"/>
    <w:rsid w:val="001A48A2"/>
    <w:rsid w:val="001A6F61"/>
    <w:rsid w:val="001B72B8"/>
    <w:rsid w:val="001C69B3"/>
    <w:rsid w:val="001D5595"/>
    <w:rsid w:val="001D7874"/>
    <w:rsid w:val="001D7F22"/>
    <w:rsid w:val="001F0F17"/>
    <w:rsid w:val="001F3347"/>
    <w:rsid w:val="001F69E4"/>
    <w:rsid w:val="002125B4"/>
    <w:rsid w:val="002155B8"/>
    <w:rsid w:val="00224839"/>
    <w:rsid w:val="002249B2"/>
    <w:rsid w:val="00226574"/>
    <w:rsid w:val="002278EC"/>
    <w:rsid w:val="0023280E"/>
    <w:rsid w:val="002377D1"/>
    <w:rsid w:val="002506BC"/>
    <w:rsid w:val="00254345"/>
    <w:rsid w:val="00264557"/>
    <w:rsid w:val="002805AB"/>
    <w:rsid w:val="00284204"/>
    <w:rsid w:val="00291773"/>
    <w:rsid w:val="002A168C"/>
    <w:rsid w:val="002A1C8A"/>
    <w:rsid w:val="002A3DC7"/>
    <w:rsid w:val="002B49E2"/>
    <w:rsid w:val="002B5123"/>
    <w:rsid w:val="002B7B00"/>
    <w:rsid w:val="002B7C44"/>
    <w:rsid w:val="002C2B17"/>
    <w:rsid w:val="002D3DD0"/>
    <w:rsid w:val="002E1F3A"/>
    <w:rsid w:val="002E298A"/>
    <w:rsid w:val="00301978"/>
    <w:rsid w:val="0030332C"/>
    <w:rsid w:val="003051C2"/>
    <w:rsid w:val="00312296"/>
    <w:rsid w:val="00314F0E"/>
    <w:rsid w:val="00316131"/>
    <w:rsid w:val="00321D8E"/>
    <w:rsid w:val="00325928"/>
    <w:rsid w:val="00332863"/>
    <w:rsid w:val="0033684D"/>
    <w:rsid w:val="00336ABB"/>
    <w:rsid w:val="00337B42"/>
    <w:rsid w:val="00341B42"/>
    <w:rsid w:val="0034348F"/>
    <w:rsid w:val="00356653"/>
    <w:rsid w:val="0035743F"/>
    <w:rsid w:val="00357BE2"/>
    <w:rsid w:val="0036170C"/>
    <w:rsid w:val="00366E0F"/>
    <w:rsid w:val="0037164D"/>
    <w:rsid w:val="00381A72"/>
    <w:rsid w:val="00384676"/>
    <w:rsid w:val="00390857"/>
    <w:rsid w:val="00391DAC"/>
    <w:rsid w:val="003A4BF3"/>
    <w:rsid w:val="003B420D"/>
    <w:rsid w:val="003B74E4"/>
    <w:rsid w:val="003C6C16"/>
    <w:rsid w:val="003D794D"/>
    <w:rsid w:val="003E3058"/>
    <w:rsid w:val="003E76A9"/>
    <w:rsid w:val="003F0809"/>
    <w:rsid w:val="003F6A8C"/>
    <w:rsid w:val="003F755C"/>
    <w:rsid w:val="00406F01"/>
    <w:rsid w:val="00416D50"/>
    <w:rsid w:val="00416FD5"/>
    <w:rsid w:val="00417772"/>
    <w:rsid w:val="00420E6A"/>
    <w:rsid w:val="00425A9E"/>
    <w:rsid w:val="00426D6B"/>
    <w:rsid w:val="00431E6C"/>
    <w:rsid w:val="00433CE7"/>
    <w:rsid w:val="00452738"/>
    <w:rsid w:val="00456091"/>
    <w:rsid w:val="00466321"/>
    <w:rsid w:val="00484B9B"/>
    <w:rsid w:val="004855F6"/>
    <w:rsid w:val="0048661E"/>
    <w:rsid w:val="00494670"/>
    <w:rsid w:val="004A3823"/>
    <w:rsid w:val="004E6946"/>
    <w:rsid w:val="004F1AD8"/>
    <w:rsid w:val="004F4B06"/>
    <w:rsid w:val="005039CB"/>
    <w:rsid w:val="0050558F"/>
    <w:rsid w:val="00506286"/>
    <w:rsid w:val="00510813"/>
    <w:rsid w:val="00511990"/>
    <w:rsid w:val="00511DE0"/>
    <w:rsid w:val="00514870"/>
    <w:rsid w:val="00514B9B"/>
    <w:rsid w:val="00514E01"/>
    <w:rsid w:val="00517F02"/>
    <w:rsid w:val="00524303"/>
    <w:rsid w:val="005258A2"/>
    <w:rsid w:val="00537F42"/>
    <w:rsid w:val="005401AE"/>
    <w:rsid w:val="00542E07"/>
    <w:rsid w:val="00545424"/>
    <w:rsid w:val="00554A7B"/>
    <w:rsid w:val="0055572C"/>
    <w:rsid w:val="0056106A"/>
    <w:rsid w:val="005720AE"/>
    <w:rsid w:val="00594D77"/>
    <w:rsid w:val="005969E4"/>
    <w:rsid w:val="005A06B7"/>
    <w:rsid w:val="005A1759"/>
    <w:rsid w:val="005A68A7"/>
    <w:rsid w:val="005D36AB"/>
    <w:rsid w:val="00610E11"/>
    <w:rsid w:val="00617CC3"/>
    <w:rsid w:val="006377A6"/>
    <w:rsid w:val="00637A3D"/>
    <w:rsid w:val="006411EF"/>
    <w:rsid w:val="00644627"/>
    <w:rsid w:val="006748B8"/>
    <w:rsid w:val="006775C3"/>
    <w:rsid w:val="0069290A"/>
    <w:rsid w:val="0069775A"/>
    <w:rsid w:val="00697813"/>
    <w:rsid w:val="006A3EE8"/>
    <w:rsid w:val="006A72BF"/>
    <w:rsid w:val="006B03F2"/>
    <w:rsid w:val="006B37DC"/>
    <w:rsid w:val="006B4F68"/>
    <w:rsid w:val="006C0592"/>
    <w:rsid w:val="006C272E"/>
    <w:rsid w:val="006C5479"/>
    <w:rsid w:val="006D10B2"/>
    <w:rsid w:val="006D13B5"/>
    <w:rsid w:val="006E12FF"/>
    <w:rsid w:val="006E607E"/>
    <w:rsid w:val="00700929"/>
    <w:rsid w:val="00701B65"/>
    <w:rsid w:val="00706C5D"/>
    <w:rsid w:val="00732922"/>
    <w:rsid w:val="0075162E"/>
    <w:rsid w:val="00754034"/>
    <w:rsid w:val="00756556"/>
    <w:rsid w:val="007618C4"/>
    <w:rsid w:val="00767980"/>
    <w:rsid w:val="00770B19"/>
    <w:rsid w:val="0077463F"/>
    <w:rsid w:val="007836EA"/>
    <w:rsid w:val="00784CDA"/>
    <w:rsid w:val="007906C4"/>
    <w:rsid w:val="007940EA"/>
    <w:rsid w:val="007967E8"/>
    <w:rsid w:val="007A2170"/>
    <w:rsid w:val="007A22BF"/>
    <w:rsid w:val="007A3323"/>
    <w:rsid w:val="007B72B8"/>
    <w:rsid w:val="007B7A58"/>
    <w:rsid w:val="007C21B5"/>
    <w:rsid w:val="007E4BD2"/>
    <w:rsid w:val="00801393"/>
    <w:rsid w:val="00802F88"/>
    <w:rsid w:val="0081293E"/>
    <w:rsid w:val="00815465"/>
    <w:rsid w:val="00817E9A"/>
    <w:rsid w:val="008306BD"/>
    <w:rsid w:val="00831A80"/>
    <w:rsid w:val="00833743"/>
    <w:rsid w:val="008340A4"/>
    <w:rsid w:val="0086393B"/>
    <w:rsid w:val="0087135F"/>
    <w:rsid w:val="00872D94"/>
    <w:rsid w:val="00880364"/>
    <w:rsid w:val="00891592"/>
    <w:rsid w:val="00891E9E"/>
    <w:rsid w:val="008A2451"/>
    <w:rsid w:val="008A2F68"/>
    <w:rsid w:val="008B4FA6"/>
    <w:rsid w:val="008B5282"/>
    <w:rsid w:val="008B7C17"/>
    <w:rsid w:val="008C2D01"/>
    <w:rsid w:val="008C40E6"/>
    <w:rsid w:val="008C5510"/>
    <w:rsid w:val="008D0F7A"/>
    <w:rsid w:val="008D68E4"/>
    <w:rsid w:val="008E0506"/>
    <w:rsid w:val="008E0CFF"/>
    <w:rsid w:val="008E5D6B"/>
    <w:rsid w:val="008E76F0"/>
    <w:rsid w:val="008F15FE"/>
    <w:rsid w:val="008F2D29"/>
    <w:rsid w:val="008F5187"/>
    <w:rsid w:val="008F60D8"/>
    <w:rsid w:val="00902727"/>
    <w:rsid w:val="0090312B"/>
    <w:rsid w:val="0091736D"/>
    <w:rsid w:val="009175AF"/>
    <w:rsid w:val="0093037A"/>
    <w:rsid w:val="0094154D"/>
    <w:rsid w:val="0095155F"/>
    <w:rsid w:val="00954429"/>
    <w:rsid w:val="009563CE"/>
    <w:rsid w:val="00976328"/>
    <w:rsid w:val="0097680D"/>
    <w:rsid w:val="00982438"/>
    <w:rsid w:val="0098404C"/>
    <w:rsid w:val="00985283"/>
    <w:rsid w:val="00995992"/>
    <w:rsid w:val="009A03E5"/>
    <w:rsid w:val="009A0F3B"/>
    <w:rsid w:val="009A1BB4"/>
    <w:rsid w:val="009A2628"/>
    <w:rsid w:val="009A3200"/>
    <w:rsid w:val="009B0897"/>
    <w:rsid w:val="009B7BD9"/>
    <w:rsid w:val="009C7DD5"/>
    <w:rsid w:val="009D6BDF"/>
    <w:rsid w:val="009D7776"/>
    <w:rsid w:val="009E227D"/>
    <w:rsid w:val="009E5019"/>
    <w:rsid w:val="00A04F1B"/>
    <w:rsid w:val="00A0501B"/>
    <w:rsid w:val="00A14947"/>
    <w:rsid w:val="00A32A83"/>
    <w:rsid w:val="00A368DB"/>
    <w:rsid w:val="00A423AA"/>
    <w:rsid w:val="00A53EC6"/>
    <w:rsid w:val="00A55C0F"/>
    <w:rsid w:val="00A8713F"/>
    <w:rsid w:val="00A90BA1"/>
    <w:rsid w:val="00A97A9A"/>
    <w:rsid w:val="00AA0671"/>
    <w:rsid w:val="00AA2531"/>
    <w:rsid w:val="00AB1E09"/>
    <w:rsid w:val="00AB5330"/>
    <w:rsid w:val="00AB7747"/>
    <w:rsid w:val="00AC14CE"/>
    <w:rsid w:val="00AC2A56"/>
    <w:rsid w:val="00AD055E"/>
    <w:rsid w:val="00AD47A7"/>
    <w:rsid w:val="00AF0CBF"/>
    <w:rsid w:val="00AF257F"/>
    <w:rsid w:val="00AF33CF"/>
    <w:rsid w:val="00AF4D50"/>
    <w:rsid w:val="00AF6179"/>
    <w:rsid w:val="00B1295A"/>
    <w:rsid w:val="00B20A45"/>
    <w:rsid w:val="00B22C5C"/>
    <w:rsid w:val="00B24F30"/>
    <w:rsid w:val="00B31ABF"/>
    <w:rsid w:val="00B33BE3"/>
    <w:rsid w:val="00B53B5D"/>
    <w:rsid w:val="00B6055E"/>
    <w:rsid w:val="00B6317D"/>
    <w:rsid w:val="00B7723F"/>
    <w:rsid w:val="00B80534"/>
    <w:rsid w:val="00B81238"/>
    <w:rsid w:val="00B8433C"/>
    <w:rsid w:val="00B87491"/>
    <w:rsid w:val="00B9580C"/>
    <w:rsid w:val="00BA29E9"/>
    <w:rsid w:val="00BA7142"/>
    <w:rsid w:val="00BB237C"/>
    <w:rsid w:val="00BB41A3"/>
    <w:rsid w:val="00BB6A1B"/>
    <w:rsid w:val="00BC292D"/>
    <w:rsid w:val="00BC32DC"/>
    <w:rsid w:val="00BC35B6"/>
    <w:rsid w:val="00BD1B51"/>
    <w:rsid w:val="00BD4596"/>
    <w:rsid w:val="00BE1405"/>
    <w:rsid w:val="00BE312D"/>
    <w:rsid w:val="00BF1C20"/>
    <w:rsid w:val="00C10578"/>
    <w:rsid w:val="00C135BC"/>
    <w:rsid w:val="00C15C95"/>
    <w:rsid w:val="00C2596A"/>
    <w:rsid w:val="00C27537"/>
    <w:rsid w:val="00C328FE"/>
    <w:rsid w:val="00C33507"/>
    <w:rsid w:val="00C3751F"/>
    <w:rsid w:val="00C4409D"/>
    <w:rsid w:val="00C44E72"/>
    <w:rsid w:val="00C45A06"/>
    <w:rsid w:val="00C47E5B"/>
    <w:rsid w:val="00C61E4B"/>
    <w:rsid w:val="00C64BFF"/>
    <w:rsid w:val="00C704E9"/>
    <w:rsid w:val="00C763C9"/>
    <w:rsid w:val="00C80057"/>
    <w:rsid w:val="00C82232"/>
    <w:rsid w:val="00C82913"/>
    <w:rsid w:val="00C972B1"/>
    <w:rsid w:val="00CA2CCE"/>
    <w:rsid w:val="00CA43FD"/>
    <w:rsid w:val="00CA7EF8"/>
    <w:rsid w:val="00CC489B"/>
    <w:rsid w:val="00CD2BCD"/>
    <w:rsid w:val="00CD3A4C"/>
    <w:rsid w:val="00CE10E9"/>
    <w:rsid w:val="00CE2910"/>
    <w:rsid w:val="00CE5393"/>
    <w:rsid w:val="00CF36BE"/>
    <w:rsid w:val="00CF6000"/>
    <w:rsid w:val="00D003F3"/>
    <w:rsid w:val="00D0364F"/>
    <w:rsid w:val="00D06834"/>
    <w:rsid w:val="00D23ACE"/>
    <w:rsid w:val="00D308ED"/>
    <w:rsid w:val="00D36D86"/>
    <w:rsid w:val="00D428AA"/>
    <w:rsid w:val="00D50A34"/>
    <w:rsid w:val="00D53EFA"/>
    <w:rsid w:val="00D54EB4"/>
    <w:rsid w:val="00D64E37"/>
    <w:rsid w:val="00D6540A"/>
    <w:rsid w:val="00D94A7C"/>
    <w:rsid w:val="00D95896"/>
    <w:rsid w:val="00DB2983"/>
    <w:rsid w:val="00DC1257"/>
    <w:rsid w:val="00DC3DC0"/>
    <w:rsid w:val="00DC5B2B"/>
    <w:rsid w:val="00DD318D"/>
    <w:rsid w:val="00DF2E12"/>
    <w:rsid w:val="00DF514A"/>
    <w:rsid w:val="00DF6690"/>
    <w:rsid w:val="00DF6804"/>
    <w:rsid w:val="00E0358D"/>
    <w:rsid w:val="00E04323"/>
    <w:rsid w:val="00E070A2"/>
    <w:rsid w:val="00E2656A"/>
    <w:rsid w:val="00E412D0"/>
    <w:rsid w:val="00E56322"/>
    <w:rsid w:val="00E60982"/>
    <w:rsid w:val="00E62C62"/>
    <w:rsid w:val="00E654C1"/>
    <w:rsid w:val="00E65D97"/>
    <w:rsid w:val="00E72A5A"/>
    <w:rsid w:val="00E73354"/>
    <w:rsid w:val="00E9242D"/>
    <w:rsid w:val="00EB5255"/>
    <w:rsid w:val="00EB5C47"/>
    <w:rsid w:val="00ED0639"/>
    <w:rsid w:val="00EF4755"/>
    <w:rsid w:val="00EF7135"/>
    <w:rsid w:val="00F009DF"/>
    <w:rsid w:val="00F027DB"/>
    <w:rsid w:val="00F14A7A"/>
    <w:rsid w:val="00F22985"/>
    <w:rsid w:val="00F3383E"/>
    <w:rsid w:val="00F465A7"/>
    <w:rsid w:val="00F50B7C"/>
    <w:rsid w:val="00F550E6"/>
    <w:rsid w:val="00F55404"/>
    <w:rsid w:val="00F74345"/>
    <w:rsid w:val="00F80A0A"/>
    <w:rsid w:val="00F82B19"/>
    <w:rsid w:val="00F9212D"/>
    <w:rsid w:val="00F965DA"/>
    <w:rsid w:val="00FA406A"/>
    <w:rsid w:val="00FB503A"/>
    <w:rsid w:val="00FB516C"/>
    <w:rsid w:val="00FB74ED"/>
    <w:rsid w:val="00FD0236"/>
    <w:rsid w:val="00FD18F4"/>
    <w:rsid w:val="00FD54DB"/>
    <w:rsid w:val="00FD619F"/>
    <w:rsid w:val="01035C34"/>
    <w:rsid w:val="0114437B"/>
    <w:rsid w:val="01290F7E"/>
    <w:rsid w:val="015D1E09"/>
    <w:rsid w:val="017E29E3"/>
    <w:rsid w:val="01BD1C60"/>
    <w:rsid w:val="02024E59"/>
    <w:rsid w:val="021A567D"/>
    <w:rsid w:val="021D05F0"/>
    <w:rsid w:val="02231345"/>
    <w:rsid w:val="0239580B"/>
    <w:rsid w:val="02697903"/>
    <w:rsid w:val="02BF376B"/>
    <w:rsid w:val="02D21887"/>
    <w:rsid w:val="02F96569"/>
    <w:rsid w:val="03007972"/>
    <w:rsid w:val="030D1EF4"/>
    <w:rsid w:val="031B1533"/>
    <w:rsid w:val="032961AA"/>
    <w:rsid w:val="032B235A"/>
    <w:rsid w:val="032D7F7E"/>
    <w:rsid w:val="03EA7B21"/>
    <w:rsid w:val="041643E8"/>
    <w:rsid w:val="04173407"/>
    <w:rsid w:val="04470EA0"/>
    <w:rsid w:val="04626A9E"/>
    <w:rsid w:val="04664E1E"/>
    <w:rsid w:val="047D29B6"/>
    <w:rsid w:val="049C25A4"/>
    <w:rsid w:val="05047B64"/>
    <w:rsid w:val="052170BC"/>
    <w:rsid w:val="054360DF"/>
    <w:rsid w:val="05A81B44"/>
    <w:rsid w:val="05B17A34"/>
    <w:rsid w:val="05F83EAE"/>
    <w:rsid w:val="06065B43"/>
    <w:rsid w:val="063E7D85"/>
    <w:rsid w:val="064179DC"/>
    <w:rsid w:val="06671358"/>
    <w:rsid w:val="066F576E"/>
    <w:rsid w:val="068A0B68"/>
    <w:rsid w:val="06BD5187"/>
    <w:rsid w:val="06D04334"/>
    <w:rsid w:val="06F3796E"/>
    <w:rsid w:val="07293586"/>
    <w:rsid w:val="07295285"/>
    <w:rsid w:val="07310592"/>
    <w:rsid w:val="07346391"/>
    <w:rsid w:val="07464042"/>
    <w:rsid w:val="07636392"/>
    <w:rsid w:val="07770C56"/>
    <w:rsid w:val="077A480B"/>
    <w:rsid w:val="078A52CB"/>
    <w:rsid w:val="07B7700B"/>
    <w:rsid w:val="086C2676"/>
    <w:rsid w:val="087A7758"/>
    <w:rsid w:val="089274F8"/>
    <w:rsid w:val="089A0371"/>
    <w:rsid w:val="08CD62B5"/>
    <w:rsid w:val="08D13CB5"/>
    <w:rsid w:val="08D9599C"/>
    <w:rsid w:val="08E84D1F"/>
    <w:rsid w:val="09045008"/>
    <w:rsid w:val="092217DD"/>
    <w:rsid w:val="09375234"/>
    <w:rsid w:val="093A7294"/>
    <w:rsid w:val="093F51ED"/>
    <w:rsid w:val="09D03F39"/>
    <w:rsid w:val="0A0210F1"/>
    <w:rsid w:val="0A251F92"/>
    <w:rsid w:val="0A263993"/>
    <w:rsid w:val="0A2D3AC2"/>
    <w:rsid w:val="0A554B9B"/>
    <w:rsid w:val="0AA46F10"/>
    <w:rsid w:val="0AA755DF"/>
    <w:rsid w:val="0AAD72BF"/>
    <w:rsid w:val="0ABB6DBE"/>
    <w:rsid w:val="0B0A3703"/>
    <w:rsid w:val="0B0B5D32"/>
    <w:rsid w:val="0B120D44"/>
    <w:rsid w:val="0B231DCD"/>
    <w:rsid w:val="0B37555E"/>
    <w:rsid w:val="0B3D2C95"/>
    <w:rsid w:val="0B684CAB"/>
    <w:rsid w:val="0BA31309"/>
    <w:rsid w:val="0BBB392A"/>
    <w:rsid w:val="0BBF69EB"/>
    <w:rsid w:val="0BC138D1"/>
    <w:rsid w:val="0BD03AED"/>
    <w:rsid w:val="0BD27BF6"/>
    <w:rsid w:val="0BF72C57"/>
    <w:rsid w:val="0BFC48DE"/>
    <w:rsid w:val="0BFD3841"/>
    <w:rsid w:val="0C131951"/>
    <w:rsid w:val="0C271BB9"/>
    <w:rsid w:val="0C356274"/>
    <w:rsid w:val="0C3B3C7D"/>
    <w:rsid w:val="0C906E32"/>
    <w:rsid w:val="0CAB2EAE"/>
    <w:rsid w:val="0CC7352F"/>
    <w:rsid w:val="0CDE3C35"/>
    <w:rsid w:val="0D1050BD"/>
    <w:rsid w:val="0D191390"/>
    <w:rsid w:val="0D1D0748"/>
    <w:rsid w:val="0D215336"/>
    <w:rsid w:val="0D5716BB"/>
    <w:rsid w:val="0D606483"/>
    <w:rsid w:val="0D621C7D"/>
    <w:rsid w:val="0DBE36AD"/>
    <w:rsid w:val="0DD657AD"/>
    <w:rsid w:val="0DE04142"/>
    <w:rsid w:val="0DEA461B"/>
    <w:rsid w:val="0E037266"/>
    <w:rsid w:val="0E067E05"/>
    <w:rsid w:val="0E262E7C"/>
    <w:rsid w:val="0E73034D"/>
    <w:rsid w:val="0EA55969"/>
    <w:rsid w:val="0EB3497B"/>
    <w:rsid w:val="0EB703C9"/>
    <w:rsid w:val="0F13775A"/>
    <w:rsid w:val="0F2F6D2D"/>
    <w:rsid w:val="0F5F45FE"/>
    <w:rsid w:val="0F655F3A"/>
    <w:rsid w:val="0F782584"/>
    <w:rsid w:val="0F79394B"/>
    <w:rsid w:val="0F9A112B"/>
    <w:rsid w:val="0FA44DE1"/>
    <w:rsid w:val="0FB44F9A"/>
    <w:rsid w:val="0FC66870"/>
    <w:rsid w:val="0FE16FFE"/>
    <w:rsid w:val="10090044"/>
    <w:rsid w:val="10273DB8"/>
    <w:rsid w:val="106D2F64"/>
    <w:rsid w:val="10861954"/>
    <w:rsid w:val="10B63710"/>
    <w:rsid w:val="10F10820"/>
    <w:rsid w:val="10F21D8E"/>
    <w:rsid w:val="111C2F7A"/>
    <w:rsid w:val="11240763"/>
    <w:rsid w:val="112451DA"/>
    <w:rsid w:val="11523BCF"/>
    <w:rsid w:val="11665CA1"/>
    <w:rsid w:val="11720B1F"/>
    <w:rsid w:val="11AD6018"/>
    <w:rsid w:val="11CE710E"/>
    <w:rsid w:val="126C6FAD"/>
    <w:rsid w:val="12715F5C"/>
    <w:rsid w:val="128675AF"/>
    <w:rsid w:val="12886951"/>
    <w:rsid w:val="13040217"/>
    <w:rsid w:val="131645CE"/>
    <w:rsid w:val="137E779E"/>
    <w:rsid w:val="1387341A"/>
    <w:rsid w:val="13951726"/>
    <w:rsid w:val="13A465FF"/>
    <w:rsid w:val="13D57A27"/>
    <w:rsid w:val="13DC341E"/>
    <w:rsid w:val="13F60AE9"/>
    <w:rsid w:val="14212C50"/>
    <w:rsid w:val="14396509"/>
    <w:rsid w:val="1494463F"/>
    <w:rsid w:val="14B303D8"/>
    <w:rsid w:val="14DD2C3C"/>
    <w:rsid w:val="15020A8B"/>
    <w:rsid w:val="15261BC1"/>
    <w:rsid w:val="154C297A"/>
    <w:rsid w:val="154E40C6"/>
    <w:rsid w:val="156D734F"/>
    <w:rsid w:val="1582607D"/>
    <w:rsid w:val="15A829C6"/>
    <w:rsid w:val="15E76625"/>
    <w:rsid w:val="15F83173"/>
    <w:rsid w:val="16032440"/>
    <w:rsid w:val="16087E1D"/>
    <w:rsid w:val="16394285"/>
    <w:rsid w:val="164D70B2"/>
    <w:rsid w:val="16856BA5"/>
    <w:rsid w:val="16B47306"/>
    <w:rsid w:val="16CD10E2"/>
    <w:rsid w:val="1700130D"/>
    <w:rsid w:val="1723280A"/>
    <w:rsid w:val="17701D14"/>
    <w:rsid w:val="17735226"/>
    <w:rsid w:val="17B0389A"/>
    <w:rsid w:val="17DA326F"/>
    <w:rsid w:val="181B0647"/>
    <w:rsid w:val="184803AA"/>
    <w:rsid w:val="189F624C"/>
    <w:rsid w:val="18CD1B0C"/>
    <w:rsid w:val="18D052DF"/>
    <w:rsid w:val="18D83625"/>
    <w:rsid w:val="18EB751F"/>
    <w:rsid w:val="18F30DB1"/>
    <w:rsid w:val="18F701B2"/>
    <w:rsid w:val="19166457"/>
    <w:rsid w:val="197C5DB6"/>
    <w:rsid w:val="199D1E47"/>
    <w:rsid w:val="19AE4A49"/>
    <w:rsid w:val="19D46B7B"/>
    <w:rsid w:val="1A100EB9"/>
    <w:rsid w:val="1A1320D9"/>
    <w:rsid w:val="1A1C66C0"/>
    <w:rsid w:val="1A283213"/>
    <w:rsid w:val="1A361017"/>
    <w:rsid w:val="1A42393B"/>
    <w:rsid w:val="1A4600DE"/>
    <w:rsid w:val="1A4F7FC4"/>
    <w:rsid w:val="1A64062A"/>
    <w:rsid w:val="1A98367F"/>
    <w:rsid w:val="1AAD45DE"/>
    <w:rsid w:val="1ACE7C24"/>
    <w:rsid w:val="1B046F80"/>
    <w:rsid w:val="1B3267B5"/>
    <w:rsid w:val="1B40161D"/>
    <w:rsid w:val="1B441859"/>
    <w:rsid w:val="1B6606B1"/>
    <w:rsid w:val="1BD42E4C"/>
    <w:rsid w:val="1BEA0995"/>
    <w:rsid w:val="1C5E7925"/>
    <w:rsid w:val="1C9F3D2B"/>
    <w:rsid w:val="1CDE73F3"/>
    <w:rsid w:val="1CFA2902"/>
    <w:rsid w:val="1CFD070F"/>
    <w:rsid w:val="1D5F6196"/>
    <w:rsid w:val="1D6132A5"/>
    <w:rsid w:val="1D893FE0"/>
    <w:rsid w:val="1D8E56D5"/>
    <w:rsid w:val="1DB66C15"/>
    <w:rsid w:val="1DD076B2"/>
    <w:rsid w:val="1DEE2554"/>
    <w:rsid w:val="1E1612CD"/>
    <w:rsid w:val="1E4A3189"/>
    <w:rsid w:val="1E655013"/>
    <w:rsid w:val="1E7A43DA"/>
    <w:rsid w:val="1E87110A"/>
    <w:rsid w:val="1EA2609D"/>
    <w:rsid w:val="1EB368E9"/>
    <w:rsid w:val="1F0E1492"/>
    <w:rsid w:val="1F112AB0"/>
    <w:rsid w:val="1F525822"/>
    <w:rsid w:val="1F5558ED"/>
    <w:rsid w:val="1F8D379C"/>
    <w:rsid w:val="1F8F1328"/>
    <w:rsid w:val="1FCA2C8C"/>
    <w:rsid w:val="1FE7539E"/>
    <w:rsid w:val="1FFD2030"/>
    <w:rsid w:val="203F31FC"/>
    <w:rsid w:val="203F61B3"/>
    <w:rsid w:val="20626BA7"/>
    <w:rsid w:val="20631BFA"/>
    <w:rsid w:val="20671BE0"/>
    <w:rsid w:val="20963CB8"/>
    <w:rsid w:val="20A81A1B"/>
    <w:rsid w:val="20B0112A"/>
    <w:rsid w:val="20B07FB6"/>
    <w:rsid w:val="20B646FB"/>
    <w:rsid w:val="210F1978"/>
    <w:rsid w:val="213B74B1"/>
    <w:rsid w:val="215A2310"/>
    <w:rsid w:val="216D2097"/>
    <w:rsid w:val="21744E13"/>
    <w:rsid w:val="2178649D"/>
    <w:rsid w:val="21816D1D"/>
    <w:rsid w:val="218331DE"/>
    <w:rsid w:val="219429E9"/>
    <w:rsid w:val="21DE318A"/>
    <w:rsid w:val="21DE5402"/>
    <w:rsid w:val="21EF11BC"/>
    <w:rsid w:val="21EF5B80"/>
    <w:rsid w:val="220B1CB9"/>
    <w:rsid w:val="22576990"/>
    <w:rsid w:val="227E1E26"/>
    <w:rsid w:val="22973C89"/>
    <w:rsid w:val="22E61751"/>
    <w:rsid w:val="22EA5E44"/>
    <w:rsid w:val="22ED7F6A"/>
    <w:rsid w:val="22F068FF"/>
    <w:rsid w:val="22F47480"/>
    <w:rsid w:val="230C6837"/>
    <w:rsid w:val="231E6B3F"/>
    <w:rsid w:val="232F7AED"/>
    <w:rsid w:val="234E45A3"/>
    <w:rsid w:val="23547A8A"/>
    <w:rsid w:val="236B3ADE"/>
    <w:rsid w:val="239433D4"/>
    <w:rsid w:val="23975E06"/>
    <w:rsid w:val="239F43CA"/>
    <w:rsid w:val="23B51186"/>
    <w:rsid w:val="23BD0BE6"/>
    <w:rsid w:val="23CB443D"/>
    <w:rsid w:val="23DE1C48"/>
    <w:rsid w:val="23FA2E32"/>
    <w:rsid w:val="240210CD"/>
    <w:rsid w:val="240512E3"/>
    <w:rsid w:val="242B2747"/>
    <w:rsid w:val="24520C26"/>
    <w:rsid w:val="245E7C65"/>
    <w:rsid w:val="246A3D6E"/>
    <w:rsid w:val="246E3188"/>
    <w:rsid w:val="24BD7159"/>
    <w:rsid w:val="24BF09F7"/>
    <w:rsid w:val="24CD5EA8"/>
    <w:rsid w:val="252D53FE"/>
    <w:rsid w:val="25432914"/>
    <w:rsid w:val="254E4152"/>
    <w:rsid w:val="2555285A"/>
    <w:rsid w:val="255D1799"/>
    <w:rsid w:val="25A40C1C"/>
    <w:rsid w:val="25DA0715"/>
    <w:rsid w:val="25E42FCF"/>
    <w:rsid w:val="25EC2D81"/>
    <w:rsid w:val="262D7D0C"/>
    <w:rsid w:val="263D1F54"/>
    <w:rsid w:val="264F7DF4"/>
    <w:rsid w:val="26727A5E"/>
    <w:rsid w:val="267E2BB7"/>
    <w:rsid w:val="26832E31"/>
    <w:rsid w:val="27637E30"/>
    <w:rsid w:val="277057A2"/>
    <w:rsid w:val="277A68DB"/>
    <w:rsid w:val="277D081C"/>
    <w:rsid w:val="27D40308"/>
    <w:rsid w:val="27D62579"/>
    <w:rsid w:val="27F85358"/>
    <w:rsid w:val="281534C6"/>
    <w:rsid w:val="2867419A"/>
    <w:rsid w:val="286E12D3"/>
    <w:rsid w:val="288342B7"/>
    <w:rsid w:val="28B76C5F"/>
    <w:rsid w:val="28CF6D1F"/>
    <w:rsid w:val="28D35A40"/>
    <w:rsid w:val="28EB7290"/>
    <w:rsid w:val="28F76BEE"/>
    <w:rsid w:val="29067BA8"/>
    <w:rsid w:val="29094D21"/>
    <w:rsid w:val="291658BD"/>
    <w:rsid w:val="291905E4"/>
    <w:rsid w:val="29206EB8"/>
    <w:rsid w:val="292540AD"/>
    <w:rsid w:val="293E5A8A"/>
    <w:rsid w:val="29595666"/>
    <w:rsid w:val="296A19BB"/>
    <w:rsid w:val="296C30B7"/>
    <w:rsid w:val="29725C52"/>
    <w:rsid w:val="297517EC"/>
    <w:rsid w:val="298622B3"/>
    <w:rsid w:val="29874881"/>
    <w:rsid w:val="29BB09F4"/>
    <w:rsid w:val="29E325E0"/>
    <w:rsid w:val="2A287C5B"/>
    <w:rsid w:val="2A2C5CC7"/>
    <w:rsid w:val="2A385587"/>
    <w:rsid w:val="2A452503"/>
    <w:rsid w:val="2A5C139D"/>
    <w:rsid w:val="2A5E5102"/>
    <w:rsid w:val="2A874568"/>
    <w:rsid w:val="2AA31034"/>
    <w:rsid w:val="2AE155EE"/>
    <w:rsid w:val="2B047E3D"/>
    <w:rsid w:val="2B276594"/>
    <w:rsid w:val="2B5875DC"/>
    <w:rsid w:val="2B6103AA"/>
    <w:rsid w:val="2B6D12EE"/>
    <w:rsid w:val="2B76570D"/>
    <w:rsid w:val="2BA936A8"/>
    <w:rsid w:val="2BB50346"/>
    <w:rsid w:val="2BF35C97"/>
    <w:rsid w:val="2C2551A4"/>
    <w:rsid w:val="2C315A5A"/>
    <w:rsid w:val="2C4B1C25"/>
    <w:rsid w:val="2C552CD8"/>
    <w:rsid w:val="2C5C2E7B"/>
    <w:rsid w:val="2CE275EC"/>
    <w:rsid w:val="2CEF1CD0"/>
    <w:rsid w:val="2CF0166E"/>
    <w:rsid w:val="2D194C4D"/>
    <w:rsid w:val="2D261DC5"/>
    <w:rsid w:val="2D2C1DCB"/>
    <w:rsid w:val="2D827DBA"/>
    <w:rsid w:val="2D8372DA"/>
    <w:rsid w:val="2D875F2A"/>
    <w:rsid w:val="2D8D3007"/>
    <w:rsid w:val="2D9E56F5"/>
    <w:rsid w:val="2E1C4D8F"/>
    <w:rsid w:val="2E667F96"/>
    <w:rsid w:val="2E8226AB"/>
    <w:rsid w:val="2E963AD2"/>
    <w:rsid w:val="2EAA3F45"/>
    <w:rsid w:val="2F63571D"/>
    <w:rsid w:val="2F6427FC"/>
    <w:rsid w:val="2F697261"/>
    <w:rsid w:val="2F724D86"/>
    <w:rsid w:val="2F847811"/>
    <w:rsid w:val="2FBA7F43"/>
    <w:rsid w:val="2FBB4D1E"/>
    <w:rsid w:val="2FD065E6"/>
    <w:rsid w:val="2FD96870"/>
    <w:rsid w:val="2FE71B25"/>
    <w:rsid w:val="2FF77A64"/>
    <w:rsid w:val="30176EA9"/>
    <w:rsid w:val="30580BC9"/>
    <w:rsid w:val="307429A4"/>
    <w:rsid w:val="309A02BC"/>
    <w:rsid w:val="30A77D6A"/>
    <w:rsid w:val="30AE2769"/>
    <w:rsid w:val="30DD54DA"/>
    <w:rsid w:val="30DF1C17"/>
    <w:rsid w:val="30F62634"/>
    <w:rsid w:val="311E2ED7"/>
    <w:rsid w:val="315619EE"/>
    <w:rsid w:val="315C449C"/>
    <w:rsid w:val="31A72C3D"/>
    <w:rsid w:val="31B04DD9"/>
    <w:rsid w:val="31B82709"/>
    <w:rsid w:val="31BD4AB2"/>
    <w:rsid w:val="31D05482"/>
    <w:rsid w:val="31D802D3"/>
    <w:rsid w:val="32005B66"/>
    <w:rsid w:val="320F65D3"/>
    <w:rsid w:val="32216685"/>
    <w:rsid w:val="32400B34"/>
    <w:rsid w:val="329E6876"/>
    <w:rsid w:val="32E97F01"/>
    <w:rsid w:val="32F678B6"/>
    <w:rsid w:val="333015F2"/>
    <w:rsid w:val="334B6320"/>
    <w:rsid w:val="338B4A07"/>
    <w:rsid w:val="33CD2343"/>
    <w:rsid w:val="33D934D4"/>
    <w:rsid w:val="33FE2F6A"/>
    <w:rsid w:val="340E07E5"/>
    <w:rsid w:val="34235BF7"/>
    <w:rsid w:val="344C096A"/>
    <w:rsid w:val="344D2E75"/>
    <w:rsid w:val="34512C96"/>
    <w:rsid w:val="34915E77"/>
    <w:rsid w:val="3495422D"/>
    <w:rsid w:val="34C0758B"/>
    <w:rsid w:val="34EF5ACC"/>
    <w:rsid w:val="352E694B"/>
    <w:rsid w:val="35527ED3"/>
    <w:rsid w:val="35626C0E"/>
    <w:rsid w:val="35840C31"/>
    <w:rsid w:val="358C5FA8"/>
    <w:rsid w:val="359A1669"/>
    <w:rsid w:val="35C15DF1"/>
    <w:rsid w:val="35D55698"/>
    <w:rsid w:val="35F6632E"/>
    <w:rsid w:val="36074A7F"/>
    <w:rsid w:val="361C17F5"/>
    <w:rsid w:val="363E00E7"/>
    <w:rsid w:val="363F245B"/>
    <w:rsid w:val="365644C0"/>
    <w:rsid w:val="36653004"/>
    <w:rsid w:val="36764CE4"/>
    <w:rsid w:val="36843878"/>
    <w:rsid w:val="368F480F"/>
    <w:rsid w:val="36923549"/>
    <w:rsid w:val="36AA5240"/>
    <w:rsid w:val="36B75FBF"/>
    <w:rsid w:val="36BD0C45"/>
    <w:rsid w:val="36EC06B8"/>
    <w:rsid w:val="37304E44"/>
    <w:rsid w:val="37680851"/>
    <w:rsid w:val="37E00298"/>
    <w:rsid w:val="37E1398B"/>
    <w:rsid w:val="37EE0374"/>
    <w:rsid w:val="38082925"/>
    <w:rsid w:val="38136F2E"/>
    <w:rsid w:val="381E27A2"/>
    <w:rsid w:val="38886FB1"/>
    <w:rsid w:val="38B302F9"/>
    <w:rsid w:val="38EF2F82"/>
    <w:rsid w:val="38F12CD3"/>
    <w:rsid w:val="38F94775"/>
    <w:rsid w:val="3903243C"/>
    <w:rsid w:val="3904214C"/>
    <w:rsid w:val="392971ED"/>
    <w:rsid w:val="39325651"/>
    <w:rsid w:val="39412EA6"/>
    <w:rsid w:val="396A5315"/>
    <w:rsid w:val="39A11D24"/>
    <w:rsid w:val="39C01395"/>
    <w:rsid w:val="39FD547E"/>
    <w:rsid w:val="3A151C40"/>
    <w:rsid w:val="3A216DC4"/>
    <w:rsid w:val="3A26692D"/>
    <w:rsid w:val="3A48361D"/>
    <w:rsid w:val="3A771768"/>
    <w:rsid w:val="3A7E2A66"/>
    <w:rsid w:val="3A872856"/>
    <w:rsid w:val="3AB26431"/>
    <w:rsid w:val="3AD5456B"/>
    <w:rsid w:val="3ADA15F9"/>
    <w:rsid w:val="3B036941"/>
    <w:rsid w:val="3B177E0E"/>
    <w:rsid w:val="3B3763D1"/>
    <w:rsid w:val="3B3A1F1A"/>
    <w:rsid w:val="3B500D53"/>
    <w:rsid w:val="3B697EA3"/>
    <w:rsid w:val="3B6B4B17"/>
    <w:rsid w:val="3BAB0675"/>
    <w:rsid w:val="3BD36905"/>
    <w:rsid w:val="3C2F6E1E"/>
    <w:rsid w:val="3C4B2DBB"/>
    <w:rsid w:val="3C4F64BA"/>
    <w:rsid w:val="3C6977DA"/>
    <w:rsid w:val="3C740476"/>
    <w:rsid w:val="3C81624B"/>
    <w:rsid w:val="3CD36A66"/>
    <w:rsid w:val="3CDA245A"/>
    <w:rsid w:val="3D1E06B7"/>
    <w:rsid w:val="3D264CA4"/>
    <w:rsid w:val="3DA77731"/>
    <w:rsid w:val="3DB90D66"/>
    <w:rsid w:val="3DCE23EC"/>
    <w:rsid w:val="3E0A1F89"/>
    <w:rsid w:val="3E0C3AEC"/>
    <w:rsid w:val="3E527CEA"/>
    <w:rsid w:val="3EC00096"/>
    <w:rsid w:val="3EDA0523"/>
    <w:rsid w:val="3F0B5584"/>
    <w:rsid w:val="3F244998"/>
    <w:rsid w:val="3F5327C1"/>
    <w:rsid w:val="3F6156D4"/>
    <w:rsid w:val="3F6C063B"/>
    <w:rsid w:val="3F8269D3"/>
    <w:rsid w:val="3F8276A8"/>
    <w:rsid w:val="3FA347AC"/>
    <w:rsid w:val="3FB9235A"/>
    <w:rsid w:val="40077295"/>
    <w:rsid w:val="407A6407"/>
    <w:rsid w:val="40960E5A"/>
    <w:rsid w:val="40B32BE1"/>
    <w:rsid w:val="40EB6256"/>
    <w:rsid w:val="410E36F2"/>
    <w:rsid w:val="41177613"/>
    <w:rsid w:val="41496AD9"/>
    <w:rsid w:val="41653404"/>
    <w:rsid w:val="418538D4"/>
    <w:rsid w:val="418E0D47"/>
    <w:rsid w:val="41931193"/>
    <w:rsid w:val="419F10D2"/>
    <w:rsid w:val="4200449D"/>
    <w:rsid w:val="4203019D"/>
    <w:rsid w:val="423A3BCC"/>
    <w:rsid w:val="424E57D2"/>
    <w:rsid w:val="42577B0D"/>
    <w:rsid w:val="42662D42"/>
    <w:rsid w:val="426E064D"/>
    <w:rsid w:val="427E2307"/>
    <w:rsid w:val="42916243"/>
    <w:rsid w:val="42951B36"/>
    <w:rsid w:val="429E7E3B"/>
    <w:rsid w:val="42AE2BAA"/>
    <w:rsid w:val="42B26C49"/>
    <w:rsid w:val="42B62B53"/>
    <w:rsid w:val="42D706F5"/>
    <w:rsid w:val="430B6C98"/>
    <w:rsid w:val="43345C1D"/>
    <w:rsid w:val="43384D9B"/>
    <w:rsid w:val="433A6FE6"/>
    <w:rsid w:val="43480868"/>
    <w:rsid w:val="4350713C"/>
    <w:rsid w:val="436653E0"/>
    <w:rsid w:val="437411B0"/>
    <w:rsid w:val="439039A1"/>
    <w:rsid w:val="43C4431A"/>
    <w:rsid w:val="444638B3"/>
    <w:rsid w:val="44501A81"/>
    <w:rsid w:val="44904C10"/>
    <w:rsid w:val="44B951CC"/>
    <w:rsid w:val="44BF5774"/>
    <w:rsid w:val="44CD14E0"/>
    <w:rsid w:val="44EC107E"/>
    <w:rsid w:val="44F20B0B"/>
    <w:rsid w:val="450619DC"/>
    <w:rsid w:val="452B67D2"/>
    <w:rsid w:val="452E5F4C"/>
    <w:rsid w:val="454E1EA7"/>
    <w:rsid w:val="45612018"/>
    <w:rsid w:val="456813BA"/>
    <w:rsid w:val="458946E9"/>
    <w:rsid w:val="45A47C0E"/>
    <w:rsid w:val="45A735A4"/>
    <w:rsid w:val="46577FD6"/>
    <w:rsid w:val="46A24104"/>
    <w:rsid w:val="46D955A7"/>
    <w:rsid w:val="47133957"/>
    <w:rsid w:val="47226A4C"/>
    <w:rsid w:val="475F4596"/>
    <w:rsid w:val="47A07E0C"/>
    <w:rsid w:val="47C00A3F"/>
    <w:rsid w:val="48040509"/>
    <w:rsid w:val="48314BCF"/>
    <w:rsid w:val="485943AD"/>
    <w:rsid w:val="4870272E"/>
    <w:rsid w:val="491507D7"/>
    <w:rsid w:val="494D1F25"/>
    <w:rsid w:val="494E14D5"/>
    <w:rsid w:val="4962080E"/>
    <w:rsid w:val="497A218F"/>
    <w:rsid w:val="49DC7715"/>
    <w:rsid w:val="4A023139"/>
    <w:rsid w:val="4A1158A4"/>
    <w:rsid w:val="4A7B576F"/>
    <w:rsid w:val="4A87678E"/>
    <w:rsid w:val="4AB94763"/>
    <w:rsid w:val="4AE143D2"/>
    <w:rsid w:val="4AF561A9"/>
    <w:rsid w:val="4AFF6700"/>
    <w:rsid w:val="4B2549BE"/>
    <w:rsid w:val="4B332719"/>
    <w:rsid w:val="4B340CE8"/>
    <w:rsid w:val="4B420DC1"/>
    <w:rsid w:val="4B587477"/>
    <w:rsid w:val="4B9E3461"/>
    <w:rsid w:val="4BB51B81"/>
    <w:rsid w:val="4BD47B28"/>
    <w:rsid w:val="4BD51F05"/>
    <w:rsid w:val="4BDE6AE2"/>
    <w:rsid w:val="4C002926"/>
    <w:rsid w:val="4C1E62B8"/>
    <w:rsid w:val="4C377FB2"/>
    <w:rsid w:val="4C4A0649"/>
    <w:rsid w:val="4C7E5ECA"/>
    <w:rsid w:val="4C876AA5"/>
    <w:rsid w:val="4C913633"/>
    <w:rsid w:val="4CB15613"/>
    <w:rsid w:val="4CBE42EC"/>
    <w:rsid w:val="4D0E00FB"/>
    <w:rsid w:val="4D10423C"/>
    <w:rsid w:val="4D11539B"/>
    <w:rsid w:val="4D176606"/>
    <w:rsid w:val="4D2336D5"/>
    <w:rsid w:val="4D3F4946"/>
    <w:rsid w:val="4D422183"/>
    <w:rsid w:val="4D434A81"/>
    <w:rsid w:val="4D490243"/>
    <w:rsid w:val="4D4A209F"/>
    <w:rsid w:val="4DCA2247"/>
    <w:rsid w:val="4DEA7385"/>
    <w:rsid w:val="4DEC4FB0"/>
    <w:rsid w:val="4DEF3DD5"/>
    <w:rsid w:val="4E075D8A"/>
    <w:rsid w:val="4E0B58BE"/>
    <w:rsid w:val="4E0D05CE"/>
    <w:rsid w:val="4E0F74CD"/>
    <w:rsid w:val="4E1A0BC2"/>
    <w:rsid w:val="4E2A327F"/>
    <w:rsid w:val="4E3027E6"/>
    <w:rsid w:val="4E532070"/>
    <w:rsid w:val="4E664843"/>
    <w:rsid w:val="4E6C695F"/>
    <w:rsid w:val="4EA002DD"/>
    <w:rsid w:val="4EA100BB"/>
    <w:rsid w:val="4EAF37AF"/>
    <w:rsid w:val="4EC00FAD"/>
    <w:rsid w:val="4ECC75F6"/>
    <w:rsid w:val="4EFA609A"/>
    <w:rsid w:val="4F081382"/>
    <w:rsid w:val="4F2752A4"/>
    <w:rsid w:val="4F2F2F84"/>
    <w:rsid w:val="4F5321B3"/>
    <w:rsid w:val="4F6227B1"/>
    <w:rsid w:val="4F9843DC"/>
    <w:rsid w:val="4FC307D4"/>
    <w:rsid w:val="4FC62A8C"/>
    <w:rsid w:val="4FE20F0D"/>
    <w:rsid w:val="4FE51552"/>
    <w:rsid w:val="4FF8138E"/>
    <w:rsid w:val="4FFE3DD1"/>
    <w:rsid w:val="500A0850"/>
    <w:rsid w:val="5036271B"/>
    <w:rsid w:val="50504C4B"/>
    <w:rsid w:val="505938BF"/>
    <w:rsid w:val="506A725F"/>
    <w:rsid w:val="506D4D1F"/>
    <w:rsid w:val="508160EC"/>
    <w:rsid w:val="509C6E7C"/>
    <w:rsid w:val="50C23A0B"/>
    <w:rsid w:val="50DC0CC1"/>
    <w:rsid w:val="50E07F6E"/>
    <w:rsid w:val="50EA3D07"/>
    <w:rsid w:val="50EE4BF1"/>
    <w:rsid w:val="50FB1869"/>
    <w:rsid w:val="51200A2D"/>
    <w:rsid w:val="51525CD6"/>
    <w:rsid w:val="5162104E"/>
    <w:rsid w:val="517C5570"/>
    <w:rsid w:val="519340FC"/>
    <w:rsid w:val="51957592"/>
    <w:rsid w:val="51C72625"/>
    <w:rsid w:val="51DE7F4C"/>
    <w:rsid w:val="51E6296C"/>
    <w:rsid w:val="52070921"/>
    <w:rsid w:val="521805B0"/>
    <w:rsid w:val="524D5760"/>
    <w:rsid w:val="52925E9B"/>
    <w:rsid w:val="52981409"/>
    <w:rsid w:val="52A5644F"/>
    <w:rsid w:val="52D12DDB"/>
    <w:rsid w:val="52D6194D"/>
    <w:rsid w:val="52DC616C"/>
    <w:rsid w:val="530A31E8"/>
    <w:rsid w:val="539249AA"/>
    <w:rsid w:val="53A039CC"/>
    <w:rsid w:val="53A1505A"/>
    <w:rsid w:val="53B042ED"/>
    <w:rsid w:val="53E5165E"/>
    <w:rsid w:val="53E93C61"/>
    <w:rsid w:val="54060317"/>
    <w:rsid w:val="54063E08"/>
    <w:rsid w:val="541F52A9"/>
    <w:rsid w:val="543437E8"/>
    <w:rsid w:val="543B2890"/>
    <w:rsid w:val="545F04A5"/>
    <w:rsid w:val="547D0F21"/>
    <w:rsid w:val="54844BB3"/>
    <w:rsid w:val="54F33119"/>
    <w:rsid w:val="54F73313"/>
    <w:rsid w:val="54F80955"/>
    <w:rsid w:val="555170A7"/>
    <w:rsid w:val="5563094D"/>
    <w:rsid w:val="5587536D"/>
    <w:rsid w:val="5594131D"/>
    <w:rsid w:val="559B174B"/>
    <w:rsid w:val="55CE0CF4"/>
    <w:rsid w:val="562F3758"/>
    <w:rsid w:val="56327239"/>
    <w:rsid w:val="565546E4"/>
    <w:rsid w:val="56756B97"/>
    <w:rsid w:val="56987076"/>
    <w:rsid w:val="56B22A9C"/>
    <w:rsid w:val="56DF419C"/>
    <w:rsid w:val="572C216A"/>
    <w:rsid w:val="573146BD"/>
    <w:rsid w:val="57346908"/>
    <w:rsid w:val="57424AFE"/>
    <w:rsid w:val="578245A0"/>
    <w:rsid w:val="57AB562D"/>
    <w:rsid w:val="57AD70E7"/>
    <w:rsid w:val="57B72A76"/>
    <w:rsid w:val="57C20DC6"/>
    <w:rsid w:val="57C3426C"/>
    <w:rsid w:val="57C67DB2"/>
    <w:rsid w:val="57CE1F93"/>
    <w:rsid w:val="57DA6DBC"/>
    <w:rsid w:val="57DB12F8"/>
    <w:rsid w:val="57FE3A40"/>
    <w:rsid w:val="580B6AB4"/>
    <w:rsid w:val="58333E1C"/>
    <w:rsid w:val="58474A7D"/>
    <w:rsid w:val="584850D4"/>
    <w:rsid w:val="584F7B5F"/>
    <w:rsid w:val="5855022A"/>
    <w:rsid w:val="588743D1"/>
    <w:rsid w:val="5887701A"/>
    <w:rsid w:val="58A7003F"/>
    <w:rsid w:val="58AF31E4"/>
    <w:rsid w:val="58B303D9"/>
    <w:rsid w:val="58B54CC0"/>
    <w:rsid w:val="58DE6061"/>
    <w:rsid w:val="58E5269C"/>
    <w:rsid w:val="58F56F62"/>
    <w:rsid w:val="593748D7"/>
    <w:rsid w:val="59411741"/>
    <w:rsid w:val="594F3C5E"/>
    <w:rsid w:val="594F4066"/>
    <w:rsid w:val="59673A73"/>
    <w:rsid w:val="597D6EA0"/>
    <w:rsid w:val="59A457F7"/>
    <w:rsid w:val="59B019C0"/>
    <w:rsid w:val="59C0439F"/>
    <w:rsid w:val="59D03840"/>
    <w:rsid w:val="59F51025"/>
    <w:rsid w:val="5A3562B4"/>
    <w:rsid w:val="5A737A81"/>
    <w:rsid w:val="5A8A0566"/>
    <w:rsid w:val="5ABE2233"/>
    <w:rsid w:val="5AFD4646"/>
    <w:rsid w:val="5B0B3FD4"/>
    <w:rsid w:val="5B30041F"/>
    <w:rsid w:val="5B522D3C"/>
    <w:rsid w:val="5B632AE9"/>
    <w:rsid w:val="5B8E736C"/>
    <w:rsid w:val="5B8F2FEE"/>
    <w:rsid w:val="5BA8493A"/>
    <w:rsid w:val="5BAF4667"/>
    <w:rsid w:val="5BDF5D95"/>
    <w:rsid w:val="5BFE7528"/>
    <w:rsid w:val="5C0610FE"/>
    <w:rsid w:val="5C323451"/>
    <w:rsid w:val="5C8D12EC"/>
    <w:rsid w:val="5C9839FA"/>
    <w:rsid w:val="5C984511"/>
    <w:rsid w:val="5CA32435"/>
    <w:rsid w:val="5CD2788D"/>
    <w:rsid w:val="5D3E56FD"/>
    <w:rsid w:val="5D566255"/>
    <w:rsid w:val="5D672DB1"/>
    <w:rsid w:val="5D931D9F"/>
    <w:rsid w:val="5DDB6408"/>
    <w:rsid w:val="5E2467F1"/>
    <w:rsid w:val="5E253F5B"/>
    <w:rsid w:val="5E3D34FE"/>
    <w:rsid w:val="5E87578C"/>
    <w:rsid w:val="5EA564F8"/>
    <w:rsid w:val="5ED30DDB"/>
    <w:rsid w:val="5F057D8C"/>
    <w:rsid w:val="5F1A2B43"/>
    <w:rsid w:val="5F6C469D"/>
    <w:rsid w:val="5F703DCF"/>
    <w:rsid w:val="5F704CAC"/>
    <w:rsid w:val="5F7449CE"/>
    <w:rsid w:val="5F8E025D"/>
    <w:rsid w:val="5F942785"/>
    <w:rsid w:val="5FB837BB"/>
    <w:rsid w:val="5FC85466"/>
    <w:rsid w:val="5FE1142E"/>
    <w:rsid w:val="5FE66C9A"/>
    <w:rsid w:val="60980FE6"/>
    <w:rsid w:val="60B10850"/>
    <w:rsid w:val="60B205B9"/>
    <w:rsid w:val="60CC405A"/>
    <w:rsid w:val="61043872"/>
    <w:rsid w:val="61344005"/>
    <w:rsid w:val="614002AD"/>
    <w:rsid w:val="6149097B"/>
    <w:rsid w:val="614E59C4"/>
    <w:rsid w:val="61CA71D9"/>
    <w:rsid w:val="61CB7188"/>
    <w:rsid w:val="61E215D8"/>
    <w:rsid w:val="62032444"/>
    <w:rsid w:val="6204455E"/>
    <w:rsid w:val="621230CA"/>
    <w:rsid w:val="621B3775"/>
    <w:rsid w:val="62364782"/>
    <w:rsid w:val="624D5B24"/>
    <w:rsid w:val="62E42611"/>
    <w:rsid w:val="6317537E"/>
    <w:rsid w:val="632A1297"/>
    <w:rsid w:val="632A3C77"/>
    <w:rsid w:val="636A640E"/>
    <w:rsid w:val="637B74D7"/>
    <w:rsid w:val="6392007E"/>
    <w:rsid w:val="6394356A"/>
    <w:rsid w:val="63C61B2C"/>
    <w:rsid w:val="63D40BE9"/>
    <w:rsid w:val="63DA6346"/>
    <w:rsid w:val="63DA7D52"/>
    <w:rsid w:val="63DE7303"/>
    <w:rsid w:val="64102431"/>
    <w:rsid w:val="64960552"/>
    <w:rsid w:val="64A5243A"/>
    <w:rsid w:val="64AC0737"/>
    <w:rsid w:val="64BF35CF"/>
    <w:rsid w:val="64E41A2A"/>
    <w:rsid w:val="64E91D84"/>
    <w:rsid w:val="64F06497"/>
    <w:rsid w:val="64F531DE"/>
    <w:rsid w:val="65373578"/>
    <w:rsid w:val="655A2A2E"/>
    <w:rsid w:val="657B39D8"/>
    <w:rsid w:val="659C3AAB"/>
    <w:rsid w:val="65A15078"/>
    <w:rsid w:val="65D5731D"/>
    <w:rsid w:val="65F046BB"/>
    <w:rsid w:val="6614554E"/>
    <w:rsid w:val="66533E7D"/>
    <w:rsid w:val="665661E7"/>
    <w:rsid w:val="665B0278"/>
    <w:rsid w:val="66B322D9"/>
    <w:rsid w:val="66BB0C85"/>
    <w:rsid w:val="66D5268B"/>
    <w:rsid w:val="66F7374A"/>
    <w:rsid w:val="671F124A"/>
    <w:rsid w:val="67315407"/>
    <w:rsid w:val="675B548A"/>
    <w:rsid w:val="675E1A9B"/>
    <w:rsid w:val="677A33C6"/>
    <w:rsid w:val="67A51841"/>
    <w:rsid w:val="67A901F8"/>
    <w:rsid w:val="67D43B66"/>
    <w:rsid w:val="67DE30BE"/>
    <w:rsid w:val="681F6961"/>
    <w:rsid w:val="68366618"/>
    <w:rsid w:val="68534D10"/>
    <w:rsid w:val="68610A2F"/>
    <w:rsid w:val="686908DB"/>
    <w:rsid w:val="68805514"/>
    <w:rsid w:val="68B630BE"/>
    <w:rsid w:val="68DA2261"/>
    <w:rsid w:val="68EA690E"/>
    <w:rsid w:val="68F01513"/>
    <w:rsid w:val="69274428"/>
    <w:rsid w:val="69316E2F"/>
    <w:rsid w:val="69330731"/>
    <w:rsid w:val="694D7761"/>
    <w:rsid w:val="694E2071"/>
    <w:rsid w:val="695970D3"/>
    <w:rsid w:val="69766163"/>
    <w:rsid w:val="697A3B33"/>
    <w:rsid w:val="697C4644"/>
    <w:rsid w:val="69BC0DBC"/>
    <w:rsid w:val="69D2585A"/>
    <w:rsid w:val="69D44760"/>
    <w:rsid w:val="69EB214C"/>
    <w:rsid w:val="69F14347"/>
    <w:rsid w:val="6A0875F0"/>
    <w:rsid w:val="6A210E0C"/>
    <w:rsid w:val="6A4D6F4D"/>
    <w:rsid w:val="6A520EC7"/>
    <w:rsid w:val="6A5922F3"/>
    <w:rsid w:val="6A6F1346"/>
    <w:rsid w:val="6A8A2518"/>
    <w:rsid w:val="6A905FCC"/>
    <w:rsid w:val="6AA229EB"/>
    <w:rsid w:val="6AE849F9"/>
    <w:rsid w:val="6AF87E20"/>
    <w:rsid w:val="6B0520BB"/>
    <w:rsid w:val="6B322639"/>
    <w:rsid w:val="6B414F08"/>
    <w:rsid w:val="6B4670A1"/>
    <w:rsid w:val="6B854113"/>
    <w:rsid w:val="6BCF5290"/>
    <w:rsid w:val="6BFA6E72"/>
    <w:rsid w:val="6C385751"/>
    <w:rsid w:val="6C636C38"/>
    <w:rsid w:val="6C7C28F5"/>
    <w:rsid w:val="6C7F00F2"/>
    <w:rsid w:val="6C882CD1"/>
    <w:rsid w:val="6C9C4971"/>
    <w:rsid w:val="6C9E569E"/>
    <w:rsid w:val="6CCB1292"/>
    <w:rsid w:val="6CCB67D5"/>
    <w:rsid w:val="6D027D50"/>
    <w:rsid w:val="6D2B43F5"/>
    <w:rsid w:val="6D472FAD"/>
    <w:rsid w:val="6D4A099C"/>
    <w:rsid w:val="6D8F415E"/>
    <w:rsid w:val="6DA87143"/>
    <w:rsid w:val="6DB34098"/>
    <w:rsid w:val="6DB545B6"/>
    <w:rsid w:val="6DE02FB4"/>
    <w:rsid w:val="6DFB5D0A"/>
    <w:rsid w:val="6E141F28"/>
    <w:rsid w:val="6E334D51"/>
    <w:rsid w:val="6E514CED"/>
    <w:rsid w:val="6E571008"/>
    <w:rsid w:val="6E6D514D"/>
    <w:rsid w:val="6E7D51C3"/>
    <w:rsid w:val="6E985021"/>
    <w:rsid w:val="6EAD5924"/>
    <w:rsid w:val="6EB47224"/>
    <w:rsid w:val="6EB563D5"/>
    <w:rsid w:val="6ED92677"/>
    <w:rsid w:val="6F225983"/>
    <w:rsid w:val="6F230905"/>
    <w:rsid w:val="6F2515A8"/>
    <w:rsid w:val="6F42699E"/>
    <w:rsid w:val="6F6A779F"/>
    <w:rsid w:val="6FA165F4"/>
    <w:rsid w:val="6FB22BB5"/>
    <w:rsid w:val="6FCE16CA"/>
    <w:rsid w:val="6FE22F68"/>
    <w:rsid w:val="6FF91EFF"/>
    <w:rsid w:val="6FFC5590"/>
    <w:rsid w:val="703F259E"/>
    <w:rsid w:val="705139A0"/>
    <w:rsid w:val="706D1DD0"/>
    <w:rsid w:val="70856B87"/>
    <w:rsid w:val="708C601F"/>
    <w:rsid w:val="70A51CB7"/>
    <w:rsid w:val="70D45FB5"/>
    <w:rsid w:val="70D527EE"/>
    <w:rsid w:val="70F8685C"/>
    <w:rsid w:val="710B6EA4"/>
    <w:rsid w:val="71512241"/>
    <w:rsid w:val="715B5300"/>
    <w:rsid w:val="71950A73"/>
    <w:rsid w:val="71AE1DDD"/>
    <w:rsid w:val="71BE3185"/>
    <w:rsid w:val="71D27F8A"/>
    <w:rsid w:val="71E2392B"/>
    <w:rsid w:val="7238584F"/>
    <w:rsid w:val="723E306A"/>
    <w:rsid w:val="723F49EB"/>
    <w:rsid w:val="72553024"/>
    <w:rsid w:val="727A2530"/>
    <w:rsid w:val="72AE7ED0"/>
    <w:rsid w:val="72AF53A6"/>
    <w:rsid w:val="72C46767"/>
    <w:rsid w:val="730F71A9"/>
    <w:rsid w:val="73122968"/>
    <w:rsid w:val="731D5D8A"/>
    <w:rsid w:val="731F5D5E"/>
    <w:rsid w:val="734C2E72"/>
    <w:rsid w:val="73642875"/>
    <w:rsid w:val="73810C88"/>
    <w:rsid w:val="739300FC"/>
    <w:rsid w:val="739F3CED"/>
    <w:rsid w:val="73C51AD5"/>
    <w:rsid w:val="73C9225D"/>
    <w:rsid w:val="73CE18FE"/>
    <w:rsid w:val="741E793C"/>
    <w:rsid w:val="7424577E"/>
    <w:rsid w:val="74325F80"/>
    <w:rsid w:val="745C147E"/>
    <w:rsid w:val="745E3944"/>
    <w:rsid w:val="74643A01"/>
    <w:rsid w:val="74685B67"/>
    <w:rsid w:val="74730CF0"/>
    <w:rsid w:val="74754E2B"/>
    <w:rsid w:val="7499234F"/>
    <w:rsid w:val="74A40DCE"/>
    <w:rsid w:val="74A63D99"/>
    <w:rsid w:val="74C33581"/>
    <w:rsid w:val="7512291A"/>
    <w:rsid w:val="751434AC"/>
    <w:rsid w:val="75267871"/>
    <w:rsid w:val="753D7BD6"/>
    <w:rsid w:val="75555473"/>
    <w:rsid w:val="756814B8"/>
    <w:rsid w:val="757C5005"/>
    <w:rsid w:val="758A10F5"/>
    <w:rsid w:val="75904F22"/>
    <w:rsid w:val="75C85F9C"/>
    <w:rsid w:val="75D217E9"/>
    <w:rsid w:val="75DE4446"/>
    <w:rsid w:val="75EF7FE3"/>
    <w:rsid w:val="761F019F"/>
    <w:rsid w:val="7626186D"/>
    <w:rsid w:val="762C593D"/>
    <w:rsid w:val="7635099D"/>
    <w:rsid w:val="764F3C8B"/>
    <w:rsid w:val="76625523"/>
    <w:rsid w:val="767C3B7E"/>
    <w:rsid w:val="767E3889"/>
    <w:rsid w:val="768A4D4D"/>
    <w:rsid w:val="76C02F45"/>
    <w:rsid w:val="76C814F7"/>
    <w:rsid w:val="76F71F10"/>
    <w:rsid w:val="770C3CAE"/>
    <w:rsid w:val="77443163"/>
    <w:rsid w:val="77762421"/>
    <w:rsid w:val="777C3266"/>
    <w:rsid w:val="778C0EF3"/>
    <w:rsid w:val="778F6745"/>
    <w:rsid w:val="77947980"/>
    <w:rsid w:val="77B56B1F"/>
    <w:rsid w:val="77F15302"/>
    <w:rsid w:val="780805DD"/>
    <w:rsid w:val="780D75D1"/>
    <w:rsid w:val="780F09F4"/>
    <w:rsid w:val="78282B14"/>
    <w:rsid w:val="78285540"/>
    <w:rsid w:val="785E4134"/>
    <w:rsid w:val="786673C2"/>
    <w:rsid w:val="78A90480"/>
    <w:rsid w:val="79065900"/>
    <w:rsid w:val="79181E66"/>
    <w:rsid w:val="7A364017"/>
    <w:rsid w:val="7A431933"/>
    <w:rsid w:val="7A7E64E3"/>
    <w:rsid w:val="7A8265E1"/>
    <w:rsid w:val="7AA805EB"/>
    <w:rsid w:val="7AF6777E"/>
    <w:rsid w:val="7B300507"/>
    <w:rsid w:val="7B375A1D"/>
    <w:rsid w:val="7B686D42"/>
    <w:rsid w:val="7B841746"/>
    <w:rsid w:val="7B8F2227"/>
    <w:rsid w:val="7B9369E3"/>
    <w:rsid w:val="7BB45EFA"/>
    <w:rsid w:val="7C006A07"/>
    <w:rsid w:val="7C107FF8"/>
    <w:rsid w:val="7C6C5AC7"/>
    <w:rsid w:val="7C8E30A4"/>
    <w:rsid w:val="7CB7484C"/>
    <w:rsid w:val="7CC6544B"/>
    <w:rsid w:val="7CF3475F"/>
    <w:rsid w:val="7D0239FF"/>
    <w:rsid w:val="7D5E40CD"/>
    <w:rsid w:val="7D866A0E"/>
    <w:rsid w:val="7DAF0E8F"/>
    <w:rsid w:val="7DAF5A61"/>
    <w:rsid w:val="7DC8525D"/>
    <w:rsid w:val="7DCD56F2"/>
    <w:rsid w:val="7DD317CE"/>
    <w:rsid w:val="7E1A65DD"/>
    <w:rsid w:val="7E4F65AB"/>
    <w:rsid w:val="7E722F52"/>
    <w:rsid w:val="7E910A12"/>
    <w:rsid w:val="7F001CE7"/>
    <w:rsid w:val="7F122209"/>
    <w:rsid w:val="7F467DB5"/>
    <w:rsid w:val="7F616C4A"/>
    <w:rsid w:val="7F880E5E"/>
    <w:rsid w:val="7FA24A8E"/>
    <w:rsid w:val="7FB70B0F"/>
    <w:rsid w:val="7FC6322F"/>
    <w:rsid w:val="7FE47E50"/>
    <w:rsid w:val="7FFC740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iPriority="0" w:semiHidden="0" w:name="heading 2" w:locked="1"/>
    <w:lsdException w:qFormat="1" w:uiPriority="0" w:name="heading 3" w:locked="1"/>
    <w:lsdException w:qFormat="1" w:unhideWhenUsed="0" w:uiPriority="0" w:semiHidden="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qFormat="1"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unhideWhenUsed="0" w:uiPriority="0" w:semiHidden="0" w:name="toc 1" w:locked="1"/>
    <w:lsdException w:qFormat="1" w:unhideWhenUsed="0" w:uiPriority="39"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ocked="1"/>
    <w:lsdException w:unhideWhenUsed="0" w:uiPriority="0" w:semiHidden="0" w:name="footnote text" w:locked="1"/>
    <w:lsdException w:qFormat="1" w:unhideWhenUsed="0" w:uiPriority="0" w:name="annotation text"/>
    <w:lsdException w:qFormat="1" w:unhideWhenUsed="0" w:uiPriority="0" w:semiHidden="0" w:name="header"/>
    <w:lsdException w:qFormat="1" w:unhideWhenUsed="0" w:uiPriority="99" w:semiHidden="0" w:name="footer"/>
    <w:lsdException w:unhideWhenUsed="0" w:uiPriority="0" w:semiHidden="0" w:name="index heading" w:locked="1"/>
    <w:lsdException w:qFormat="1" w:unhideWhenUsed="0" w:uiPriority="0" w:semiHidden="0" w:name="caption" w:locked="1"/>
    <w:lsdException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qFormat="1" w:unhideWhenUsed="0"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qFormat="1"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0" w:semiHidden="0" w:name="Subtitle" w:locked="1"/>
    <w:lsdException w:unhideWhenUsed="0" w:uiPriority="0" w:semiHidden="0" w:name="Salutation" w:locked="1"/>
    <w:lsdException w:qFormat="1" w:unhideWhenUsed="0" w:uiPriority="0" w:semiHidden="0" w:name="Date"/>
    <w:lsdException w:unhideWhenUsed="0" w:uiPriority="0" w:semiHidden="0" w:name="Body Text First Indent" w:locked="1"/>
    <w:lsdException w:qFormat="1" w:unhideWhenUsed="0" w:uiPriority="0" w:semiHidden="0" w:name="Body Text First Indent 2" w:locked="1"/>
    <w:lsdException w:unhideWhenUsed="0" w:uiPriority="0" w:semiHidden="0" w:name="Note Heading" w:locked="1"/>
    <w:lsdException w:qFormat="1" w:unhideWhenUsed="0" w:uiPriority="0" w:semiHidden="0" w:name="Body Text 2" w:locked="1"/>
    <w:lsdException w:unhideWhenUsed="0" w:uiPriority="0" w:semiHidden="0" w:name="Body Text 3" w:locked="1"/>
    <w:lsdException w:unhideWhenUsed="0" w:uiPriority="0" w:semiHidden="0" w:name="Body Text Indent 2" w:locked="1"/>
    <w:lsdException w:unhideWhenUsed="0" w:uiPriority="0" w:semiHidden="0" w:name="Body Text Indent 3" w:locked="1"/>
    <w:lsdException w:qFormat="1" w:unhideWhenUsed="0" w:uiPriority="0" w:semiHidden="0" w:name="Block Text" w:locked="1"/>
    <w:lsdException w:qFormat="1" w:unhideWhenUsed="0" w:uiPriority="0" w:semiHidden="0" w:name="Hyperlink" w:locked="1"/>
    <w:lsdException w:unhideWhenUsed="0" w:uiPriority="0" w:semiHidden="0" w:name="FollowedHyperlink" w:locked="1"/>
    <w:lsdException w:qFormat="1" w:unhideWhenUsed="0" w:uiPriority="0" w:semiHidden="0" w:name="Strong" w:locked="1"/>
    <w:lsdException w:qFormat="1" w:unhideWhenUsed="0" w:uiPriority="0" w:semiHidden="0" w:name="Emphasis" w:locked="1"/>
    <w:lsdException w:unhideWhenUsed="0" w:uiPriority="0" w:semiHidden="0" w:name="Document Map" w:locked="1"/>
    <w:lsdException w:qFormat="1" w:unhideWhenUsed="0" w:uiPriority="0" w:semiHidden="0" w:name="Plain Text" w:locked="1"/>
    <w:lsdException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iPriority="99" w:name="Normal Table"/>
    <w:lsdException w:qFormat="1" w:unhideWhenUsed="0" w:uiPriority="0" w:name="annotation subject"/>
    <w:lsdException w:uiPriority="0" w:name="Table Simple 1" w:locked="1"/>
    <w:lsdException w:uiPriority="0" w:name="Table Simple 2" w:locked="1"/>
    <w:lsdException w:uiPriority="0" w:name="Table Simple 3" w:locked="1"/>
    <w:lsdException w:uiPriority="0" w:name="Table Classic 1" w:locked="1"/>
    <w:lsdException w:uiPriority="0" w:name="Table Classic 2" w:locked="1"/>
    <w:lsdException w:uiPriority="0" w:name="Table Classic 3" w:locked="1"/>
    <w:lsdException w:uiPriority="0" w:name="Table Classic 4" w:locked="1"/>
    <w:lsdException w:uiPriority="0" w:name="Table Colorful 1" w:locked="1"/>
    <w:lsdException w:uiPriority="0" w:name="Table Colorful 2" w:locked="1"/>
    <w:lsdException w:uiPriority="0" w:name="Table Colorful 3" w:locked="1"/>
    <w:lsdException w:uiPriority="0" w:name="Table Columns 1" w:locked="1"/>
    <w:lsdException w:uiPriority="0" w:name="Table Columns 2" w:locked="1"/>
    <w:lsdException w:uiPriority="0" w:name="Table Columns 3" w:locked="1"/>
    <w:lsdException w:uiPriority="0" w:name="Table Columns 4" w:locked="1"/>
    <w:lsdException w:uiPriority="0" w:name="Table Columns 5" w:locked="1"/>
    <w:lsdException w:uiPriority="0" w:name="Table Grid 1" w:locked="1"/>
    <w:lsdException w:uiPriority="0" w:name="Table Grid 2" w:locked="1"/>
    <w:lsdException w:uiPriority="0" w:name="Table Grid 3" w:locked="1"/>
    <w:lsdException w:uiPriority="0" w:name="Table Grid 4" w:locked="1"/>
    <w:lsdException w:uiPriority="0" w:name="Table Grid 5" w:locked="1"/>
    <w:lsdException w:uiPriority="0" w:name="Table Grid 6" w:locked="1"/>
    <w:lsdException w:uiPriority="0" w:name="Table Grid 7" w:locked="1"/>
    <w:lsdException w:uiPriority="0" w:name="Table Grid 8" w:locked="1"/>
    <w:lsdException w:uiPriority="0" w:name="Table List 1" w:locked="1"/>
    <w:lsdException w:uiPriority="0" w:name="Table List 2" w:locked="1"/>
    <w:lsdException w:uiPriority="0" w:name="Table List 3" w:locked="1"/>
    <w:lsdException w:uiPriority="0" w:name="Table List 4" w:locked="1"/>
    <w:lsdException w:uiPriority="0" w:name="Table List 5" w:locked="1"/>
    <w:lsdException w:uiPriority="0" w:name="Table List 6" w:locked="1"/>
    <w:lsdException w:uiPriority="0" w:name="Table List 7" w:locked="1"/>
    <w:lsdException w:uiPriority="0" w:name="Table List 8" w:locked="1"/>
    <w:lsdException w:uiPriority="0" w:name="Table 3D effects 1" w:locked="1"/>
    <w:lsdException w:uiPriority="0" w:name="Table 3D effects 2" w:locked="1"/>
    <w:lsdException w:uiPriority="0" w:name="Table 3D effects 3" w:locked="1"/>
    <w:lsdException w:uiPriority="0" w:name="Table Contemporary" w:locked="1"/>
    <w:lsdException w:uiPriority="0" w:name="Table Elegant" w:locked="1"/>
    <w:lsdException w:uiPriority="0" w:name="Table Professional" w:locked="1"/>
    <w:lsdException w:uiPriority="0" w:name="Table Subtle 1" w:locked="1"/>
    <w:lsdException w:uiPriority="0" w:name="Table Subtle 2" w:locked="1"/>
    <w:lsdException w:uiPriority="0" w:name="Table Web 1" w:locked="1"/>
    <w:lsdException w:uiPriority="0" w:name="Table Web 2" w:locked="1"/>
    <w:lsdException w:uiPriority="0" w:name="Table Web 3" w:locked="1"/>
    <w:lsdException w:qFormat="1" w:unhideWhenUsed="0" w:uiPriority="0" w:name="Balloon Text"/>
    <w:lsdException w:qFormat="1" w:unhideWhenUsed="0" w:uiPriority="0" w:semiHidden="0" w:name="Table Grid"/>
    <w:lsdException w:uiPriority="0"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1"/>
    <w:basedOn w:val="1"/>
    <w:next w:val="1"/>
    <w:qFormat/>
    <w:locked/>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2">
    <w:name w:val="heading 2"/>
    <w:basedOn w:val="1"/>
    <w:next w:val="1"/>
    <w:unhideWhenUsed/>
    <w:qFormat/>
    <w:locked/>
    <w:uiPriority w:val="0"/>
    <w:pPr>
      <w:keepNext/>
      <w:keepLines/>
      <w:spacing w:before="260" w:after="260" w:line="416" w:lineRule="auto"/>
      <w:outlineLvl w:val="1"/>
    </w:pPr>
    <w:rPr>
      <w:rFonts w:asciiTheme="majorHAnsi" w:hAnsiTheme="majorHAnsi" w:eastAsiaTheme="majorEastAsia" w:cstheme="majorBidi"/>
      <w:b/>
      <w:bCs/>
      <w:sz w:val="32"/>
      <w:szCs w:val="32"/>
    </w:rPr>
  </w:style>
  <w:style w:type="paragraph" w:styleId="4">
    <w:name w:val="heading 3"/>
    <w:basedOn w:val="1"/>
    <w:next w:val="1"/>
    <w:semiHidden/>
    <w:unhideWhenUsed/>
    <w:qFormat/>
    <w:locked/>
    <w:uiPriority w:val="0"/>
    <w:pPr>
      <w:keepNext/>
      <w:keepLines/>
      <w:spacing w:before="260" w:after="260" w:line="416" w:lineRule="auto"/>
      <w:outlineLvl w:val="2"/>
    </w:pPr>
    <w:rPr>
      <w:b/>
      <w:bCs/>
      <w:sz w:val="32"/>
      <w:szCs w:val="32"/>
    </w:rPr>
  </w:style>
  <w:style w:type="paragraph" w:styleId="5">
    <w:name w:val="heading 4"/>
    <w:basedOn w:val="1"/>
    <w:next w:val="6"/>
    <w:qFormat/>
    <w:locked/>
    <w:uiPriority w:val="0"/>
    <w:pPr>
      <w:keepNext/>
      <w:keepLines/>
      <w:numPr>
        <w:ilvl w:val="3"/>
        <w:numId w:val="1"/>
      </w:numPr>
      <w:ind w:left="0" w:firstLine="643" w:firstLineChars="200"/>
      <w:outlineLvl w:val="3"/>
    </w:pPr>
  </w:style>
  <w:style w:type="character" w:default="1" w:styleId="33">
    <w:name w:val="Default Paragraph Font"/>
    <w:semiHidden/>
    <w:unhideWhenUsed/>
    <w:qFormat/>
    <w:uiPriority w:val="1"/>
  </w:style>
  <w:style w:type="table" w:default="1" w:styleId="31">
    <w:name w:val="Normal Table"/>
    <w:semiHidden/>
    <w:unhideWhenUsed/>
    <w:qFormat/>
    <w:uiPriority w:val="99"/>
    <w:tblPr>
      <w:tblCellMar>
        <w:top w:w="0" w:type="dxa"/>
        <w:left w:w="108" w:type="dxa"/>
        <w:bottom w:w="0" w:type="dxa"/>
        <w:right w:w="108" w:type="dxa"/>
      </w:tblCellMar>
    </w:tblPr>
  </w:style>
  <w:style w:type="paragraph" w:customStyle="1" w:styleId="6">
    <w:name w:val="@正文缩进"/>
    <w:basedOn w:val="1"/>
    <w:qFormat/>
    <w:uiPriority w:val="0"/>
    <w:pPr>
      <w:ind w:firstLine="200" w:firstLineChars="200"/>
      <w:jc w:val="left"/>
    </w:pPr>
    <w:rPr>
      <w:kern w:val="0"/>
    </w:rPr>
  </w:style>
  <w:style w:type="paragraph" w:styleId="7">
    <w:name w:val="List 3"/>
    <w:basedOn w:val="1"/>
    <w:next w:val="1"/>
    <w:qFormat/>
    <w:locked/>
    <w:uiPriority w:val="0"/>
    <w:pPr>
      <w:autoSpaceDE w:val="0"/>
      <w:autoSpaceDN w:val="0"/>
      <w:adjustRightInd w:val="0"/>
      <w:spacing w:line="288" w:lineRule="auto"/>
      <w:ind w:left="1260" w:hanging="420"/>
      <w:jc w:val="left"/>
      <w:textAlignment w:val="baseline"/>
    </w:pPr>
    <w:rPr>
      <w:kern w:val="0"/>
      <w:sz w:val="20"/>
      <w:szCs w:val="20"/>
    </w:rPr>
  </w:style>
  <w:style w:type="paragraph" w:styleId="8">
    <w:name w:val="Normal Indent"/>
    <w:basedOn w:val="1"/>
    <w:next w:val="9"/>
    <w:qFormat/>
    <w:locked/>
    <w:uiPriority w:val="0"/>
    <w:pPr>
      <w:ind w:firstLine="602"/>
    </w:pPr>
    <w:rPr>
      <w:rFonts w:eastAsia="仿宋_GB2312"/>
      <w:sz w:val="28"/>
      <w:szCs w:val="20"/>
    </w:rPr>
  </w:style>
  <w:style w:type="paragraph" w:customStyle="1" w:styleId="9">
    <w:name w:val="Char Char Char Char Char Char Char Char Char1 Char"/>
    <w:basedOn w:val="1"/>
    <w:qFormat/>
    <w:uiPriority w:val="0"/>
    <w:pPr>
      <w:spacing w:line="360" w:lineRule="auto"/>
      <w:ind w:firstLine="200" w:firstLineChars="200"/>
    </w:pPr>
    <w:rPr>
      <w:rFonts w:hAnsi="宋体" w:cs="宋体"/>
      <w:sz w:val="24"/>
    </w:rPr>
  </w:style>
  <w:style w:type="paragraph" w:styleId="10">
    <w:name w:val="caption"/>
    <w:basedOn w:val="1"/>
    <w:next w:val="1"/>
    <w:qFormat/>
    <w:locked/>
    <w:uiPriority w:val="0"/>
    <w:pPr>
      <w:jc w:val="right"/>
    </w:pPr>
    <w:rPr>
      <w:rFonts w:eastAsia="黑体"/>
      <w:sz w:val="20"/>
    </w:rPr>
  </w:style>
  <w:style w:type="paragraph" w:styleId="11">
    <w:name w:val="annotation text"/>
    <w:basedOn w:val="1"/>
    <w:link w:val="45"/>
    <w:semiHidden/>
    <w:qFormat/>
    <w:uiPriority w:val="0"/>
    <w:pPr>
      <w:jc w:val="left"/>
    </w:pPr>
    <w:rPr>
      <w:kern w:val="0"/>
      <w:sz w:val="24"/>
      <w:szCs w:val="20"/>
    </w:rPr>
  </w:style>
  <w:style w:type="paragraph" w:styleId="12">
    <w:name w:val="Body Text"/>
    <w:basedOn w:val="1"/>
    <w:next w:val="13"/>
    <w:link w:val="46"/>
    <w:qFormat/>
    <w:uiPriority w:val="0"/>
    <w:pPr>
      <w:widowControl/>
      <w:snapToGrid w:val="0"/>
      <w:spacing w:before="60" w:after="160" w:line="259" w:lineRule="auto"/>
      <w:ind w:right="113"/>
    </w:pPr>
    <w:rPr>
      <w:kern w:val="0"/>
      <w:sz w:val="18"/>
      <w:szCs w:val="20"/>
    </w:rPr>
  </w:style>
  <w:style w:type="paragraph" w:customStyle="1" w:styleId="13">
    <w:name w:val="Date1"/>
    <w:basedOn w:val="1"/>
    <w:next w:val="1"/>
    <w:qFormat/>
    <w:uiPriority w:val="0"/>
    <w:pPr>
      <w:adjustRightInd w:val="0"/>
      <w:jc w:val="left"/>
      <w:textAlignment w:val="baseline"/>
    </w:pPr>
    <w:rPr>
      <w:rFonts w:ascii="宋体" w:hAnsi="宋体"/>
      <w:sz w:val="28"/>
      <w:szCs w:val="20"/>
    </w:rPr>
  </w:style>
  <w:style w:type="paragraph" w:styleId="14">
    <w:name w:val="Body Text Indent"/>
    <w:basedOn w:val="1"/>
    <w:next w:val="15"/>
    <w:link w:val="47"/>
    <w:qFormat/>
    <w:uiPriority w:val="0"/>
    <w:pPr>
      <w:spacing w:after="120"/>
      <w:ind w:left="420" w:leftChars="200"/>
    </w:pPr>
    <w:rPr>
      <w:kern w:val="0"/>
      <w:sz w:val="24"/>
      <w:szCs w:val="20"/>
    </w:rPr>
  </w:style>
  <w:style w:type="paragraph" w:styleId="15">
    <w:name w:val="header"/>
    <w:basedOn w:val="1"/>
    <w:next w:val="16"/>
    <w:link w:val="48"/>
    <w:qFormat/>
    <w:uiPriority w:val="0"/>
    <w:pPr>
      <w:pBdr>
        <w:bottom w:val="single" w:color="auto" w:sz="6" w:space="1"/>
      </w:pBdr>
      <w:tabs>
        <w:tab w:val="center" w:pos="4153"/>
        <w:tab w:val="right" w:pos="8306"/>
      </w:tabs>
      <w:snapToGrid w:val="0"/>
      <w:jc w:val="center"/>
    </w:pPr>
    <w:rPr>
      <w:kern w:val="0"/>
      <w:sz w:val="18"/>
      <w:szCs w:val="20"/>
    </w:rPr>
  </w:style>
  <w:style w:type="paragraph" w:customStyle="1" w:styleId="16">
    <w:name w:val="样式5"/>
    <w:basedOn w:val="17"/>
    <w:qFormat/>
    <w:uiPriority w:val="0"/>
    <w:pPr>
      <w:spacing w:line="360" w:lineRule="auto"/>
    </w:pPr>
    <w:rPr>
      <w:rFonts w:ascii="Times New Roman" w:hAnsi="Times New Roman"/>
      <w:sz w:val="24"/>
      <w:szCs w:val="22"/>
    </w:rPr>
  </w:style>
  <w:style w:type="paragraph" w:customStyle="1" w:styleId="17">
    <w:name w:val="正文1"/>
    <w:basedOn w:val="18"/>
    <w:next w:val="1"/>
    <w:qFormat/>
    <w:uiPriority w:val="0"/>
    <w:rPr>
      <w:rFonts w:ascii="宋体" w:hAnsi="宋体"/>
      <w:sz w:val="32"/>
      <w:szCs w:val="32"/>
    </w:rPr>
  </w:style>
  <w:style w:type="paragraph" w:customStyle="1" w:styleId="18">
    <w:name w:val="列出段落11"/>
    <w:basedOn w:val="1"/>
    <w:qFormat/>
    <w:uiPriority w:val="34"/>
    <w:pPr>
      <w:ind w:firstLine="420"/>
    </w:pPr>
  </w:style>
  <w:style w:type="paragraph" w:styleId="19">
    <w:name w:val="Block Text"/>
    <w:basedOn w:val="1"/>
    <w:qFormat/>
    <w:locked/>
    <w:uiPriority w:val="0"/>
    <w:pPr>
      <w:spacing w:after="120"/>
      <w:ind w:left="1440" w:leftChars="700" w:right="700" w:rightChars="700"/>
    </w:pPr>
  </w:style>
  <w:style w:type="paragraph" w:styleId="20">
    <w:name w:val="Plain Text"/>
    <w:basedOn w:val="1"/>
    <w:qFormat/>
    <w:locked/>
    <w:uiPriority w:val="0"/>
    <w:rPr>
      <w:rFonts w:ascii="宋体" w:hAnsi="Courier New"/>
    </w:rPr>
  </w:style>
  <w:style w:type="paragraph" w:styleId="21">
    <w:name w:val="Date"/>
    <w:basedOn w:val="1"/>
    <w:next w:val="1"/>
    <w:link w:val="49"/>
    <w:qFormat/>
    <w:uiPriority w:val="0"/>
    <w:pPr>
      <w:ind w:left="100" w:leftChars="2500"/>
    </w:pPr>
    <w:rPr>
      <w:kern w:val="0"/>
      <w:sz w:val="24"/>
      <w:szCs w:val="20"/>
    </w:rPr>
  </w:style>
  <w:style w:type="paragraph" w:styleId="22">
    <w:name w:val="Balloon Text"/>
    <w:basedOn w:val="1"/>
    <w:link w:val="50"/>
    <w:semiHidden/>
    <w:qFormat/>
    <w:uiPriority w:val="0"/>
    <w:rPr>
      <w:kern w:val="0"/>
      <w:sz w:val="18"/>
      <w:szCs w:val="20"/>
    </w:rPr>
  </w:style>
  <w:style w:type="paragraph" w:styleId="23">
    <w:name w:val="footer"/>
    <w:basedOn w:val="1"/>
    <w:link w:val="51"/>
    <w:qFormat/>
    <w:uiPriority w:val="99"/>
    <w:pPr>
      <w:tabs>
        <w:tab w:val="center" w:pos="4153"/>
        <w:tab w:val="right" w:pos="8306"/>
      </w:tabs>
      <w:snapToGrid w:val="0"/>
      <w:jc w:val="left"/>
    </w:pPr>
    <w:rPr>
      <w:kern w:val="0"/>
      <w:sz w:val="18"/>
      <w:szCs w:val="20"/>
    </w:rPr>
  </w:style>
  <w:style w:type="paragraph" w:styleId="24">
    <w:name w:val="List"/>
    <w:basedOn w:val="1"/>
    <w:next w:val="1"/>
    <w:qFormat/>
    <w:locked/>
    <w:uiPriority w:val="0"/>
    <w:pPr>
      <w:ind w:left="200" w:hanging="200" w:hangingChars="200"/>
    </w:pPr>
  </w:style>
  <w:style w:type="paragraph" w:styleId="25">
    <w:name w:val="toc 2"/>
    <w:basedOn w:val="1"/>
    <w:next w:val="1"/>
    <w:qFormat/>
    <w:locked/>
    <w:uiPriority w:val="39"/>
    <w:pPr>
      <w:ind w:left="240"/>
      <w:jc w:val="left"/>
    </w:pPr>
    <w:rPr>
      <w:rFonts w:ascii="Calibri" w:hAnsi="Calibri"/>
      <w:smallCaps/>
      <w:sz w:val="20"/>
      <w:szCs w:val="20"/>
    </w:rPr>
  </w:style>
  <w:style w:type="paragraph" w:styleId="26">
    <w:name w:val="Body Text 2"/>
    <w:basedOn w:val="1"/>
    <w:qFormat/>
    <w:locked/>
    <w:uiPriority w:val="0"/>
    <w:pPr>
      <w:spacing w:after="120" w:line="480" w:lineRule="auto"/>
    </w:pPr>
  </w:style>
  <w:style w:type="paragraph" w:styleId="27">
    <w:name w:val="Normal (Web)"/>
    <w:basedOn w:val="1"/>
    <w:link w:val="52"/>
    <w:qFormat/>
    <w:uiPriority w:val="0"/>
    <w:pPr>
      <w:widowControl/>
      <w:spacing w:before="100" w:beforeAutospacing="1" w:after="100" w:afterAutospacing="1"/>
      <w:jc w:val="left"/>
    </w:pPr>
    <w:rPr>
      <w:rFonts w:ascii="宋体" w:hAnsi="宋体"/>
      <w:kern w:val="0"/>
      <w:sz w:val="24"/>
      <w:szCs w:val="20"/>
    </w:rPr>
  </w:style>
  <w:style w:type="paragraph" w:styleId="28">
    <w:name w:val="index 1"/>
    <w:basedOn w:val="1"/>
    <w:next w:val="1"/>
    <w:qFormat/>
    <w:locked/>
    <w:uiPriority w:val="0"/>
    <w:pPr>
      <w:tabs>
        <w:tab w:val="left" w:pos="5580"/>
      </w:tabs>
      <w:spacing w:line="280" w:lineRule="exact"/>
    </w:pPr>
    <w:rPr>
      <w:rFonts w:ascii="宋体" w:hAnsi="宋体"/>
      <w:spacing w:val="10"/>
    </w:rPr>
  </w:style>
  <w:style w:type="paragraph" w:styleId="29">
    <w:name w:val="annotation subject"/>
    <w:basedOn w:val="11"/>
    <w:next w:val="11"/>
    <w:link w:val="53"/>
    <w:semiHidden/>
    <w:qFormat/>
    <w:uiPriority w:val="0"/>
    <w:rPr>
      <w:b/>
    </w:rPr>
  </w:style>
  <w:style w:type="paragraph" w:styleId="30">
    <w:name w:val="Body Text First Indent 2"/>
    <w:basedOn w:val="14"/>
    <w:next w:val="1"/>
    <w:qFormat/>
    <w:locked/>
    <w:uiPriority w:val="0"/>
    <w:pPr>
      <w:ind w:firstLine="420" w:firstLineChars="200"/>
    </w:pPr>
    <w:rPr>
      <w:sz w:val="21"/>
      <w:szCs w:val="24"/>
    </w:rPr>
  </w:style>
  <w:style w:type="table" w:styleId="32">
    <w:name w:val="Table Grid"/>
    <w:basedOn w:val="31"/>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4">
    <w:name w:val="Strong"/>
    <w:basedOn w:val="33"/>
    <w:qFormat/>
    <w:locked/>
    <w:uiPriority w:val="0"/>
    <w:rPr>
      <w:b/>
    </w:rPr>
  </w:style>
  <w:style w:type="character" w:styleId="35">
    <w:name w:val="page number"/>
    <w:basedOn w:val="33"/>
    <w:qFormat/>
    <w:locked/>
    <w:uiPriority w:val="0"/>
  </w:style>
  <w:style w:type="character" w:styleId="36">
    <w:name w:val="Hyperlink"/>
    <w:basedOn w:val="33"/>
    <w:qFormat/>
    <w:locked/>
    <w:uiPriority w:val="0"/>
    <w:rPr>
      <w:color w:val="0000FF"/>
      <w:u w:val="single"/>
    </w:rPr>
  </w:style>
  <w:style w:type="character" w:styleId="37">
    <w:name w:val="annotation reference"/>
    <w:semiHidden/>
    <w:qFormat/>
    <w:uiPriority w:val="0"/>
    <w:rPr>
      <w:sz w:val="21"/>
    </w:rPr>
  </w:style>
  <w:style w:type="paragraph" w:customStyle="1" w:styleId="38">
    <w:name w:val="表格内"/>
    <w:basedOn w:val="1"/>
    <w:qFormat/>
    <w:uiPriority w:val="0"/>
    <w:pPr>
      <w:spacing w:line="360" w:lineRule="exact"/>
      <w:jc w:val="center"/>
    </w:pPr>
    <w:rPr>
      <w:rFonts w:ascii="Calibri" w:hAnsi="Calibri"/>
      <w:snapToGrid w:val="0"/>
      <w:szCs w:val="21"/>
    </w:rPr>
  </w:style>
  <w:style w:type="paragraph" w:customStyle="1" w:styleId="39">
    <w:name w:val="Default"/>
    <w:basedOn w:val="40"/>
    <w:next w:val="24"/>
    <w:qFormat/>
    <w:uiPriority w:val="0"/>
    <w:pPr>
      <w:autoSpaceDE w:val="0"/>
      <w:autoSpaceDN w:val="0"/>
      <w:adjustRightInd w:val="0"/>
    </w:pPr>
    <w:rPr>
      <w:rFonts w:hAnsi="Times New Roman"/>
      <w:color w:val="000000"/>
      <w:sz w:val="24"/>
    </w:rPr>
  </w:style>
  <w:style w:type="paragraph" w:customStyle="1" w:styleId="40">
    <w:name w:val="纯文本1"/>
    <w:basedOn w:val="1"/>
    <w:qFormat/>
    <w:uiPriority w:val="0"/>
    <w:rPr>
      <w:rFonts w:ascii="宋体" w:hAnsi="Courier New"/>
    </w:rPr>
  </w:style>
  <w:style w:type="paragraph" w:customStyle="1" w:styleId="41">
    <w:name w:val="xl27"/>
    <w:basedOn w:val="1"/>
    <w:qFormat/>
    <w:uiPriority w:val="0"/>
    <w:pPr>
      <w:widowControl/>
      <w:spacing w:before="100" w:beforeAutospacing="1" w:after="100" w:afterAutospacing="1"/>
      <w:jc w:val="center"/>
      <w:textAlignment w:val="center"/>
    </w:pPr>
    <w:rPr>
      <w:rFonts w:ascii="Arial Unicode MS" w:hAnsi="Arial Unicode MS" w:eastAsia="Arial Unicode MS" w:cs="Arial Unicode MS"/>
      <w:kern w:val="0"/>
      <w:sz w:val="24"/>
    </w:rPr>
  </w:style>
  <w:style w:type="paragraph" w:customStyle="1" w:styleId="42">
    <w:name w:val="正文文本缩进 21"/>
    <w:basedOn w:val="1"/>
    <w:qFormat/>
    <w:uiPriority w:val="0"/>
    <w:pPr>
      <w:spacing w:line="480" w:lineRule="auto"/>
      <w:ind w:left="420" w:leftChars="200"/>
    </w:pPr>
  </w:style>
  <w:style w:type="paragraph" w:customStyle="1" w:styleId="43">
    <w:name w:val="Table Paragraph"/>
    <w:basedOn w:val="1"/>
    <w:qFormat/>
    <w:uiPriority w:val="1"/>
    <w:rPr>
      <w:rFonts w:ascii="仿宋" w:hAnsi="仿宋" w:eastAsia="仿宋" w:cs="仿宋"/>
      <w:lang w:val="zh-CN" w:bidi="zh-CN"/>
    </w:rPr>
  </w:style>
  <w:style w:type="paragraph" w:customStyle="1" w:styleId="44">
    <w:name w:val="表头"/>
    <w:basedOn w:val="17"/>
    <w:next w:val="1"/>
    <w:qFormat/>
    <w:uiPriority w:val="0"/>
    <w:pPr>
      <w:spacing w:beforeLines="50" w:line="400" w:lineRule="exact"/>
      <w:ind w:firstLine="200" w:firstLineChars="200"/>
    </w:pPr>
    <w:rPr>
      <w:rFonts w:eastAsia="黑体"/>
    </w:rPr>
  </w:style>
  <w:style w:type="character" w:customStyle="1" w:styleId="45">
    <w:name w:val="批注文字 字符"/>
    <w:link w:val="11"/>
    <w:qFormat/>
    <w:locked/>
    <w:uiPriority w:val="0"/>
    <w:rPr>
      <w:rFonts w:ascii="Times New Roman" w:hAnsi="Times New Roman" w:eastAsia="宋体"/>
      <w:sz w:val="24"/>
    </w:rPr>
  </w:style>
  <w:style w:type="character" w:customStyle="1" w:styleId="46">
    <w:name w:val="正文文本 字符"/>
    <w:link w:val="12"/>
    <w:qFormat/>
    <w:locked/>
    <w:uiPriority w:val="0"/>
    <w:rPr>
      <w:sz w:val="18"/>
    </w:rPr>
  </w:style>
  <w:style w:type="character" w:customStyle="1" w:styleId="47">
    <w:name w:val="正文文本缩进 字符"/>
    <w:link w:val="14"/>
    <w:semiHidden/>
    <w:qFormat/>
    <w:locked/>
    <w:uiPriority w:val="0"/>
    <w:rPr>
      <w:rFonts w:ascii="Times New Roman" w:hAnsi="Times New Roman" w:eastAsia="宋体"/>
      <w:sz w:val="24"/>
    </w:rPr>
  </w:style>
  <w:style w:type="character" w:customStyle="1" w:styleId="48">
    <w:name w:val="页眉 字符"/>
    <w:link w:val="15"/>
    <w:qFormat/>
    <w:locked/>
    <w:uiPriority w:val="0"/>
    <w:rPr>
      <w:sz w:val="18"/>
    </w:rPr>
  </w:style>
  <w:style w:type="character" w:customStyle="1" w:styleId="49">
    <w:name w:val="日期 字符1"/>
    <w:link w:val="21"/>
    <w:qFormat/>
    <w:locked/>
    <w:uiPriority w:val="0"/>
    <w:rPr>
      <w:rFonts w:ascii="Times New Roman" w:hAnsi="Times New Roman" w:eastAsia="宋体"/>
      <w:sz w:val="24"/>
    </w:rPr>
  </w:style>
  <w:style w:type="character" w:customStyle="1" w:styleId="50">
    <w:name w:val="批注框文本 字符"/>
    <w:link w:val="22"/>
    <w:semiHidden/>
    <w:qFormat/>
    <w:locked/>
    <w:uiPriority w:val="0"/>
    <w:rPr>
      <w:rFonts w:ascii="Times New Roman" w:hAnsi="Times New Roman" w:eastAsia="宋体"/>
      <w:sz w:val="18"/>
    </w:rPr>
  </w:style>
  <w:style w:type="character" w:customStyle="1" w:styleId="51">
    <w:name w:val="页脚 字符1"/>
    <w:link w:val="23"/>
    <w:qFormat/>
    <w:locked/>
    <w:uiPriority w:val="99"/>
    <w:rPr>
      <w:sz w:val="18"/>
    </w:rPr>
  </w:style>
  <w:style w:type="character" w:customStyle="1" w:styleId="52">
    <w:name w:val="普通(网站) 字符"/>
    <w:link w:val="27"/>
    <w:qFormat/>
    <w:locked/>
    <w:uiPriority w:val="0"/>
    <w:rPr>
      <w:rFonts w:ascii="宋体" w:hAnsi="宋体" w:eastAsia="宋体"/>
      <w:sz w:val="24"/>
    </w:rPr>
  </w:style>
  <w:style w:type="character" w:customStyle="1" w:styleId="53">
    <w:name w:val="批注主题 字符"/>
    <w:link w:val="29"/>
    <w:semiHidden/>
    <w:qFormat/>
    <w:locked/>
    <w:uiPriority w:val="0"/>
    <w:rPr>
      <w:rFonts w:ascii="Times New Roman" w:hAnsi="Times New Roman" w:eastAsia="宋体"/>
      <w:b/>
      <w:kern w:val="2"/>
      <w:sz w:val="24"/>
    </w:rPr>
  </w:style>
  <w:style w:type="character" w:customStyle="1" w:styleId="54">
    <w:name w:val="正文文本 字符1"/>
    <w:semiHidden/>
    <w:qFormat/>
    <w:uiPriority w:val="0"/>
    <w:rPr>
      <w:rFonts w:ascii="Times New Roman" w:hAnsi="Times New Roman" w:eastAsia="宋体"/>
      <w:sz w:val="24"/>
    </w:rPr>
  </w:style>
  <w:style w:type="character" w:customStyle="1" w:styleId="55">
    <w:name w:val="日期 字符"/>
    <w:semiHidden/>
    <w:qFormat/>
    <w:uiPriority w:val="0"/>
    <w:rPr>
      <w:rFonts w:ascii="Times New Roman" w:hAnsi="Times New Roman" w:eastAsia="宋体"/>
      <w:sz w:val="24"/>
    </w:rPr>
  </w:style>
  <w:style w:type="character" w:customStyle="1" w:styleId="56">
    <w:name w:val="页脚 字符"/>
    <w:qFormat/>
    <w:uiPriority w:val="99"/>
  </w:style>
  <w:style w:type="character" w:customStyle="1" w:styleId="57">
    <w:name w:val="表格 Char"/>
    <w:link w:val="58"/>
    <w:qFormat/>
    <w:locked/>
    <w:uiPriority w:val="0"/>
    <w:rPr>
      <w:rFonts w:ascii="宋体"/>
      <w:sz w:val="21"/>
    </w:rPr>
  </w:style>
  <w:style w:type="paragraph" w:customStyle="1" w:styleId="58">
    <w:name w:val="表格"/>
    <w:basedOn w:val="1"/>
    <w:next w:val="1"/>
    <w:link w:val="57"/>
    <w:qFormat/>
    <w:uiPriority w:val="0"/>
    <w:pPr>
      <w:adjustRightInd w:val="0"/>
      <w:snapToGrid w:val="0"/>
      <w:spacing w:beforeLines="10" w:afterLines="10" w:line="259" w:lineRule="auto"/>
      <w:jc w:val="center"/>
    </w:pPr>
    <w:rPr>
      <w:rFonts w:ascii="宋体"/>
      <w:kern w:val="0"/>
      <w:szCs w:val="20"/>
    </w:rPr>
  </w:style>
  <w:style w:type="character" w:customStyle="1" w:styleId="59">
    <w:name w:val="批注文字 字符1"/>
    <w:semiHidden/>
    <w:qFormat/>
    <w:uiPriority w:val="0"/>
    <w:rPr>
      <w:rFonts w:ascii="Times New Roman" w:hAnsi="Times New Roman" w:eastAsia="宋体"/>
      <w:sz w:val="24"/>
    </w:rPr>
  </w:style>
  <w:style w:type="paragraph" w:customStyle="1" w:styleId="60">
    <w:name w:val="普通(网站)2"/>
    <w:basedOn w:val="1"/>
    <w:qFormat/>
    <w:uiPriority w:val="0"/>
    <w:pPr>
      <w:widowControl/>
      <w:spacing w:before="100" w:beforeAutospacing="1" w:after="100" w:afterAutospacing="1"/>
      <w:jc w:val="left"/>
    </w:pPr>
    <w:rPr>
      <w:rFonts w:ascii="宋体" w:hAnsi="宋体"/>
      <w:sz w:val="24"/>
      <w:szCs w:val="20"/>
    </w:rPr>
  </w:style>
  <w:style w:type="paragraph" w:customStyle="1" w:styleId="61">
    <w:name w:val="xl26"/>
    <w:basedOn w:val="1"/>
    <w:qFormat/>
    <w:uiPriority w:val="0"/>
    <w:pPr>
      <w:widowControl/>
      <w:pBdr>
        <w:left w:val="single" w:color="auto" w:sz="12" w:space="0"/>
      </w:pBdr>
      <w:spacing w:before="100" w:beforeAutospacing="1" w:after="100" w:afterAutospacing="1"/>
      <w:jc w:val="left"/>
    </w:pPr>
    <w:rPr>
      <w:rFonts w:ascii="Arial Unicode MS" w:hAnsi="Arial Unicode MS" w:cs="宋体"/>
      <w:kern w:val="0"/>
      <w:sz w:val="24"/>
      <w:lang w:val="en-AU" w:eastAsia="en-US"/>
    </w:rPr>
  </w:style>
  <w:style w:type="paragraph" w:customStyle="1" w:styleId="62">
    <w:name w:val="表格内容"/>
    <w:basedOn w:val="1"/>
    <w:qFormat/>
    <w:uiPriority w:val="0"/>
    <w:pPr>
      <w:jc w:val="center"/>
    </w:pPr>
    <w:rPr>
      <w:szCs w:val="21"/>
    </w:rPr>
  </w:style>
  <w:style w:type="paragraph" w:customStyle="1" w:styleId="63">
    <w:name w:val="正文A"/>
    <w:basedOn w:val="1"/>
    <w:qFormat/>
    <w:uiPriority w:val="0"/>
    <w:pPr>
      <w:spacing w:line="500" w:lineRule="exact"/>
      <w:ind w:firstLine="200" w:firstLineChars="200"/>
    </w:pPr>
    <w:rPr>
      <w:sz w:val="24"/>
    </w:rPr>
  </w:style>
  <w:style w:type="paragraph" w:customStyle="1" w:styleId="64">
    <w:name w:val="正文(首行缩进)"/>
    <w:basedOn w:val="1"/>
    <w:qFormat/>
    <w:uiPriority w:val="0"/>
    <w:pPr>
      <w:adjustRightInd w:val="0"/>
      <w:snapToGrid w:val="0"/>
      <w:spacing w:line="360" w:lineRule="auto"/>
      <w:ind w:firstLine="482" w:firstLineChars="200"/>
    </w:pPr>
    <w:rPr>
      <w:rFonts w:hAnsi="宋体"/>
      <w:b/>
      <w:bCs/>
      <w:color w:val="000000"/>
      <w:sz w:val="24"/>
      <w:szCs w:val="28"/>
    </w:rPr>
  </w:style>
  <w:style w:type="paragraph" w:customStyle="1" w:styleId="65">
    <w:name w:val="表格标题"/>
    <w:basedOn w:val="10"/>
    <w:next w:val="1"/>
    <w:qFormat/>
    <w:uiPriority w:val="0"/>
    <w:pPr>
      <w:spacing w:before="50" w:beforeLines="50"/>
      <w:jc w:val="center"/>
    </w:pPr>
  </w:style>
  <w:style w:type="paragraph" w:customStyle="1" w:styleId="66">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character" w:customStyle="1" w:styleId="67">
    <w:name w:val="fontstyle21"/>
    <w:qFormat/>
    <w:uiPriority w:val="0"/>
    <w:rPr>
      <w:rFonts w:hint="eastAsia" w:ascii="宋体" w:hAnsi="宋体" w:eastAsia="宋体"/>
      <w:color w:val="000000"/>
      <w:sz w:val="24"/>
      <w:szCs w:val="24"/>
    </w:rPr>
  </w:style>
  <w:style w:type="paragraph" w:customStyle="1" w:styleId="68">
    <w:name w:val="正文26-5.21"/>
    <w:basedOn w:val="1"/>
    <w:link w:val="69"/>
    <w:qFormat/>
    <w:uiPriority w:val="0"/>
    <w:pPr>
      <w:adjustRightInd w:val="0"/>
      <w:snapToGrid w:val="0"/>
      <w:spacing w:line="520" w:lineRule="exact"/>
      <w:ind w:firstLine="480" w:firstLineChars="200"/>
      <w:textAlignment w:val="baseline"/>
    </w:pPr>
    <w:rPr>
      <w:rFonts w:cs="宋体"/>
      <w:snapToGrid w:val="0"/>
      <w:sz w:val="24"/>
    </w:rPr>
  </w:style>
  <w:style w:type="character" w:customStyle="1" w:styleId="69">
    <w:name w:val="正文26-5.21 字符"/>
    <w:link w:val="68"/>
    <w:qFormat/>
    <w:uiPriority w:val="0"/>
    <w:rPr>
      <w:rFonts w:cs="宋体"/>
      <w:snapToGrid/>
      <w:kern w:val="2"/>
      <w:sz w:val="24"/>
      <w:szCs w:val="24"/>
    </w:rPr>
  </w:style>
  <w:style w:type="paragraph" w:customStyle="1" w:styleId="70">
    <w:name w:val="正文邓"/>
    <w:basedOn w:val="1"/>
    <w:qFormat/>
    <w:uiPriority w:val="0"/>
    <w:pPr>
      <w:adjustRightInd w:val="0"/>
      <w:snapToGrid w:val="0"/>
      <w:spacing w:line="360" w:lineRule="auto"/>
      <w:ind w:firstLine="480" w:firstLineChars="200"/>
      <w:jc w:val="left"/>
    </w:pPr>
    <w:rPr>
      <w:bCs/>
      <w:snapToGrid w:val="0"/>
      <w:kern w:val="0"/>
      <w:sz w:val="24"/>
    </w:rPr>
  </w:style>
  <w:style w:type="paragraph" w:customStyle="1" w:styleId="71">
    <w:name w:val="邓表头标题"/>
    <w:basedOn w:val="1"/>
    <w:qFormat/>
    <w:uiPriority w:val="0"/>
    <w:pPr>
      <w:snapToGrid w:val="0"/>
      <w:jc w:val="center"/>
    </w:pPr>
    <w:rPr>
      <w:rFonts w:ascii="黑体" w:hAnsi="黑体" w:eastAsia="黑体"/>
      <w:b/>
      <w:bCs/>
      <w:lang w:eastAsia="en-US"/>
    </w:rPr>
  </w:style>
  <w:style w:type="paragraph" w:customStyle="1" w:styleId="72">
    <w:name w:val="邓表格文字"/>
    <w:basedOn w:val="1"/>
    <w:qFormat/>
    <w:uiPriority w:val="0"/>
    <w:pPr>
      <w:widowControl/>
      <w:snapToGrid w:val="0"/>
      <w:spacing w:line="240" w:lineRule="exact"/>
      <w:jc w:val="center"/>
    </w:pPr>
    <w:rPr>
      <w:rFonts w:ascii="宋体" w:hAnsi="宋体"/>
    </w:rPr>
  </w:style>
  <w:style w:type="paragraph" w:customStyle="1" w:styleId="73">
    <w:name w:val="表头A"/>
    <w:basedOn w:val="44"/>
    <w:qFormat/>
    <w:uiPriority w:val="0"/>
    <w:pPr>
      <w:widowControl/>
      <w:spacing w:beforeLines="0" w:line="500" w:lineRule="exact"/>
      <w:ind w:firstLine="0" w:firstLineChars="0"/>
      <w:jc w:val="center"/>
    </w:pPr>
    <w:rPr>
      <w:rFonts w:eastAsia="宋体"/>
      <w:b/>
      <w:sz w:val="24"/>
    </w:rPr>
  </w:style>
  <w:style w:type="paragraph" w:customStyle="1" w:styleId="74">
    <w:name w:val="表格标题1"/>
    <w:basedOn w:val="75"/>
    <w:qFormat/>
    <w:uiPriority w:val="0"/>
    <w:pPr>
      <w:spacing w:line="240" w:lineRule="auto"/>
      <w:ind w:firstLine="0" w:firstLineChars="0"/>
      <w:jc w:val="center"/>
    </w:pPr>
    <w:rPr>
      <w:rFonts w:ascii="黑体" w:hAnsi="黑体" w:eastAsia="黑体"/>
      <w:kern w:val="0"/>
    </w:rPr>
  </w:style>
  <w:style w:type="paragraph" w:customStyle="1" w:styleId="75">
    <w:name w:val="正文26"/>
    <w:basedOn w:val="76"/>
    <w:qFormat/>
    <w:uiPriority w:val="0"/>
    <w:pPr>
      <w:snapToGrid w:val="0"/>
      <w:spacing w:line="520" w:lineRule="exact"/>
      <w:ind w:firstLine="480" w:firstLineChars="200"/>
      <w:jc w:val="both"/>
    </w:pPr>
    <w:rPr>
      <w:snapToGrid w:val="0"/>
      <w:kern w:val="2"/>
    </w:rPr>
  </w:style>
  <w:style w:type="paragraph" w:customStyle="1" w:styleId="76">
    <w:name w:val="样式2"/>
    <w:basedOn w:val="1"/>
    <w:qFormat/>
    <w:uiPriority w:val="0"/>
    <w:pPr>
      <w:adjustRightInd w:val="0"/>
      <w:spacing w:line="300" w:lineRule="atLeast"/>
      <w:jc w:val="center"/>
      <w:textAlignment w:val="baseline"/>
    </w:pPr>
    <w:rPr>
      <w:rFonts w:eastAsia="楷体_GB2312"/>
      <w:kern w:val="28"/>
      <w:szCs w:val="20"/>
    </w:rPr>
  </w:style>
  <w:style w:type="table" w:customStyle="1" w:styleId="77">
    <w:name w:val="Table Normal"/>
    <w:qFormat/>
    <w:uiPriority w:val="2"/>
    <w:pPr>
      <w:widowControl w:val="0"/>
      <w:autoSpaceDE w:val="0"/>
      <w:autoSpaceDN w:val="0"/>
    </w:pPr>
    <w:rPr>
      <w:rFonts w:ascii="Calibri" w:hAnsi="Calibri" w:cs="宋体"/>
      <w:sz w:val="22"/>
      <w:szCs w:val="22"/>
      <w:lang w:eastAsia="en-US"/>
    </w:rPr>
    <w:tblPr>
      <w:tblCellMar>
        <w:top w:w="0" w:type="dxa"/>
        <w:left w:w="0" w:type="dxa"/>
        <w:bottom w:w="0" w:type="dxa"/>
        <w:right w:w="0" w:type="dxa"/>
      </w:tblCellMar>
    </w:tblPr>
  </w:style>
  <w:style w:type="paragraph" w:customStyle="1" w:styleId="78">
    <w:name w:val="表格内文字"/>
    <w:basedOn w:val="1"/>
    <w:qFormat/>
    <w:uiPriority w:val="0"/>
    <w:pPr>
      <w:tabs>
        <w:tab w:val="left" w:pos="0"/>
      </w:tabs>
      <w:adjustRightInd w:val="0"/>
      <w:snapToGrid w:val="0"/>
      <w:jc w:val="center"/>
    </w:pPr>
    <w:rPr>
      <w:szCs w:val="21"/>
    </w:rPr>
  </w:style>
  <w:style w:type="paragraph" w:customStyle="1" w:styleId="79">
    <w:name w:val="表内容"/>
    <w:basedOn w:val="1"/>
    <w:next w:val="1"/>
    <w:qFormat/>
    <w:uiPriority w:val="0"/>
    <w:pPr>
      <w:jc w:val="center"/>
    </w:pPr>
    <w:rPr>
      <w:szCs w:val="21"/>
    </w:rPr>
  </w:style>
  <w:style w:type="paragraph" w:customStyle="1" w:styleId="80">
    <w:name w:val="样式 (西文) Arial (中文) 宋体 五号 居中"/>
    <w:basedOn w:val="1"/>
    <w:qFormat/>
    <w:uiPriority w:val="0"/>
    <w:pPr>
      <w:jc w:val="center"/>
      <w:textAlignment w:val="center"/>
    </w:pPr>
    <w:rPr>
      <w:rFonts w:ascii="Arial" w:hAnsi="Arial" w:cs="宋体"/>
    </w:rPr>
  </w:style>
  <w:style w:type="paragraph" w:customStyle="1" w:styleId="81">
    <w:name w:val="插图"/>
    <w:basedOn w:val="65"/>
    <w:next w:val="6"/>
    <w:qFormat/>
    <w:uiPriority w:val="0"/>
    <w:pPr>
      <w:spacing w:after="50" w:afterLines="50"/>
    </w:pPr>
  </w:style>
  <w:style w:type="paragraph" w:customStyle="1" w:styleId="82">
    <w:name w:val="_正文格式"/>
    <w:basedOn w:val="1"/>
    <w:qFormat/>
    <w:uiPriority w:val="0"/>
    <w:pPr>
      <w:snapToGrid w:val="0"/>
      <w:spacing w:line="360" w:lineRule="auto"/>
      <w:ind w:firstLine="200" w:firstLineChars="200"/>
      <w:jc w:val="left"/>
    </w:pPr>
    <w:rPr>
      <w:sz w:val="24"/>
      <w:szCs w:val="20"/>
    </w:rPr>
  </w:style>
  <w:style w:type="paragraph" w:customStyle="1" w:styleId="83">
    <w:name w:val="附图附件"/>
    <w:basedOn w:val="6"/>
    <w:next w:val="6"/>
    <w:qFormat/>
    <w:uiPriority w:val="0"/>
    <w:pPr>
      <w:pageBreakBefore/>
      <w:spacing w:line="360" w:lineRule="exact"/>
      <w:ind w:firstLine="0" w:firstLineChars="0"/>
      <w:textAlignment w:val="center"/>
    </w:pPr>
    <w:rPr>
      <w:rFonts w:eastAsia="黑体"/>
      <w:sz w:val="28"/>
    </w:rPr>
  </w:style>
  <w:style w:type="paragraph" w:customStyle="1" w:styleId="84">
    <w:name w:val="表格标题5.21"/>
    <w:basedOn w:val="1"/>
    <w:qFormat/>
    <w:uiPriority w:val="0"/>
    <w:pPr>
      <w:adjustRightInd w:val="0"/>
      <w:snapToGrid w:val="0"/>
      <w:spacing w:line="520" w:lineRule="exact"/>
      <w:jc w:val="center"/>
      <w:textAlignment w:val="baseline"/>
    </w:pPr>
    <w:rPr>
      <w:rFonts w:ascii="黑体" w:hAnsi="黑体" w:eastAsia="黑体" w:cs="宋体"/>
      <w:snapToGrid w:val="0"/>
      <w:kern w:val="0"/>
      <w:sz w:val="24"/>
    </w:rPr>
  </w:style>
  <w:style w:type="paragraph" w:customStyle="1" w:styleId="85">
    <w:name w:val="正文01"/>
    <w:basedOn w:val="1"/>
    <w:qFormat/>
    <w:uiPriority w:val="0"/>
    <w:pPr>
      <w:spacing w:before="60" w:line="460" w:lineRule="exact"/>
      <w:ind w:firstLine="200" w:firstLineChars="200"/>
    </w:pPr>
    <w:rPr>
      <w:bCs/>
      <w:sz w:val="24"/>
    </w:rPr>
  </w:style>
  <w:style w:type="paragraph" w:styleId="86">
    <w:name w:val="List Paragraph"/>
    <w:basedOn w:val="1"/>
    <w:qFormat/>
    <w:uiPriority w:val="99"/>
    <w:pPr>
      <w:ind w:firstLine="420" w:firstLineChars="200"/>
    </w:pPr>
  </w:style>
  <w:style w:type="paragraph" w:customStyle="1" w:styleId="87">
    <w:name w:val="_Style 2"/>
    <w:basedOn w:val="1"/>
    <w:qFormat/>
    <w:uiPriority w:val="99"/>
    <w:pPr>
      <w:ind w:firstLine="420"/>
    </w:pPr>
    <w:rPr>
      <w:rFonts w:ascii="Calibri" w:hAnsi="Calibri"/>
    </w:rPr>
  </w:style>
  <w:style w:type="paragraph" w:customStyle="1" w:styleId="88">
    <w:name w:val="表格1"/>
    <w:basedOn w:val="1"/>
    <w:qFormat/>
    <w:uiPriority w:val="0"/>
    <w:pPr>
      <w:adjustRightInd w:val="0"/>
      <w:snapToGrid w:val="0"/>
      <w:jc w:val="center"/>
    </w:pPr>
    <w:rPr>
      <w:rFonts w:eastAsia="方正仿宋_GBK"/>
      <w:color w:val="000000"/>
      <w:kern w:val="0"/>
    </w:rPr>
  </w:style>
  <w:style w:type="paragraph" w:customStyle="1" w:styleId="89">
    <w:name w:val="MEL正文*"/>
    <w:basedOn w:val="1"/>
    <w:qFormat/>
    <w:uiPriority w:val="0"/>
    <w:pPr>
      <w:spacing w:line="500" w:lineRule="exact"/>
      <w:ind w:firstLine="200" w:firstLineChars="200"/>
    </w:pPr>
    <w:rPr>
      <w:rFonts w:ascii="宋体" w:hAnsi="宋体"/>
      <w:kern w:val="0"/>
      <w:sz w:val="24"/>
    </w:rPr>
  </w:style>
  <w:style w:type="paragraph" w:customStyle="1" w:styleId="90">
    <w:name w:val="表内文字"/>
    <w:basedOn w:val="1"/>
    <w:qFormat/>
    <w:uiPriority w:val="0"/>
    <w:pPr>
      <w:widowControl/>
      <w:overflowPunct w:val="0"/>
      <w:autoSpaceDE w:val="0"/>
      <w:autoSpaceDN w:val="0"/>
      <w:adjustRightInd w:val="0"/>
      <w:spacing w:line="300" w:lineRule="exact"/>
      <w:jc w:val="center"/>
    </w:pPr>
    <w:rPr>
      <w:rFonts w:ascii="宋体" w:hAnsi="楷体_GB2312" w:cs="楷体_GB2312"/>
      <w:kern w:val="0"/>
      <w:szCs w:val="22"/>
    </w:rPr>
  </w:style>
  <w:style w:type="paragraph" w:customStyle="1" w:styleId="91">
    <w:name w:val="表格内容5.21"/>
    <w:basedOn w:val="1"/>
    <w:qFormat/>
    <w:uiPriority w:val="0"/>
    <w:pPr>
      <w:widowControl/>
      <w:ind w:left="-30" w:leftChars="-30" w:right="-30" w:rightChars="-30"/>
      <w:jc w:val="center"/>
    </w:pPr>
    <w:rPr>
      <w:kern w:val="0"/>
      <w:szCs w:val="21"/>
    </w:rPr>
  </w:style>
</w:styles>
</file>

<file path=word/_rels/document.xml.rels><?xml version="1.0" encoding="UTF-8" standalone="yes"?>
<Relationships xmlns="http://schemas.openxmlformats.org/package/2006/relationships"><Relationship Id="rId9" Type="http://schemas.openxmlformats.org/officeDocument/2006/relationships/image" Target="media/image1.jpeg"/><Relationship Id="rId8" Type="http://schemas.openxmlformats.org/officeDocument/2006/relationships/theme" Target="theme/theme1.xml"/><Relationship Id="rId7" Type="http://schemas.openxmlformats.org/officeDocument/2006/relationships/footer" Target="footer5.xml"/><Relationship Id="rId6" Type="http://schemas.openxmlformats.org/officeDocument/2006/relationships/footer" Target="footer4.xml"/><Relationship Id="rId5" Type="http://schemas.openxmlformats.org/officeDocument/2006/relationships/footer" Target="footer3.xml"/><Relationship Id="rId4" Type="http://schemas.openxmlformats.org/officeDocument/2006/relationships/footer" Target="footer2.xml"/><Relationship Id="rId38" Type="http://schemas.openxmlformats.org/officeDocument/2006/relationships/fontTable" Target="fontTable.xml"/><Relationship Id="rId37" Type="http://schemas.openxmlformats.org/officeDocument/2006/relationships/numbering" Target="numbering.xml"/><Relationship Id="rId36" Type="http://schemas.openxmlformats.org/officeDocument/2006/relationships/customXml" Target="../customXml/item1.xml"/><Relationship Id="rId35" Type="http://schemas.openxmlformats.org/officeDocument/2006/relationships/image" Target="media/image26.jpeg"/><Relationship Id="rId34" Type="http://schemas.openxmlformats.org/officeDocument/2006/relationships/image" Target="media/image25.jpeg"/><Relationship Id="rId33" Type="http://schemas.openxmlformats.org/officeDocument/2006/relationships/image" Target="media/image24.png"/><Relationship Id="rId32" Type="http://schemas.openxmlformats.org/officeDocument/2006/relationships/image" Target="media/image23.jpeg"/><Relationship Id="rId31" Type="http://schemas.openxmlformats.org/officeDocument/2006/relationships/image" Target="media/image22.png"/><Relationship Id="rId30" Type="http://schemas.openxmlformats.org/officeDocument/2006/relationships/image" Target="media/image21.png"/><Relationship Id="rId3" Type="http://schemas.openxmlformats.org/officeDocument/2006/relationships/footer" Target="footer1.xml"/><Relationship Id="rId29" Type="http://schemas.openxmlformats.org/officeDocument/2006/relationships/image" Target="media/image20.png"/><Relationship Id="rId28" Type="http://schemas.openxmlformats.org/officeDocument/2006/relationships/image" Target="media/image19.png"/><Relationship Id="rId27" Type="http://schemas.openxmlformats.org/officeDocument/2006/relationships/image" Target="media/image18.png"/><Relationship Id="rId26" Type="http://schemas.openxmlformats.org/officeDocument/2006/relationships/image" Target="media/image17.png"/><Relationship Id="rId25" Type="http://schemas.openxmlformats.org/officeDocument/2006/relationships/image" Target="media/image16.png"/><Relationship Id="rId24" Type="http://schemas.openxmlformats.org/officeDocument/2006/relationships/image" Target="media/image15.png"/><Relationship Id="rId23" Type="http://schemas.openxmlformats.org/officeDocument/2006/relationships/image" Target="media/image14.jpeg"/><Relationship Id="rId22" Type="http://schemas.openxmlformats.org/officeDocument/2006/relationships/image" Target="media/image13.png"/><Relationship Id="rId21" Type="http://schemas.openxmlformats.org/officeDocument/2006/relationships/image" Target="media/image12.png"/><Relationship Id="rId20" Type="http://schemas.openxmlformats.org/officeDocument/2006/relationships/image" Target="media/image11.png"/><Relationship Id="rId2" Type="http://schemas.openxmlformats.org/officeDocument/2006/relationships/settings" Target="settings.xml"/><Relationship Id="rId19" Type="http://schemas.openxmlformats.org/officeDocument/2006/relationships/image" Target="media/image10.png"/><Relationship Id="rId18" Type="http://schemas.openxmlformats.org/officeDocument/2006/relationships/image" Target="media/image9.png"/><Relationship Id="rId17" Type="http://schemas.openxmlformats.org/officeDocument/2006/relationships/image" Target="media/image8.png"/><Relationship Id="rId16" Type="http://schemas.openxmlformats.org/officeDocument/2006/relationships/image" Target="media/image7.emf"/><Relationship Id="rId15" Type="http://schemas.openxmlformats.org/officeDocument/2006/relationships/oleObject" Target="embeddings/oleObject1.bin"/><Relationship Id="rId14" Type="http://schemas.openxmlformats.org/officeDocument/2006/relationships/image" Target="media/image6.jpeg"/><Relationship Id="rId13" Type="http://schemas.openxmlformats.org/officeDocument/2006/relationships/image" Target="media/image5.jpeg"/><Relationship Id="rId12" Type="http://schemas.openxmlformats.org/officeDocument/2006/relationships/image" Target="media/image4.jpeg"/><Relationship Id="rId11" Type="http://schemas.openxmlformats.org/officeDocument/2006/relationships/image" Target="media/image3.jpeg"/><Relationship Id="rId10" Type="http://schemas.openxmlformats.org/officeDocument/2006/relationships/image" Target="media/image2.jpeg"/><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dsoa\wdzx97.dot"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wdzx97.dot</Template>
  <Company>微软中国</Company>
  <Pages>70</Pages>
  <Words>32748</Words>
  <Characters>35204</Characters>
  <Lines>27</Lines>
  <Paragraphs>39</Paragraphs>
  <TotalTime>31</TotalTime>
  <ScaleCrop>false</ScaleCrop>
  <LinksUpToDate>false</LinksUpToDate>
  <CharactersWithSpaces>35418</CharactersWithSpaces>
  <Application>WPS Office_11.8.2.12118_F1E327BC-269C-435d-A152-05C5408002CA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2023-02-15T14:15:00Z</dcterms:created>
  <dc:creator>lhj</dc:creator>
  <cp:lastModifiedBy>Administrator</cp:lastModifiedBy>
  <cp:lastPrinted>2023-03-10T04:24:00Z</cp:lastPrinted>
  <dcterms:modified xsi:type="dcterms:W3CDTF">2024-07-04T09:43:24Z</dcterms:modified>
  <dc:title>附件2</dc:title>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2052-11.8.2.12118</vt:lpwstr>
  </property>
  <property fmtid="{D5CDD505-2E9C-101B-9397-08002B2CF9AE}" pid="3" name="ICV">
    <vt:lpwstr>A8ADFCE7CE2B44979D2BC155A2D36119</vt:lpwstr>
  </property>
</Properties>
</file>